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71BFA" w14:textId="7472566C" w:rsidR="00FB0164" w:rsidRPr="003759C4" w:rsidRDefault="00FB0164" w:rsidP="0041700E">
      <w:pPr>
        <w:rPr>
          <w:rFonts w:cs="Calibri"/>
          <w:bCs/>
          <w:color w:val="FF0000"/>
        </w:rPr>
      </w:pPr>
      <w:r w:rsidRPr="003759C4">
        <w:rPr>
          <w:rFonts w:cs="Calibri"/>
          <w:bCs/>
          <w:color w:val="FF0000"/>
        </w:rPr>
        <w:t xml:space="preserve">An addendum to this </w:t>
      </w:r>
      <w:r w:rsidR="00284DE8">
        <w:rPr>
          <w:rFonts w:cs="Calibri"/>
          <w:bCs/>
          <w:color w:val="FF0000"/>
        </w:rPr>
        <w:t xml:space="preserve">Public Summary Document </w:t>
      </w:r>
      <w:r w:rsidRPr="003759C4">
        <w:rPr>
          <w:rFonts w:cs="Calibri"/>
          <w:bCs/>
          <w:color w:val="FF0000"/>
        </w:rPr>
        <w:t>has been included at the end of the document.</w:t>
      </w:r>
    </w:p>
    <w:p w14:paraId="7B753A48" w14:textId="77777777" w:rsidR="00BB579F" w:rsidRDefault="00BB579F" w:rsidP="0041700E">
      <w:pPr>
        <w:rPr>
          <w:rFonts w:cs="Calibri"/>
          <w:b/>
          <w:u w:val="single"/>
        </w:rPr>
      </w:pPr>
    </w:p>
    <w:p w14:paraId="25CA808F" w14:textId="77777777" w:rsidR="000B266B" w:rsidRPr="00273693" w:rsidRDefault="000B266B" w:rsidP="0041700E">
      <w:pPr>
        <w:pStyle w:val="1-MainHeading"/>
      </w:pPr>
      <w:r w:rsidRPr="00273693">
        <w:t>7.01</w:t>
      </w:r>
      <w:r w:rsidRPr="00273693">
        <w:tab/>
        <w:t>BULEVIRTIDE</w:t>
      </w:r>
      <w:r>
        <w:br/>
      </w:r>
      <w:r w:rsidRPr="00273693">
        <w:t>Powder for injection 2 mg,</w:t>
      </w:r>
      <w:r w:rsidRPr="00273693">
        <w:br/>
        <w:t>Hepcludex®</w:t>
      </w:r>
      <w:r>
        <w:br/>
      </w:r>
      <w:r w:rsidRPr="00273693">
        <w:t>Gilead Sciences Pty Ltd</w:t>
      </w:r>
      <w:bookmarkStart w:id="0" w:name="_Ref190789844"/>
      <w:bookmarkStart w:id="1" w:name="_Hlk68005436"/>
    </w:p>
    <w:p w14:paraId="64B2A758" w14:textId="77777777" w:rsidR="000B266B" w:rsidRPr="00FD70DE" w:rsidRDefault="000B266B" w:rsidP="0041700E">
      <w:pPr>
        <w:pStyle w:val="2-SectionHeading"/>
      </w:pPr>
      <w:bookmarkStart w:id="2" w:name="_Toc413139271"/>
      <w:bookmarkStart w:id="3" w:name="_Toc188360787"/>
      <w:bookmarkEnd w:id="0"/>
      <w:bookmarkEnd w:id="1"/>
      <w:r w:rsidRPr="00F50184">
        <w:t>Purpose</w:t>
      </w:r>
      <w:r w:rsidRPr="00FD70DE">
        <w:t xml:space="preserve"> of resubmission</w:t>
      </w:r>
      <w:bookmarkEnd w:id="2"/>
      <w:bookmarkEnd w:id="3"/>
    </w:p>
    <w:p w14:paraId="34CABA0E" w14:textId="77777777" w:rsidR="000B266B" w:rsidRPr="00D936F9" w:rsidRDefault="000B266B" w:rsidP="0041700E">
      <w:pPr>
        <w:pStyle w:val="3-BodyText"/>
        <w:spacing w:before="120" w:after="120"/>
      </w:pPr>
      <w:r w:rsidRPr="4904BCD2">
        <w:t>The integrated codependent resubmission requested MBS listing of ribonucleic acid (RNA) polymerase chain reaction (PCR) testing and PBS listing of bulevirtide for the treatment of chronic hepatitis D (CHD) in patients positive for hepatitis D virus (HDV) RNA as detected by PCR. In the resubmission, the proposed treatment was not restricted to patients ≥ 18 years old compared to the previous submission.</w:t>
      </w:r>
    </w:p>
    <w:p w14:paraId="605071D1" w14:textId="77777777" w:rsidR="000B266B" w:rsidRPr="00D936F9" w:rsidRDefault="000B266B" w:rsidP="0041700E">
      <w:pPr>
        <w:pStyle w:val="3-BodyText"/>
        <w:spacing w:before="120" w:after="120"/>
      </w:pPr>
      <w:r w:rsidRPr="4904BCD2">
        <w:t>Listing was requested based on a cost-utility analysis versus symptom management of CHD (also referred to as best supportive care (BSC)), including routine management of chronic hepatitis B (CHB) infection. Key components of the clinical issues addressed by the resubmission have not changed from the previous submission.</w:t>
      </w:r>
    </w:p>
    <w:p w14:paraId="092B4AC0" w14:textId="33847CE6" w:rsidR="000B266B" w:rsidRPr="00D936F9" w:rsidRDefault="000B266B" w:rsidP="0041700E">
      <w:pPr>
        <w:pStyle w:val="TableFigureHeading"/>
        <w:rPr>
          <w:i/>
        </w:rPr>
      </w:pPr>
      <w:r w:rsidRPr="00D936F9">
        <w:lastRenderedPageBreak/>
        <w:t xml:space="preserve">Table </w:t>
      </w:r>
      <w:r w:rsidRPr="00D936F9">
        <w:rPr>
          <w:i/>
        </w:rPr>
        <w:fldChar w:fldCharType="begin"/>
      </w:r>
      <w:r w:rsidRPr="00D936F9">
        <w:instrText xml:space="preserve"> SEQ Table_PBAC. \* ARABIC </w:instrText>
      </w:r>
      <w:r w:rsidRPr="00D936F9">
        <w:rPr>
          <w:i/>
        </w:rPr>
        <w:fldChar w:fldCharType="separate"/>
      </w:r>
      <w:r w:rsidR="007848CD">
        <w:rPr>
          <w:noProof/>
        </w:rPr>
        <w:t>1</w:t>
      </w:r>
      <w:r w:rsidRPr="00D936F9">
        <w:rPr>
          <w:i/>
          <w:noProof/>
        </w:rPr>
        <w:fldChar w:fldCharType="end"/>
      </w:r>
      <w:r>
        <w:t xml:space="preserve">: </w:t>
      </w:r>
      <w:r w:rsidRPr="00D936F9">
        <w:t>Key components of the clinical issue addressed by the submission</w:t>
      </w:r>
    </w:p>
    <w:tbl>
      <w:tblPr>
        <w:tblStyle w:val="TableGrid"/>
        <w:tblW w:w="0" w:type="auto"/>
        <w:shd w:val="clear" w:color="auto" w:fill="BDD6EE" w:themeFill="accent1" w:themeFillTint="66"/>
        <w:tblLook w:val="04A0" w:firstRow="1" w:lastRow="0" w:firstColumn="1" w:lastColumn="0" w:noHBand="0" w:noVBand="1"/>
        <w:tblCaption w:val="Table 1: Key components of the clinical issue addressed by the submission"/>
      </w:tblPr>
      <w:tblGrid>
        <w:gridCol w:w="1696"/>
        <w:gridCol w:w="7320"/>
      </w:tblGrid>
      <w:tr w:rsidR="000B266B" w:rsidRPr="00FD70DE" w14:paraId="5975A817" w14:textId="77777777" w:rsidTr="00B678E8">
        <w:trPr>
          <w:tblHeader/>
        </w:trPr>
        <w:tc>
          <w:tcPr>
            <w:tcW w:w="1696" w:type="dxa"/>
            <w:shd w:val="clear" w:color="auto" w:fill="BDD6EE" w:themeFill="accent1" w:themeFillTint="66"/>
          </w:tcPr>
          <w:p w14:paraId="5CDF69D6" w14:textId="77777777" w:rsidR="000B266B" w:rsidRPr="00FD70DE" w:rsidRDefault="000B266B" w:rsidP="0041700E">
            <w:pPr>
              <w:pStyle w:val="In-tableHeading"/>
            </w:pPr>
            <w:r w:rsidRPr="00FD70DE">
              <w:t>Component</w:t>
            </w:r>
          </w:p>
        </w:tc>
        <w:tc>
          <w:tcPr>
            <w:tcW w:w="7320" w:type="dxa"/>
            <w:shd w:val="clear" w:color="auto" w:fill="BDD6EE" w:themeFill="accent1" w:themeFillTint="66"/>
          </w:tcPr>
          <w:p w14:paraId="01EC1887" w14:textId="77777777" w:rsidR="000B266B" w:rsidRPr="00FD70DE" w:rsidRDefault="000B266B" w:rsidP="0041700E">
            <w:pPr>
              <w:pStyle w:val="In-tableHeading"/>
            </w:pPr>
            <w:r w:rsidRPr="00FD70DE">
              <w:t>Description</w:t>
            </w:r>
          </w:p>
        </w:tc>
      </w:tr>
      <w:tr w:rsidR="000B266B" w:rsidRPr="00FD70DE" w14:paraId="54236B76" w14:textId="77777777" w:rsidTr="00B678E8">
        <w:tc>
          <w:tcPr>
            <w:tcW w:w="1696" w:type="dxa"/>
            <w:shd w:val="clear" w:color="auto" w:fill="BDD6EE" w:themeFill="accent1" w:themeFillTint="66"/>
          </w:tcPr>
          <w:p w14:paraId="11BE6B47" w14:textId="77777777" w:rsidR="000B266B" w:rsidRPr="009D2673" w:rsidRDefault="000B266B" w:rsidP="0041700E">
            <w:pPr>
              <w:pStyle w:val="TableText"/>
              <w:rPr>
                <w:b/>
                <w:bCs w:val="0"/>
              </w:rPr>
            </w:pPr>
            <w:r w:rsidRPr="009D2673">
              <w:rPr>
                <w:b/>
                <w:bCs w:val="0"/>
              </w:rPr>
              <w:t>Population</w:t>
            </w:r>
          </w:p>
        </w:tc>
        <w:tc>
          <w:tcPr>
            <w:tcW w:w="7320" w:type="dxa"/>
            <w:shd w:val="clear" w:color="auto" w:fill="BDD6EE" w:themeFill="accent1" w:themeFillTint="66"/>
          </w:tcPr>
          <w:p w14:paraId="51264301" w14:textId="77777777" w:rsidR="000B266B" w:rsidRPr="00FD70DE" w:rsidRDefault="000B266B" w:rsidP="0041700E">
            <w:pPr>
              <w:pStyle w:val="TableText"/>
              <w:rPr>
                <w:rFonts w:eastAsia="Times New Roman"/>
              </w:rPr>
            </w:pPr>
            <w:r w:rsidRPr="009D2673">
              <w:rPr>
                <w:rFonts w:eastAsia="Times New Roman"/>
                <w:b/>
                <w:bCs w:val="0"/>
              </w:rPr>
              <w:t>Test:</w:t>
            </w:r>
            <w:r w:rsidRPr="00FD70DE">
              <w:rPr>
                <w:rFonts w:eastAsia="Times New Roman"/>
              </w:rPr>
              <w:t xml:space="preserve"> People diagnosed with chronic hepatitis B who have tested positive for serum anti-hepatitis D virus (anti-HDV) antibodies and are suspected of having chronic hepatitis D (CHD)</w:t>
            </w:r>
          </w:p>
          <w:p w14:paraId="43E570C1" w14:textId="77777777" w:rsidR="000B266B" w:rsidRPr="00FD70DE" w:rsidRDefault="000B266B" w:rsidP="0041700E">
            <w:pPr>
              <w:pStyle w:val="TableText"/>
            </w:pPr>
            <w:r w:rsidRPr="009D2673">
              <w:rPr>
                <w:b/>
                <w:bCs w:val="0"/>
              </w:rPr>
              <w:t>Medicine:</w:t>
            </w:r>
            <w:r w:rsidRPr="00FD70DE">
              <w:t xml:space="preserve"> Patients with positive CHD with detectable polymerase chain reaction (PCR) results for serum/plasma HDV ribonucleic acid (RNA)</w:t>
            </w:r>
          </w:p>
        </w:tc>
      </w:tr>
      <w:tr w:rsidR="000B266B" w:rsidRPr="00FD70DE" w14:paraId="0E49DF1E" w14:textId="77777777" w:rsidTr="00B678E8">
        <w:tc>
          <w:tcPr>
            <w:tcW w:w="1696" w:type="dxa"/>
            <w:shd w:val="clear" w:color="auto" w:fill="BDD6EE" w:themeFill="accent1" w:themeFillTint="66"/>
            <w:vAlign w:val="center"/>
          </w:tcPr>
          <w:p w14:paraId="6DDE756A" w14:textId="77777777" w:rsidR="000B266B" w:rsidRPr="009D2673" w:rsidRDefault="000B266B" w:rsidP="0041700E">
            <w:pPr>
              <w:pStyle w:val="TableText"/>
              <w:rPr>
                <w:b/>
                <w:bCs w:val="0"/>
              </w:rPr>
            </w:pPr>
            <w:r w:rsidRPr="009D2673">
              <w:rPr>
                <w:b/>
                <w:bCs w:val="0"/>
              </w:rPr>
              <w:t>Prior tests</w:t>
            </w:r>
          </w:p>
        </w:tc>
        <w:tc>
          <w:tcPr>
            <w:tcW w:w="7320" w:type="dxa"/>
            <w:shd w:val="clear" w:color="auto" w:fill="BDD6EE" w:themeFill="accent1" w:themeFillTint="66"/>
          </w:tcPr>
          <w:p w14:paraId="0A4B64C3" w14:textId="77777777" w:rsidR="000B266B" w:rsidRPr="00FD70DE" w:rsidRDefault="000B266B" w:rsidP="0041700E">
            <w:pPr>
              <w:pStyle w:val="TableText"/>
              <w:rPr>
                <w:rFonts w:eastAsia="Times New Roman"/>
              </w:rPr>
            </w:pPr>
            <w:r w:rsidRPr="00FD70DE">
              <w:rPr>
                <w:rFonts w:eastAsia="Times New Roman"/>
              </w:rPr>
              <w:t xml:space="preserve">Diagnosis of HBV by hepatitis B surface antigen (HBsAg), </w:t>
            </w:r>
          </w:p>
          <w:p w14:paraId="09654D0F" w14:textId="77777777" w:rsidR="000B266B" w:rsidRPr="00FD70DE" w:rsidRDefault="000B266B" w:rsidP="0041700E">
            <w:pPr>
              <w:pStyle w:val="TableText"/>
            </w:pPr>
            <w:r w:rsidRPr="00FD70DE">
              <w:t xml:space="preserve">Anti-HDV antibody testing </w:t>
            </w:r>
          </w:p>
        </w:tc>
      </w:tr>
      <w:tr w:rsidR="000B266B" w:rsidRPr="00FD70DE" w14:paraId="474A6A16" w14:textId="77777777" w:rsidTr="00B678E8">
        <w:tc>
          <w:tcPr>
            <w:tcW w:w="1696" w:type="dxa"/>
            <w:shd w:val="clear" w:color="auto" w:fill="BDD6EE" w:themeFill="accent1" w:themeFillTint="66"/>
            <w:vAlign w:val="center"/>
          </w:tcPr>
          <w:p w14:paraId="43012AE2" w14:textId="77777777" w:rsidR="000B266B" w:rsidRPr="009D2673" w:rsidRDefault="000B266B" w:rsidP="0041700E">
            <w:pPr>
              <w:pStyle w:val="TableText"/>
              <w:rPr>
                <w:b/>
                <w:bCs w:val="0"/>
              </w:rPr>
            </w:pPr>
            <w:r w:rsidRPr="009D2673">
              <w:rPr>
                <w:b/>
                <w:bCs w:val="0"/>
              </w:rPr>
              <w:t>Intervention</w:t>
            </w:r>
          </w:p>
        </w:tc>
        <w:tc>
          <w:tcPr>
            <w:tcW w:w="7320" w:type="dxa"/>
            <w:shd w:val="clear" w:color="auto" w:fill="BDD6EE" w:themeFill="accent1" w:themeFillTint="66"/>
          </w:tcPr>
          <w:p w14:paraId="1ED707A8" w14:textId="77777777" w:rsidR="000B266B" w:rsidRPr="00FD70DE" w:rsidRDefault="000B266B" w:rsidP="0041700E">
            <w:pPr>
              <w:pStyle w:val="TableText"/>
              <w:rPr>
                <w:rFonts w:eastAsia="Times New Roman"/>
              </w:rPr>
            </w:pPr>
            <w:r w:rsidRPr="009D2673">
              <w:rPr>
                <w:rFonts w:eastAsia="Times New Roman"/>
                <w:b/>
                <w:bCs w:val="0"/>
              </w:rPr>
              <w:t>Test:</w:t>
            </w:r>
            <w:r w:rsidRPr="00FD70DE">
              <w:rPr>
                <w:rFonts w:eastAsia="Times New Roman"/>
              </w:rPr>
              <w:t xml:space="preserve"> HDV RNA PCR on serum or blood </w:t>
            </w:r>
          </w:p>
          <w:p w14:paraId="3A4D6C8F" w14:textId="77777777" w:rsidR="000B266B" w:rsidRPr="00FD70DE" w:rsidRDefault="000B266B" w:rsidP="0041700E">
            <w:pPr>
              <w:pStyle w:val="TableText"/>
            </w:pPr>
            <w:r w:rsidRPr="009D2673">
              <w:rPr>
                <w:b/>
                <w:bCs w:val="0"/>
              </w:rPr>
              <w:t>Medicine:</w:t>
            </w:r>
            <w:r w:rsidRPr="00FD70DE">
              <w:t xml:space="preserve"> HEPCLUDEX (bulevirtide)</w:t>
            </w:r>
          </w:p>
        </w:tc>
      </w:tr>
      <w:tr w:rsidR="000B266B" w:rsidRPr="00FD70DE" w14:paraId="3BEF9D0C" w14:textId="77777777" w:rsidTr="00B678E8">
        <w:tc>
          <w:tcPr>
            <w:tcW w:w="1696" w:type="dxa"/>
            <w:shd w:val="clear" w:color="auto" w:fill="BDD6EE" w:themeFill="accent1" w:themeFillTint="66"/>
            <w:vAlign w:val="center"/>
          </w:tcPr>
          <w:p w14:paraId="0CD4BA6B" w14:textId="77777777" w:rsidR="000B266B" w:rsidRPr="009D2673" w:rsidRDefault="000B266B" w:rsidP="0041700E">
            <w:pPr>
              <w:pStyle w:val="TableText"/>
              <w:rPr>
                <w:b/>
                <w:bCs w:val="0"/>
              </w:rPr>
            </w:pPr>
            <w:r w:rsidRPr="009D2673">
              <w:rPr>
                <w:b/>
                <w:bCs w:val="0"/>
              </w:rPr>
              <w:t>Comparator</w:t>
            </w:r>
          </w:p>
        </w:tc>
        <w:tc>
          <w:tcPr>
            <w:tcW w:w="7320" w:type="dxa"/>
            <w:shd w:val="clear" w:color="auto" w:fill="BDD6EE" w:themeFill="accent1" w:themeFillTint="66"/>
          </w:tcPr>
          <w:p w14:paraId="580047FA" w14:textId="77777777" w:rsidR="000B266B" w:rsidRPr="00FD70DE" w:rsidRDefault="000B266B" w:rsidP="0041700E">
            <w:pPr>
              <w:pStyle w:val="TableText"/>
              <w:rPr>
                <w:rFonts w:eastAsia="Times New Roman"/>
              </w:rPr>
            </w:pPr>
            <w:r w:rsidRPr="009D2673">
              <w:rPr>
                <w:rFonts w:eastAsia="Times New Roman"/>
                <w:b/>
                <w:bCs w:val="0"/>
              </w:rPr>
              <w:t>Test:</w:t>
            </w:r>
            <w:r w:rsidRPr="00FD70DE">
              <w:rPr>
                <w:rFonts w:eastAsia="Times New Roman"/>
              </w:rPr>
              <w:t xml:space="preserve"> No HDV RNA testing </w:t>
            </w:r>
          </w:p>
          <w:p w14:paraId="1DD62900" w14:textId="77777777" w:rsidR="000B266B" w:rsidRPr="00FD70DE" w:rsidRDefault="000B266B" w:rsidP="0041700E">
            <w:pPr>
              <w:pStyle w:val="TableText"/>
            </w:pPr>
            <w:r w:rsidRPr="009D2673">
              <w:rPr>
                <w:b/>
                <w:bCs w:val="0"/>
              </w:rPr>
              <w:t>Medicine:</w:t>
            </w:r>
            <w:r w:rsidRPr="00FD70DE">
              <w:t xml:space="preserve"> Symptomatic chronic HDV management </w:t>
            </w:r>
          </w:p>
        </w:tc>
      </w:tr>
      <w:tr w:rsidR="000B266B" w:rsidRPr="00FD70DE" w14:paraId="45E1F18D" w14:textId="77777777" w:rsidTr="00B678E8">
        <w:tc>
          <w:tcPr>
            <w:tcW w:w="1696" w:type="dxa"/>
            <w:shd w:val="clear" w:color="auto" w:fill="BDD6EE" w:themeFill="accent1" w:themeFillTint="66"/>
            <w:vAlign w:val="center"/>
          </w:tcPr>
          <w:p w14:paraId="7268AA1A" w14:textId="77777777" w:rsidR="000B266B" w:rsidRPr="009D2673" w:rsidRDefault="000B266B" w:rsidP="0041700E">
            <w:pPr>
              <w:pStyle w:val="TableText"/>
              <w:rPr>
                <w:b/>
                <w:bCs w:val="0"/>
              </w:rPr>
            </w:pPr>
            <w:r w:rsidRPr="009D2673">
              <w:rPr>
                <w:b/>
                <w:bCs w:val="0"/>
              </w:rPr>
              <w:t>Clinical utility standard</w:t>
            </w:r>
          </w:p>
        </w:tc>
        <w:tc>
          <w:tcPr>
            <w:tcW w:w="7320" w:type="dxa"/>
            <w:shd w:val="clear" w:color="auto" w:fill="BDD6EE" w:themeFill="accent1" w:themeFillTint="66"/>
          </w:tcPr>
          <w:p w14:paraId="345291FF" w14:textId="77777777" w:rsidR="000B266B" w:rsidRPr="00FD70DE" w:rsidRDefault="000B266B" w:rsidP="0041700E">
            <w:pPr>
              <w:pStyle w:val="TableText"/>
              <w:rPr>
                <w:rFonts w:eastAsia="Times New Roman"/>
              </w:rPr>
            </w:pPr>
            <w:r w:rsidRPr="00FD70DE">
              <w:rPr>
                <w:rFonts w:eastAsia="Times New Roman"/>
              </w:rPr>
              <w:t>Robogene® HDV RNA Quantification Kit 2.0 with a lower limit of detection (LLoD) of 6 IU/mL</w:t>
            </w:r>
          </w:p>
          <w:p w14:paraId="5EB7A280" w14:textId="77777777" w:rsidR="000B266B" w:rsidRPr="00FD70DE" w:rsidRDefault="000B266B" w:rsidP="0041700E">
            <w:pPr>
              <w:pStyle w:val="TableText"/>
            </w:pPr>
            <w:r w:rsidRPr="00FD70DE">
              <w:t xml:space="preserve">Test used in key clinical trial MYR301 </w:t>
            </w:r>
          </w:p>
        </w:tc>
      </w:tr>
      <w:tr w:rsidR="000B266B" w:rsidRPr="00FD70DE" w14:paraId="42ABE2E4" w14:textId="77777777" w:rsidTr="00B678E8">
        <w:tc>
          <w:tcPr>
            <w:tcW w:w="1696" w:type="dxa"/>
            <w:shd w:val="clear" w:color="auto" w:fill="BDD6EE" w:themeFill="accent1" w:themeFillTint="66"/>
            <w:vAlign w:val="center"/>
          </w:tcPr>
          <w:p w14:paraId="07FC7B07" w14:textId="77777777" w:rsidR="000B266B" w:rsidRPr="009D2673" w:rsidRDefault="000B266B" w:rsidP="0041700E">
            <w:pPr>
              <w:pStyle w:val="TableText"/>
              <w:rPr>
                <w:b/>
                <w:bCs w:val="0"/>
              </w:rPr>
            </w:pPr>
            <w:r w:rsidRPr="009D2673">
              <w:rPr>
                <w:b/>
                <w:bCs w:val="0"/>
              </w:rPr>
              <w:t>Outcomes</w:t>
            </w:r>
          </w:p>
        </w:tc>
        <w:tc>
          <w:tcPr>
            <w:tcW w:w="7320" w:type="dxa"/>
            <w:shd w:val="clear" w:color="auto" w:fill="BDD6EE" w:themeFill="accent1" w:themeFillTint="66"/>
          </w:tcPr>
          <w:p w14:paraId="7C0875FC" w14:textId="77777777" w:rsidR="000B266B" w:rsidRPr="009D2673" w:rsidRDefault="000B266B" w:rsidP="0041700E">
            <w:pPr>
              <w:pStyle w:val="TableText"/>
              <w:rPr>
                <w:b/>
                <w:bCs w:val="0"/>
              </w:rPr>
            </w:pPr>
            <w:r w:rsidRPr="009D2673">
              <w:rPr>
                <w:b/>
                <w:bCs w:val="0"/>
              </w:rPr>
              <w:t>Test:</w:t>
            </w:r>
          </w:p>
          <w:p w14:paraId="6BA33875" w14:textId="77777777" w:rsidR="000B266B" w:rsidRPr="00FD70DE" w:rsidRDefault="000B266B" w:rsidP="0041700E">
            <w:pPr>
              <w:pStyle w:val="TableText"/>
            </w:pPr>
            <w:r w:rsidRPr="00FD70DE">
              <w:t>Concordance of the test with the clinical utility standard</w:t>
            </w:r>
          </w:p>
          <w:p w14:paraId="6FB9E0B4" w14:textId="77777777" w:rsidR="000B266B" w:rsidRPr="00FD70DE" w:rsidRDefault="000B266B" w:rsidP="0041700E">
            <w:pPr>
              <w:pStyle w:val="TableText"/>
            </w:pPr>
            <w:r w:rsidRPr="00FD70DE">
              <w:t>Predictive validity of the test (distinguished from HDV as a prognostic marker)</w:t>
            </w:r>
          </w:p>
          <w:p w14:paraId="48EE5180" w14:textId="77777777" w:rsidR="000B266B" w:rsidRPr="00FD70DE" w:rsidRDefault="000B266B" w:rsidP="0041700E">
            <w:pPr>
              <w:pStyle w:val="TableText"/>
            </w:pPr>
            <w:r w:rsidRPr="00FD70DE">
              <w:t>Suitability of the test for monitoring (ability to distinguish response to treatment from background random variation, i.e. signal to noise ratio).</w:t>
            </w:r>
          </w:p>
          <w:p w14:paraId="79B97BEE" w14:textId="77777777" w:rsidR="000B266B" w:rsidRPr="00FD70DE" w:rsidRDefault="000B266B" w:rsidP="0041700E">
            <w:pPr>
              <w:pStyle w:val="TableText"/>
            </w:pPr>
            <w:r w:rsidRPr="00FD70DE">
              <w:t>Change in clinical management from initial and ongoing testing</w:t>
            </w:r>
          </w:p>
          <w:p w14:paraId="5BD450E5" w14:textId="77777777" w:rsidR="000B266B" w:rsidRPr="009D2673" w:rsidRDefault="000B266B" w:rsidP="0041700E">
            <w:pPr>
              <w:pStyle w:val="TableText"/>
              <w:rPr>
                <w:b/>
                <w:bCs w:val="0"/>
              </w:rPr>
            </w:pPr>
            <w:r w:rsidRPr="009D2673">
              <w:rPr>
                <w:b/>
                <w:bCs w:val="0"/>
              </w:rPr>
              <w:t>Medicine:</w:t>
            </w:r>
          </w:p>
          <w:p w14:paraId="7B304FB5" w14:textId="77777777" w:rsidR="000B266B" w:rsidRPr="00FD70DE" w:rsidRDefault="000B266B" w:rsidP="0041700E">
            <w:pPr>
              <w:pStyle w:val="TableText"/>
            </w:pPr>
            <w:r w:rsidRPr="00FD70DE">
              <w:t>Primary endpoint, composite endpoint at Week 48 of:</w:t>
            </w:r>
          </w:p>
          <w:p w14:paraId="076ECFE3" w14:textId="77777777" w:rsidR="000B266B" w:rsidRPr="00FD70DE" w:rsidRDefault="000B266B" w:rsidP="0041700E">
            <w:pPr>
              <w:pStyle w:val="TableText"/>
              <w:rPr>
                <w:rFonts w:cs="Calibri (Body)"/>
              </w:rPr>
            </w:pPr>
            <w:r w:rsidRPr="00FD70DE">
              <w:t>Undetectable HDV RNA (HDV RNA &lt; LLoD) or decrease in HDV RNA by ≥2 log</w:t>
            </w:r>
            <w:r w:rsidRPr="00FD70DE">
              <w:rPr>
                <w:vertAlign w:val="subscript"/>
              </w:rPr>
              <w:t>10</w:t>
            </w:r>
            <w:r w:rsidRPr="00FD70DE">
              <w:t xml:space="preserve"> IU/mL from baseline, and </w:t>
            </w:r>
          </w:p>
          <w:p w14:paraId="4129F821" w14:textId="77777777" w:rsidR="000B266B" w:rsidRPr="00FD70DE" w:rsidRDefault="000B266B" w:rsidP="0041700E">
            <w:pPr>
              <w:pStyle w:val="TableText"/>
              <w:rPr>
                <w:rFonts w:cs="Calibri (Body)"/>
              </w:rPr>
            </w:pPr>
            <w:r w:rsidRPr="00FD70DE">
              <w:t xml:space="preserve">ALT normalisation (i.e. below the central laboratory defined ULN). </w:t>
            </w:r>
          </w:p>
          <w:p w14:paraId="0220DA77" w14:textId="77777777" w:rsidR="000B266B" w:rsidRPr="00FD70DE" w:rsidRDefault="000B266B" w:rsidP="0041700E">
            <w:pPr>
              <w:pStyle w:val="TableText"/>
              <w:rPr>
                <w:rFonts w:cs="Calibri (Body)"/>
              </w:rPr>
            </w:pPr>
            <w:r w:rsidRPr="00FD70DE">
              <w:t>Secondary endpoints at Week 48 of:</w:t>
            </w:r>
          </w:p>
          <w:p w14:paraId="4169BDDA" w14:textId="77777777" w:rsidR="000B266B" w:rsidRPr="00FD70DE" w:rsidRDefault="000B266B" w:rsidP="0041700E">
            <w:pPr>
              <w:pStyle w:val="TableText"/>
              <w:rPr>
                <w:rFonts w:cs="Calibri (Body)"/>
              </w:rPr>
            </w:pPr>
            <w:r w:rsidRPr="00FD70DE">
              <w:t>Undetectable HDV RNA at Week 48</w:t>
            </w:r>
          </w:p>
          <w:p w14:paraId="10A53E00" w14:textId="77777777" w:rsidR="000B266B" w:rsidRPr="00FD70DE" w:rsidRDefault="000B266B" w:rsidP="0041700E">
            <w:pPr>
              <w:pStyle w:val="TableText"/>
              <w:rPr>
                <w:rFonts w:cs="Calibri (Body)"/>
              </w:rPr>
            </w:pPr>
            <w:r w:rsidRPr="00FD70DE">
              <w:t>ALT normalisation at Week 48</w:t>
            </w:r>
          </w:p>
          <w:p w14:paraId="2E483C66" w14:textId="77777777" w:rsidR="000B266B" w:rsidRPr="00FD70DE" w:rsidRDefault="000B266B" w:rsidP="0041700E">
            <w:pPr>
              <w:pStyle w:val="TableText"/>
              <w:rPr>
                <w:rFonts w:cs="Calibri (Body)"/>
              </w:rPr>
            </w:pPr>
            <w:r w:rsidRPr="00FD70DE">
              <w:t>Proportions of patients achieving HDV RNA decrease by ≥2 log</w:t>
            </w:r>
            <w:r w:rsidRPr="00FD70DE">
              <w:rPr>
                <w:vertAlign w:val="subscript"/>
              </w:rPr>
              <w:t>10</w:t>
            </w:r>
            <w:r w:rsidRPr="00FD70DE">
              <w:t xml:space="preserve"> IU/mL,</w:t>
            </w:r>
          </w:p>
          <w:p w14:paraId="2441E9F3" w14:textId="77777777" w:rsidR="000B266B" w:rsidRPr="00FD70DE" w:rsidRDefault="000B266B" w:rsidP="0041700E">
            <w:pPr>
              <w:pStyle w:val="TableText"/>
              <w:rPr>
                <w:rFonts w:cs="Calibri (Body)"/>
              </w:rPr>
            </w:pPr>
            <w:r w:rsidRPr="00FD70DE">
              <w:t>Quality of life using EQ-5D, FSS and HQLQ</w:t>
            </w:r>
          </w:p>
          <w:p w14:paraId="0FB8E167" w14:textId="77777777" w:rsidR="000B266B" w:rsidRPr="00FD70DE" w:rsidRDefault="000B266B" w:rsidP="0041700E">
            <w:pPr>
              <w:pStyle w:val="TableText"/>
              <w:rPr>
                <w:rFonts w:eastAsia="Times New Roman"/>
              </w:rPr>
            </w:pPr>
            <w:r w:rsidRPr="00FD70DE">
              <w:rPr>
                <w:rFonts w:eastAsia="Times New Roman"/>
              </w:rPr>
              <w:t>Safety (adverse events, physical examinations, laboratory findings)</w:t>
            </w:r>
          </w:p>
        </w:tc>
      </w:tr>
      <w:tr w:rsidR="000B266B" w:rsidRPr="00FD70DE" w14:paraId="25FCE26B" w14:textId="77777777" w:rsidTr="00B678E8">
        <w:tc>
          <w:tcPr>
            <w:tcW w:w="1696" w:type="dxa"/>
            <w:shd w:val="clear" w:color="auto" w:fill="BDD6EE" w:themeFill="accent1" w:themeFillTint="66"/>
            <w:vAlign w:val="center"/>
          </w:tcPr>
          <w:p w14:paraId="572C20B0" w14:textId="77777777" w:rsidR="000B266B" w:rsidRPr="009D2673" w:rsidRDefault="000B266B" w:rsidP="0041700E">
            <w:pPr>
              <w:pStyle w:val="TableText"/>
              <w:rPr>
                <w:b/>
                <w:bCs w:val="0"/>
              </w:rPr>
            </w:pPr>
            <w:r w:rsidRPr="009D2673">
              <w:rPr>
                <w:b/>
                <w:bCs w:val="0"/>
              </w:rPr>
              <w:t>Clinical claims</w:t>
            </w:r>
          </w:p>
        </w:tc>
        <w:tc>
          <w:tcPr>
            <w:tcW w:w="7320" w:type="dxa"/>
            <w:shd w:val="clear" w:color="auto" w:fill="BDD6EE" w:themeFill="accent1" w:themeFillTint="66"/>
          </w:tcPr>
          <w:p w14:paraId="52EEF44D" w14:textId="77777777" w:rsidR="000B266B" w:rsidRPr="00FD70DE" w:rsidRDefault="000B266B" w:rsidP="0041700E">
            <w:pPr>
              <w:pStyle w:val="TableText"/>
              <w:rPr>
                <w:rFonts w:eastAsia="Times New Roman"/>
                <w:snapToGrid w:val="0"/>
                <w:lang w:eastAsia="en-AU"/>
              </w:rPr>
            </w:pPr>
            <w:r w:rsidRPr="00FD70DE">
              <w:rPr>
                <w:rFonts w:eastAsia="Times New Roman"/>
                <w:snapToGrid w:val="0"/>
                <w:lang w:eastAsia="en-AU"/>
              </w:rPr>
              <w:t>In adults with chronic HDV infection, HEPCLUDEX (bulevirtide) is superior to current chronic HDV symptom management and is associated with a favourable safety profile.</w:t>
            </w:r>
          </w:p>
          <w:p w14:paraId="341F0B2F" w14:textId="77777777" w:rsidR="000B266B" w:rsidRPr="00FD70DE" w:rsidRDefault="000B266B" w:rsidP="0041700E">
            <w:pPr>
              <w:pStyle w:val="TableText"/>
              <w:rPr>
                <w:rFonts w:eastAsia="Times New Roman"/>
              </w:rPr>
            </w:pPr>
            <w:r w:rsidRPr="00FD70DE">
              <w:rPr>
                <w:rFonts w:eastAsia="Times New Roman"/>
              </w:rPr>
              <w:t>The MBS listing HDV RNA PCR testing and the PBS listing of HEPCLUDEX (bulevirtide) for the diagnosis and the treatment of chronic HDV will result in superior health outcomes compared to no testing and no access to HEPCLUDEX.</w:t>
            </w:r>
          </w:p>
        </w:tc>
      </w:tr>
    </w:tbl>
    <w:p w14:paraId="7186DC43" w14:textId="77777777" w:rsidR="000B266B" w:rsidRPr="00FD70DE" w:rsidRDefault="000B266B" w:rsidP="0041700E">
      <w:pPr>
        <w:pStyle w:val="TableFigureFooter"/>
      </w:pPr>
      <w:r w:rsidRPr="00FD70DE">
        <w:t>Source: Table 1.1-1, p3 of the resubmission</w:t>
      </w:r>
    </w:p>
    <w:p w14:paraId="5DBCFBC9" w14:textId="77777777" w:rsidR="000B266B" w:rsidRPr="00FD70DE" w:rsidRDefault="000B266B" w:rsidP="0041700E">
      <w:pPr>
        <w:pStyle w:val="TableFigureFooter"/>
        <w:rPr>
          <w:szCs w:val="18"/>
        </w:rPr>
      </w:pPr>
      <w:r w:rsidRPr="4904BCD2">
        <w:rPr>
          <w:szCs w:val="18"/>
        </w:rPr>
        <w:t>ALT = Alanine Aminotransferase; EQ-5D = EuroQol 5-Dimensions; FSS = Fatigue Severity Scale; HBV = Hepatitis B Virus; HQLQ = Hepatitis Quality of Life Questionnaire; MBS = Medical Benefits Schedule; PBS = Pharmaceutical Benefits Scheme; ULN = Upper Level of Normal.</w:t>
      </w:r>
    </w:p>
    <w:p w14:paraId="36143B31" w14:textId="77777777" w:rsidR="000B266B" w:rsidRPr="00FD70DE" w:rsidRDefault="000B266B" w:rsidP="0041700E">
      <w:pPr>
        <w:pStyle w:val="TableFigureFooter"/>
      </w:pPr>
      <w:r w:rsidRPr="4904BCD2">
        <w:t xml:space="preserve">Note: </w:t>
      </w:r>
      <w:r w:rsidRPr="4904BCD2">
        <w:rPr>
          <w:shd w:val="clear" w:color="auto" w:fill="BDD6EE" w:themeFill="accent1" w:themeFillTint="66"/>
        </w:rPr>
        <w:t>Blue</w:t>
      </w:r>
      <w:r w:rsidRPr="4904BCD2">
        <w:t xml:space="preserve"> shading indicates components and descriptions unchanged from the previous submission.</w:t>
      </w:r>
    </w:p>
    <w:p w14:paraId="412F933A" w14:textId="77777777" w:rsidR="000B266B" w:rsidRPr="00FD70DE" w:rsidRDefault="000B266B" w:rsidP="0041700E">
      <w:pPr>
        <w:pStyle w:val="2-SectionHeading"/>
      </w:pPr>
      <w:bookmarkStart w:id="4" w:name="_Toc487029150"/>
      <w:bookmarkStart w:id="5" w:name="_Toc188360788"/>
      <w:r w:rsidRPr="00FD70DE">
        <w:t>Background</w:t>
      </w:r>
      <w:bookmarkEnd w:id="4"/>
      <w:bookmarkEnd w:id="5"/>
    </w:p>
    <w:p w14:paraId="592FFC66" w14:textId="77777777" w:rsidR="000B266B" w:rsidRPr="00FD70DE" w:rsidRDefault="000B266B" w:rsidP="0041700E">
      <w:pPr>
        <w:pStyle w:val="4-SubsectionHeading"/>
      </w:pPr>
      <w:bookmarkStart w:id="6" w:name="_Toc188360789"/>
      <w:r w:rsidRPr="00FD70DE">
        <w:t>Registration status</w:t>
      </w:r>
      <w:bookmarkEnd w:id="6"/>
    </w:p>
    <w:p w14:paraId="20F2B737" w14:textId="77777777" w:rsidR="000B266B" w:rsidRPr="00FD70DE" w:rsidRDefault="000B266B" w:rsidP="0041700E">
      <w:pPr>
        <w:pStyle w:val="3-BodyText"/>
        <w:spacing w:before="120" w:after="120"/>
      </w:pPr>
      <w:r w:rsidRPr="37C20EEE">
        <w:t>Bulevirtide was granted Priority Review Determination and Orphan Drug Designation on 15 March 2023 by TGA. Bulevirtide has been registered on the ARTG since 30</w:t>
      </w:r>
      <w:r>
        <w:t> </w:t>
      </w:r>
      <w:r w:rsidRPr="37C20EEE">
        <w:t>July</w:t>
      </w:r>
      <w:r>
        <w:t> </w:t>
      </w:r>
      <w:r w:rsidRPr="37C20EEE">
        <w:t>2024, with the TGA approving it for the treatment of chronic HDV infection in adults with compensated liver disease.</w:t>
      </w:r>
    </w:p>
    <w:p w14:paraId="1A6B6A83" w14:textId="77777777" w:rsidR="000B266B" w:rsidRPr="00FD70DE" w:rsidRDefault="000B266B" w:rsidP="0041700E">
      <w:pPr>
        <w:pStyle w:val="4-SubsectionHeading"/>
      </w:pPr>
      <w:bookmarkStart w:id="7" w:name="_Toc492317094"/>
      <w:bookmarkStart w:id="8" w:name="_Toc188360790"/>
      <w:r w:rsidRPr="4904BCD2">
        <w:lastRenderedPageBreak/>
        <w:t>Previous PBAC consideration</w:t>
      </w:r>
      <w:bookmarkEnd w:id="7"/>
      <w:bookmarkEnd w:id="8"/>
    </w:p>
    <w:p w14:paraId="25E1D98A" w14:textId="67DB4590" w:rsidR="000B266B" w:rsidRPr="00D936F9" w:rsidRDefault="000B266B" w:rsidP="0041700E">
      <w:pPr>
        <w:pStyle w:val="3-BodyText"/>
        <w:spacing w:before="120" w:after="120"/>
      </w:pPr>
      <w:r w:rsidRPr="00D936F9">
        <w:fldChar w:fldCharType="begin"/>
      </w:r>
      <w:r w:rsidRPr="00D936F9">
        <w:instrText xml:space="preserve"> REF _Ref184226260 \h  \* MERGEFORMAT </w:instrText>
      </w:r>
      <w:r w:rsidRPr="00D936F9">
        <w:fldChar w:fldCharType="separate"/>
      </w:r>
      <w:r w:rsidR="007848CD" w:rsidRPr="009D2673">
        <w:t xml:space="preserve">Table </w:t>
      </w:r>
      <w:r w:rsidR="007848CD">
        <w:t>2</w:t>
      </w:r>
      <w:r w:rsidRPr="00D936F9">
        <w:fldChar w:fldCharType="end"/>
      </w:r>
      <w:r w:rsidRPr="4904BCD2">
        <w:t xml:space="preserve"> summarises the key matters from the previous PBAC consideration of bulevirtide and how the resubmission addressed these concerns.</w:t>
      </w:r>
    </w:p>
    <w:p w14:paraId="64635494" w14:textId="6B93FE0E" w:rsidR="000B266B" w:rsidRPr="009D2673" w:rsidRDefault="000B266B" w:rsidP="0041700E">
      <w:pPr>
        <w:pStyle w:val="TableFigureHeading"/>
        <w:keepNext w:val="0"/>
      </w:pPr>
      <w:bookmarkStart w:id="9" w:name="_Ref184226260"/>
      <w:r w:rsidRPr="009D2673">
        <w:t xml:space="preserve">Table </w:t>
      </w:r>
      <w:r w:rsidRPr="009D2673">
        <w:fldChar w:fldCharType="begin"/>
      </w:r>
      <w:r w:rsidRPr="009D2673">
        <w:instrText xml:space="preserve"> SEQ Table_PBAC. \* ARABIC </w:instrText>
      </w:r>
      <w:r w:rsidRPr="009D2673">
        <w:fldChar w:fldCharType="separate"/>
      </w:r>
      <w:r w:rsidR="007848CD">
        <w:rPr>
          <w:noProof/>
        </w:rPr>
        <w:t>2</w:t>
      </w:r>
      <w:r w:rsidRPr="009D2673">
        <w:fldChar w:fldCharType="end"/>
      </w:r>
      <w:bookmarkEnd w:id="9"/>
      <w:r>
        <w:t xml:space="preserve">: </w:t>
      </w:r>
      <w:r w:rsidRPr="009D2673">
        <w:t>Summary of key matters of concern</w:t>
      </w:r>
      <w:bookmarkStart w:id="10" w:name="_Toc476306884"/>
      <w:bookmarkStart w:id="11" w:name="_Toc413139275"/>
      <w:r w:rsidRPr="009D2673">
        <w:t xml:space="preserve"> in the March 2024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Summary of key matters of concern in the March 2024 submission"/>
      </w:tblPr>
      <w:tblGrid>
        <w:gridCol w:w="1849"/>
        <w:gridCol w:w="3817"/>
        <w:gridCol w:w="3350"/>
      </w:tblGrid>
      <w:tr w:rsidR="000B266B" w:rsidRPr="00D936F9" w14:paraId="1D1D2BA8" w14:textId="77777777" w:rsidTr="00B678E8">
        <w:trPr>
          <w:cantSplit/>
          <w:tblHeader/>
        </w:trPr>
        <w:tc>
          <w:tcPr>
            <w:tcW w:w="1025" w:type="pct"/>
            <w:vAlign w:val="center"/>
          </w:tcPr>
          <w:p w14:paraId="51B09C9D" w14:textId="77777777" w:rsidR="000B266B" w:rsidRPr="009D2673" w:rsidRDefault="000B266B" w:rsidP="0041700E">
            <w:pPr>
              <w:pStyle w:val="In-tableHeading"/>
              <w:keepNext w:val="0"/>
            </w:pPr>
            <w:bookmarkStart w:id="12" w:name="_Hlk184982893"/>
            <w:r w:rsidRPr="009D2673">
              <w:t>Component</w:t>
            </w:r>
          </w:p>
        </w:tc>
        <w:tc>
          <w:tcPr>
            <w:tcW w:w="2116" w:type="pct"/>
            <w:vAlign w:val="center"/>
          </w:tcPr>
          <w:p w14:paraId="7F750D9F" w14:textId="77777777" w:rsidR="000B266B" w:rsidRPr="009D2673" w:rsidRDefault="000B266B" w:rsidP="0041700E">
            <w:pPr>
              <w:pStyle w:val="In-tableHeading"/>
              <w:keepNext w:val="0"/>
            </w:pPr>
            <w:r w:rsidRPr="009D2673">
              <w:t>Matter of concern (bulevirtide PSD, March 2024 PBAC meeting)</w:t>
            </w:r>
          </w:p>
        </w:tc>
        <w:tc>
          <w:tcPr>
            <w:tcW w:w="1858" w:type="pct"/>
            <w:vAlign w:val="center"/>
          </w:tcPr>
          <w:p w14:paraId="48987DC1" w14:textId="77777777" w:rsidR="000B266B" w:rsidRPr="009D2673" w:rsidRDefault="000B266B" w:rsidP="0041700E">
            <w:pPr>
              <w:pStyle w:val="In-tableHeading"/>
              <w:keepNext w:val="0"/>
            </w:pPr>
            <w:r w:rsidRPr="009D2673">
              <w:t>How the resubmission addresses it</w:t>
            </w:r>
          </w:p>
        </w:tc>
      </w:tr>
      <w:tr w:rsidR="000B266B" w:rsidRPr="00D936F9" w14:paraId="37E6E2AB" w14:textId="77777777" w:rsidTr="00B678E8">
        <w:trPr>
          <w:cantSplit/>
        </w:trPr>
        <w:tc>
          <w:tcPr>
            <w:tcW w:w="1025" w:type="pct"/>
            <w:vAlign w:val="center"/>
          </w:tcPr>
          <w:p w14:paraId="03209E02" w14:textId="77777777" w:rsidR="000B266B" w:rsidRPr="00D936F9" w:rsidRDefault="000B266B" w:rsidP="0041700E">
            <w:pPr>
              <w:pStyle w:val="TableText"/>
              <w:keepNext w:val="0"/>
            </w:pPr>
            <w:r w:rsidRPr="00D936F9">
              <w:t>Restriction</w:t>
            </w:r>
          </w:p>
        </w:tc>
        <w:tc>
          <w:tcPr>
            <w:tcW w:w="2116" w:type="pct"/>
            <w:vAlign w:val="center"/>
          </w:tcPr>
          <w:p w14:paraId="155A5B44" w14:textId="77777777" w:rsidR="000B266B" w:rsidRPr="00D936F9" w:rsidRDefault="000B266B" w:rsidP="0041700E">
            <w:pPr>
              <w:pStyle w:val="TableText"/>
              <w:keepNext w:val="0"/>
              <w:rPr>
                <w:rFonts w:eastAsia="Times New Roman" w:cs="Arial"/>
                <w:snapToGrid w:val="0"/>
              </w:rPr>
            </w:pPr>
            <w:r w:rsidRPr="4904BCD2">
              <w:rPr>
                <w:rFonts w:eastAsia="Times New Roman" w:cs="Arial"/>
                <w:snapToGrid w:val="0"/>
              </w:rPr>
              <w:t>Restriction should be revised to ensure patients are not inappropriately excluded from being able to continue bulevirtide if they achieve an undetectable viral load and/or ALT normalisation whilst on treatment (para</w:t>
            </w:r>
            <w:r>
              <w:rPr>
                <w:rFonts w:eastAsia="Times New Roman" w:cs="Arial"/>
                <w:snapToGrid w:val="0"/>
              </w:rPr>
              <w:t>graph</w:t>
            </w:r>
            <w:r w:rsidRPr="4904BCD2">
              <w:rPr>
                <w:rFonts w:eastAsia="Times New Roman" w:cs="Arial"/>
                <w:snapToGrid w:val="0"/>
              </w:rPr>
              <w:t xml:space="preserve"> 7.17)</w:t>
            </w:r>
          </w:p>
        </w:tc>
        <w:tc>
          <w:tcPr>
            <w:tcW w:w="1858" w:type="pct"/>
          </w:tcPr>
          <w:p w14:paraId="466BFD72" w14:textId="77777777" w:rsidR="000B266B" w:rsidRPr="00E3179F" w:rsidRDefault="000B266B" w:rsidP="0041700E">
            <w:pPr>
              <w:pStyle w:val="TableText"/>
              <w:keepNext w:val="0"/>
              <w:rPr>
                <w:rFonts w:eastAsia="Times New Roman" w:cs="Arial"/>
                <w:i/>
                <w:iCs/>
                <w:snapToGrid w:val="0"/>
              </w:rPr>
            </w:pPr>
            <w:r w:rsidRPr="158C0493">
              <w:rPr>
                <w:rFonts w:eastAsia="Times New Roman" w:cs="Arial"/>
                <w:snapToGrid w:val="0"/>
              </w:rPr>
              <w:t xml:space="preserve">Issue not addressed in the resubmission and restriction not revised. </w:t>
            </w:r>
          </w:p>
        </w:tc>
      </w:tr>
      <w:tr w:rsidR="000B266B" w:rsidRPr="00D936F9" w14:paraId="7EC1F30D" w14:textId="77777777" w:rsidTr="00B678E8">
        <w:trPr>
          <w:cantSplit/>
        </w:trPr>
        <w:tc>
          <w:tcPr>
            <w:tcW w:w="1025" w:type="pct"/>
            <w:vAlign w:val="center"/>
          </w:tcPr>
          <w:p w14:paraId="2F92954F" w14:textId="77777777" w:rsidR="000B266B" w:rsidRPr="00D936F9" w:rsidRDefault="000B266B" w:rsidP="0041700E">
            <w:pPr>
              <w:pStyle w:val="TableText"/>
              <w:keepNext w:val="0"/>
            </w:pPr>
            <w:r w:rsidRPr="00D936F9">
              <w:t>Relationship between virological response and liver complication outcomes</w:t>
            </w:r>
          </w:p>
        </w:tc>
        <w:tc>
          <w:tcPr>
            <w:tcW w:w="2116" w:type="pct"/>
            <w:vAlign w:val="center"/>
          </w:tcPr>
          <w:p w14:paraId="2576D3B7" w14:textId="77777777" w:rsidR="000B266B" w:rsidRPr="00D936F9" w:rsidRDefault="000B266B" w:rsidP="0041700E">
            <w:pPr>
              <w:pStyle w:val="TableText"/>
              <w:keepNext w:val="0"/>
              <w:rPr>
                <w:rFonts w:eastAsia="Times New Roman" w:cs="Arial"/>
                <w:snapToGrid w:val="0"/>
              </w:rPr>
            </w:pPr>
            <w:r w:rsidRPr="37C20EEE">
              <w:t>Uncertainties concerning the correlation between virological response (i.e., the ≥ 2log</w:t>
            </w:r>
            <w:r w:rsidRPr="37C20EEE">
              <w:rPr>
                <w:vertAlign w:val="subscript"/>
              </w:rPr>
              <w:t>10</w:t>
            </w:r>
            <w:r w:rsidRPr="37C20EEE">
              <w:t xml:space="preserve"> reduction in HDV RNA load) and long-term clinical benefits from bulevirtide treatment (para</w:t>
            </w:r>
            <w:r>
              <w:t>graph</w:t>
            </w:r>
            <w:r w:rsidRPr="37C20EEE">
              <w:t xml:space="preserve"> 7.9-7.10)</w:t>
            </w:r>
          </w:p>
        </w:tc>
        <w:tc>
          <w:tcPr>
            <w:tcW w:w="1858" w:type="pct"/>
          </w:tcPr>
          <w:p w14:paraId="5AA4C90E" w14:textId="77777777" w:rsidR="000B266B" w:rsidRPr="004B02E9" w:rsidRDefault="000B266B" w:rsidP="0041700E">
            <w:pPr>
              <w:pStyle w:val="TableText"/>
              <w:keepNext w:val="0"/>
              <w:rPr>
                <w:rFonts w:eastAsia="Times New Roman" w:cs="Arial"/>
                <w:i/>
                <w:iCs/>
                <w:snapToGrid w:val="0"/>
              </w:rPr>
            </w:pPr>
            <w:r w:rsidRPr="4904BCD2">
              <w:t>The resubmission attempted to address this issue by providing additional evidence from the published literature to establish the association between virological response and long-term liver-related outcomes in CHD.</w:t>
            </w:r>
            <w:r w:rsidRPr="4904BCD2">
              <w:rPr>
                <w:i/>
                <w:iCs/>
              </w:rPr>
              <w:t xml:space="preserve"> </w:t>
            </w:r>
          </w:p>
        </w:tc>
      </w:tr>
      <w:tr w:rsidR="000B266B" w:rsidRPr="00D936F9" w14:paraId="1302ACF7" w14:textId="77777777" w:rsidTr="00B678E8">
        <w:trPr>
          <w:cantSplit/>
        </w:trPr>
        <w:tc>
          <w:tcPr>
            <w:tcW w:w="1025" w:type="pct"/>
            <w:tcBorders>
              <w:top w:val="single" w:sz="4" w:space="0" w:color="auto"/>
              <w:left w:val="single" w:sz="4" w:space="0" w:color="auto"/>
              <w:bottom w:val="single" w:sz="4" w:space="0" w:color="auto"/>
              <w:right w:val="single" w:sz="4" w:space="0" w:color="auto"/>
            </w:tcBorders>
            <w:vAlign w:val="center"/>
          </w:tcPr>
          <w:p w14:paraId="7196392C" w14:textId="77777777" w:rsidR="000B266B" w:rsidRPr="00D936F9" w:rsidRDefault="000B266B" w:rsidP="0041700E">
            <w:pPr>
              <w:pStyle w:val="TableText"/>
              <w:keepNext w:val="0"/>
            </w:pPr>
            <w:r w:rsidRPr="00D936F9">
              <w:t>Measure of treatment response used in the economic model</w:t>
            </w:r>
          </w:p>
        </w:tc>
        <w:tc>
          <w:tcPr>
            <w:tcW w:w="2116" w:type="pct"/>
            <w:tcBorders>
              <w:top w:val="single" w:sz="4" w:space="0" w:color="auto"/>
              <w:left w:val="single" w:sz="4" w:space="0" w:color="auto"/>
              <w:bottom w:val="single" w:sz="4" w:space="0" w:color="auto"/>
              <w:right w:val="single" w:sz="4" w:space="0" w:color="auto"/>
            </w:tcBorders>
            <w:vAlign w:val="center"/>
          </w:tcPr>
          <w:p w14:paraId="2B1C4C24" w14:textId="77777777" w:rsidR="000B266B" w:rsidRPr="00D936F9" w:rsidRDefault="000B266B" w:rsidP="0041700E">
            <w:pPr>
              <w:pStyle w:val="TableText"/>
              <w:keepNext w:val="0"/>
              <w:rPr>
                <w:rFonts w:eastAsia="Times New Roman" w:cs="Arial"/>
                <w:snapToGrid w:val="0"/>
              </w:rPr>
            </w:pPr>
            <w:r w:rsidRPr="4904BCD2">
              <w:rPr>
                <w:rFonts w:eastAsia="Times New Roman" w:cs="Arial"/>
                <w:snapToGrid w:val="0"/>
              </w:rPr>
              <w:t xml:space="preserve">The PBAC agreed with the MSAC and PBAC ESCs that there are likely to be differences in outcomes between patients who </w:t>
            </w:r>
            <w:proofErr w:type="gramStart"/>
            <w:r w:rsidRPr="4904BCD2">
              <w:rPr>
                <w:rFonts w:eastAsia="Times New Roman" w:cs="Arial"/>
                <w:snapToGrid w:val="0"/>
              </w:rPr>
              <w:t>are able to</w:t>
            </w:r>
            <w:proofErr w:type="gramEnd"/>
            <w:r w:rsidRPr="4904BCD2">
              <w:rPr>
                <w:rFonts w:eastAsia="Times New Roman" w:cs="Arial"/>
                <w:snapToGrid w:val="0"/>
              </w:rPr>
              <w:t xml:space="preserve"> clear HDV infection (undetectable HDV RNA) and those who are achieving and/or sustaining virologic suppression with ongoing treatment. Whilst there may be improvements in tests over time, the use of undetectable viral load as the response measure would be more consistent with studies used to quantify the effect of virological response on outcomes (para</w:t>
            </w:r>
            <w:r>
              <w:rPr>
                <w:rFonts w:eastAsia="Times New Roman" w:cs="Arial"/>
                <w:snapToGrid w:val="0"/>
              </w:rPr>
              <w:t>graph</w:t>
            </w:r>
            <w:r w:rsidRPr="4904BCD2">
              <w:rPr>
                <w:rFonts w:eastAsia="Times New Roman" w:cs="Arial"/>
                <w:snapToGrid w:val="0"/>
              </w:rPr>
              <w:t xml:space="preserve"> 12). The PBAC considered that, given this issue, the inputs to the economic model for long-term outcomes were highly uncertain and likely to overestimate the effectiveness of bulevirtide (para</w:t>
            </w:r>
            <w:r>
              <w:rPr>
                <w:rFonts w:eastAsia="Times New Roman" w:cs="Arial"/>
                <w:snapToGrid w:val="0"/>
              </w:rPr>
              <w:t>graph</w:t>
            </w:r>
            <w:r w:rsidRPr="4904BCD2">
              <w:rPr>
                <w:rFonts w:eastAsia="Times New Roman" w:cs="Arial"/>
                <w:snapToGrid w:val="0"/>
              </w:rPr>
              <w:t xml:space="preserve"> 7.12)</w:t>
            </w:r>
          </w:p>
        </w:tc>
        <w:tc>
          <w:tcPr>
            <w:tcW w:w="1858" w:type="pct"/>
            <w:tcBorders>
              <w:top w:val="single" w:sz="4" w:space="0" w:color="auto"/>
              <w:left w:val="single" w:sz="4" w:space="0" w:color="auto"/>
              <w:bottom w:val="single" w:sz="4" w:space="0" w:color="auto"/>
              <w:right w:val="single" w:sz="4" w:space="0" w:color="auto"/>
            </w:tcBorders>
          </w:tcPr>
          <w:p w14:paraId="77A1BDFE" w14:textId="77777777" w:rsidR="000B266B" w:rsidRPr="00D936F9" w:rsidRDefault="000B266B" w:rsidP="0041700E">
            <w:pPr>
              <w:pStyle w:val="TableText"/>
              <w:keepNext w:val="0"/>
              <w:rPr>
                <w:rFonts w:eastAsia="Times New Roman" w:cs="Arial"/>
                <w:snapToGrid w:val="0"/>
              </w:rPr>
            </w:pPr>
            <w:r w:rsidRPr="4904BCD2">
              <w:rPr>
                <w:rFonts w:eastAsia="Times New Roman" w:cs="Arial"/>
                <w:snapToGrid w:val="0"/>
              </w:rPr>
              <w:t>The resubmission maintained the use of ≥ 2log</w:t>
            </w:r>
            <w:r w:rsidRPr="4904BCD2">
              <w:rPr>
                <w:rFonts w:eastAsia="Times New Roman" w:cs="Arial"/>
                <w:snapToGrid w:val="0"/>
                <w:vertAlign w:val="subscript"/>
              </w:rPr>
              <w:t>10</w:t>
            </w:r>
            <w:r w:rsidRPr="4904BCD2">
              <w:rPr>
                <w:rFonts w:eastAsia="Times New Roman" w:cs="Arial"/>
                <w:snapToGrid w:val="0"/>
              </w:rPr>
              <w:t xml:space="preserve"> IU/mL reduction in HDV RNA levels as the measure of response to be applied in the economic model. The</w:t>
            </w:r>
            <w:r w:rsidRPr="4904BCD2">
              <w:rPr>
                <w:rFonts w:eastAsia="Times New Roman" w:cs="Arial"/>
              </w:rPr>
              <w:t xml:space="preserve"> </w:t>
            </w:r>
            <w:r w:rsidRPr="4904BCD2">
              <w:rPr>
                <w:rFonts w:eastAsia="Times New Roman" w:cs="Arial"/>
                <w:snapToGrid w:val="0"/>
              </w:rPr>
              <w:t>evidence presented in the resubmission was not adequate to show that a ≥ 2log</w:t>
            </w:r>
            <w:r w:rsidRPr="4904BCD2">
              <w:rPr>
                <w:rFonts w:eastAsia="Times New Roman" w:cs="Arial"/>
                <w:snapToGrid w:val="0"/>
                <w:vertAlign w:val="subscript"/>
              </w:rPr>
              <w:t>10</w:t>
            </w:r>
            <w:r w:rsidRPr="4904BCD2">
              <w:rPr>
                <w:rFonts w:eastAsia="Times New Roman" w:cs="Arial"/>
                <w:snapToGrid w:val="0"/>
              </w:rPr>
              <w:t xml:space="preserve"> IU/mL reduction in viral load, by itself, is a reliable prognostic indicator of liver-related mortality and morbidity. </w:t>
            </w:r>
          </w:p>
        </w:tc>
      </w:tr>
      <w:tr w:rsidR="000B266B" w:rsidRPr="00D936F9" w14:paraId="478152AD" w14:textId="77777777" w:rsidTr="00B678E8">
        <w:trPr>
          <w:cantSplit/>
        </w:trPr>
        <w:tc>
          <w:tcPr>
            <w:tcW w:w="1025" w:type="pct"/>
            <w:tcBorders>
              <w:top w:val="single" w:sz="4" w:space="0" w:color="auto"/>
              <w:left w:val="single" w:sz="4" w:space="0" w:color="auto"/>
              <w:bottom w:val="single" w:sz="4" w:space="0" w:color="auto"/>
              <w:right w:val="single" w:sz="4" w:space="0" w:color="auto"/>
            </w:tcBorders>
            <w:vAlign w:val="center"/>
          </w:tcPr>
          <w:p w14:paraId="68B24496" w14:textId="77777777" w:rsidR="000B266B" w:rsidRPr="00D936F9" w:rsidRDefault="000B266B" w:rsidP="0041700E">
            <w:pPr>
              <w:pStyle w:val="TableText"/>
              <w:keepNext w:val="0"/>
            </w:pPr>
            <w:r w:rsidRPr="00D936F9">
              <w:t>Other economic parameters</w:t>
            </w:r>
          </w:p>
        </w:tc>
        <w:tc>
          <w:tcPr>
            <w:tcW w:w="2116" w:type="pct"/>
            <w:tcBorders>
              <w:top w:val="single" w:sz="4" w:space="0" w:color="auto"/>
              <w:left w:val="single" w:sz="4" w:space="0" w:color="auto"/>
              <w:bottom w:val="single" w:sz="4" w:space="0" w:color="auto"/>
              <w:right w:val="single" w:sz="4" w:space="0" w:color="auto"/>
            </w:tcBorders>
            <w:vAlign w:val="center"/>
          </w:tcPr>
          <w:p w14:paraId="19FE2BED" w14:textId="77777777" w:rsidR="000B266B" w:rsidRPr="00D936F9" w:rsidRDefault="000B266B" w:rsidP="0041700E">
            <w:pPr>
              <w:pStyle w:val="TableText"/>
              <w:keepNext w:val="0"/>
              <w:rPr>
                <w:rFonts w:eastAsia="Times New Roman" w:cs="Arial"/>
                <w:snapToGrid w:val="0"/>
              </w:rPr>
            </w:pPr>
            <w:r w:rsidRPr="4904BCD2">
              <w:rPr>
                <w:rFonts w:eastAsia="Times New Roman" w:cs="Arial"/>
                <w:snapToGrid w:val="0"/>
              </w:rPr>
              <w:t xml:space="preserve">The PBAC noted that there were </w:t>
            </w:r>
            <w:proofErr w:type="gramStart"/>
            <w:r w:rsidRPr="4904BCD2">
              <w:rPr>
                <w:rFonts w:eastAsia="Times New Roman" w:cs="Arial"/>
                <w:snapToGrid w:val="0"/>
              </w:rPr>
              <w:t>a number of</w:t>
            </w:r>
            <w:proofErr w:type="gramEnd"/>
            <w:r w:rsidRPr="4904BCD2">
              <w:rPr>
                <w:rFonts w:eastAsia="Times New Roman" w:cs="Arial"/>
                <w:snapToGrid w:val="0"/>
              </w:rPr>
              <w:t xml:space="preserve"> other areas of uncertainty in the model including the assumption of a utility gain in the target population, the time horizon (58 years), and the source used to model the natural history of chronic HDV. Further, the role of testing to monitor HDV RNA levels and duration of therapy is highly uncertain and compliance to treatment applied in the model was not consistent with the trial data, though no adjustment was made to the efficacy outcomes. As such, the PBAC considered that the model likely did not reflect how bulevirtide would be used in Australian clinical practice (para</w:t>
            </w:r>
            <w:r>
              <w:rPr>
                <w:rFonts w:eastAsia="Times New Roman" w:cs="Arial"/>
                <w:snapToGrid w:val="0"/>
              </w:rPr>
              <w:t>graph</w:t>
            </w:r>
            <w:r w:rsidRPr="4904BCD2">
              <w:rPr>
                <w:rFonts w:eastAsia="Times New Roman" w:cs="Arial"/>
                <w:snapToGrid w:val="0"/>
              </w:rPr>
              <w:t xml:space="preserve"> 7.12).</w:t>
            </w:r>
          </w:p>
        </w:tc>
        <w:tc>
          <w:tcPr>
            <w:tcW w:w="1858" w:type="pct"/>
            <w:tcBorders>
              <w:top w:val="single" w:sz="4" w:space="0" w:color="auto"/>
              <w:left w:val="single" w:sz="4" w:space="0" w:color="auto"/>
              <w:bottom w:val="single" w:sz="4" w:space="0" w:color="auto"/>
              <w:right w:val="single" w:sz="4" w:space="0" w:color="auto"/>
            </w:tcBorders>
          </w:tcPr>
          <w:p w14:paraId="46E7D91F" w14:textId="77777777" w:rsidR="000B266B" w:rsidRPr="00D936F9" w:rsidRDefault="000B266B" w:rsidP="0041700E">
            <w:pPr>
              <w:pStyle w:val="TableText"/>
              <w:keepNext w:val="0"/>
              <w:rPr>
                <w:rFonts w:eastAsia="Times New Roman" w:cs="Arial"/>
                <w:snapToGrid w:val="0"/>
              </w:rPr>
            </w:pPr>
            <w:r w:rsidRPr="4904BCD2">
              <w:rPr>
                <w:rFonts w:eastAsia="Times New Roman" w:cs="Arial"/>
              </w:rPr>
              <w:t>M</w:t>
            </w:r>
            <w:r w:rsidRPr="4904BCD2">
              <w:rPr>
                <w:rFonts w:eastAsia="Times New Roman" w:cs="Arial"/>
                <w:snapToGrid w:val="0"/>
              </w:rPr>
              <w:t xml:space="preserve">ost of these economic inputs/assumptions remained the same as in the previous submission, including time horizon, modelling of disease progression of HDV in non-responders, application of a utility gain in responders, treatment compliance, and the role of HDV RNA testing for monitoring. </w:t>
            </w:r>
          </w:p>
        </w:tc>
      </w:tr>
      <w:tr w:rsidR="000B266B" w:rsidRPr="00D936F9" w14:paraId="0C1071EB" w14:textId="77777777" w:rsidTr="00B678E8">
        <w:trPr>
          <w:cantSplit/>
        </w:trPr>
        <w:tc>
          <w:tcPr>
            <w:tcW w:w="1025" w:type="pct"/>
            <w:tcBorders>
              <w:top w:val="single" w:sz="4" w:space="0" w:color="auto"/>
              <w:left w:val="single" w:sz="4" w:space="0" w:color="auto"/>
              <w:bottom w:val="single" w:sz="4" w:space="0" w:color="auto"/>
              <w:right w:val="single" w:sz="4" w:space="0" w:color="auto"/>
            </w:tcBorders>
            <w:vAlign w:val="center"/>
          </w:tcPr>
          <w:p w14:paraId="474D9D93" w14:textId="77777777" w:rsidR="000B266B" w:rsidRPr="00D936F9" w:rsidRDefault="000B266B" w:rsidP="0041700E">
            <w:pPr>
              <w:pStyle w:val="TableText"/>
              <w:keepNext w:val="0"/>
            </w:pPr>
            <w:r w:rsidRPr="37C20EEE">
              <w:lastRenderedPageBreak/>
              <w:t>Cost-effectiveness of bulevirtide</w:t>
            </w:r>
          </w:p>
        </w:tc>
        <w:tc>
          <w:tcPr>
            <w:tcW w:w="2116" w:type="pct"/>
            <w:tcBorders>
              <w:top w:val="single" w:sz="4" w:space="0" w:color="auto"/>
              <w:left w:val="single" w:sz="4" w:space="0" w:color="auto"/>
              <w:bottom w:val="single" w:sz="4" w:space="0" w:color="auto"/>
              <w:right w:val="single" w:sz="4" w:space="0" w:color="auto"/>
            </w:tcBorders>
            <w:vAlign w:val="center"/>
          </w:tcPr>
          <w:p w14:paraId="07A2EB5E" w14:textId="77777777" w:rsidR="000B266B" w:rsidRPr="00D936F9" w:rsidRDefault="000B266B" w:rsidP="0041700E">
            <w:pPr>
              <w:pStyle w:val="TableText"/>
              <w:keepNext w:val="0"/>
              <w:rPr>
                <w:rFonts w:eastAsia="Times New Roman" w:cs="Arial"/>
                <w:snapToGrid w:val="0"/>
              </w:rPr>
            </w:pPr>
            <w:r w:rsidRPr="4904BCD2">
              <w:rPr>
                <w:rFonts w:eastAsia="Times New Roman" w:cs="Arial"/>
                <w:snapToGrid w:val="0"/>
              </w:rPr>
              <w:t>The PBAC noted that the modelled duration of treatment was 8.8 years, and ongoing treatment is required to maintain viral suppression. In this context, the PBAC considered the undiscounted life year gain estimated in the model (~6.3 years) appears highly implausible. Therefore, the PBAC considered the economic model likely substantially underestimated the ICER. The PBAC considered the listing of bulevirtide was not cost effective at the requested price (para</w:t>
            </w:r>
            <w:r>
              <w:rPr>
                <w:rFonts w:eastAsia="Times New Roman" w:cs="Arial"/>
                <w:snapToGrid w:val="0"/>
              </w:rPr>
              <w:t>graph</w:t>
            </w:r>
            <w:r w:rsidRPr="4904BCD2">
              <w:rPr>
                <w:rFonts w:eastAsia="Times New Roman" w:cs="Arial"/>
                <w:snapToGrid w:val="0"/>
              </w:rPr>
              <w:t xml:space="preserve"> 7.13).</w:t>
            </w:r>
          </w:p>
        </w:tc>
        <w:tc>
          <w:tcPr>
            <w:tcW w:w="1858" w:type="pct"/>
            <w:tcBorders>
              <w:top w:val="single" w:sz="4" w:space="0" w:color="auto"/>
              <w:left w:val="single" w:sz="4" w:space="0" w:color="auto"/>
              <w:bottom w:val="single" w:sz="4" w:space="0" w:color="auto"/>
              <w:right w:val="single" w:sz="4" w:space="0" w:color="auto"/>
            </w:tcBorders>
          </w:tcPr>
          <w:p w14:paraId="102C3C42" w14:textId="77777777" w:rsidR="000B266B" w:rsidRPr="00D936F9" w:rsidRDefault="000B266B" w:rsidP="0041700E">
            <w:pPr>
              <w:pStyle w:val="TableText"/>
              <w:keepNext w:val="0"/>
              <w:rPr>
                <w:rFonts w:eastAsia="Times New Roman" w:cs="Arial"/>
                <w:snapToGrid w:val="0"/>
              </w:rPr>
            </w:pPr>
            <w:r w:rsidRPr="37C20EEE">
              <w:rPr>
                <w:rFonts w:eastAsia="Times New Roman" w:cs="Arial"/>
                <w:snapToGrid w:val="0"/>
              </w:rPr>
              <w:t>The modelled life years gained from the current economic model was 8.3 years (undiscounted), compared with a modelled treatment duration of 12.3 years. The survival benefit associated with bulevirtide is likely to have been overestimated.</w:t>
            </w:r>
          </w:p>
        </w:tc>
      </w:tr>
      <w:tr w:rsidR="000B266B" w:rsidRPr="00D936F9" w14:paraId="19814A5D" w14:textId="77777777" w:rsidTr="00B678E8">
        <w:trPr>
          <w:cantSplit/>
        </w:trPr>
        <w:tc>
          <w:tcPr>
            <w:tcW w:w="1025" w:type="pct"/>
            <w:tcBorders>
              <w:top w:val="single" w:sz="4" w:space="0" w:color="auto"/>
              <w:left w:val="single" w:sz="4" w:space="0" w:color="auto"/>
              <w:bottom w:val="single" w:sz="4" w:space="0" w:color="auto"/>
              <w:right w:val="single" w:sz="4" w:space="0" w:color="auto"/>
            </w:tcBorders>
            <w:vAlign w:val="center"/>
          </w:tcPr>
          <w:p w14:paraId="6DEEF1DA" w14:textId="77777777" w:rsidR="000B266B" w:rsidRPr="00D936F9" w:rsidRDefault="000B266B" w:rsidP="0041700E">
            <w:pPr>
              <w:pStyle w:val="TableText"/>
              <w:keepNext w:val="0"/>
            </w:pPr>
            <w:r w:rsidRPr="00D936F9">
              <w:t xml:space="preserve">Approach to manage economic uncertainties </w:t>
            </w:r>
          </w:p>
        </w:tc>
        <w:tc>
          <w:tcPr>
            <w:tcW w:w="2116" w:type="pct"/>
            <w:tcBorders>
              <w:top w:val="single" w:sz="4" w:space="0" w:color="auto"/>
              <w:left w:val="single" w:sz="4" w:space="0" w:color="auto"/>
              <w:bottom w:val="single" w:sz="4" w:space="0" w:color="auto"/>
              <w:right w:val="single" w:sz="4" w:space="0" w:color="auto"/>
            </w:tcBorders>
            <w:vAlign w:val="center"/>
          </w:tcPr>
          <w:p w14:paraId="02C11BDB" w14:textId="77777777" w:rsidR="000B266B" w:rsidRPr="00D936F9" w:rsidRDefault="000B266B" w:rsidP="0041700E">
            <w:pPr>
              <w:pStyle w:val="TableText"/>
              <w:keepNext w:val="0"/>
              <w:rPr>
                <w:rFonts w:eastAsia="Times New Roman" w:cs="Arial"/>
                <w:snapToGrid w:val="0"/>
              </w:rPr>
            </w:pPr>
            <w:r w:rsidRPr="4904BCD2">
              <w:rPr>
                <w:rFonts w:eastAsia="Times New Roman" w:cs="Arial"/>
                <w:snapToGrid w:val="0"/>
              </w:rPr>
              <w:t>The PBAC agreed with the ESC that it would likely be a long time before the patient-relevant impacts of bulevirtide treatment are well-characterised, and considered there remains uncertainty regarding how bulevirtide is likely to be used in clinical practice. As such, the PBAC considered the most appropriate way to manage the substantial uncertainties would be to adopt a conservative approach to the model inputs and advised that a revised economic model would be required (para</w:t>
            </w:r>
            <w:r>
              <w:rPr>
                <w:rFonts w:eastAsia="Times New Roman" w:cs="Arial"/>
                <w:snapToGrid w:val="0"/>
              </w:rPr>
              <w:t>graph</w:t>
            </w:r>
            <w:r w:rsidRPr="4904BCD2">
              <w:rPr>
                <w:rFonts w:eastAsia="Times New Roman" w:cs="Arial"/>
                <w:snapToGrid w:val="0"/>
              </w:rPr>
              <w:t xml:space="preserve"> 7.14). </w:t>
            </w:r>
          </w:p>
        </w:tc>
        <w:tc>
          <w:tcPr>
            <w:tcW w:w="1858" w:type="pct"/>
            <w:tcBorders>
              <w:top w:val="single" w:sz="4" w:space="0" w:color="auto"/>
              <w:left w:val="single" w:sz="4" w:space="0" w:color="auto"/>
              <w:bottom w:val="single" w:sz="4" w:space="0" w:color="auto"/>
              <w:right w:val="single" w:sz="4" w:space="0" w:color="auto"/>
            </w:tcBorders>
          </w:tcPr>
          <w:p w14:paraId="45564426" w14:textId="77777777" w:rsidR="000B266B" w:rsidRPr="00D936F9" w:rsidRDefault="000B266B" w:rsidP="0041700E">
            <w:pPr>
              <w:pStyle w:val="TableText"/>
              <w:keepNext w:val="0"/>
              <w:rPr>
                <w:rFonts w:eastAsia="Times New Roman" w:cs="Arial"/>
                <w:snapToGrid w:val="0"/>
              </w:rPr>
            </w:pPr>
            <w:r w:rsidRPr="4904BCD2">
              <w:rPr>
                <w:rFonts w:eastAsia="Times New Roman" w:cs="Arial"/>
                <w:snapToGrid w:val="0"/>
              </w:rPr>
              <w:t>The resubmission did not take a conservative approach in the economic evaluation. The ICER increased by 400% when several model inputs were revised for consistency with previous PBAC advice.</w:t>
            </w:r>
            <w:r w:rsidRPr="4904BCD2">
              <w:rPr>
                <w:rFonts w:eastAsia="Times New Roman" w:cs="Arial"/>
              </w:rPr>
              <w:t xml:space="preserve"> </w:t>
            </w:r>
          </w:p>
        </w:tc>
      </w:tr>
      <w:tr w:rsidR="000B266B" w:rsidRPr="00D936F9" w14:paraId="5AF1236B" w14:textId="77777777" w:rsidTr="00B678E8">
        <w:trPr>
          <w:cantSplit/>
        </w:trPr>
        <w:tc>
          <w:tcPr>
            <w:tcW w:w="1025" w:type="pct"/>
            <w:tcBorders>
              <w:top w:val="single" w:sz="4" w:space="0" w:color="auto"/>
              <w:left w:val="single" w:sz="4" w:space="0" w:color="auto"/>
              <w:bottom w:val="single" w:sz="4" w:space="0" w:color="auto"/>
              <w:right w:val="single" w:sz="4" w:space="0" w:color="auto"/>
            </w:tcBorders>
            <w:vAlign w:val="center"/>
          </w:tcPr>
          <w:p w14:paraId="100E9320" w14:textId="77777777" w:rsidR="000B266B" w:rsidRPr="00D936F9" w:rsidRDefault="000B266B" w:rsidP="0041700E">
            <w:pPr>
              <w:pStyle w:val="TableText"/>
              <w:keepNext w:val="0"/>
            </w:pPr>
            <w:r w:rsidRPr="4904BCD2">
              <w:t>Previous consideration of ICER for other antivirals for chronic viral hepatitis</w:t>
            </w:r>
          </w:p>
        </w:tc>
        <w:tc>
          <w:tcPr>
            <w:tcW w:w="2116" w:type="pct"/>
            <w:tcBorders>
              <w:top w:val="single" w:sz="4" w:space="0" w:color="auto"/>
              <w:left w:val="single" w:sz="4" w:space="0" w:color="auto"/>
              <w:bottom w:val="single" w:sz="4" w:space="0" w:color="auto"/>
              <w:right w:val="single" w:sz="4" w:space="0" w:color="auto"/>
            </w:tcBorders>
            <w:vAlign w:val="center"/>
          </w:tcPr>
          <w:p w14:paraId="1A2EF517" w14:textId="77777777" w:rsidR="000B266B" w:rsidRPr="00D936F9" w:rsidRDefault="000B266B" w:rsidP="0041700E">
            <w:pPr>
              <w:pStyle w:val="TableText"/>
              <w:keepNext w:val="0"/>
              <w:rPr>
                <w:rFonts w:eastAsia="Times New Roman" w:cs="Arial"/>
                <w:snapToGrid w:val="0"/>
              </w:rPr>
            </w:pPr>
            <w:r w:rsidRPr="37C20EEE">
              <w:rPr>
                <w:rFonts w:eastAsia="Times New Roman" w:cs="Arial"/>
                <w:snapToGrid w:val="0"/>
              </w:rPr>
              <w:t>The PBAC recalled that other antivirals for chronic viral hepatitis have previously been considered cost-effective with ICERs less than $45,000/QALY, although the PBAC noted that the frequency of CHD infection in Australia is much lower than for hepatitis B or hepatitis C, treatment options for CHD are limited, and the TGA granted orphan drug designation to bulevirtide (para</w:t>
            </w:r>
            <w:r>
              <w:rPr>
                <w:rFonts w:eastAsia="Times New Roman" w:cs="Arial"/>
                <w:snapToGrid w:val="0"/>
              </w:rPr>
              <w:t>graph</w:t>
            </w:r>
            <w:r w:rsidRPr="37C20EEE">
              <w:rPr>
                <w:rFonts w:eastAsia="Times New Roman" w:cs="Arial"/>
                <w:snapToGrid w:val="0"/>
              </w:rPr>
              <w:t xml:space="preserve"> 7.14).</w:t>
            </w:r>
          </w:p>
        </w:tc>
        <w:tc>
          <w:tcPr>
            <w:tcW w:w="1858" w:type="pct"/>
            <w:tcBorders>
              <w:top w:val="single" w:sz="4" w:space="0" w:color="auto"/>
              <w:left w:val="single" w:sz="4" w:space="0" w:color="auto"/>
              <w:bottom w:val="single" w:sz="4" w:space="0" w:color="auto"/>
              <w:right w:val="single" w:sz="4" w:space="0" w:color="auto"/>
            </w:tcBorders>
          </w:tcPr>
          <w:p w14:paraId="167D2B41" w14:textId="7AC3498B" w:rsidR="000B266B" w:rsidRPr="00415414" w:rsidRDefault="000B266B" w:rsidP="0041700E">
            <w:pPr>
              <w:pStyle w:val="TableText"/>
              <w:keepNext w:val="0"/>
              <w:rPr>
                <w:rFonts w:eastAsia="Times New Roman" w:cs="Arial"/>
                <w:i/>
                <w:snapToGrid w:val="0"/>
              </w:rPr>
            </w:pPr>
            <w:r w:rsidRPr="00AA1463">
              <w:rPr>
                <w:rFonts w:eastAsia="Times New Roman" w:cs="Arial"/>
                <w:snapToGrid w:val="0"/>
              </w:rPr>
              <w:t xml:space="preserve">The ICER estimated in the current resubmission was </w:t>
            </w:r>
            <w:r w:rsidRPr="00AE4F75">
              <w:rPr>
                <w:rFonts w:eastAsia="Times New Roman" w:cs="Arial"/>
                <w:snapToGrid w:val="0"/>
              </w:rPr>
              <w:t>$</w:t>
            </w:r>
            <w:r w:rsidRPr="000B266B">
              <w:rPr>
                <w:rFonts w:eastAsia="Times New Roman" w:cs="Arial"/>
                <w:snapToGrid w:val="0"/>
                <w:color w:val="000000"/>
                <w:spacing w:val="52"/>
                <w:shd w:val="solid" w:color="000000" w:fill="000000"/>
                <w:fitText w:val="330" w:id="-649843968"/>
                <w14:textFill>
                  <w14:solidFill>
                    <w14:srgbClr w14:val="000000">
                      <w14:alpha w14:val="100000"/>
                    </w14:srgbClr>
                  </w14:solidFill>
                </w14:textFill>
              </w:rPr>
              <w:t>|||</w:t>
            </w:r>
            <w:r w:rsidRPr="000B266B">
              <w:rPr>
                <w:rFonts w:eastAsia="Times New Roman" w:cs="Arial"/>
                <w:snapToGrid w:val="0"/>
                <w:color w:val="000000"/>
                <w:spacing w:val="2"/>
                <w:shd w:val="solid" w:color="000000" w:fill="000000"/>
                <w:fitText w:val="330" w:id="-649843968"/>
                <w14:textFill>
                  <w14:solidFill>
                    <w14:srgbClr w14:val="000000">
                      <w14:alpha w14:val="100000"/>
                    </w14:srgbClr>
                  </w14:solidFill>
                </w14:textFill>
              </w:rPr>
              <w:t>|</w:t>
            </w:r>
            <w:r w:rsidRPr="00D120E3">
              <w:rPr>
                <w:rFonts w:eastAsia="Times New Roman" w:cs="Arial"/>
                <w:snapToGrid w:val="0"/>
                <w:vertAlign w:val="superscript"/>
              </w:rPr>
              <w:t>1</w:t>
            </w:r>
            <w:r w:rsidRPr="00AA1463">
              <w:rPr>
                <w:rFonts w:eastAsia="Times New Roman" w:cs="Arial"/>
                <w:snapToGrid w:val="0"/>
              </w:rPr>
              <w:t>/QALY but increases to &gt;</w:t>
            </w:r>
            <w:r w:rsidR="003D0255">
              <w:rPr>
                <w:rFonts w:eastAsia="Times New Roman" w:cs="Arial"/>
                <w:snapToGrid w:val="0"/>
              </w:rPr>
              <w:t xml:space="preserve"> </w:t>
            </w:r>
            <w:r w:rsidRPr="00AA1463">
              <w:rPr>
                <w:rFonts w:eastAsia="Times New Roman" w:cs="Arial"/>
                <w:snapToGrid w:val="0"/>
              </w:rPr>
              <w:t>$</w:t>
            </w:r>
            <w:r w:rsidRPr="000B266B">
              <w:rPr>
                <w:rFonts w:eastAsia="Times New Roman" w:cs="Arial"/>
                <w:snapToGrid w:val="0"/>
                <w:color w:val="000000"/>
                <w:spacing w:val="49"/>
                <w:shd w:val="solid" w:color="000000" w:fill="000000"/>
                <w:fitText w:val="320" w:id="-649843967"/>
                <w14:textFill>
                  <w14:solidFill>
                    <w14:srgbClr w14:val="000000">
                      <w14:alpha w14:val="100000"/>
                    </w14:srgbClr>
                  </w14:solidFill>
                </w14:textFill>
              </w:rPr>
              <w:t>|||</w:t>
            </w:r>
            <w:r w:rsidRPr="000B266B">
              <w:rPr>
                <w:rFonts w:eastAsia="Times New Roman" w:cs="Arial"/>
                <w:snapToGrid w:val="0"/>
                <w:color w:val="000000"/>
                <w:spacing w:val="3"/>
                <w:shd w:val="solid" w:color="000000" w:fill="000000"/>
                <w:fitText w:val="320" w:id="-649843967"/>
                <w14:textFill>
                  <w14:solidFill>
                    <w14:srgbClr w14:val="000000">
                      <w14:alpha w14:val="100000"/>
                    </w14:srgbClr>
                  </w14:solidFill>
                </w14:textFill>
              </w:rPr>
              <w:t>|</w:t>
            </w:r>
            <w:r w:rsidRPr="00D120E3">
              <w:rPr>
                <w:rFonts w:eastAsia="Times New Roman" w:cs="Arial"/>
                <w:snapToGrid w:val="0"/>
                <w:vertAlign w:val="superscript"/>
              </w:rPr>
              <w:t>2</w:t>
            </w:r>
            <w:r w:rsidRPr="00AA1463">
              <w:rPr>
                <w:rFonts w:eastAsia="Times New Roman" w:cs="Arial"/>
                <w:snapToGrid w:val="0"/>
              </w:rPr>
              <w:t>/QALY in some of the multivariate analyses.</w:t>
            </w:r>
            <w:r w:rsidRPr="00AA1463">
              <w:rPr>
                <w:rFonts w:eastAsia="Times New Roman" w:cs="Arial"/>
              </w:rPr>
              <w:t xml:space="preserve"> </w:t>
            </w:r>
          </w:p>
        </w:tc>
      </w:tr>
      <w:tr w:rsidR="000B266B" w:rsidRPr="00D936F9" w14:paraId="4250960D" w14:textId="77777777" w:rsidTr="00B678E8">
        <w:trPr>
          <w:cantSplit/>
        </w:trPr>
        <w:tc>
          <w:tcPr>
            <w:tcW w:w="1025" w:type="pct"/>
            <w:tcBorders>
              <w:top w:val="single" w:sz="4" w:space="0" w:color="auto"/>
              <w:left w:val="single" w:sz="4" w:space="0" w:color="auto"/>
              <w:bottom w:val="single" w:sz="4" w:space="0" w:color="auto"/>
              <w:right w:val="single" w:sz="4" w:space="0" w:color="auto"/>
            </w:tcBorders>
            <w:vAlign w:val="center"/>
          </w:tcPr>
          <w:p w14:paraId="6FE8B2A9" w14:textId="77777777" w:rsidR="000B266B" w:rsidRPr="00D936F9" w:rsidRDefault="000B266B" w:rsidP="0041700E">
            <w:pPr>
              <w:pStyle w:val="TableText"/>
              <w:keepNext w:val="0"/>
            </w:pPr>
            <w:r w:rsidRPr="00D936F9">
              <w:t>Prevalence and incidence data</w:t>
            </w:r>
          </w:p>
        </w:tc>
        <w:tc>
          <w:tcPr>
            <w:tcW w:w="2116" w:type="pct"/>
            <w:tcBorders>
              <w:top w:val="single" w:sz="4" w:space="0" w:color="auto"/>
              <w:left w:val="single" w:sz="4" w:space="0" w:color="auto"/>
              <w:bottom w:val="single" w:sz="4" w:space="0" w:color="auto"/>
              <w:right w:val="single" w:sz="4" w:space="0" w:color="auto"/>
            </w:tcBorders>
          </w:tcPr>
          <w:p w14:paraId="4D1AE1B9" w14:textId="77777777" w:rsidR="000B266B" w:rsidRPr="00D936F9" w:rsidRDefault="000B266B" w:rsidP="0041700E">
            <w:pPr>
              <w:pStyle w:val="TableText"/>
              <w:keepNext w:val="0"/>
              <w:rPr>
                <w:rFonts w:eastAsia="Times New Roman" w:cs="Arial"/>
                <w:snapToGrid w:val="0"/>
              </w:rPr>
            </w:pPr>
            <w:r w:rsidRPr="37C20EEE">
              <w:rPr>
                <w:rFonts w:eastAsia="Times New Roman" w:cs="Arial"/>
                <w:snapToGrid w:val="0"/>
              </w:rPr>
              <w:t>The PBAC considered a resubmission for bulevirtide should address:</w:t>
            </w:r>
          </w:p>
          <w:p w14:paraId="1B525871" w14:textId="77777777" w:rsidR="000B266B" w:rsidRPr="00D936F9" w:rsidRDefault="000B266B" w:rsidP="0041700E">
            <w:pPr>
              <w:pStyle w:val="TableText"/>
              <w:keepNext w:val="0"/>
              <w:rPr>
                <w:rFonts w:eastAsia="Times New Roman" w:cs="Arial"/>
                <w:bCs w:val="0"/>
                <w:snapToGrid w:val="0"/>
                <w:szCs w:val="20"/>
              </w:rPr>
            </w:pPr>
            <w:r w:rsidRPr="00D936F9">
              <w:rPr>
                <w:rFonts w:eastAsia="Times New Roman" w:cs="Arial"/>
                <w:snapToGrid w:val="0"/>
                <w:szCs w:val="20"/>
              </w:rPr>
              <w:t>Revised utilisation and financial estimates to ensure the most recent prevalence/incidence data are used, and addressing the issues raised by DUSC and the PBAC (para</w:t>
            </w:r>
            <w:r>
              <w:rPr>
                <w:rFonts w:eastAsia="Times New Roman" w:cs="Arial"/>
                <w:snapToGrid w:val="0"/>
                <w:szCs w:val="20"/>
              </w:rPr>
              <w:t>graph</w:t>
            </w:r>
            <w:r w:rsidRPr="00D936F9">
              <w:rPr>
                <w:rFonts w:eastAsia="Times New Roman" w:cs="Arial"/>
                <w:snapToGrid w:val="0"/>
                <w:szCs w:val="20"/>
              </w:rPr>
              <w:t xml:space="preserve"> 7.17)</w:t>
            </w:r>
          </w:p>
        </w:tc>
        <w:tc>
          <w:tcPr>
            <w:tcW w:w="1858" w:type="pct"/>
            <w:tcBorders>
              <w:top w:val="single" w:sz="4" w:space="0" w:color="auto"/>
              <w:left w:val="single" w:sz="4" w:space="0" w:color="auto"/>
              <w:bottom w:val="single" w:sz="4" w:space="0" w:color="auto"/>
              <w:right w:val="single" w:sz="4" w:space="0" w:color="auto"/>
            </w:tcBorders>
          </w:tcPr>
          <w:p w14:paraId="41179F8C" w14:textId="77777777" w:rsidR="000B266B" w:rsidRPr="00D936F9" w:rsidRDefault="000B266B" w:rsidP="0041700E">
            <w:pPr>
              <w:pStyle w:val="TableText"/>
              <w:keepNext w:val="0"/>
              <w:rPr>
                <w:rFonts w:eastAsia="Times New Roman" w:cs="Arial"/>
                <w:bCs w:val="0"/>
                <w:snapToGrid w:val="0"/>
                <w:szCs w:val="20"/>
              </w:rPr>
            </w:pPr>
            <w:r w:rsidRPr="00D936F9">
              <w:rPr>
                <w:rFonts w:eastAsia="Times New Roman" w:cs="Arial"/>
                <w:snapToGrid w:val="0"/>
                <w:szCs w:val="20"/>
              </w:rPr>
              <w:t>The resubmission presented updated prevalence and incidence data where available. The resubmission addressed the issues raised by DUSC and PBAC where alternative data sources were suggested or available.</w:t>
            </w:r>
          </w:p>
        </w:tc>
      </w:tr>
    </w:tbl>
    <w:bookmarkEnd w:id="12"/>
    <w:p w14:paraId="2899428C" w14:textId="77777777" w:rsidR="000B266B" w:rsidRPr="00D936F9" w:rsidRDefault="000B266B" w:rsidP="0041700E">
      <w:pPr>
        <w:pStyle w:val="TableFooter"/>
        <w:widowControl/>
      </w:pPr>
      <w:r w:rsidRPr="4904BCD2">
        <w:t>Source: Modified from Table 1.2-1, p9 of the resubmission</w:t>
      </w:r>
    </w:p>
    <w:p w14:paraId="1A9AB5D3" w14:textId="77777777" w:rsidR="000B266B" w:rsidRPr="009D42A9" w:rsidRDefault="000B266B" w:rsidP="0041700E">
      <w:pPr>
        <w:pStyle w:val="TableFooter"/>
        <w:widowControl/>
      </w:pPr>
      <w:r w:rsidRPr="00D936F9">
        <w:t xml:space="preserve">ALT = alanine aminotransferase; CHD = chronic hepatitis D; HDV = hepatitis D virus; ICER = incremental cost-effectiveness ratio; PSD = </w:t>
      </w:r>
      <w:r w:rsidRPr="009D42A9">
        <w:t xml:space="preserve">Public Summary Document; QALY = quality-adjusted life year; RNA = ribonucleic acid </w:t>
      </w:r>
    </w:p>
    <w:p w14:paraId="3C3E25A3" w14:textId="77777777" w:rsidR="000B266B" w:rsidRPr="00D4016A" w:rsidRDefault="000B266B" w:rsidP="0041700E">
      <w:pPr>
        <w:pStyle w:val="TableFooter"/>
        <w:widowControl/>
        <w:rPr>
          <w:bCs/>
          <w:i/>
          <w:iCs/>
        </w:rPr>
      </w:pPr>
      <w:r w:rsidRPr="00D4016A">
        <w:rPr>
          <w:i/>
          <w:iCs/>
        </w:rPr>
        <w:t>The redacted values correspond to the following ranges:</w:t>
      </w:r>
    </w:p>
    <w:p w14:paraId="3736AAB8" w14:textId="77777777" w:rsidR="000B266B" w:rsidRPr="00D4016A" w:rsidRDefault="000B266B" w:rsidP="0041700E">
      <w:pPr>
        <w:pStyle w:val="TableFooter"/>
        <w:widowControl/>
        <w:rPr>
          <w:i/>
          <w:iCs/>
        </w:rPr>
      </w:pPr>
      <w:r w:rsidRPr="00D4016A">
        <w:rPr>
          <w:i/>
          <w:iCs/>
          <w:vertAlign w:val="superscript"/>
        </w:rPr>
        <w:t>1</w:t>
      </w:r>
      <w:r w:rsidRPr="00D4016A">
        <w:rPr>
          <w:i/>
          <w:iCs/>
        </w:rPr>
        <w:t xml:space="preserve"> $95,000 to &lt; $115,000 </w:t>
      </w:r>
    </w:p>
    <w:p w14:paraId="474019C7" w14:textId="77777777" w:rsidR="000B266B" w:rsidRPr="00D4016A" w:rsidRDefault="000B266B" w:rsidP="0041700E">
      <w:pPr>
        <w:pStyle w:val="TableFooter"/>
        <w:widowControl/>
        <w:rPr>
          <w:i/>
          <w:iCs/>
        </w:rPr>
      </w:pPr>
      <w:r w:rsidRPr="00D4016A">
        <w:rPr>
          <w:i/>
          <w:iCs/>
          <w:vertAlign w:val="superscript"/>
        </w:rPr>
        <w:t xml:space="preserve">2 </w:t>
      </w:r>
      <w:r w:rsidRPr="00D4016A">
        <w:rPr>
          <w:i/>
          <w:iCs/>
        </w:rPr>
        <w:t>$355,000 to &lt; $455,000</w:t>
      </w:r>
    </w:p>
    <w:p w14:paraId="0129C555" w14:textId="77777777" w:rsidR="000B266B" w:rsidRPr="00D120E3" w:rsidRDefault="000B266B" w:rsidP="0041700E">
      <w:pPr>
        <w:ind w:firstLine="720"/>
        <w:rPr>
          <w:i/>
          <w:iCs/>
        </w:rPr>
      </w:pPr>
      <w:r w:rsidRPr="00D120E3">
        <w:rPr>
          <w:i/>
          <w:iCs/>
        </w:rPr>
        <w:t>For more detail on PBAC’s view, see section 7 PBAC outcome.</w:t>
      </w:r>
    </w:p>
    <w:p w14:paraId="3A83FFC8" w14:textId="77777777" w:rsidR="000B266B" w:rsidRDefault="000B266B" w:rsidP="0041700E">
      <w:pPr>
        <w:pStyle w:val="2-SectionHeading"/>
      </w:pPr>
      <w:bookmarkStart w:id="13" w:name="_Toc188360791"/>
      <w:r w:rsidRPr="00FD70DE">
        <w:t>Requested listing</w:t>
      </w:r>
      <w:bookmarkEnd w:id="13"/>
    </w:p>
    <w:p w14:paraId="74F87472" w14:textId="77777777" w:rsidR="000B266B" w:rsidRPr="00614054" w:rsidRDefault="000B266B" w:rsidP="0041700E">
      <w:pPr>
        <w:pStyle w:val="3-BodyText"/>
        <w:spacing w:before="120" w:after="120"/>
      </w:pPr>
      <w:r>
        <w:t>The requested restriction</w:t>
      </w:r>
      <w:r w:rsidRPr="001A47E6">
        <w:t xml:space="preserve"> </w:t>
      </w:r>
      <w:r>
        <w:t xml:space="preserve">is shown below, with </w:t>
      </w:r>
      <w:r w:rsidRPr="001F2DBB">
        <w:t>Secretariat additions in italics and deletions in strikethrough.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Pr>
      <w:tblGrid>
        <w:gridCol w:w="562"/>
        <w:gridCol w:w="709"/>
        <w:gridCol w:w="1134"/>
        <w:gridCol w:w="992"/>
        <w:gridCol w:w="709"/>
        <w:gridCol w:w="851"/>
        <w:gridCol w:w="708"/>
        <w:gridCol w:w="1985"/>
        <w:gridCol w:w="1366"/>
      </w:tblGrid>
      <w:tr w:rsidR="000B266B" w:rsidRPr="00FC4C9B" w14:paraId="6E19A989" w14:textId="77777777" w:rsidTr="00B678E8">
        <w:trPr>
          <w:cantSplit/>
          <w:trHeight w:val="20"/>
        </w:trPr>
        <w:tc>
          <w:tcPr>
            <w:tcW w:w="2405" w:type="dxa"/>
            <w:gridSpan w:val="3"/>
            <w:vAlign w:val="center"/>
          </w:tcPr>
          <w:p w14:paraId="7A982814" w14:textId="77777777" w:rsidR="000B266B" w:rsidRPr="00FC4C9B" w:rsidRDefault="000B266B" w:rsidP="0041700E">
            <w:pPr>
              <w:keepLines/>
              <w:rPr>
                <w:rFonts w:ascii="Arial Narrow" w:hAnsi="Arial Narrow" w:cs="Arial"/>
                <w:b/>
                <w:bCs/>
                <w:sz w:val="20"/>
                <w:szCs w:val="20"/>
              </w:rPr>
            </w:pPr>
            <w:r w:rsidRPr="00FC4C9B">
              <w:rPr>
                <w:rFonts w:ascii="Arial Narrow" w:hAnsi="Arial Narrow" w:cs="Arial"/>
                <w:b/>
                <w:bCs/>
                <w:sz w:val="20"/>
                <w:szCs w:val="20"/>
              </w:rPr>
              <w:lastRenderedPageBreak/>
              <w:t>MEDICINAL PRODUCT</w:t>
            </w:r>
          </w:p>
          <w:p w14:paraId="3A469268" w14:textId="77777777" w:rsidR="000B266B" w:rsidRPr="00FC4C9B" w:rsidRDefault="000B266B" w:rsidP="0041700E">
            <w:pPr>
              <w:keepLines/>
              <w:rPr>
                <w:rFonts w:ascii="Arial Narrow" w:hAnsi="Arial Narrow" w:cs="Arial"/>
                <w:b/>
                <w:sz w:val="20"/>
                <w:szCs w:val="20"/>
              </w:rPr>
            </w:pPr>
            <w:r w:rsidRPr="00FC4C9B">
              <w:rPr>
                <w:rFonts w:ascii="Arial Narrow" w:hAnsi="Arial Narrow" w:cs="Arial"/>
                <w:b/>
                <w:bCs/>
                <w:sz w:val="20"/>
                <w:szCs w:val="20"/>
              </w:rPr>
              <w:t>medicinal product pack</w:t>
            </w:r>
          </w:p>
        </w:tc>
        <w:tc>
          <w:tcPr>
            <w:tcW w:w="992" w:type="dxa"/>
            <w:vAlign w:val="center"/>
          </w:tcPr>
          <w:p w14:paraId="406B8576" w14:textId="77777777" w:rsidR="000B266B" w:rsidRPr="00FC4C9B" w:rsidRDefault="000B266B" w:rsidP="0041700E">
            <w:pPr>
              <w:keepLines/>
              <w:rPr>
                <w:rFonts w:ascii="Arial Narrow" w:hAnsi="Arial Narrow" w:cs="Arial"/>
                <w:b/>
                <w:sz w:val="20"/>
                <w:szCs w:val="20"/>
              </w:rPr>
            </w:pPr>
            <w:r w:rsidRPr="00FC4C9B">
              <w:rPr>
                <w:rFonts w:ascii="Arial Narrow" w:hAnsi="Arial Narrow" w:cs="Arial"/>
                <w:b/>
                <w:sz w:val="20"/>
                <w:szCs w:val="20"/>
              </w:rPr>
              <w:t>PBS item code</w:t>
            </w:r>
          </w:p>
        </w:tc>
        <w:tc>
          <w:tcPr>
            <w:tcW w:w="709" w:type="dxa"/>
            <w:vAlign w:val="center"/>
          </w:tcPr>
          <w:p w14:paraId="77EBC5FF" w14:textId="77777777" w:rsidR="000B266B" w:rsidRPr="00FC4C9B" w:rsidRDefault="000B266B" w:rsidP="0041700E">
            <w:pPr>
              <w:keepLines/>
              <w:rPr>
                <w:rFonts w:ascii="Arial Narrow" w:hAnsi="Arial Narrow" w:cs="Arial"/>
                <w:b/>
                <w:sz w:val="20"/>
                <w:szCs w:val="20"/>
              </w:rPr>
            </w:pPr>
            <w:r w:rsidRPr="00FC4C9B">
              <w:rPr>
                <w:rFonts w:ascii="Arial Narrow" w:hAnsi="Arial Narrow" w:cs="Arial"/>
                <w:b/>
                <w:sz w:val="20"/>
                <w:szCs w:val="20"/>
              </w:rPr>
              <w:t>Max. qty packs</w:t>
            </w:r>
          </w:p>
        </w:tc>
        <w:tc>
          <w:tcPr>
            <w:tcW w:w="851" w:type="dxa"/>
            <w:vAlign w:val="center"/>
          </w:tcPr>
          <w:p w14:paraId="2B17C871" w14:textId="77777777" w:rsidR="000B266B" w:rsidRPr="00FC4C9B" w:rsidRDefault="000B266B" w:rsidP="0041700E">
            <w:pPr>
              <w:keepLines/>
              <w:rPr>
                <w:rFonts w:ascii="Arial Narrow" w:hAnsi="Arial Narrow" w:cs="Arial"/>
                <w:b/>
                <w:sz w:val="20"/>
                <w:szCs w:val="20"/>
              </w:rPr>
            </w:pPr>
            <w:r w:rsidRPr="00FC4C9B">
              <w:rPr>
                <w:rFonts w:ascii="Arial Narrow" w:hAnsi="Arial Narrow" w:cs="Arial"/>
                <w:b/>
                <w:sz w:val="20"/>
                <w:szCs w:val="20"/>
              </w:rPr>
              <w:t>Max. qty units</w:t>
            </w:r>
          </w:p>
        </w:tc>
        <w:tc>
          <w:tcPr>
            <w:tcW w:w="708" w:type="dxa"/>
            <w:vAlign w:val="center"/>
          </w:tcPr>
          <w:p w14:paraId="4A7153D1" w14:textId="77777777" w:rsidR="000B266B" w:rsidRPr="00FC4C9B" w:rsidRDefault="000B266B" w:rsidP="0041700E">
            <w:pPr>
              <w:keepLines/>
              <w:rPr>
                <w:rFonts w:ascii="Arial Narrow" w:hAnsi="Arial Narrow" w:cs="Arial"/>
                <w:b/>
                <w:bCs/>
                <w:sz w:val="20"/>
                <w:szCs w:val="20"/>
              </w:rPr>
            </w:pPr>
            <w:r w:rsidRPr="4904BCD2">
              <w:rPr>
                <w:rFonts w:ascii="Arial Narrow" w:hAnsi="Arial Narrow" w:cs="Arial"/>
                <w:b/>
                <w:bCs/>
                <w:sz w:val="20"/>
                <w:szCs w:val="20"/>
              </w:rPr>
              <w:t>№.of</w:t>
            </w:r>
          </w:p>
          <w:p w14:paraId="78A95EAD" w14:textId="77777777" w:rsidR="000B266B" w:rsidRPr="00FC4C9B" w:rsidRDefault="000B266B" w:rsidP="0041700E">
            <w:pPr>
              <w:keepLines/>
              <w:rPr>
                <w:rFonts w:ascii="Arial Narrow" w:hAnsi="Arial Narrow" w:cs="Arial"/>
                <w:b/>
                <w:bCs/>
                <w:sz w:val="20"/>
                <w:szCs w:val="20"/>
              </w:rPr>
            </w:pPr>
            <w:r w:rsidRPr="4904BCD2">
              <w:rPr>
                <w:rFonts w:ascii="Arial Narrow" w:hAnsi="Arial Narrow" w:cs="Arial"/>
                <w:b/>
                <w:bCs/>
                <w:sz w:val="20"/>
                <w:szCs w:val="20"/>
              </w:rPr>
              <w:t>Rpts</w:t>
            </w:r>
          </w:p>
        </w:tc>
        <w:tc>
          <w:tcPr>
            <w:tcW w:w="1985" w:type="dxa"/>
            <w:vAlign w:val="center"/>
          </w:tcPr>
          <w:p w14:paraId="14A20651" w14:textId="77777777" w:rsidR="000B266B" w:rsidRPr="00FC4C9B" w:rsidRDefault="000B266B" w:rsidP="0041700E">
            <w:pPr>
              <w:keepLines/>
              <w:rPr>
                <w:rFonts w:ascii="Arial Narrow" w:hAnsi="Arial Narrow" w:cs="Arial"/>
                <w:b/>
                <w:sz w:val="20"/>
                <w:szCs w:val="20"/>
                <w:lang w:val="fr-FR"/>
              </w:rPr>
            </w:pPr>
            <w:r w:rsidRPr="00AD00A3">
              <w:rPr>
                <w:rFonts w:ascii="Arial Narrow" w:hAnsi="Arial Narrow" w:cs="Arial"/>
                <w:b/>
                <w:sz w:val="20"/>
                <w:szCs w:val="20"/>
                <w:lang w:val="fr-FR"/>
              </w:rPr>
              <w:t>Dispensed Price for Max. Qty</w:t>
            </w:r>
          </w:p>
        </w:tc>
        <w:tc>
          <w:tcPr>
            <w:tcW w:w="1366" w:type="dxa"/>
            <w:vAlign w:val="center"/>
          </w:tcPr>
          <w:p w14:paraId="26D90175" w14:textId="77777777" w:rsidR="000B266B" w:rsidRPr="00FC4C9B" w:rsidRDefault="000B266B" w:rsidP="0041700E">
            <w:pPr>
              <w:keepLines/>
              <w:rPr>
                <w:rFonts w:ascii="Arial Narrow" w:hAnsi="Arial Narrow" w:cs="Arial"/>
                <w:b/>
                <w:sz w:val="20"/>
                <w:szCs w:val="20"/>
                <w:lang w:val="fr-FR"/>
              </w:rPr>
            </w:pPr>
            <w:r w:rsidRPr="00FC4C9B">
              <w:rPr>
                <w:rFonts w:ascii="Arial Narrow" w:hAnsi="Arial Narrow" w:cs="Arial"/>
                <w:b/>
                <w:sz w:val="20"/>
                <w:szCs w:val="20"/>
              </w:rPr>
              <w:t>Available brands</w:t>
            </w:r>
          </w:p>
        </w:tc>
      </w:tr>
      <w:tr w:rsidR="000B266B" w:rsidRPr="00FC4C9B" w14:paraId="6AED62DB" w14:textId="77777777" w:rsidTr="00B678E8">
        <w:trPr>
          <w:cantSplit/>
          <w:trHeight w:val="20"/>
        </w:trPr>
        <w:tc>
          <w:tcPr>
            <w:tcW w:w="9016" w:type="dxa"/>
            <w:gridSpan w:val="9"/>
            <w:vAlign w:val="center"/>
          </w:tcPr>
          <w:p w14:paraId="6989EA46" w14:textId="77777777" w:rsidR="000B266B" w:rsidRPr="00FC4C9B" w:rsidRDefault="000B266B" w:rsidP="0041700E">
            <w:pPr>
              <w:keepLines/>
              <w:rPr>
                <w:rFonts w:ascii="Arial Narrow" w:hAnsi="Arial Narrow" w:cs="Arial"/>
                <w:sz w:val="20"/>
                <w:szCs w:val="20"/>
              </w:rPr>
            </w:pPr>
            <w:r w:rsidRPr="00FC4C9B">
              <w:rPr>
                <w:rFonts w:ascii="Arial Narrow" w:hAnsi="Arial Narrow" w:cs="Arial"/>
                <w:sz w:val="20"/>
                <w:szCs w:val="20"/>
              </w:rPr>
              <w:t>BULEVIRTIDE</w:t>
            </w:r>
          </w:p>
        </w:tc>
      </w:tr>
      <w:tr w:rsidR="000B266B" w:rsidRPr="00FC4C9B" w14:paraId="58D51307" w14:textId="77777777" w:rsidTr="00B678E8">
        <w:trPr>
          <w:cantSplit/>
          <w:trHeight w:val="20"/>
        </w:trPr>
        <w:tc>
          <w:tcPr>
            <w:tcW w:w="2405" w:type="dxa"/>
            <w:gridSpan w:val="3"/>
            <w:vAlign w:val="center"/>
          </w:tcPr>
          <w:p w14:paraId="2FF66D30" w14:textId="77777777" w:rsidR="000B266B" w:rsidRPr="00FC4C9B" w:rsidRDefault="000B266B" w:rsidP="0041700E">
            <w:pPr>
              <w:keepLines/>
              <w:rPr>
                <w:rFonts w:ascii="Arial Narrow" w:hAnsi="Arial Narrow" w:cs="Arial"/>
                <w:sz w:val="20"/>
                <w:szCs w:val="20"/>
              </w:rPr>
            </w:pPr>
            <w:r w:rsidRPr="37C20EEE">
              <w:rPr>
                <w:rFonts w:ascii="Arial Narrow" w:hAnsi="Arial Narrow" w:cs="Arial"/>
                <w:sz w:val="20"/>
                <w:szCs w:val="20"/>
              </w:rPr>
              <w:t>Bulevirtide acetate 2 mg injection, 30 vials</w:t>
            </w:r>
          </w:p>
        </w:tc>
        <w:tc>
          <w:tcPr>
            <w:tcW w:w="992" w:type="dxa"/>
            <w:vAlign w:val="center"/>
          </w:tcPr>
          <w:p w14:paraId="1BC78735" w14:textId="77777777" w:rsidR="000B266B" w:rsidRPr="00FC4C9B" w:rsidRDefault="000B266B" w:rsidP="0041700E">
            <w:pPr>
              <w:keepLines/>
              <w:rPr>
                <w:rFonts w:ascii="Arial Narrow" w:hAnsi="Arial Narrow" w:cs="Arial"/>
                <w:sz w:val="20"/>
                <w:szCs w:val="20"/>
              </w:rPr>
            </w:pPr>
            <w:r w:rsidRPr="00FC4C9B">
              <w:rPr>
                <w:rFonts w:ascii="Arial Narrow" w:hAnsi="Arial Narrow" w:cs="Arial"/>
                <w:sz w:val="20"/>
                <w:szCs w:val="20"/>
              </w:rPr>
              <w:t>NEW</w:t>
            </w:r>
          </w:p>
        </w:tc>
        <w:tc>
          <w:tcPr>
            <w:tcW w:w="709" w:type="dxa"/>
            <w:vAlign w:val="center"/>
          </w:tcPr>
          <w:p w14:paraId="509ABBA4" w14:textId="77777777" w:rsidR="000B266B" w:rsidRPr="00FC4C9B" w:rsidRDefault="000B266B" w:rsidP="0041700E">
            <w:pPr>
              <w:keepLines/>
              <w:rPr>
                <w:rFonts w:ascii="Arial Narrow" w:hAnsi="Arial Narrow" w:cs="Arial"/>
                <w:sz w:val="20"/>
                <w:szCs w:val="20"/>
              </w:rPr>
            </w:pPr>
            <w:r w:rsidRPr="00FC4C9B">
              <w:rPr>
                <w:rFonts w:ascii="Arial Narrow" w:hAnsi="Arial Narrow" w:cs="Arial"/>
                <w:sz w:val="20"/>
                <w:szCs w:val="20"/>
              </w:rPr>
              <w:t>2</w:t>
            </w:r>
          </w:p>
        </w:tc>
        <w:tc>
          <w:tcPr>
            <w:tcW w:w="851" w:type="dxa"/>
            <w:vAlign w:val="center"/>
          </w:tcPr>
          <w:p w14:paraId="5B1D760B" w14:textId="77777777" w:rsidR="000B266B" w:rsidRPr="00FC4C9B" w:rsidRDefault="000B266B" w:rsidP="0041700E">
            <w:pPr>
              <w:keepLines/>
              <w:rPr>
                <w:rFonts w:ascii="Arial Narrow" w:hAnsi="Arial Narrow" w:cs="Arial"/>
                <w:sz w:val="20"/>
                <w:szCs w:val="20"/>
              </w:rPr>
            </w:pPr>
            <w:r w:rsidRPr="00FC4C9B">
              <w:rPr>
                <w:rFonts w:ascii="Arial Narrow" w:hAnsi="Arial Narrow" w:cs="Arial"/>
                <w:sz w:val="20"/>
                <w:szCs w:val="20"/>
              </w:rPr>
              <w:t>60</w:t>
            </w:r>
          </w:p>
        </w:tc>
        <w:tc>
          <w:tcPr>
            <w:tcW w:w="708" w:type="dxa"/>
            <w:vAlign w:val="center"/>
          </w:tcPr>
          <w:p w14:paraId="14465A51" w14:textId="77777777" w:rsidR="000B266B" w:rsidRPr="00FC4C9B" w:rsidRDefault="000B266B" w:rsidP="0041700E">
            <w:pPr>
              <w:keepLines/>
              <w:rPr>
                <w:rFonts w:ascii="Arial Narrow" w:hAnsi="Arial Narrow" w:cs="Arial"/>
                <w:sz w:val="20"/>
                <w:szCs w:val="20"/>
              </w:rPr>
            </w:pPr>
            <w:r w:rsidRPr="00FC4C9B">
              <w:rPr>
                <w:rFonts w:ascii="Arial Narrow" w:hAnsi="Arial Narrow" w:cs="Arial"/>
                <w:sz w:val="20"/>
                <w:szCs w:val="20"/>
              </w:rPr>
              <w:t>5</w:t>
            </w:r>
          </w:p>
        </w:tc>
        <w:tc>
          <w:tcPr>
            <w:tcW w:w="1985" w:type="dxa"/>
            <w:vAlign w:val="center"/>
          </w:tcPr>
          <w:p w14:paraId="6A03927D" w14:textId="77777777" w:rsidR="000B266B" w:rsidRPr="00AD00A3" w:rsidRDefault="000B266B" w:rsidP="0041700E">
            <w:pPr>
              <w:keepLines/>
              <w:rPr>
                <w:rFonts w:ascii="Arial Narrow" w:hAnsi="Arial Narrow" w:cs="Arial"/>
                <w:sz w:val="20"/>
                <w:szCs w:val="20"/>
              </w:rPr>
            </w:pPr>
            <w:r w:rsidRPr="00AD00A3">
              <w:rPr>
                <w:rFonts w:ascii="Arial Narrow" w:hAnsi="Arial Narrow" w:cs="Arial"/>
                <w:sz w:val="20"/>
                <w:szCs w:val="20"/>
              </w:rPr>
              <w:t>Public Hospital</w:t>
            </w:r>
          </w:p>
          <w:p w14:paraId="2617C70A" w14:textId="6354DA6D" w:rsidR="000B266B" w:rsidRPr="00AD00A3" w:rsidRDefault="000B266B" w:rsidP="0041700E">
            <w:pPr>
              <w:keepLines/>
              <w:rPr>
                <w:rFonts w:ascii="Arial Narrow" w:hAnsi="Arial Narrow" w:cs="Arial"/>
                <w:sz w:val="20"/>
                <w:szCs w:val="20"/>
              </w:rPr>
            </w:pPr>
            <w:r w:rsidRPr="00AD00A3">
              <w:rPr>
                <w:rFonts w:ascii="Arial Narrow" w:hAnsi="Arial Narrow" w:cs="Arial"/>
                <w:sz w:val="20"/>
                <w:szCs w:val="20"/>
              </w:rPr>
              <w:t>Published: $</w:t>
            </w:r>
            <w:r w:rsidRPr="00D70DBB">
              <w:rPr>
                <w:rFonts w:ascii="Arial Narrow" w:hAnsi="Arial Narrow" w:cs="Arial"/>
                <w:color w:val="000000"/>
                <w:spacing w:val="23"/>
                <w:sz w:val="20"/>
                <w:szCs w:val="20"/>
                <w:shd w:val="solid" w:color="000000" w:fill="000000"/>
                <w:fitText w:val="310" w:id="-649843966"/>
                <w14:textFill>
                  <w14:solidFill>
                    <w14:srgbClr w14:val="000000">
                      <w14:alpha w14:val="100000"/>
                    </w14:srgbClr>
                  </w14:solidFill>
                </w14:textFill>
              </w:rPr>
              <w:t>||</w:t>
            </w:r>
            <w:r w:rsidR="00D70DBB" w:rsidRPr="00D70DBB">
              <w:rPr>
                <w:rFonts w:ascii="Arial Narrow" w:hAnsi="Arial Narrow" w:cs="Arial"/>
                <w:color w:val="000000"/>
                <w:spacing w:val="23"/>
                <w:sz w:val="20"/>
                <w:szCs w:val="20"/>
                <w:shd w:val="solid" w:color="000000" w:fill="000000"/>
                <w:fitText w:val="310" w:id="-649843966"/>
                <w14:textFill>
                  <w14:solidFill>
                    <w14:srgbClr w14:val="000000">
                      <w14:alpha w14:val="100000"/>
                    </w14:srgbClr>
                  </w14:solidFill>
                </w14:textFill>
              </w:rPr>
              <w:t xml:space="preserve"> </w:t>
            </w:r>
            <w:r w:rsidRPr="00D70DBB">
              <w:rPr>
                <w:rFonts w:ascii="Arial Narrow" w:hAnsi="Arial Narrow" w:cs="Arial"/>
                <w:color w:val="000000"/>
                <w:spacing w:val="23"/>
                <w:sz w:val="20"/>
                <w:szCs w:val="20"/>
                <w:shd w:val="solid" w:color="000000" w:fill="000000"/>
                <w:fitText w:val="310" w:id="-649843966"/>
                <w14:textFill>
                  <w14:solidFill>
                    <w14:srgbClr w14:val="000000">
                      <w14:alpha w14:val="100000"/>
                    </w14:srgbClr>
                  </w14:solidFill>
                </w14:textFill>
              </w:rPr>
              <w:t>|</w:t>
            </w:r>
            <w:r w:rsidRPr="00D70DBB">
              <w:rPr>
                <w:rFonts w:ascii="Arial Narrow" w:hAnsi="Arial Narrow" w:cs="Arial"/>
                <w:color w:val="000000"/>
                <w:spacing w:val="3"/>
                <w:sz w:val="20"/>
                <w:szCs w:val="20"/>
                <w:shd w:val="solid" w:color="000000" w:fill="000000"/>
                <w:fitText w:val="310" w:id="-649843966"/>
                <w14:textFill>
                  <w14:solidFill>
                    <w14:srgbClr w14:val="000000">
                      <w14:alpha w14:val="100000"/>
                    </w14:srgbClr>
                  </w14:solidFill>
                </w14:textFill>
              </w:rPr>
              <w:t>|</w:t>
            </w:r>
          </w:p>
          <w:p w14:paraId="793B873F" w14:textId="12DE1061" w:rsidR="000B266B" w:rsidRPr="00AD00A3" w:rsidRDefault="000B266B" w:rsidP="0041700E">
            <w:pPr>
              <w:keepLines/>
              <w:rPr>
                <w:rFonts w:ascii="Arial Narrow" w:hAnsi="Arial Narrow" w:cs="Arial"/>
                <w:sz w:val="20"/>
                <w:szCs w:val="20"/>
              </w:rPr>
            </w:pPr>
            <w:r w:rsidRPr="00AD00A3">
              <w:rPr>
                <w:rFonts w:ascii="Arial Narrow" w:hAnsi="Arial Narrow" w:cs="Arial"/>
                <w:sz w:val="20"/>
                <w:szCs w:val="20"/>
              </w:rPr>
              <w:t>Effective: $</w:t>
            </w:r>
            <w:r w:rsidRPr="00D70DBB">
              <w:rPr>
                <w:rFonts w:ascii="Arial Narrow" w:hAnsi="Arial Narrow" w:cs="Arial"/>
                <w:color w:val="000000"/>
                <w:spacing w:val="23"/>
                <w:sz w:val="20"/>
                <w:szCs w:val="20"/>
                <w:shd w:val="solid" w:color="000000" w:fill="000000"/>
                <w:fitText w:val="310" w:id="-649843965"/>
                <w14:textFill>
                  <w14:solidFill>
                    <w14:srgbClr w14:val="000000">
                      <w14:alpha w14:val="100000"/>
                    </w14:srgbClr>
                  </w14:solidFill>
                </w14:textFill>
              </w:rPr>
              <w:t>||</w:t>
            </w:r>
            <w:r w:rsidR="00D70DBB" w:rsidRPr="00D70DBB">
              <w:rPr>
                <w:rFonts w:ascii="Arial Narrow" w:hAnsi="Arial Narrow" w:cs="Arial"/>
                <w:color w:val="000000"/>
                <w:spacing w:val="23"/>
                <w:sz w:val="20"/>
                <w:szCs w:val="20"/>
                <w:shd w:val="solid" w:color="000000" w:fill="000000"/>
                <w:fitText w:val="310" w:id="-649843965"/>
                <w14:textFill>
                  <w14:solidFill>
                    <w14:srgbClr w14:val="000000">
                      <w14:alpha w14:val="100000"/>
                    </w14:srgbClr>
                  </w14:solidFill>
                </w14:textFill>
              </w:rPr>
              <w:t xml:space="preserve"> </w:t>
            </w:r>
            <w:r w:rsidRPr="00D70DBB">
              <w:rPr>
                <w:rFonts w:ascii="Arial Narrow" w:hAnsi="Arial Narrow" w:cs="Arial"/>
                <w:color w:val="000000"/>
                <w:spacing w:val="23"/>
                <w:sz w:val="20"/>
                <w:szCs w:val="20"/>
                <w:shd w:val="solid" w:color="000000" w:fill="000000"/>
                <w:fitText w:val="310" w:id="-649843965"/>
                <w14:textFill>
                  <w14:solidFill>
                    <w14:srgbClr w14:val="000000">
                      <w14:alpha w14:val="100000"/>
                    </w14:srgbClr>
                  </w14:solidFill>
                </w14:textFill>
              </w:rPr>
              <w:t>|</w:t>
            </w:r>
            <w:r w:rsidRPr="00D70DBB">
              <w:rPr>
                <w:rFonts w:ascii="Arial Narrow" w:hAnsi="Arial Narrow" w:cs="Arial"/>
                <w:color w:val="000000"/>
                <w:spacing w:val="3"/>
                <w:sz w:val="20"/>
                <w:szCs w:val="20"/>
                <w:shd w:val="solid" w:color="000000" w:fill="000000"/>
                <w:fitText w:val="310" w:id="-649843965"/>
                <w14:textFill>
                  <w14:solidFill>
                    <w14:srgbClr w14:val="000000">
                      <w14:alpha w14:val="100000"/>
                    </w14:srgbClr>
                  </w14:solidFill>
                </w14:textFill>
              </w:rPr>
              <w:t>|</w:t>
            </w:r>
          </w:p>
          <w:p w14:paraId="7BC07A10" w14:textId="77777777" w:rsidR="000B266B" w:rsidRPr="00AD00A3" w:rsidRDefault="000B266B" w:rsidP="0041700E">
            <w:pPr>
              <w:keepLines/>
              <w:rPr>
                <w:rFonts w:ascii="Arial Narrow" w:hAnsi="Arial Narrow" w:cs="Arial"/>
                <w:sz w:val="20"/>
                <w:szCs w:val="20"/>
              </w:rPr>
            </w:pPr>
          </w:p>
          <w:p w14:paraId="2217B385" w14:textId="77777777" w:rsidR="000B266B" w:rsidRPr="00AD00A3" w:rsidRDefault="000B266B" w:rsidP="0041700E">
            <w:pPr>
              <w:keepLines/>
              <w:rPr>
                <w:rFonts w:ascii="Arial Narrow" w:hAnsi="Arial Narrow" w:cs="Arial"/>
                <w:sz w:val="20"/>
                <w:szCs w:val="20"/>
              </w:rPr>
            </w:pPr>
            <w:r w:rsidRPr="00AD00A3">
              <w:rPr>
                <w:rFonts w:ascii="Arial Narrow" w:hAnsi="Arial Narrow" w:cs="Arial"/>
                <w:sz w:val="20"/>
                <w:szCs w:val="20"/>
              </w:rPr>
              <w:t>Private Hospital</w:t>
            </w:r>
            <w:r>
              <w:rPr>
                <w:rFonts w:ascii="Arial Narrow" w:hAnsi="Arial Narrow" w:cs="Arial"/>
                <w:sz w:val="20"/>
                <w:szCs w:val="20"/>
              </w:rPr>
              <w:t>/Community Access</w:t>
            </w:r>
          </w:p>
          <w:p w14:paraId="024ECAF7" w14:textId="32338DBD" w:rsidR="000B266B" w:rsidRPr="00AD00A3" w:rsidRDefault="000B266B" w:rsidP="0041700E">
            <w:pPr>
              <w:keepLines/>
              <w:rPr>
                <w:rFonts w:ascii="Arial Narrow" w:hAnsi="Arial Narrow" w:cs="Arial"/>
                <w:sz w:val="20"/>
                <w:szCs w:val="20"/>
              </w:rPr>
            </w:pPr>
            <w:r w:rsidRPr="00AD00A3">
              <w:rPr>
                <w:rFonts w:ascii="Arial Narrow" w:hAnsi="Arial Narrow" w:cs="Arial"/>
                <w:sz w:val="20"/>
                <w:szCs w:val="20"/>
              </w:rPr>
              <w:t>Published: $</w:t>
            </w:r>
            <w:r w:rsidRPr="00D70DBB">
              <w:rPr>
                <w:rFonts w:ascii="Arial Narrow" w:hAnsi="Arial Narrow" w:cs="Arial"/>
                <w:color w:val="000000"/>
                <w:spacing w:val="23"/>
                <w:sz w:val="20"/>
                <w:szCs w:val="20"/>
                <w:shd w:val="solid" w:color="000000" w:fill="000000"/>
                <w:fitText w:val="310" w:id="-649843964"/>
                <w14:textFill>
                  <w14:solidFill>
                    <w14:srgbClr w14:val="000000">
                      <w14:alpha w14:val="100000"/>
                    </w14:srgbClr>
                  </w14:solidFill>
                </w14:textFill>
              </w:rPr>
              <w:t>||</w:t>
            </w:r>
            <w:r w:rsidR="00D70DBB" w:rsidRPr="00D70DBB">
              <w:rPr>
                <w:rFonts w:ascii="Arial Narrow" w:hAnsi="Arial Narrow" w:cs="Arial"/>
                <w:color w:val="000000"/>
                <w:spacing w:val="23"/>
                <w:sz w:val="20"/>
                <w:szCs w:val="20"/>
                <w:shd w:val="solid" w:color="000000" w:fill="000000"/>
                <w:fitText w:val="310" w:id="-649843964"/>
                <w14:textFill>
                  <w14:solidFill>
                    <w14:srgbClr w14:val="000000">
                      <w14:alpha w14:val="100000"/>
                    </w14:srgbClr>
                  </w14:solidFill>
                </w14:textFill>
              </w:rPr>
              <w:t xml:space="preserve"> </w:t>
            </w:r>
            <w:r w:rsidRPr="00D70DBB">
              <w:rPr>
                <w:rFonts w:ascii="Arial Narrow" w:hAnsi="Arial Narrow" w:cs="Arial"/>
                <w:color w:val="000000"/>
                <w:spacing w:val="23"/>
                <w:sz w:val="20"/>
                <w:szCs w:val="20"/>
                <w:shd w:val="solid" w:color="000000" w:fill="000000"/>
                <w:fitText w:val="310" w:id="-649843964"/>
                <w14:textFill>
                  <w14:solidFill>
                    <w14:srgbClr w14:val="000000">
                      <w14:alpha w14:val="100000"/>
                    </w14:srgbClr>
                  </w14:solidFill>
                </w14:textFill>
              </w:rPr>
              <w:t>|</w:t>
            </w:r>
            <w:r w:rsidRPr="00D70DBB">
              <w:rPr>
                <w:rFonts w:ascii="Arial Narrow" w:hAnsi="Arial Narrow" w:cs="Arial"/>
                <w:color w:val="000000"/>
                <w:spacing w:val="3"/>
                <w:sz w:val="20"/>
                <w:szCs w:val="20"/>
                <w:shd w:val="solid" w:color="000000" w:fill="000000"/>
                <w:fitText w:val="310" w:id="-649843964"/>
                <w14:textFill>
                  <w14:solidFill>
                    <w14:srgbClr w14:val="000000">
                      <w14:alpha w14:val="100000"/>
                    </w14:srgbClr>
                  </w14:solidFill>
                </w14:textFill>
              </w:rPr>
              <w:t>|</w:t>
            </w:r>
          </w:p>
          <w:p w14:paraId="23CD0A73" w14:textId="40584662" w:rsidR="000B266B" w:rsidRPr="00FC4C9B" w:rsidRDefault="000B266B" w:rsidP="0041700E">
            <w:pPr>
              <w:keepLines/>
              <w:rPr>
                <w:rFonts w:ascii="Arial Narrow" w:hAnsi="Arial Narrow" w:cs="Arial"/>
                <w:sz w:val="20"/>
                <w:szCs w:val="20"/>
              </w:rPr>
            </w:pPr>
            <w:r w:rsidRPr="00AD00A3">
              <w:rPr>
                <w:rFonts w:ascii="Arial Narrow" w:hAnsi="Arial Narrow" w:cs="Arial"/>
                <w:sz w:val="20"/>
                <w:szCs w:val="20"/>
              </w:rPr>
              <w:t>Effective: $</w:t>
            </w:r>
            <w:r w:rsidRPr="00D70DBB">
              <w:rPr>
                <w:rFonts w:ascii="Arial Narrow" w:hAnsi="Arial Narrow" w:cs="Arial"/>
                <w:color w:val="000000"/>
                <w:spacing w:val="23"/>
                <w:sz w:val="20"/>
                <w:szCs w:val="20"/>
                <w:shd w:val="solid" w:color="000000" w:fill="000000"/>
                <w:fitText w:val="310" w:id="-649843963"/>
                <w14:textFill>
                  <w14:solidFill>
                    <w14:srgbClr w14:val="000000">
                      <w14:alpha w14:val="100000"/>
                    </w14:srgbClr>
                  </w14:solidFill>
                </w14:textFill>
              </w:rPr>
              <w:t>||</w:t>
            </w:r>
            <w:r w:rsidR="00D70DBB" w:rsidRPr="00D70DBB">
              <w:rPr>
                <w:rFonts w:ascii="Arial Narrow" w:hAnsi="Arial Narrow" w:cs="Arial"/>
                <w:color w:val="000000"/>
                <w:spacing w:val="23"/>
                <w:sz w:val="20"/>
                <w:szCs w:val="20"/>
                <w:shd w:val="solid" w:color="000000" w:fill="000000"/>
                <w:fitText w:val="310" w:id="-649843963"/>
                <w14:textFill>
                  <w14:solidFill>
                    <w14:srgbClr w14:val="000000">
                      <w14:alpha w14:val="100000"/>
                    </w14:srgbClr>
                  </w14:solidFill>
                </w14:textFill>
              </w:rPr>
              <w:t xml:space="preserve"> </w:t>
            </w:r>
            <w:r w:rsidRPr="00D70DBB">
              <w:rPr>
                <w:rFonts w:ascii="Arial Narrow" w:hAnsi="Arial Narrow" w:cs="Arial"/>
                <w:color w:val="000000"/>
                <w:spacing w:val="23"/>
                <w:sz w:val="20"/>
                <w:szCs w:val="20"/>
                <w:shd w:val="solid" w:color="000000" w:fill="000000"/>
                <w:fitText w:val="310" w:id="-649843963"/>
                <w14:textFill>
                  <w14:solidFill>
                    <w14:srgbClr w14:val="000000">
                      <w14:alpha w14:val="100000"/>
                    </w14:srgbClr>
                  </w14:solidFill>
                </w14:textFill>
              </w:rPr>
              <w:t>|</w:t>
            </w:r>
            <w:r w:rsidRPr="00D70DBB">
              <w:rPr>
                <w:rFonts w:ascii="Arial Narrow" w:hAnsi="Arial Narrow" w:cs="Arial"/>
                <w:color w:val="000000"/>
                <w:spacing w:val="3"/>
                <w:sz w:val="20"/>
                <w:szCs w:val="20"/>
                <w:shd w:val="solid" w:color="000000" w:fill="000000"/>
                <w:fitText w:val="310" w:id="-649843963"/>
                <w14:textFill>
                  <w14:solidFill>
                    <w14:srgbClr w14:val="000000">
                      <w14:alpha w14:val="100000"/>
                    </w14:srgbClr>
                  </w14:solidFill>
                </w14:textFill>
              </w:rPr>
              <w:t>|</w:t>
            </w:r>
          </w:p>
        </w:tc>
        <w:tc>
          <w:tcPr>
            <w:tcW w:w="1366" w:type="dxa"/>
            <w:vAlign w:val="center"/>
          </w:tcPr>
          <w:p w14:paraId="0C169169" w14:textId="77777777" w:rsidR="000B266B" w:rsidRPr="00FC4C9B" w:rsidRDefault="000B266B" w:rsidP="0041700E">
            <w:pPr>
              <w:keepLines/>
              <w:rPr>
                <w:rFonts w:ascii="Arial Narrow" w:hAnsi="Arial Narrow" w:cs="Arial"/>
                <w:sz w:val="20"/>
                <w:szCs w:val="20"/>
              </w:rPr>
            </w:pPr>
            <w:r w:rsidRPr="00FC4C9B">
              <w:rPr>
                <w:rFonts w:ascii="Arial Narrow" w:hAnsi="Arial Narrow" w:cs="Arial"/>
                <w:sz w:val="20"/>
                <w:szCs w:val="20"/>
              </w:rPr>
              <w:t>HEPCLUDEX</w:t>
            </w:r>
            <w:r w:rsidRPr="00FC4C9B">
              <w:rPr>
                <w:rFonts w:ascii="Arial Narrow" w:eastAsia="Calibri" w:hAnsi="Arial Narrow" w:cs="Arial"/>
                <w:sz w:val="20"/>
                <w:szCs w:val="20"/>
                <w:vertAlign w:val="superscript"/>
              </w:rPr>
              <w:t>®</w:t>
            </w:r>
          </w:p>
        </w:tc>
      </w:tr>
      <w:tr w:rsidR="000B266B" w:rsidRPr="00FC4C9B" w14:paraId="3DB576B6" w14:textId="77777777" w:rsidTr="00B678E8">
        <w:tblPrEx>
          <w:tblCellMar>
            <w:top w:w="15" w:type="dxa"/>
            <w:bottom w:w="15" w:type="dxa"/>
          </w:tblCellMar>
          <w:tblLook w:val="04A0" w:firstRow="1" w:lastRow="0" w:firstColumn="1" w:lastColumn="0" w:noHBand="0" w:noVBand="1"/>
        </w:tblPrEx>
        <w:trPr>
          <w:trHeight w:val="20"/>
        </w:trPr>
        <w:tc>
          <w:tcPr>
            <w:tcW w:w="9016" w:type="dxa"/>
            <w:gridSpan w:val="9"/>
            <w:tcBorders>
              <w:top w:val="single" w:sz="4" w:space="0" w:color="auto"/>
              <w:left w:val="single" w:sz="4" w:space="0" w:color="auto"/>
              <w:right w:val="single" w:sz="4" w:space="0" w:color="auto"/>
            </w:tcBorders>
            <w:vAlign w:val="center"/>
          </w:tcPr>
          <w:p w14:paraId="0147E1FE" w14:textId="77777777" w:rsidR="000B266B" w:rsidRPr="00FC4C9B" w:rsidRDefault="000B266B" w:rsidP="0041700E">
            <w:pPr>
              <w:rPr>
                <w:rFonts w:ascii="Arial Narrow" w:hAnsi="Arial Narrow" w:cs="Arial"/>
                <w:sz w:val="20"/>
                <w:szCs w:val="20"/>
              </w:rPr>
            </w:pPr>
          </w:p>
        </w:tc>
      </w:tr>
      <w:tr w:rsidR="000B266B" w:rsidRPr="00FC4C9B" w14:paraId="5FC901BD" w14:textId="77777777" w:rsidTr="00B678E8">
        <w:tblPrEx>
          <w:tblCellMar>
            <w:top w:w="15" w:type="dxa"/>
            <w:bottom w:w="15" w:type="dxa"/>
          </w:tblCellMar>
          <w:tblLook w:val="04A0" w:firstRow="1" w:lastRow="0" w:firstColumn="1" w:lastColumn="0" w:noHBand="0" w:noVBand="1"/>
        </w:tblPrEx>
        <w:trPr>
          <w:trHeight w:val="20"/>
        </w:trPr>
        <w:tc>
          <w:tcPr>
            <w:tcW w:w="9016" w:type="dxa"/>
            <w:gridSpan w:val="9"/>
            <w:tcBorders>
              <w:top w:val="single" w:sz="4" w:space="0" w:color="auto"/>
              <w:left w:val="single" w:sz="4" w:space="0" w:color="auto"/>
              <w:right w:val="single" w:sz="4" w:space="0" w:color="auto"/>
            </w:tcBorders>
            <w:vAlign w:val="center"/>
          </w:tcPr>
          <w:p w14:paraId="7597E8C0" w14:textId="77777777" w:rsidR="000B266B" w:rsidRPr="00FC4C9B" w:rsidRDefault="000B266B" w:rsidP="0041700E">
            <w:pPr>
              <w:keepLines/>
              <w:rPr>
                <w:rFonts w:ascii="Arial Narrow" w:hAnsi="Arial Narrow" w:cs="Arial"/>
                <w:b/>
                <w:sz w:val="20"/>
                <w:szCs w:val="20"/>
              </w:rPr>
            </w:pPr>
            <w:r w:rsidRPr="00FC4C9B">
              <w:rPr>
                <w:rFonts w:ascii="Arial Narrow" w:hAnsi="Arial Narrow"/>
                <w:b/>
                <w:sz w:val="20"/>
                <w:szCs w:val="20"/>
              </w:rPr>
              <w:t xml:space="preserve">Restriction Summary / Treatment of Concept: </w:t>
            </w:r>
          </w:p>
        </w:tc>
      </w:tr>
      <w:tr w:rsidR="000B266B" w:rsidRPr="00FC4C9B" w14:paraId="1E861051" w14:textId="77777777" w:rsidTr="00B678E8">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3D549065" w14:textId="77777777" w:rsidR="000B266B" w:rsidRPr="00FC4C9B" w:rsidRDefault="000B266B" w:rsidP="0041700E">
            <w:pPr>
              <w:rPr>
                <w:rFonts w:ascii="Arial Narrow" w:hAnsi="Arial Narrow" w:cs="Arial"/>
                <w:b/>
                <w:sz w:val="20"/>
                <w:szCs w:val="20"/>
              </w:rPr>
            </w:pPr>
          </w:p>
        </w:tc>
        <w:tc>
          <w:tcPr>
            <w:tcW w:w="7745" w:type="dxa"/>
            <w:gridSpan w:val="7"/>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0343945" w14:textId="77777777" w:rsidR="000B266B" w:rsidRPr="00FC4C9B" w:rsidRDefault="000B266B" w:rsidP="0041700E">
            <w:pPr>
              <w:keepLines/>
              <w:jc w:val="left"/>
              <w:rPr>
                <w:rFonts w:ascii="Arial Narrow" w:hAnsi="Arial Narrow" w:cs="Arial"/>
                <w:sz w:val="20"/>
                <w:szCs w:val="20"/>
              </w:rPr>
            </w:pPr>
            <w:r w:rsidRPr="00FC4C9B">
              <w:rPr>
                <w:rFonts w:ascii="Arial Narrow" w:hAnsi="Arial Narrow" w:cs="Arial"/>
                <w:b/>
                <w:sz w:val="20"/>
                <w:szCs w:val="20"/>
              </w:rPr>
              <w:t>Category / Program:</w:t>
            </w:r>
            <w:r w:rsidRPr="00FC4C9B">
              <w:rPr>
                <w:rFonts w:ascii="Arial Narrow" w:hAnsi="Arial Narrow" w:cs="Arial"/>
                <w:sz w:val="20"/>
                <w:szCs w:val="20"/>
              </w:rPr>
              <w:t xml:space="preserve"> </w:t>
            </w:r>
            <w:r w:rsidRPr="00FC4C9B">
              <w:rPr>
                <w:rFonts w:ascii="Arial Narrow" w:eastAsia="Calibri" w:hAnsi="Arial Narrow" w:cs="Arial"/>
                <w:sz w:val="20"/>
                <w:szCs w:val="20"/>
              </w:rPr>
              <w:br/>
            </w:r>
            <w:r w:rsidRPr="00FC4C9B">
              <w:rPr>
                <w:rFonts w:ascii="Arial Narrow" w:eastAsia="Calibri" w:hAnsi="Arial Narrow" w:cs="Arial"/>
                <w:sz w:val="20"/>
                <w:szCs w:val="20"/>
              </w:rPr>
              <w:fldChar w:fldCharType="begin">
                <w:ffData>
                  <w:name w:val=""/>
                  <w:enabled/>
                  <w:calcOnExit w:val="0"/>
                  <w:checkBox>
                    <w:sizeAuto/>
                    <w:default w:val="1"/>
                  </w:checkBox>
                </w:ffData>
              </w:fldChar>
            </w:r>
            <w:r w:rsidRPr="00FC4C9B">
              <w:rPr>
                <w:rFonts w:ascii="Arial Narrow" w:eastAsia="Calibri" w:hAnsi="Arial Narrow" w:cs="Arial"/>
                <w:sz w:val="20"/>
                <w:szCs w:val="20"/>
              </w:rPr>
              <w:instrText xml:space="preserve"> FORMCHECKBOX </w:instrText>
            </w:r>
            <w:r w:rsidRPr="00FC4C9B">
              <w:rPr>
                <w:rFonts w:ascii="Arial Narrow" w:eastAsia="Calibri" w:hAnsi="Arial Narrow" w:cs="Arial"/>
                <w:sz w:val="20"/>
                <w:szCs w:val="20"/>
              </w:rPr>
            </w:r>
            <w:r w:rsidRPr="00FC4C9B">
              <w:rPr>
                <w:rFonts w:ascii="Arial Narrow" w:eastAsia="Calibri" w:hAnsi="Arial Narrow" w:cs="Arial"/>
                <w:sz w:val="20"/>
                <w:szCs w:val="20"/>
              </w:rPr>
              <w:fldChar w:fldCharType="separate"/>
            </w:r>
            <w:r w:rsidRPr="00FC4C9B">
              <w:rPr>
                <w:rFonts w:ascii="Arial Narrow" w:eastAsia="Calibri" w:hAnsi="Arial Narrow" w:cs="Arial"/>
                <w:sz w:val="20"/>
                <w:szCs w:val="20"/>
              </w:rPr>
              <w:fldChar w:fldCharType="end"/>
            </w:r>
            <w:r w:rsidRPr="00FC4C9B">
              <w:rPr>
                <w:rFonts w:ascii="Arial Narrow" w:eastAsia="Calibri" w:hAnsi="Arial Narrow" w:cs="Arial"/>
                <w:sz w:val="20"/>
                <w:szCs w:val="20"/>
              </w:rPr>
              <w:t xml:space="preserve"> Section 100 – Highly Specialised Drugs Program – Public (Code HB) / Private (Code HS)</w:t>
            </w:r>
          </w:p>
        </w:tc>
      </w:tr>
      <w:tr w:rsidR="000B266B" w:rsidRPr="00FC4C9B" w14:paraId="070DD42A" w14:textId="77777777" w:rsidTr="00B678E8">
        <w:tblPrEx>
          <w:tblCellMar>
            <w:top w:w="15" w:type="dxa"/>
            <w:bottom w:w="15" w:type="dxa"/>
          </w:tblCellMar>
          <w:tblLook w:val="04A0" w:firstRow="1" w:lastRow="0" w:firstColumn="1" w:lastColumn="0" w:noHBand="0" w:noVBand="1"/>
        </w:tblPrEx>
        <w:trPr>
          <w:trHeight w:val="20"/>
        </w:trPr>
        <w:tc>
          <w:tcPr>
            <w:tcW w:w="1271" w:type="dxa"/>
            <w:gridSpan w:val="2"/>
            <w:vMerge/>
          </w:tcPr>
          <w:p w14:paraId="182CBDD5" w14:textId="77777777" w:rsidR="000B266B" w:rsidRPr="00FC4C9B" w:rsidRDefault="000B266B" w:rsidP="0041700E">
            <w:pPr>
              <w:rPr>
                <w:rFonts w:ascii="Arial Narrow" w:hAnsi="Arial Narrow" w:cs="Arial"/>
                <w:sz w:val="20"/>
                <w:szCs w:val="20"/>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077B5605" w14:textId="77777777" w:rsidR="000B266B" w:rsidRPr="00FC4C9B" w:rsidRDefault="000B266B" w:rsidP="0041700E">
            <w:pPr>
              <w:keepLines/>
              <w:jc w:val="left"/>
              <w:rPr>
                <w:rFonts w:ascii="Arial Narrow" w:hAnsi="Arial Narrow" w:cs="Arial"/>
                <w:b/>
                <w:sz w:val="20"/>
                <w:szCs w:val="20"/>
              </w:rPr>
            </w:pPr>
            <w:r w:rsidRPr="00FC4C9B">
              <w:rPr>
                <w:rFonts w:ascii="Arial Narrow" w:hAnsi="Arial Narrow" w:cs="Arial"/>
                <w:b/>
                <w:sz w:val="20"/>
                <w:szCs w:val="20"/>
              </w:rPr>
              <w:t xml:space="preserve">Prescriber type: </w:t>
            </w:r>
          </w:p>
          <w:p w14:paraId="219FB5CA" w14:textId="77777777" w:rsidR="000B266B" w:rsidRPr="00FC4C9B" w:rsidRDefault="000B266B" w:rsidP="0041700E">
            <w:pPr>
              <w:keepLines/>
              <w:jc w:val="left"/>
              <w:rPr>
                <w:rFonts w:ascii="Arial Narrow" w:hAnsi="Arial Narrow" w:cs="Arial"/>
                <w:b/>
                <w:sz w:val="20"/>
                <w:szCs w:val="20"/>
              </w:rPr>
            </w:pPr>
            <w:r w:rsidRPr="00FC4C9B">
              <w:rPr>
                <w:rFonts w:ascii="Arial Narrow" w:hAnsi="Arial Narrow" w:cs="Arial"/>
                <w:sz w:val="20"/>
                <w:szCs w:val="20"/>
              </w:rPr>
              <w:fldChar w:fldCharType="begin">
                <w:ffData>
                  <w:name w:val=""/>
                  <w:enabled/>
                  <w:calcOnExit w:val="0"/>
                  <w:checkBox>
                    <w:sizeAuto/>
                    <w:default w:val="1"/>
                  </w:checkBox>
                </w:ffData>
              </w:fldChar>
            </w:r>
            <w:r w:rsidRPr="00FC4C9B">
              <w:rPr>
                <w:rFonts w:ascii="Arial Narrow" w:hAnsi="Arial Narrow" w:cs="Arial"/>
                <w:sz w:val="20"/>
                <w:szCs w:val="20"/>
              </w:rPr>
              <w:instrText xml:space="preserve"> FORMCHECKBOX </w:instrText>
            </w:r>
            <w:r w:rsidRPr="00FC4C9B">
              <w:rPr>
                <w:rFonts w:ascii="Arial Narrow" w:hAnsi="Arial Narrow" w:cs="Arial"/>
                <w:sz w:val="20"/>
                <w:szCs w:val="20"/>
              </w:rPr>
            </w:r>
            <w:r w:rsidRPr="00FC4C9B">
              <w:rPr>
                <w:rFonts w:ascii="Arial Narrow" w:hAnsi="Arial Narrow" w:cs="Arial"/>
                <w:sz w:val="20"/>
                <w:szCs w:val="20"/>
              </w:rPr>
              <w:fldChar w:fldCharType="separate"/>
            </w:r>
            <w:r w:rsidRPr="00FC4C9B">
              <w:rPr>
                <w:rFonts w:ascii="Arial Narrow" w:hAnsi="Arial Narrow" w:cs="Arial"/>
                <w:sz w:val="20"/>
                <w:szCs w:val="20"/>
              </w:rPr>
              <w:fldChar w:fldCharType="end"/>
            </w:r>
            <w:r w:rsidRPr="00FC4C9B">
              <w:rPr>
                <w:rFonts w:ascii="Arial Narrow" w:hAnsi="Arial Narrow" w:cs="Arial"/>
                <w:sz w:val="20"/>
                <w:szCs w:val="20"/>
              </w:rPr>
              <w:t>Medical Practitioners</w:t>
            </w:r>
          </w:p>
        </w:tc>
      </w:tr>
      <w:tr w:rsidR="000B266B" w:rsidRPr="00FC4C9B" w14:paraId="4857D9D3" w14:textId="77777777" w:rsidTr="00B678E8">
        <w:tblPrEx>
          <w:tblCellMar>
            <w:top w:w="15" w:type="dxa"/>
            <w:bottom w:w="15" w:type="dxa"/>
          </w:tblCellMar>
          <w:tblLook w:val="04A0" w:firstRow="1" w:lastRow="0" w:firstColumn="1" w:lastColumn="0" w:noHBand="0" w:noVBand="1"/>
        </w:tblPrEx>
        <w:trPr>
          <w:trHeight w:val="20"/>
        </w:trPr>
        <w:tc>
          <w:tcPr>
            <w:tcW w:w="1271" w:type="dxa"/>
            <w:gridSpan w:val="2"/>
            <w:vMerge/>
          </w:tcPr>
          <w:p w14:paraId="3890F133" w14:textId="77777777" w:rsidR="000B266B" w:rsidRPr="00FC4C9B" w:rsidRDefault="000B266B" w:rsidP="0041700E">
            <w:pPr>
              <w:rPr>
                <w:rFonts w:ascii="Arial Narrow" w:hAnsi="Arial Narrow" w:cs="Arial"/>
                <w:sz w:val="20"/>
                <w:szCs w:val="20"/>
              </w:rPr>
            </w:pPr>
          </w:p>
        </w:tc>
        <w:tc>
          <w:tcPr>
            <w:tcW w:w="7745" w:type="dxa"/>
            <w:gridSpan w:val="7"/>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B82163C" w14:textId="77777777" w:rsidR="000B266B" w:rsidRPr="00FC4C9B" w:rsidRDefault="000B266B" w:rsidP="0041700E">
            <w:pPr>
              <w:keepLines/>
              <w:jc w:val="left"/>
              <w:rPr>
                <w:rFonts w:ascii="Arial Narrow" w:hAnsi="Arial Narrow" w:cs="Arial"/>
                <w:b/>
                <w:sz w:val="20"/>
                <w:szCs w:val="20"/>
              </w:rPr>
            </w:pPr>
            <w:r w:rsidRPr="00FC4C9B">
              <w:rPr>
                <w:rFonts w:ascii="Arial Narrow" w:hAnsi="Arial Narrow" w:cs="Arial"/>
                <w:b/>
                <w:sz w:val="20"/>
                <w:szCs w:val="20"/>
              </w:rPr>
              <w:t xml:space="preserve">Restriction type: </w:t>
            </w:r>
          </w:p>
          <w:p w14:paraId="389BB412" w14:textId="77777777" w:rsidR="000B266B" w:rsidRPr="00FC4C9B" w:rsidRDefault="000B266B" w:rsidP="0041700E">
            <w:pPr>
              <w:keepLines/>
              <w:jc w:val="left"/>
              <w:rPr>
                <w:rFonts w:ascii="Arial Narrow" w:eastAsia="Calibri" w:hAnsi="Arial Narrow" w:cs="Arial"/>
                <w:sz w:val="20"/>
                <w:szCs w:val="20"/>
              </w:rPr>
            </w:pPr>
            <w:r w:rsidRPr="00FC4C9B">
              <w:rPr>
                <w:rFonts w:ascii="Arial Narrow" w:eastAsia="Calibri" w:hAnsi="Arial Narrow" w:cs="Arial"/>
                <w:sz w:val="20"/>
                <w:szCs w:val="20"/>
              </w:rPr>
              <w:fldChar w:fldCharType="begin">
                <w:ffData>
                  <w:name w:val=""/>
                  <w:enabled/>
                  <w:calcOnExit w:val="0"/>
                  <w:checkBox>
                    <w:sizeAuto/>
                    <w:default w:val="1"/>
                  </w:checkBox>
                </w:ffData>
              </w:fldChar>
            </w:r>
            <w:r w:rsidRPr="00FC4C9B">
              <w:rPr>
                <w:rFonts w:ascii="Arial Narrow" w:eastAsia="Calibri" w:hAnsi="Arial Narrow" w:cs="Arial"/>
                <w:sz w:val="20"/>
                <w:szCs w:val="20"/>
              </w:rPr>
              <w:instrText xml:space="preserve"> FORMCHECKBOX </w:instrText>
            </w:r>
            <w:r w:rsidRPr="00FC4C9B">
              <w:rPr>
                <w:rFonts w:ascii="Arial Narrow" w:eastAsia="Calibri" w:hAnsi="Arial Narrow" w:cs="Arial"/>
                <w:sz w:val="20"/>
                <w:szCs w:val="20"/>
              </w:rPr>
            </w:r>
            <w:r w:rsidRPr="00FC4C9B">
              <w:rPr>
                <w:rFonts w:ascii="Arial Narrow" w:eastAsia="Calibri" w:hAnsi="Arial Narrow" w:cs="Arial"/>
                <w:sz w:val="20"/>
                <w:szCs w:val="20"/>
              </w:rPr>
              <w:fldChar w:fldCharType="separate"/>
            </w:r>
            <w:r w:rsidRPr="00FC4C9B">
              <w:rPr>
                <w:rFonts w:ascii="Arial Narrow" w:eastAsia="Calibri" w:hAnsi="Arial Narrow" w:cs="Arial"/>
                <w:sz w:val="20"/>
                <w:szCs w:val="20"/>
              </w:rPr>
              <w:fldChar w:fldCharType="end"/>
            </w:r>
            <w:r w:rsidRPr="00FC4C9B">
              <w:rPr>
                <w:rFonts w:ascii="Arial Narrow" w:eastAsia="Calibri" w:hAnsi="Arial Narrow" w:cs="Arial"/>
                <w:sz w:val="20"/>
                <w:szCs w:val="20"/>
              </w:rPr>
              <w:t xml:space="preserve">Authority Required (Streamlined) [new] </w:t>
            </w:r>
          </w:p>
        </w:tc>
      </w:tr>
      <w:tr w:rsidR="000B266B" w:rsidRPr="00FC4C9B" w14:paraId="1B595AD3" w14:textId="77777777" w:rsidTr="00B678E8">
        <w:tblPrEx>
          <w:tblCellMar>
            <w:top w:w="15" w:type="dxa"/>
            <w:bottom w:w="15" w:type="dxa"/>
          </w:tblCellMar>
        </w:tblPrEx>
        <w:trPr>
          <w:trHeight w:val="20"/>
        </w:trPr>
        <w:tc>
          <w:tcPr>
            <w:tcW w:w="562" w:type="dxa"/>
            <w:tcBorders>
              <w:left w:val="single" w:sz="4" w:space="0" w:color="auto"/>
              <w:right w:val="single" w:sz="4" w:space="0" w:color="auto"/>
            </w:tcBorders>
            <w:textDirection w:val="btLr"/>
            <w:vAlign w:val="center"/>
          </w:tcPr>
          <w:p w14:paraId="6D4C51D6" w14:textId="77777777" w:rsidR="000B266B" w:rsidRPr="00FC4C9B" w:rsidRDefault="000B266B" w:rsidP="0041700E">
            <w:pPr>
              <w:rPr>
                <w:rFonts w:ascii="Arial Narrow" w:hAnsi="Arial Narrow" w:cs="Arial"/>
                <w:sz w:val="20"/>
                <w:szCs w:val="20"/>
              </w:rPr>
            </w:pPr>
          </w:p>
        </w:tc>
        <w:tc>
          <w:tcPr>
            <w:tcW w:w="709" w:type="dxa"/>
            <w:vAlign w:val="center"/>
          </w:tcPr>
          <w:p w14:paraId="23EC64F2" w14:textId="77777777" w:rsidR="000B266B" w:rsidRPr="00FC4C9B" w:rsidRDefault="000B266B" w:rsidP="0041700E">
            <w:pPr>
              <w:rPr>
                <w:rFonts w:ascii="Arial Narrow" w:eastAsia="Times New Roman" w:hAnsi="Arial Narrow"/>
                <w:sz w:val="20"/>
                <w:szCs w:val="20"/>
                <w:lang w:eastAsia="en-AU"/>
              </w:rPr>
            </w:pPr>
          </w:p>
        </w:tc>
        <w:tc>
          <w:tcPr>
            <w:tcW w:w="7745" w:type="dxa"/>
            <w:gridSpan w:val="7"/>
            <w:vAlign w:val="center"/>
          </w:tcPr>
          <w:p w14:paraId="3EE96876" w14:textId="77777777" w:rsidR="000B266B" w:rsidRPr="00FC4C9B" w:rsidRDefault="000B266B" w:rsidP="0041700E">
            <w:pPr>
              <w:jc w:val="left"/>
              <w:rPr>
                <w:rFonts w:ascii="Arial Narrow" w:eastAsia="Times New Roman" w:hAnsi="Arial Narrow"/>
                <w:b/>
                <w:bCs/>
                <w:sz w:val="20"/>
                <w:szCs w:val="20"/>
                <w:lang w:eastAsia="en-AU"/>
              </w:rPr>
            </w:pPr>
            <w:r w:rsidRPr="00FC4C9B">
              <w:rPr>
                <w:rFonts w:ascii="Arial Narrow" w:eastAsia="Times New Roman" w:hAnsi="Arial Narrow"/>
                <w:b/>
                <w:bCs/>
                <w:sz w:val="20"/>
                <w:szCs w:val="20"/>
                <w:lang w:eastAsia="en-AU"/>
              </w:rPr>
              <w:t xml:space="preserve">Authority type: </w:t>
            </w:r>
            <w:r w:rsidRPr="00FC4C9B">
              <w:rPr>
                <w:rFonts w:ascii="Arial Narrow" w:eastAsia="Times New Roman" w:hAnsi="Arial Narrow"/>
                <w:b/>
                <w:bCs/>
                <w:sz w:val="20"/>
                <w:szCs w:val="20"/>
                <w:lang w:eastAsia="en-AU"/>
              </w:rPr>
              <w:br/>
            </w:r>
            <w:r w:rsidRPr="00FC4C9B">
              <w:rPr>
                <w:rFonts w:ascii="Arial Narrow" w:eastAsia="Times New Roman" w:hAnsi="Arial Narrow"/>
                <w:sz w:val="20"/>
                <w:szCs w:val="20"/>
                <w:lang w:eastAsia="en-AU"/>
              </w:rPr>
              <w:fldChar w:fldCharType="begin">
                <w:ffData>
                  <w:name w:val="Check1"/>
                  <w:enabled/>
                  <w:calcOnExit w:val="0"/>
                  <w:checkBox>
                    <w:sizeAuto/>
                    <w:default w:val="1"/>
                  </w:checkBox>
                </w:ffData>
              </w:fldChar>
            </w:r>
            <w:r w:rsidRPr="00FC4C9B">
              <w:rPr>
                <w:rFonts w:ascii="Arial Narrow" w:eastAsia="Times New Roman" w:hAnsi="Arial Narrow"/>
                <w:sz w:val="20"/>
                <w:szCs w:val="20"/>
                <w:lang w:eastAsia="en-AU"/>
              </w:rPr>
              <w:instrText xml:space="preserve"> FORMCHECKBOX </w:instrText>
            </w:r>
            <w:r w:rsidRPr="00FC4C9B">
              <w:rPr>
                <w:rFonts w:ascii="Arial Narrow" w:eastAsia="Times New Roman" w:hAnsi="Arial Narrow"/>
                <w:b/>
                <w:bCs/>
                <w:sz w:val="20"/>
                <w:szCs w:val="20"/>
                <w:lang w:eastAsia="en-AU"/>
              </w:rPr>
            </w:r>
            <w:r w:rsidRPr="00FC4C9B">
              <w:rPr>
                <w:rFonts w:ascii="Arial Narrow" w:eastAsia="Times New Roman" w:hAnsi="Arial Narrow"/>
                <w:b/>
                <w:bCs/>
                <w:sz w:val="20"/>
                <w:szCs w:val="20"/>
                <w:lang w:eastAsia="en-AU"/>
              </w:rPr>
              <w:fldChar w:fldCharType="separate"/>
            </w:r>
            <w:r w:rsidRPr="00FC4C9B">
              <w:rPr>
                <w:rFonts w:ascii="Arial Narrow" w:eastAsia="Times New Roman" w:hAnsi="Arial Narrow"/>
                <w:sz w:val="20"/>
                <w:szCs w:val="20"/>
                <w:lang w:eastAsia="en-AU"/>
              </w:rPr>
              <w:fldChar w:fldCharType="end"/>
            </w:r>
            <w:r w:rsidRPr="00FC4C9B">
              <w:rPr>
                <w:rFonts w:ascii="Arial Narrow" w:eastAsia="Times New Roman" w:hAnsi="Arial Narrow"/>
                <w:sz w:val="20"/>
                <w:szCs w:val="20"/>
                <w:lang w:eastAsia="en-AU"/>
              </w:rPr>
              <w:t xml:space="preserve"> Non-complex Authority Required (non-CAR)</w:t>
            </w:r>
          </w:p>
        </w:tc>
      </w:tr>
      <w:tr w:rsidR="000B266B" w:rsidRPr="00FC4C9B" w14:paraId="4443E0F1" w14:textId="77777777" w:rsidTr="00B678E8">
        <w:tblPrEx>
          <w:tblCellMar>
            <w:top w:w="15" w:type="dxa"/>
            <w:bottom w:w="15" w:type="dxa"/>
          </w:tblCellMar>
        </w:tblPrEx>
        <w:trPr>
          <w:trHeight w:val="20"/>
        </w:trPr>
        <w:tc>
          <w:tcPr>
            <w:tcW w:w="562" w:type="dxa"/>
            <w:vMerge w:val="restart"/>
            <w:tcBorders>
              <w:left w:val="single" w:sz="4" w:space="0" w:color="auto"/>
              <w:right w:val="single" w:sz="4" w:space="0" w:color="auto"/>
            </w:tcBorders>
            <w:textDirection w:val="btLr"/>
            <w:vAlign w:val="center"/>
          </w:tcPr>
          <w:p w14:paraId="4DFE0FF7" w14:textId="77777777" w:rsidR="000B266B" w:rsidRPr="00FC4C9B" w:rsidRDefault="000B266B" w:rsidP="0041700E">
            <w:pPr>
              <w:jc w:val="center"/>
              <w:rPr>
                <w:rFonts w:ascii="Arial Narrow" w:hAnsi="Arial Narrow" w:cs="Arial"/>
                <w:sz w:val="20"/>
                <w:szCs w:val="20"/>
              </w:rPr>
            </w:pPr>
          </w:p>
        </w:tc>
        <w:tc>
          <w:tcPr>
            <w:tcW w:w="709" w:type="dxa"/>
            <w:vAlign w:val="center"/>
          </w:tcPr>
          <w:p w14:paraId="26B7633A" w14:textId="77777777" w:rsidR="000B266B" w:rsidRPr="00FC4C9B" w:rsidRDefault="000B266B" w:rsidP="0041700E">
            <w:pPr>
              <w:rPr>
                <w:rFonts w:ascii="Arial Narrow" w:eastAsia="Times New Roman" w:hAnsi="Arial Narrow"/>
                <w:sz w:val="20"/>
                <w:szCs w:val="20"/>
                <w:lang w:eastAsia="en-AU"/>
              </w:rPr>
            </w:pPr>
          </w:p>
        </w:tc>
        <w:tc>
          <w:tcPr>
            <w:tcW w:w="7745" w:type="dxa"/>
            <w:gridSpan w:val="7"/>
            <w:vAlign w:val="center"/>
          </w:tcPr>
          <w:p w14:paraId="64668282" w14:textId="77777777" w:rsidR="000B266B" w:rsidRPr="00FC4C9B" w:rsidRDefault="000B266B" w:rsidP="0041700E">
            <w:pPr>
              <w:rPr>
                <w:rFonts w:ascii="Arial Narrow" w:eastAsia="Times New Roman" w:hAnsi="Arial Narrow"/>
                <w:sz w:val="20"/>
                <w:szCs w:val="20"/>
                <w:lang w:eastAsia="en-AU"/>
              </w:rPr>
            </w:pPr>
            <w:r w:rsidRPr="00FC4C9B">
              <w:rPr>
                <w:rFonts w:ascii="Arial Narrow" w:eastAsia="Times New Roman" w:hAnsi="Arial Narrow"/>
                <w:b/>
                <w:bCs/>
                <w:sz w:val="20"/>
                <w:szCs w:val="20"/>
                <w:lang w:eastAsia="en-AU"/>
              </w:rPr>
              <w:t>Administrative Advice:</w:t>
            </w:r>
          </w:p>
          <w:p w14:paraId="4BA99848" w14:textId="77777777" w:rsidR="000B266B" w:rsidRPr="00FC4C9B" w:rsidRDefault="000B266B" w:rsidP="0041700E">
            <w:pPr>
              <w:rPr>
                <w:rFonts w:ascii="Arial Narrow" w:eastAsia="Times New Roman" w:hAnsi="Arial Narrow"/>
                <w:sz w:val="20"/>
                <w:szCs w:val="20"/>
                <w:lang w:eastAsia="en-AU"/>
              </w:rPr>
            </w:pPr>
            <w:r w:rsidRPr="00FC4C9B">
              <w:rPr>
                <w:rFonts w:ascii="Arial Narrow" w:eastAsia="Times New Roman" w:hAnsi="Arial Narrow"/>
                <w:sz w:val="20"/>
                <w:szCs w:val="20"/>
                <w:lang w:eastAsia="en-AU"/>
              </w:rPr>
              <w:t>No increase in the maximum quantity or number of units may be authorised.</w:t>
            </w:r>
          </w:p>
        </w:tc>
      </w:tr>
      <w:tr w:rsidR="000B266B" w:rsidRPr="00FC4C9B" w14:paraId="44B38DCB" w14:textId="77777777" w:rsidTr="00B678E8">
        <w:tblPrEx>
          <w:tblCellMar>
            <w:top w:w="15" w:type="dxa"/>
            <w:bottom w:w="15" w:type="dxa"/>
          </w:tblCellMar>
        </w:tblPrEx>
        <w:trPr>
          <w:trHeight w:val="20"/>
        </w:trPr>
        <w:tc>
          <w:tcPr>
            <w:tcW w:w="562" w:type="dxa"/>
            <w:vMerge/>
          </w:tcPr>
          <w:p w14:paraId="7B194EC5" w14:textId="77777777" w:rsidR="000B266B" w:rsidRPr="00FC4C9B" w:rsidRDefault="000B266B" w:rsidP="0041700E">
            <w:pPr>
              <w:rPr>
                <w:rFonts w:ascii="Arial Narrow" w:hAnsi="Arial Narrow" w:cs="Arial"/>
                <w:sz w:val="20"/>
                <w:szCs w:val="20"/>
              </w:rPr>
            </w:pPr>
          </w:p>
        </w:tc>
        <w:tc>
          <w:tcPr>
            <w:tcW w:w="709" w:type="dxa"/>
            <w:vAlign w:val="center"/>
          </w:tcPr>
          <w:p w14:paraId="14EFD7E0" w14:textId="77777777" w:rsidR="000B266B" w:rsidRPr="00FC4C9B" w:rsidRDefault="000B266B" w:rsidP="0041700E">
            <w:pPr>
              <w:rPr>
                <w:rFonts w:ascii="Arial Narrow" w:eastAsia="Times New Roman" w:hAnsi="Arial Narrow"/>
                <w:sz w:val="20"/>
                <w:szCs w:val="20"/>
                <w:lang w:eastAsia="en-AU"/>
              </w:rPr>
            </w:pPr>
          </w:p>
        </w:tc>
        <w:tc>
          <w:tcPr>
            <w:tcW w:w="7745" w:type="dxa"/>
            <w:gridSpan w:val="7"/>
            <w:vAlign w:val="center"/>
          </w:tcPr>
          <w:p w14:paraId="50396D0A" w14:textId="77777777" w:rsidR="000B266B" w:rsidRPr="00FC4C9B" w:rsidRDefault="000B266B" w:rsidP="0041700E">
            <w:pPr>
              <w:rPr>
                <w:rFonts w:ascii="Arial Narrow" w:eastAsia="Times New Roman" w:hAnsi="Arial Narrow"/>
                <w:sz w:val="20"/>
                <w:szCs w:val="20"/>
                <w:lang w:eastAsia="en-AU"/>
              </w:rPr>
            </w:pPr>
            <w:r w:rsidRPr="00FC4C9B">
              <w:rPr>
                <w:rFonts w:ascii="Arial Narrow" w:eastAsia="Times New Roman" w:hAnsi="Arial Narrow"/>
                <w:b/>
                <w:bCs/>
                <w:sz w:val="20"/>
                <w:szCs w:val="20"/>
                <w:lang w:eastAsia="en-AU"/>
              </w:rPr>
              <w:t>Administrative Advice:</w:t>
            </w:r>
          </w:p>
          <w:p w14:paraId="4618E91B" w14:textId="77777777" w:rsidR="000B266B" w:rsidRPr="00FC4C9B" w:rsidRDefault="000B266B" w:rsidP="0041700E">
            <w:pPr>
              <w:rPr>
                <w:rFonts w:ascii="Arial Narrow" w:eastAsia="Times New Roman" w:hAnsi="Arial Narrow"/>
                <w:b/>
                <w:bCs/>
                <w:sz w:val="20"/>
                <w:szCs w:val="20"/>
                <w:lang w:eastAsia="en-AU"/>
              </w:rPr>
            </w:pPr>
            <w:r w:rsidRPr="00FC4C9B">
              <w:rPr>
                <w:rFonts w:ascii="Arial Narrow" w:eastAsia="Times New Roman" w:hAnsi="Arial Narrow"/>
                <w:sz w:val="20"/>
                <w:szCs w:val="20"/>
                <w:lang w:eastAsia="en-AU"/>
              </w:rPr>
              <w:t>No increase in the maximum number of repeats may be authorised.</w:t>
            </w:r>
          </w:p>
        </w:tc>
      </w:tr>
      <w:tr w:rsidR="000B266B" w:rsidRPr="00FC4C9B" w14:paraId="150032C2" w14:textId="77777777" w:rsidTr="00B678E8">
        <w:tblPrEx>
          <w:tblCellMar>
            <w:top w:w="15" w:type="dxa"/>
            <w:bottom w:w="15" w:type="dxa"/>
          </w:tblCellMar>
        </w:tblPrEx>
        <w:trPr>
          <w:trHeight w:val="20"/>
        </w:trPr>
        <w:tc>
          <w:tcPr>
            <w:tcW w:w="562" w:type="dxa"/>
            <w:vMerge/>
          </w:tcPr>
          <w:p w14:paraId="37538E8C" w14:textId="77777777" w:rsidR="000B266B" w:rsidRPr="00FC4C9B" w:rsidRDefault="000B266B" w:rsidP="0041700E">
            <w:pPr>
              <w:rPr>
                <w:rFonts w:ascii="Arial Narrow" w:hAnsi="Arial Narrow" w:cs="Arial"/>
                <w:sz w:val="20"/>
                <w:szCs w:val="20"/>
              </w:rPr>
            </w:pPr>
          </w:p>
        </w:tc>
        <w:tc>
          <w:tcPr>
            <w:tcW w:w="709" w:type="dxa"/>
            <w:vAlign w:val="center"/>
          </w:tcPr>
          <w:p w14:paraId="1B90569F" w14:textId="77777777" w:rsidR="000B266B" w:rsidRPr="00FC4C9B" w:rsidRDefault="000B266B" w:rsidP="0041700E">
            <w:pPr>
              <w:rPr>
                <w:rFonts w:ascii="Arial Narrow" w:eastAsia="Times New Roman" w:hAnsi="Arial Narrow"/>
                <w:sz w:val="20"/>
                <w:szCs w:val="20"/>
                <w:lang w:eastAsia="en-AU"/>
              </w:rPr>
            </w:pPr>
          </w:p>
        </w:tc>
        <w:tc>
          <w:tcPr>
            <w:tcW w:w="7745" w:type="dxa"/>
            <w:gridSpan w:val="7"/>
            <w:shd w:val="clear" w:color="auto" w:fill="BDD6EE" w:themeFill="accent1" w:themeFillTint="66"/>
            <w:vAlign w:val="center"/>
          </w:tcPr>
          <w:p w14:paraId="0B57C95D" w14:textId="77777777" w:rsidR="000B266B" w:rsidRPr="00FC4C9B" w:rsidRDefault="000B266B" w:rsidP="0041700E">
            <w:pPr>
              <w:rPr>
                <w:rFonts w:ascii="Arial Narrow" w:eastAsia="Times New Roman" w:hAnsi="Arial Narrow"/>
                <w:sz w:val="20"/>
                <w:szCs w:val="20"/>
                <w:lang w:eastAsia="en-AU"/>
              </w:rPr>
            </w:pPr>
            <w:r w:rsidRPr="00FC4C9B">
              <w:rPr>
                <w:rFonts w:ascii="Arial Narrow" w:eastAsia="Times New Roman" w:hAnsi="Arial Narrow"/>
                <w:b/>
                <w:bCs/>
                <w:sz w:val="20"/>
                <w:szCs w:val="20"/>
                <w:lang w:eastAsia="en-AU"/>
              </w:rPr>
              <w:t>Administrative Advice:</w:t>
            </w:r>
          </w:p>
          <w:p w14:paraId="41D49FB8" w14:textId="77777777" w:rsidR="000B266B" w:rsidRPr="00FC4C9B" w:rsidRDefault="000B266B" w:rsidP="0041700E">
            <w:pPr>
              <w:rPr>
                <w:rFonts w:ascii="Arial Narrow" w:eastAsia="Times New Roman" w:hAnsi="Arial Narrow"/>
                <w:b/>
                <w:bCs/>
                <w:sz w:val="20"/>
                <w:szCs w:val="20"/>
                <w:lang w:eastAsia="en-AU"/>
              </w:rPr>
            </w:pPr>
            <w:r w:rsidRPr="00FC4C9B">
              <w:rPr>
                <w:rFonts w:ascii="Arial Narrow" w:eastAsia="Times New Roman" w:hAnsi="Arial Narrow"/>
                <w:sz w:val="20"/>
                <w:szCs w:val="20"/>
                <w:lang w:eastAsia="en-AU"/>
              </w:rPr>
              <w:t>Special Pricing Arrangements apply.</w:t>
            </w:r>
          </w:p>
        </w:tc>
      </w:tr>
      <w:tr w:rsidR="000B266B" w:rsidRPr="00FC4C9B" w14:paraId="6CE4BA54" w14:textId="77777777" w:rsidTr="00B678E8">
        <w:tblPrEx>
          <w:tblCellMar>
            <w:top w:w="15" w:type="dxa"/>
            <w:bottom w:w="15" w:type="dxa"/>
          </w:tblCellMar>
          <w:tblLook w:val="04A0" w:firstRow="1" w:lastRow="0" w:firstColumn="1" w:lastColumn="0" w:noHBand="0" w:noVBand="1"/>
        </w:tblPrEx>
        <w:trPr>
          <w:cantSplit/>
          <w:trHeight w:val="20"/>
        </w:trPr>
        <w:tc>
          <w:tcPr>
            <w:tcW w:w="1271" w:type="dxa"/>
            <w:gridSpan w:val="2"/>
            <w:vMerge w:val="restart"/>
            <w:vAlign w:val="center"/>
          </w:tcPr>
          <w:p w14:paraId="43A7F8F2" w14:textId="77777777" w:rsidR="000B266B" w:rsidRPr="00FC4C9B" w:rsidRDefault="000B266B" w:rsidP="0041700E">
            <w:pPr>
              <w:keepLines/>
              <w:rPr>
                <w:rFonts w:ascii="Arial Narrow" w:eastAsia="Times New Roman" w:hAnsi="Arial Narrow"/>
                <w:sz w:val="20"/>
                <w:szCs w:val="20"/>
                <w:lang w:eastAsia="en-AU"/>
              </w:rPr>
            </w:pPr>
          </w:p>
        </w:tc>
        <w:tc>
          <w:tcPr>
            <w:tcW w:w="7745" w:type="dxa"/>
            <w:gridSpan w:val="7"/>
            <w:shd w:val="clear" w:color="auto" w:fill="BDD6EE" w:themeFill="accent1" w:themeFillTint="66"/>
            <w:vAlign w:val="center"/>
          </w:tcPr>
          <w:p w14:paraId="1E0625CC" w14:textId="77777777" w:rsidR="000B266B" w:rsidRPr="00FC4C9B" w:rsidRDefault="000B266B" w:rsidP="0041700E">
            <w:pPr>
              <w:keepLines/>
              <w:rPr>
                <w:rFonts w:ascii="Arial Narrow" w:eastAsia="Times New Roman" w:hAnsi="Arial Narrow"/>
                <w:sz w:val="20"/>
                <w:szCs w:val="20"/>
                <w:lang w:eastAsia="en-AU"/>
              </w:rPr>
            </w:pPr>
            <w:r w:rsidRPr="4904BCD2">
              <w:rPr>
                <w:rFonts w:ascii="Arial Narrow" w:eastAsia="Times New Roman" w:hAnsi="Arial Narrow"/>
                <w:b/>
                <w:bCs/>
                <w:sz w:val="20"/>
                <w:szCs w:val="20"/>
                <w:lang w:eastAsia="en-AU"/>
              </w:rPr>
              <w:t xml:space="preserve">Episodicity: </w:t>
            </w:r>
            <w:r w:rsidRPr="4904BCD2">
              <w:rPr>
                <w:rFonts w:ascii="Arial Narrow" w:eastAsia="Times New Roman" w:hAnsi="Arial Narrow"/>
                <w:sz w:val="20"/>
                <w:szCs w:val="20"/>
                <w:lang w:eastAsia="en-AU"/>
              </w:rPr>
              <w:t>Chronic</w:t>
            </w:r>
          </w:p>
        </w:tc>
      </w:tr>
      <w:tr w:rsidR="000B266B" w:rsidRPr="00FC4C9B" w14:paraId="4FD3A6AB" w14:textId="77777777" w:rsidTr="00B678E8">
        <w:tblPrEx>
          <w:tblCellMar>
            <w:top w:w="15" w:type="dxa"/>
            <w:bottom w:w="15" w:type="dxa"/>
          </w:tblCellMar>
          <w:tblLook w:val="04A0" w:firstRow="1" w:lastRow="0" w:firstColumn="1" w:lastColumn="0" w:noHBand="0" w:noVBand="1"/>
        </w:tblPrEx>
        <w:trPr>
          <w:cantSplit/>
          <w:trHeight w:val="20"/>
        </w:trPr>
        <w:tc>
          <w:tcPr>
            <w:tcW w:w="1271" w:type="dxa"/>
            <w:gridSpan w:val="2"/>
            <w:vMerge/>
            <w:vAlign w:val="center"/>
          </w:tcPr>
          <w:p w14:paraId="1DCD23B3" w14:textId="77777777" w:rsidR="000B266B" w:rsidRPr="00FC4C9B" w:rsidRDefault="000B266B" w:rsidP="0041700E">
            <w:pPr>
              <w:keepLines/>
              <w:rPr>
                <w:rFonts w:ascii="Arial Narrow" w:eastAsia="Times New Roman" w:hAnsi="Arial Narrow"/>
                <w:sz w:val="20"/>
                <w:szCs w:val="20"/>
                <w:lang w:eastAsia="en-AU"/>
              </w:rPr>
            </w:pPr>
          </w:p>
        </w:tc>
        <w:tc>
          <w:tcPr>
            <w:tcW w:w="7745" w:type="dxa"/>
            <w:gridSpan w:val="7"/>
            <w:shd w:val="clear" w:color="auto" w:fill="BDD6EE" w:themeFill="accent1" w:themeFillTint="66"/>
            <w:vAlign w:val="center"/>
          </w:tcPr>
          <w:p w14:paraId="61DF552E" w14:textId="77777777" w:rsidR="000B266B" w:rsidRPr="00FC4C9B" w:rsidRDefault="000B266B" w:rsidP="0041700E">
            <w:pPr>
              <w:keepLines/>
              <w:rPr>
                <w:rFonts w:ascii="Arial Narrow" w:eastAsia="Times New Roman" w:hAnsi="Arial Narrow"/>
                <w:b/>
                <w:bCs/>
                <w:sz w:val="20"/>
                <w:szCs w:val="20"/>
                <w:lang w:eastAsia="en-AU"/>
              </w:rPr>
            </w:pPr>
            <w:r w:rsidRPr="00FC4C9B">
              <w:rPr>
                <w:rFonts w:ascii="Arial Narrow" w:eastAsia="Times New Roman" w:hAnsi="Arial Narrow"/>
                <w:b/>
                <w:bCs/>
                <w:sz w:val="20"/>
                <w:szCs w:val="20"/>
                <w:lang w:eastAsia="en-AU"/>
              </w:rPr>
              <w:t xml:space="preserve">Condition: </w:t>
            </w:r>
            <w:r w:rsidRPr="00FC4C9B">
              <w:rPr>
                <w:rFonts w:ascii="Arial Narrow" w:eastAsia="Times New Roman" w:hAnsi="Arial Narrow"/>
                <w:bCs/>
                <w:sz w:val="20"/>
                <w:szCs w:val="20"/>
                <w:lang w:eastAsia="en-AU"/>
              </w:rPr>
              <w:t>Hepatitis D infection</w:t>
            </w:r>
          </w:p>
        </w:tc>
      </w:tr>
      <w:tr w:rsidR="000B266B" w:rsidRPr="00FC4C9B" w14:paraId="107E449F" w14:textId="77777777" w:rsidTr="00B678E8">
        <w:tblPrEx>
          <w:tblCellMar>
            <w:top w:w="15" w:type="dxa"/>
            <w:bottom w:w="15" w:type="dxa"/>
          </w:tblCellMar>
        </w:tblPrEx>
        <w:trPr>
          <w:cantSplit/>
          <w:trHeight w:val="20"/>
        </w:trPr>
        <w:tc>
          <w:tcPr>
            <w:tcW w:w="1271" w:type="dxa"/>
            <w:gridSpan w:val="2"/>
            <w:vAlign w:val="center"/>
          </w:tcPr>
          <w:p w14:paraId="05ADC99D" w14:textId="77777777" w:rsidR="000B266B" w:rsidRPr="00FC4C9B" w:rsidRDefault="000B266B" w:rsidP="0041700E">
            <w:pPr>
              <w:keepLines/>
              <w:rPr>
                <w:rFonts w:ascii="Arial Narrow" w:eastAsia="Times New Roman" w:hAnsi="Arial Narrow"/>
                <w:sz w:val="20"/>
                <w:szCs w:val="20"/>
                <w:lang w:eastAsia="en-AU"/>
              </w:rPr>
            </w:pPr>
          </w:p>
        </w:tc>
        <w:tc>
          <w:tcPr>
            <w:tcW w:w="7745" w:type="dxa"/>
            <w:gridSpan w:val="7"/>
            <w:shd w:val="clear" w:color="auto" w:fill="BDD6EE" w:themeFill="accent1" w:themeFillTint="66"/>
            <w:vAlign w:val="center"/>
            <w:hideMark/>
          </w:tcPr>
          <w:p w14:paraId="771C3731" w14:textId="77777777" w:rsidR="000B266B" w:rsidRPr="00FC4C9B" w:rsidRDefault="000B266B" w:rsidP="0041700E">
            <w:pPr>
              <w:keepLines/>
              <w:rPr>
                <w:rFonts w:ascii="Arial Narrow" w:eastAsia="Times New Roman" w:hAnsi="Arial Narrow"/>
                <w:sz w:val="20"/>
                <w:szCs w:val="20"/>
                <w:lang w:eastAsia="en-AU"/>
              </w:rPr>
            </w:pPr>
            <w:r w:rsidRPr="00FC4C9B">
              <w:rPr>
                <w:rFonts w:ascii="Arial Narrow" w:eastAsia="Times New Roman" w:hAnsi="Arial Narrow"/>
                <w:b/>
                <w:bCs/>
                <w:sz w:val="20"/>
                <w:szCs w:val="20"/>
                <w:lang w:eastAsia="en-AU"/>
              </w:rPr>
              <w:t>Indication:</w:t>
            </w:r>
            <w:r w:rsidRPr="00FC4C9B">
              <w:rPr>
                <w:rFonts w:ascii="Arial Narrow" w:eastAsia="Times New Roman" w:hAnsi="Arial Narrow"/>
                <w:sz w:val="20"/>
                <w:szCs w:val="20"/>
                <w:lang w:eastAsia="en-AU"/>
              </w:rPr>
              <w:t xml:space="preserve"> Chronic Hepatitis D infection</w:t>
            </w:r>
          </w:p>
        </w:tc>
      </w:tr>
      <w:tr w:rsidR="000B266B" w:rsidRPr="00FC4C9B" w14:paraId="445AE594" w14:textId="77777777" w:rsidTr="00B678E8">
        <w:tblPrEx>
          <w:tblCellMar>
            <w:top w:w="15" w:type="dxa"/>
            <w:bottom w:w="15" w:type="dxa"/>
          </w:tblCellMar>
        </w:tblPrEx>
        <w:trPr>
          <w:cantSplit/>
          <w:trHeight w:val="20"/>
        </w:trPr>
        <w:tc>
          <w:tcPr>
            <w:tcW w:w="1271" w:type="dxa"/>
            <w:gridSpan w:val="2"/>
            <w:vAlign w:val="center"/>
          </w:tcPr>
          <w:p w14:paraId="571B37F1" w14:textId="77777777" w:rsidR="000B266B" w:rsidRPr="00FC4C9B" w:rsidRDefault="000B266B" w:rsidP="0041700E">
            <w:pPr>
              <w:rPr>
                <w:rFonts w:ascii="Arial Narrow" w:eastAsia="Times New Roman" w:hAnsi="Arial Narrow"/>
                <w:sz w:val="20"/>
                <w:szCs w:val="20"/>
                <w:lang w:eastAsia="en-AU"/>
              </w:rPr>
            </w:pPr>
          </w:p>
        </w:tc>
        <w:tc>
          <w:tcPr>
            <w:tcW w:w="7745" w:type="dxa"/>
            <w:gridSpan w:val="7"/>
            <w:shd w:val="clear" w:color="auto" w:fill="BDD6EE" w:themeFill="accent1" w:themeFillTint="66"/>
            <w:vAlign w:val="center"/>
            <w:hideMark/>
          </w:tcPr>
          <w:p w14:paraId="4A3DEA86" w14:textId="77777777" w:rsidR="000B266B" w:rsidRPr="00FC4C9B" w:rsidRDefault="000B266B" w:rsidP="0041700E">
            <w:pPr>
              <w:rPr>
                <w:rFonts w:ascii="Arial Narrow" w:eastAsia="Times New Roman" w:hAnsi="Arial Narrow"/>
                <w:sz w:val="20"/>
                <w:szCs w:val="20"/>
                <w:lang w:eastAsia="en-AU"/>
              </w:rPr>
            </w:pPr>
            <w:r w:rsidRPr="00FC4C9B">
              <w:rPr>
                <w:rFonts w:ascii="Arial Narrow" w:eastAsia="Times New Roman" w:hAnsi="Arial Narrow"/>
                <w:b/>
                <w:bCs/>
                <w:sz w:val="20"/>
                <w:szCs w:val="20"/>
                <w:lang w:eastAsia="en-AU"/>
              </w:rPr>
              <w:t xml:space="preserve">Clinical criteria: </w:t>
            </w:r>
          </w:p>
        </w:tc>
      </w:tr>
      <w:tr w:rsidR="000B266B" w:rsidRPr="00FC4C9B" w14:paraId="4FF518AB" w14:textId="77777777" w:rsidTr="00B678E8">
        <w:tblPrEx>
          <w:tblCellMar>
            <w:top w:w="15" w:type="dxa"/>
            <w:bottom w:w="15" w:type="dxa"/>
          </w:tblCellMar>
        </w:tblPrEx>
        <w:trPr>
          <w:cantSplit/>
          <w:trHeight w:val="20"/>
        </w:trPr>
        <w:tc>
          <w:tcPr>
            <w:tcW w:w="1271" w:type="dxa"/>
            <w:gridSpan w:val="2"/>
            <w:vAlign w:val="center"/>
          </w:tcPr>
          <w:p w14:paraId="6E2642DE" w14:textId="77777777" w:rsidR="000B266B" w:rsidRPr="00FC4C9B" w:rsidRDefault="000B266B" w:rsidP="0041700E">
            <w:pPr>
              <w:rPr>
                <w:rFonts w:ascii="Arial Narrow" w:eastAsia="Times New Roman" w:hAnsi="Arial Narrow"/>
                <w:sz w:val="20"/>
                <w:szCs w:val="20"/>
                <w:lang w:eastAsia="en-AU"/>
              </w:rPr>
            </w:pPr>
          </w:p>
        </w:tc>
        <w:tc>
          <w:tcPr>
            <w:tcW w:w="7745" w:type="dxa"/>
            <w:gridSpan w:val="7"/>
            <w:shd w:val="clear" w:color="auto" w:fill="BDD6EE" w:themeFill="accent1" w:themeFillTint="66"/>
            <w:vAlign w:val="center"/>
            <w:hideMark/>
          </w:tcPr>
          <w:p w14:paraId="4CE03243" w14:textId="77777777" w:rsidR="000B266B" w:rsidRPr="00FC4C9B" w:rsidRDefault="000B266B" w:rsidP="0041700E">
            <w:pPr>
              <w:rPr>
                <w:rFonts w:ascii="Arial Narrow" w:eastAsia="Times New Roman" w:hAnsi="Arial Narrow"/>
                <w:sz w:val="20"/>
                <w:szCs w:val="20"/>
                <w:lang w:eastAsia="en-AU"/>
              </w:rPr>
            </w:pPr>
            <w:r w:rsidRPr="4904BCD2">
              <w:rPr>
                <w:rFonts w:ascii="Arial Narrow" w:eastAsia="Times New Roman" w:hAnsi="Arial Narrow"/>
                <w:sz w:val="20"/>
                <w:szCs w:val="20"/>
                <w:lang w:eastAsia="en-AU"/>
              </w:rPr>
              <w:t xml:space="preserve">Patient must have detectable hepatitis delta virus (HDV) RNA levels </w:t>
            </w:r>
            <w:r w:rsidRPr="4904BCD2">
              <w:rPr>
                <w:rFonts w:ascii="Arial Narrow" w:eastAsia="Times New Roman" w:hAnsi="Arial Narrow"/>
                <w:i/>
                <w:iCs/>
                <w:sz w:val="20"/>
                <w:szCs w:val="20"/>
                <w:lang w:eastAsia="en-AU"/>
              </w:rPr>
              <w:t>prior to commencing treatment with bulevirtide</w:t>
            </w:r>
            <w:r w:rsidRPr="4904BCD2">
              <w:rPr>
                <w:rFonts w:ascii="Arial Narrow" w:eastAsia="Times New Roman" w:hAnsi="Arial Narrow"/>
                <w:sz w:val="20"/>
                <w:szCs w:val="20"/>
                <w:lang w:eastAsia="en-AU"/>
              </w:rPr>
              <w:t xml:space="preserve"> </w:t>
            </w:r>
          </w:p>
        </w:tc>
      </w:tr>
      <w:tr w:rsidR="000B266B" w:rsidRPr="00FC4C9B" w14:paraId="7EB04EE2" w14:textId="77777777" w:rsidTr="00B678E8">
        <w:tblPrEx>
          <w:tblCellMar>
            <w:top w:w="15" w:type="dxa"/>
            <w:bottom w:w="15" w:type="dxa"/>
          </w:tblCellMar>
        </w:tblPrEx>
        <w:trPr>
          <w:cantSplit/>
          <w:trHeight w:val="20"/>
        </w:trPr>
        <w:tc>
          <w:tcPr>
            <w:tcW w:w="1271" w:type="dxa"/>
            <w:gridSpan w:val="2"/>
            <w:vAlign w:val="center"/>
          </w:tcPr>
          <w:p w14:paraId="08C03A48" w14:textId="77777777" w:rsidR="000B266B" w:rsidRPr="00FC4C9B" w:rsidRDefault="000B266B" w:rsidP="0041700E">
            <w:pPr>
              <w:rPr>
                <w:rFonts w:ascii="Arial Narrow" w:eastAsia="Times New Roman" w:hAnsi="Arial Narrow"/>
                <w:sz w:val="20"/>
                <w:szCs w:val="20"/>
                <w:lang w:eastAsia="en-AU"/>
              </w:rPr>
            </w:pPr>
          </w:p>
        </w:tc>
        <w:tc>
          <w:tcPr>
            <w:tcW w:w="7745" w:type="dxa"/>
            <w:gridSpan w:val="7"/>
            <w:shd w:val="clear" w:color="auto" w:fill="BDD6EE" w:themeFill="accent1" w:themeFillTint="66"/>
            <w:vAlign w:val="center"/>
            <w:hideMark/>
          </w:tcPr>
          <w:p w14:paraId="51888DAF" w14:textId="77777777" w:rsidR="000B266B" w:rsidRPr="00FC4C9B" w:rsidRDefault="000B266B" w:rsidP="0041700E">
            <w:pPr>
              <w:rPr>
                <w:rFonts w:ascii="Arial Narrow" w:eastAsia="Times New Roman" w:hAnsi="Arial Narrow"/>
                <w:sz w:val="20"/>
                <w:szCs w:val="20"/>
                <w:lang w:eastAsia="en-AU"/>
              </w:rPr>
            </w:pPr>
            <w:r w:rsidRPr="00FC4C9B">
              <w:rPr>
                <w:rFonts w:ascii="Arial Narrow" w:eastAsia="Times New Roman" w:hAnsi="Arial Narrow"/>
                <w:b/>
                <w:bCs/>
                <w:sz w:val="20"/>
                <w:szCs w:val="20"/>
                <w:lang w:eastAsia="en-AU"/>
              </w:rPr>
              <w:t>AND</w:t>
            </w:r>
          </w:p>
        </w:tc>
      </w:tr>
      <w:tr w:rsidR="000B266B" w:rsidRPr="00FC4C9B" w14:paraId="6B88C03B" w14:textId="77777777" w:rsidTr="00B678E8">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CCF2BE9" w14:textId="77777777" w:rsidR="000B266B" w:rsidRPr="00FC4C9B" w:rsidRDefault="000B266B" w:rsidP="0041700E">
            <w:pPr>
              <w:rPr>
                <w:rFonts w:ascii="Arial Narrow" w:eastAsia="Times New Roman" w:hAnsi="Arial Narrow"/>
                <w:sz w:val="20"/>
                <w:szCs w:val="20"/>
                <w:lang w:eastAsia="en-AU"/>
              </w:rPr>
            </w:pPr>
          </w:p>
        </w:tc>
        <w:tc>
          <w:tcPr>
            <w:tcW w:w="7745" w:type="dxa"/>
            <w:gridSpan w:val="7"/>
            <w:shd w:val="clear" w:color="auto" w:fill="BDD6EE" w:themeFill="accent1" w:themeFillTint="66"/>
            <w:vAlign w:val="center"/>
            <w:hideMark/>
          </w:tcPr>
          <w:p w14:paraId="42D47491" w14:textId="77777777" w:rsidR="000B266B" w:rsidRPr="00FC4C9B" w:rsidRDefault="000B266B" w:rsidP="0041700E">
            <w:pPr>
              <w:rPr>
                <w:rFonts w:ascii="Arial Narrow" w:eastAsia="Times New Roman" w:hAnsi="Arial Narrow"/>
                <w:sz w:val="20"/>
                <w:szCs w:val="20"/>
                <w:lang w:eastAsia="en-AU"/>
              </w:rPr>
            </w:pPr>
            <w:r w:rsidRPr="00FC4C9B">
              <w:rPr>
                <w:rFonts w:ascii="Arial Narrow" w:eastAsia="Times New Roman" w:hAnsi="Arial Narrow"/>
                <w:b/>
                <w:bCs/>
                <w:sz w:val="20"/>
                <w:szCs w:val="20"/>
                <w:lang w:eastAsia="en-AU"/>
              </w:rPr>
              <w:t>Clinical criteria:</w:t>
            </w:r>
          </w:p>
        </w:tc>
      </w:tr>
      <w:tr w:rsidR="000B266B" w:rsidRPr="00FC4C9B" w14:paraId="58831B02" w14:textId="77777777" w:rsidTr="00B678E8">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843844D" w14:textId="77777777" w:rsidR="000B266B" w:rsidRPr="00FC4C9B" w:rsidRDefault="000B266B" w:rsidP="0041700E">
            <w:pPr>
              <w:rPr>
                <w:rFonts w:ascii="Arial Narrow" w:eastAsia="Times New Roman" w:hAnsi="Arial Narrow"/>
                <w:sz w:val="20"/>
                <w:szCs w:val="20"/>
                <w:lang w:eastAsia="en-AU"/>
              </w:rPr>
            </w:pPr>
          </w:p>
        </w:tc>
        <w:tc>
          <w:tcPr>
            <w:tcW w:w="7745" w:type="dxa"/>
            <w:gridSpan w:val="7"/>
            <w:shd w:val="clear" w:color="auto" w:fill="BDD6EE" w:themeFill="accent1" w:themeFillTint="66"/>
            <w:vAlign w:val="center"/>
            <w:hideMark/>
          </w:tcPr>
          <w:p w14:paraId="51377B54" w14:textId="77777777" w:rsidR="000B266B" w:rsidRPr="00FC4C9B" w:rsidRDefault="000B266B" w:rsidP="0041700E">
            <w:pPr>
              <w:rPr>
                <w:rFonts w:ascii="Arial Narrow" w:eastAsia="Times New Roman" w:hAnsi="Arial Narrow"/>
                <w:sz w:val="20"/>
                <w:szCs w:val="20"/>
                <w:lang w:eastAsia="en-AU"/>
              </w:rPr>
            </w:pPr>
            <w:r w:rsidRPr="4904BCD2">
              <w:rPr>
                <w:rFonts w:ascii="Arial Narrow" w:eastAsia="Times New Roman" w:hAnsi="Arial Narrow"/>
                <w:sz w:val="20"/>
                <w:szCs w:val="20"/>
                <w:lang w:eastAsia="en-AU"/>
              </w:rPr>
              <w:t xml:space="preserve">Patient must have elevated serum alanine transaminase (ALT) </w:t>
            </w:r>
            <w:r w:rsidRPr="4904BCD2">
              <w:rPr>
                <w:rFonts w:ascii="Arial Narrow" w:eastAsia="Times New Roman" w:hAnsi="Arial Narrow"/>
                <w:i/>
                <w:iCs/>
                <w:sz w:val="20"/>
                <w:szCs w:val="20"/>
                <w:lang w:eastAsia="en-AU"/>
              </w:rPr>
              <w:t>level prior to commencing treatment with bulevirtide</w:t>
            </w:r>
          </w:p>
        </w:tc>
      </w:tr>
      <w:tr w:rsidR="000B266B" w:rsidRPr="00FC4C9B" w14:paraId="5DF2C49E" w14:textId="77777777" w:rsidTr="00B678E8">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8AFFF3B" w14:textId="77777777" w:rsidR="000B266B" w:rsidRPr="00FC4C9B" w:rsidRDefault="000B266B" w:rsidP="0041700E">
            <w:pPr>
              <w:rPr>
                <w:rFonts w:ascii="Arial Narrow" w:eastAsia="Times New Roman" w:hAnsi="Arial Narrow"/>
                <w:sz w:val="20"/>
                <w:szCs w:val="20"/>
                <w:lang w:eastAsia="en-AU"/>
              </w:rPr>
            </w:pPr>
          </w:p>
        </w:tc>
        <w:tc>
          <w:tcPr>
            <w:tcW w:w="7745" w:type="dxa"/>
            <w:gridSpan w:val="7"/>
            <w:shd w:val="clear" w:color="auto" w:fill="BDD6EE" w:themeFill="accent1" w:themeFillTint="66"/>
            <w:vAlign w:val="center"/>
            <w:hideMark/>
          </w:tcPr>
          <w:p w14:paraId="52DF5CAA" w14:textId="77777777" w:rsidR="000B266B" w:rsidRPr="00FC4C9B" w:rsidRDefault="000B266B" w:rsidP="0041700E">
            <w:pPr>
              <w:rPr>
                <w:rFonts w:ascii="Arial Narrow" w:eastAsia="Times New Roman" w:hAnsi="Arial Narrow"/>
                <w:sz w:val="20"/>
                <w:szCs w:val="20"/>
                <w:lang w:eastAsia="en-AU"/>
              </w:rPr>
            </w:pPr>
            <w:r w:rsidRPr="00FC4C9B">
              <w:rPr>
                <w:rFonts w:ascii="Arial Narrow" w:eastAsia="Times New Roman" w:hAnsi="Arial Narrow"/>
                <w:b/>
                <w:bCs/>
                <w:sz w:val="20"/>
                <w:szCs w:val="20"/>
                <w:lang w:eastAsia="en-AU"/>
              </w:rPr>
              <w:t>AND</w:t>
            </w:r>
          </w:p>
        </w:tc>
      </w:tr>
      <w:tr w:rsidR="000B266B" w:rsidRPr="00FC4C9B" w14:paraId="45AE7F2C" w14:textId="77777777" w:rsidTr="00B678E8">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56DB997" w14:textId="77777777" w:rsidR="000B266B" w:rsidRPr="00FC4C9B" w:rsidRDefault="000B266B" w:rsidP="0041700E">
            <w:pPr>
              <w:rPr>
                <w:rFonts w:ascii="Arial Narrow" w:eastAsia="Times New Roman" w:hAnsi="Arial Narrow"/>
                <w:sz w:val="20"/>
                <w:szCs w:val="20"/>
                <w:lang w:eastAsia="en-AU"/>
              </w:rPr>
            </w:pPr>
          </w:p>
        </w:tc>
        <w:tc>
          <w:tcPr>
            <w:tcW w:w="7745" w:type="dxa"/>
            <w:gridSpan w:val="7"/>
            <w:shd w:val="clear" w:color="auto" w:fill="BDD6EE" w:themeFill="accent1" w:themeFillTint="66"/>
            <w:vAlign w:val="center"/>
            <w:hideMark/>
          </w:tcPr>
          <w:p w14:paraId="1D75A7AE" w14:textId="77777777" w:rsidR="000B266B" w:rsidRPr="00FC4C9B" w:rsidRDefault="000B266B" w:rsidP="0041700E">
            <w:pPr>
              <w:rPr>
                <w:rFonts w:ascii="Arial Narrow" w:eastAsia="Times New Roman" w:hAnsi="Arial Narrow"/>
                <w:sz w:val="20"/>
                <w:szCs w:val="20"/>
                <w:lang w:eastAsia="en-AU"/>
              </w:rPr>
            </w:pPr>
            <w:r w:rsidRPr="00FC4C9B">
              <w:rPr>
                <w:rFonts w:ascii="Arial Narrow" w:eastAsia="Times New Roman" w:hAnsi="Arial Narrow"/>
                <w:b/>
                <w:bCs/>
                <w:sz w:val="20"/>
                <w:szCs w:val="20"/>
                <w:lang w:eastAsia="en-AU"/>
              </w:rPr>
              <w:t>Clinical criteria:</w:t>
            </w:r>
          </w:p>
        </w:tc>
      </w:tr>
      <w:tr w:rsidR="000B266B" w:rsidRPr="00FC4C9B" w14:paraId="411F5889" w14:textId="77777777" w:rsidTr="00B678E8">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251A754" w14:textId="77777777" w:rsidR="000B266B" w:rsidRPr="00FC4C9B" w:rsidRDefault="000B266B" w:rsidP="0041700E">
            <w:pPr>
              <w:rPr>
                <w:rFonts w:ascii="Arial Narrow" w:eastAsia="Times New Roman" w:hAnsi="Arial Narrow"/>
                <w:sz w:val="20"/>
                <w:szCs w:val="20"/>
                <w:lang w:eastAsia="en-AU"/>
              </w:rPr>
            </w:pPr>
          </w:p>
        </w:tc>
        <w:tc>
          <w:tcPr>
            <w:tcW w:w="7745" w:type="dxa"/>
            <w:gridSpan w:val="7"/>
            <w:shd w:val="clear" w:color="auto" w:fill="BDD6EE" w:themeFill="accent1" w:themeFillTint="66"/>
            <w:vAlign w:val="center"/>
            <w:hideMark/>
          </w:tcPr>
          <w:p w14:paraId="218D3462" w14:textId="77777777" w:rsidR="000B266B" w:rsidRPr="00FC4C9B" w:rsidRDefault="000B266B" w:rsidP="0041700E">
            <w:pPr>
              <w:rPr>
                <w:rFonts w:ascii="Arial Narrow" w:eastAsia="Times New Roman" w:hAnsi="Arial Narrow"/>
                <w:sz w:val="20"/>
                <w:szCs w:val="20"/>
                <w:lang w:eastAsia="en-AU"/>
              </w:rPr>
            </w:pPr>
            <w:r w:rsidRPr="4904BCD2">
              <w:rPr>
                <w:rFonts w:ascii="Arial Narrow" w:eastAsia="Times New Roman" w:hAnsi="Arial Narrow"/>
                <w:sz w:val="20"/>
                <w:szCs w:val="20"/>
                <w:lang w:eastAsia="en-AU"/>
              </w:rPr>
              <w:t>Patient must not have current or previous (within last 2 years) decompensated liver disease</w:t>
            </w:r>
          </w:p>
        </w:tc>
      </w:tr>
      <w:tr w:rsidR="000B266B" w:rsidRPr="00FC4C9B" w14:paraId="11423E3D" w14:textId="77777777" w:rsidTr="00B678E8">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A945DCD" w14:textId="77777777" w:rsidR="000B266B" w:rsidRPr="00FC4C9B" w:rsidRDefault="000B266B" w:rsidP="0041700E">
            <w:pPr>
              <w:keepNext/>
              <w:rPr>
                <w:rFonts w:ascii="Arial Narrow" w:eastAsia="Times New Roman" w:hAnsi="Arial Narrow"/>
                <w:sz w:val="20"/>
                <w:szCs w:val="20"/>
                <w:lang w:eastAsia="en-AU"/>
              </w:rPr>
            </w:pPr>
          </w:p>
        </w:tc>
        <w:tc>
          <w:tcPr>
            <w:tcW w:w="7745" w:type="dxa"/>
            <w:gridSpan w:val="7"/>
            <w:vAlign w:val="center"/>
          </w:tcPr>
          <w:p w14:paraId="58DF801A" w14:textId="77777777" w:rsidR="000B266B" w:rsidRPr="00FC4C9B" w:rsidRDefault="000B266B" w:rsidP="0041700E">
            <w:pPr>
              <w:keepNext/>
              <w:rPr>
                <w:rFonts w:ascii="Arial Narrow" w:eastAsia="Times New Roman" w:hAnsi="Arial Narrow"/>
                <w:b/>
                <w:bCs/>
                <w:sz w:val="20"/>
                <w:szCs w:val="20"/>
                <w:lang w:eastAsia="en-AU"/>
              </w:rPr>
            </w:pPr>
            <w:r w:rsidRPr="00FC4C9B">
              <w:rPr>
                <w:rFonts w:ascii="Arial Narrow" w:eastAsia="Times New Roman" w:hAnsi="Arial Narrow"/>
                <w:b/>
                <w:bCs/>
                <w:sz w:val="20"/>
                <w:szCs w:val="20"/>
                <w:lang w:eastAsia="en-AU"/>
              </w:rPr>
              <w:t>AND</w:t>
            </w:r>
          </w:p>
        </w:tc>
      </w:tr>
      <w:tr w:rsidR="000B266B" w:rsidRPr="00FC4C9B" w14:paraId="54E81D30" w14:textId="77777777" w:rsidTr="00B678E8">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55A6701" w14:textId="77777777" w:rsidR="000B266B" w:rsidRPr="00FC4C9B" w:rsidRDefault="000B266B" w:rsidP="0041700E">
            <w:pPr>
              <w:keepNext/>
              <w:rPr>
                <w:rFonts w:ascii="Arial Narrow" w:eastAsia="Times New Roman" w:hAnsi="Arial Narrow"/>
                <w:sz w:val="20"/>
                <w:szCs w:val="20"/>
                <w:lang w:eastAsia="en-AU"/>
              </w:rPr>
            </w:pPr>
          </w:p>
        </w:tc>
        <w:tc>
          <w:tcPr>
            <w:tcW w:w="7745" w:type="dxa"/>
            <w:gridSpan w:val="7"/>
            <w:vAlign w:val="center"/>
          </w:tcPr>
          <w:p w14:paraId="682E57B8" w14:textId="77777777" w:rsidR="000B266B" w:rsidRPr="00FC4C9B" w:rsidRDefault="000B266B" w:rsidP="0041700E">
            <w:pPr>
              <w:keepNext/>
              <w:rPr>
                <w:rFonts w:ascii="Arial Narrow" w:eastAsia="Times New Roman" w:hAnsi="Arial Narrow"/>
                <w:b/>
                <w:bCs/>
                <w:sz w:val="20"/>
                <w:szCs w:val="20"/>
                <w:lang w:eastAsia="en-AU"/>
              </w:rPr>
            </w:pPr>
            <w:r w:rsidRPr="00FC4C9B">
              <w:rPr>
                <w:rFonts w:ascii="Arial Narrow" w:eastAsia="Times New Roman" w:hAnsi="Arial Narrow"/>
                <w:b/>
                <w:bCs/>
                <w:sz w:val="20"/>
                <w:szCs w:val="20"/>
                <w:lang w:eastAsia="en-AU"/>
              </w:rPr>
              <w:t>Treatment criteria:</w:t>
            </w:r>
          </w:p>
        </w:tc>
      </w:tr>
      <w:tr w:rsidR="000B266B" w:rsidRPr="00FC4C9B" w14:paraId="00810437" w14:textId="77777777" w:rsidTr="00B678E8">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7B49121" w14:textId="77777777" w:rsidR="000B266B" w:rsidRPr="00FC4C9B" w:rsidRDefault="000B266B" w:rsidP="0041700E">
            <w:pPr>
              <w:keepNext/>
              <w:rPr>
                <w:rFonts w:ascii="Arial Narrow" w:eastAsia="Times New Roman" w:hAnsi="Arial Narrow"/>
                <w:sz w:val="20"/>
                <w:szCs w:val="20"/>
                <w:lang w:eastAsia="en-AU"/>
              </w:rPr>
            </w:pPr>
          </w:p>
        </w:tc>
        <w:tc>
          <w:tcPr>
            <w:tcW w:w="7745" w:type="dxa"/>
            <w:gridSpan w:val="7"/>
            <w:vAlign w:val="center"/>
          </w:tcPr>
          <w:p w14:paraId="15307EE6" w14:textId="77777777" w:rsidR="000B266B" w:rsidRPr="00FC4C9B" w:rsidRDefault="000B266B" w:rsidP="0041700E">
            <w:pPr>
              <w:keepNext/>
              <w:rPr>
                <w:rFonts w:ascii="Arial Narrow" w:eastAsia="Times New Roman" w:hAnsi="Arial Narrow"/>
                <w:sz w:val="20"/>
                <w:szCs w:val="20"/>
                <w:lang w:eastAsia="en-AU"/>
              </w:rPr>
            </w:pPr>
            <w:r w:rsidRPr="4904BCD2">
              <w:rPr>
                <w:rFonts w:ascii="Arial Narrow" w:eastAsia="Times New Roman" w:hAnsi="Arial Narrow"/>
                <w:sz w:val="20"/>
                <w:szCs w:val="20"/>
                <w:lang w:eastAsia="en-AU"/>
              </w:rPr>
              <w:t>The treatment must be initiated in consultation with a physician experienced in the management of patients with viral hepatitis</w:t>
            </w:r>
          </w:p>
        </w:tc>
      </w:tr>
      <w:tr w:rsidR="000B266B" w:rsidRPr="00FC4C9B" w14:paraId="6AE87047" w14:textId="77777777" w:rsidTr="00B678E8">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08B7078" w14:textId="77777777" w:rsidR="000B266B" w:rsidRPr="00FC4C9B" w:rsidRDefault="000B266B" w:rsidP="0041700E">
            <w:pPr>
              <w:rPr>
                <w:rFonts w:ascii="Arial Narrow" w:eastAsia="Times New Roman" w:hAnsi="Arial Narrow"/>
                <w:strike/>
                <w:sz w:val="20"/>
                <w:szCs w:val="20"/>
                <w:lang w:eastAsia="en-AU"/>
              </w:rPr>
            </w:pPr>
          </w:p>
        </w:tc>
        <w:tc>
          <w:tcPr>
            <w:tcW w:w="7745" w:type="dxa"/>
            <w:gridSpan w:val="7"/>
            <w:vAlign w:val="center"/>
          </w:tcPr>
          <w:p w14:paraId="3066982B" w14:textId="77777777" w:rsidR="000B266B" w:rsidRPr="00FC4C9B" w:rsidRDefault="000B266B" w:rsidP="0041700E">
            <w:pPr>
              <w:rPr>
                <w:rFonts w:ascii="Arial Narrow" w:eastAsia="Times New Roman" w:hAnsi="Arial Narrow"/>
                <w:b/>
                <w:bCs/>
                <w:strike/>
                <w:sz w:val="20"/>
                <w:szCs w:val="20"/>
                <w:lang w:eastAsia="en-AU"/>
              </w:rPr>
            </w:pPr>
            <w:r w:rsidRPr="00FC4C9B">
              <w:rPr>
                <w:rFonts w:ascii="Arial Narrow" w:eastAsia="Times New Roman" w:hAnsi="Arial Narrow"/>
                <w:b/>
                <w:bCs/>
                <w:strike/>
                <w:sz w:val="20"/>
                <w:szCs w:val="20"/>
                <w:lang w:eastAsia="en-AU"/>
              </w:rPr>
              <w:t>AND</w:t>
            </w:r>
          </w:p>
        </w:tc>
      </w:tr>
      <w:tr w:rsidR="000B266B" w:rsidRPr="00FC4C9B" w14:paraId="296388D1" w14:textId="77777777" w:rsidTr="00B678E8">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22838A5" w14:textId="77777777" w:rsidR="000B266B" w:rsidRPr="00FC4C9B" w:rsidRDefault="000B266B" w:rsidP="0041700E">
            <w:pPr>
              <w:rPr>
                <w:rFonts w:ascii="Arial Narrow" w:eastAsia="Times New Roman" w:hAnsi="Arial Narrow"/>
                <w:sz w:val="20"/>
                <w:szCs w:val="20"/>
                <w:lang w:eastAsia="en-AU"/>
              </w:rPr>
            </w:pPr>
          </w:p>
        </w:tc>
        <w:tc>
          <w:tcPr>
            <w:tcW w:w="7745" w:type="dxa"/>
            <w:gridSpan w:val="7"/>
            <w:shd w:val="clear" w:color="auto" w:fill="BDD6EE" w:themeFill="accent1" w:themeFillTint="66"/>
            <w:vAlign w:val="center"/>
          </w:tcPr>
          <w:p w14:paraId="0C11FEAA" w14:textId="77777777" w:rsidR="000B266B" w:rsidRPr="00FC4C9B" w:rsidRDefault="000B266B" w:rsidP="0041700E">
            <w:pPr>
              <w:rPr>
                <w:rFonts w:ascii="Arial Narrow" w:eastAsia="Times New Roman" w:hAnsi="Arial Narrow"/>
                <w:bCs/>
                <w:sz w:val="20"/>
                <w:szCs w:val="20"/>
                <w:lang w:eastAsia="en-AU"/>
              </w:rPr>
            </w:pPr>
            <w:r w:rsidRPr="00FC4C9B">
              <w:rPr>
                <w:rFonts w:ascii="Arial Narrow" w:eastAsia="Times New Roman" w:hAnsi="Arial Narrow"/>
                <w:b/>
                <w:bCs/>
                <w:sz w:val="20"/>
                <w:szCs w:val="20"/>
                <w:lang w:eastAsia="en-AU"/>
              </w:rPr>
              <w:t>Admin</w:t>
            </w:r>
            <w:r w:rsidRPr="00AD00A3">
              <w:rPr>
                <w:rFonts w:ascii="Arial Narrow" w:eastAsia="Times New Roman" w:hAnsi="Arial Narrow"/>
                <w:b/>
                <w:bCs/>
                <w:sz w:val="20"/>
                <w:szCs w:val="20"/>
                <w:shd w:val="clear" w:color="auto" w:fill="BDD6EE" w:themeFill="accent1" w:themeFillTint="66"/>
                <w:lang w:eastAsia="en-AU"/>
              </w:rPr>
              <w:t>i</w:t>
            </w:r>
            <w:r w:rsidRPr="00FC4C9B">
              <w:rPr>
                <w:rFonts w:ascii="Arial Narrow" w:eastAsia="Times New Roman" w:hAnsi="Arial Narrow"/>
                <w:b/>
                <w:bCs/>
                <w:sz w:val="20"/>
                <w:szCs w:val="20"/>
                <w:lang w:eastAsia="en-AU"/>
              </w:rPr>
              <w:t xml:space="preserve">strative Advice: </w:t>
            </w:r>
            <w:r w:rsidRPr="00FC4C9B">
              <w:rPr>
                <w:rFonts w:ascii="Arial Narrow" w:eastAsia="Times New Roman" w:hAnsi="Arial Narrow"/>
                <w:bCs/>
                <w:sz w:val="20"/>
                <w:szCs w:val="20"/>
                <w:lang w:eastAsia="en-AU"/>
              </w:rPr>
              <w:t>Treatment can be as monotherapy for chronic hepatitis D virus or in co-administration with another therapy for Hepatitis B virus infection.</w:t>
            </w:r>
          </w:p>
        </w:tc>
      </w:tr>
    </w:tbl>
    <w:p w14:paraId="6A847138" w14:textId="77777777" w:rsidR="000B266B" w:rsidRDefault="000B266B" w:rsidP="0041700E">
      <w:pPr>
        <w:pStyle w:val="TableFooter"/>
        <w:widowControl/>
        <w:spacing w:after="120"/>
      </w:pPr>
      <w:r w:rsidRPr="4904BCD2">
        <w:t xml:space="preserve">Note: </w:t>
      </w:r>
      <w:r w:rsidRPr="4904BCD2">
        <w:rPr>
          <w:shd w:val="clear" w:color="auto" w:fill="BDD6EE" w:themeFill="accent1" w:themeFillTint="66"/>
        </w:rPr>
        <w:t xml:space="preserve">Blue </w:t>
      </w:r>
      <w:r w:rsidRPr="4904BCD2">
        <w:t>shading denotes components unchanged from the previous submission.</w:t>
      </w:r>
    </w:p>
    <w:p w14:paraId="75F8737E" w14:textId="530DCEF7" w:rsidR="000B266B" w:rsidRPr="00A16C9B" w:rsidRDefault="000B266B" w:rsidP="0041700E">
      <w:pPr>
        <w:pStyle w:val="3-BodyText"/>
        <w:spacing w:before="120" w:after="120"/>
      </w:pPr>
      <w:r w:rsidRPr="4904BCD2">
        <w:lastRenderedPageBreak/>
        <w:t>The resubmission propose</w:t>
      </w:r>
      <w:r>
        <w:t>d</w:t>
      </w:r>
      <w:r w:rsidRPr="4904BCD2">
        <w:t xml:space="preserve"> a Special Pricing Arrangement (SPA). The effective dispensed prices for maximum quantity </w:t>
      </w:r>
      <w:r>
        <w:t xml:space="preserve">(DPMQ) </w:t>
      </w:r>
      <w:r w:rsidRPr="4904BCD2">
        <w:t>(60 x 2 mg vials) proposed in the resubmission are $</w:t>
      </w:r>
      <w:r w:rsidRPr="007848CD">
        <w:rPr>
          <w:color w:val="000000"/>
          <w:w w:val="15"/>
          <w:shd w:val="solid" w:color="000000" w:fill="000000"/>
          <w:fitText w:val="-20" w:id="-694941690"/>
          <w14:textFill>
            <w14:solidFill>
              <w14:srgbClr w14:val="000000">
                <w14:alpha w14:val="100000"/>
              </w14:srgbClr>
            </w14:solidFill>
          </w14:textFill>
        </w:rPr>
        <w:t>|</w:t>
      </w:r>
      <w:r w:rsidR="00D70DBB" w:rsidRPr="007848CD">
        <w:rPr>
          <w:color w:val="000000"/>
          <w:w w:val="15"/>
          <w:shd w:val="solid" w:color="000000" w:fill="000000"/>
          <w:fitText w:val="-20" w:id="-694941690"/>
          <w14:textFill>
            <w14:solidFill>
              <w14:srgbClr w14:val="000000">
                <w14:alpha w14:val="100000"/>
              </w14:srgbClr>
            </w14:solidFill>
          </w14:textFill>
        </w:rPr>
        <w:t xml:space="preserve"> </w:t>
      </w:r>
      <w:r w:rsidRPr="007848CD">
        <w:rPr>
          <w:color w:val="000000"/>
          <w:spacing w:val="-61"/>
          <w:w w:val="15"/>
          <w:shd w:val="solid" w:color="000000" w:fill="000000"/>
          <w:fitText w:val="-20" w:id="-694941690"/>
          <w14:textFill>
            <w14:solidFill>
              <w14:srgbClr w14:val="000000">
                <w14:alpha w14:val="100000"/>
              </w14:srgbClr>
            </w14:solidFill>
          </w14:textFill>
        </w:rPr>
        <w:t>|</w:t>
      </w:r>
      <w:r w:rsidRPr="4904BCD2">
        <w:t xml:space="preserve"> for public hospital (vs. the previously requested $</w:t>
      </w:r>
      <w:r w:rsidRPr="007848CD">
        <w:rPr>
          <w:color w:val="000000"/>
          <w:w w:val="15"/>
          <w:shd w:val="solid" w:color="000000" w:fill="000000"/>
          <w:fitText w:val="-20" w:id="-694941689"/>
          <w14:textFill>
            <w14:solidFill>
              <w14:srgbClr w14:val="000000">
                <w14:alpha w14:val="100000"/>
              </w14:srgbClr>
            </w14:solidFill>
          </w14:textFill>
        </w:rPr>
        <w:t>|</w:t>
      </w:r>
      <w:r w:rsidR="00D70DBB" w:rsidRPr="007848CD">
        <w:rPr>
          <w:color w:val="000000"/>
          <w:w w:val="15"/>
          <w:shd w:val="solid" w:color="000000" w:fill="000000"/>
          <w:fitText w:val="-20" w:id="-694941689"/>
          <w14:textFill>
            <w14:solidFill>
              <w14:srgbClr w14:val="000000">
                <w14:alpha w14:val="100000"/>
              </w14:srgbClr>
            </w14:solidFill>
          </w14:textFill>
        </w:rPr>
        <w:t xml:space="preserve"> </w:t>
      </w:r>
      <w:r w:rsidRPr="007848CD">
        <w:rPr>
          <w:color w:val="000000"/>
          <w:spacing w:val="-61"/>
          <w:w w:val="15"/>
          <w:shd w:val="solid" w:color="000000" w:fill="000000"/>
          <w:fitText w:val="-20" w:id="-694941689"/>
          <w14:textFill>
            <w14:solidFill>
              <w14:srgbClr w14:val="000000">
                <w14:alpha w14:val="100000"/>
              </w14:srgbClr>
            </w14:solidFill>
          </w14:textFill>
        </w:rPr>
        <w:t>|</w:t>
      </w:r>
      <w:r w:rsidRPr="4904BCD2">
        <w:t>) and $</w:t>
      </w:r>
      <w:r w:rsidRPr="007848CD">
        <w:rPr>
          <w:color w:val="000000"/>
          <w:w w:val="15"/>
          <w:shd w:val="solid" w:color="000000" w:fill="000000"/>
          <w:fitText w:val="-20" w:id="-694941688"/>
          <w14:textFill>
            <w14:solidFill>
              <w14:srgbClr w14:val="000000">
                <w14:alpha w14:val="100000"/>
              </w14:srgbClr>
            </w14:solidFill>
          </w14:textFill>
        </w:rPr>
        <w:t>|</w:t>
      </w:r>
      <w:r w:rsidR="00D70DBB" w:rsidRPr="007848CD">
        <w:rPr>
          <w:color w:val="000000"/>
          <w:w w:val="15"/>
          <w:shd w:val="solid" w:color="000000" w:fill="000000"/>
          <w:fitText w:val="-20" w:id="-694941688"/>
          <w14:textFill>
            <w14:solidFill>
              <w14:srgbClr w14:val="000000">
                <w14:alpha w14:val="100000"/>
              </w14:srgbClr>
            </w14:solidFill>
          </w14:textFill>
        </w:rPr>
        <w:t xml:space="preserve"> </w:t>
      </w:r>
      <w:r w:rsidRPr="007848CD">
        <w:rPr>
          <w:color w:val="000000"/>
          <w:spacing w:val="-61"/>
          <w:w w:val="15"/>
          <w:shd w:val="solid" w:color="000000" w:fill="000000"/>
          <w:fitText w:val="-20" w:id="-694941688"/>
          <w14:textFill>
            <w14:solidFill>
              <w14:srgbClr w14:val="000000">
                <w14:alpha w14:val="100000"/>
              </w14:srgbClr>
            </w14:solidFill>
          </w14:textFill>
        </w:rPr>
        <w:t>|</w:t>
      </w:r>
      <w:r w:rsidRPr="4904BCD2">
        <w:t xml:space="preserve"> for private hospital and community access (vs. the previously requested $</w:t>
      </w:r>
      <w:r w:rsidRPr="007848CD">
        <w:rPr>
          <w:color w:val="000000"/>
          <w:w w:val="15"/>
          <w:shd w:val="solid" w:color="000000" w:fill="000000"/>
          <w:fitText w:val="-20" w:id="-694941687"/>
          <w14:textFill>
            <w14:solidFill>
              <w14:srgbClr w14:val="000000">
                <w14:alpha w14:val="100000"/>
              </w14:srgbClr>
            </w14:solidFill>
          </w14:textFill>
        </w:rPr>
        <w:t>|</w:t>
      </w:r>
      <w:r w:rsidR="00D70DBB" w:rsidRPr="007848CD">
        <w:rPr>
          <w:color w:val="000000"/>
          <w:w w:val="15"/>
          <w:shd w:val="solid" w:color="000000" w:fill="000000"/>
          <w:fitText w:val="-20" w:id="-694941687"/>
          <w14:textFill>
            <w14:solidFill>
              <w14:srgbClr w14:val="000000">
                <w14:alpha w14:val="100000"/>
              </w14:srgbClr>
            </w14:solidFill>
          </w14:textFill>
        </w:rPr>
        <w:t xml:space="preserve"> </w:t>
      </w:r>
      <w:r w:rsidRPr="007848CD">
        <w:rPr>
          <w:color w:val="000000"/>
          <w:spacing w:val="-61"/>
          <w:w w:val="15"/>
          <w:shd w:val="solid" w:color="000000" w:fill="000000"/>
          <w:fitText w:val="-20" w:id="-694941687"/>
          <w14:textFill>
            <w14:solidFill>
              <w14:srgbClr w14:val="000000">
                <w14:alpha w14:val="100000"/>
              </w14:srgbClr>
            </w14:solidFill>
          </w14:textFill>
        </w:rPr>
        <w:t>|</w:t>
      </w:r>
      <w:r w:rsidRPr="4904BCD2">
        <w:t xml:space="preserve">), representing a </w:t>
      </w:r>
      <w:r w:rsidRPr="007848CD">
        <w:rPr>
          <w:color w:val="000000"/>
          <w:w w:val="15"/>
          <w:shd w:val="solid" w:color="000000" w:fill="000000"/>
          <w:fitText w:val="-20" w:id="-694941686"/>
          <w14:textFill>
            <w14:solidFill>
              <w14:srgbClr w14:val="000000">
                <w14:alpha w14:val="100000"/>
              </w14:srgbClr>
            </w14:solidFill>
          </w14:textFill>
        </w:rPr>
        <w:t>|</w:t>
      </w:r>
      <w:r w:rsidR="00D70DBB" w:rsidRPr="007848CD">
        <w:rPr>
          <w:color w:val="000000"/>
          <w:w w:val="15"/>
          <w:shd w:val="solid" w:color="000000" w:fill="000000"/>
          <w:fitText w:val="-20" w:id="-694941686"/>
          <w14:textFill>
            <w14:solidFill>
              <w14:srgbClr w14:val="000000">
                <w14:alpha w14:val="100000"/>
              </w14:srgbClr>
            </w14:solidFill>
          </w14:textFill>
        </w:rPr>
        <w:t xml:space="preserve"> </w:t>
      </w:r>
      <w:r w:rsidRPr="007848CD">
        <w:rPr>
          <w:color w:val="000000"/>
          <w:spacing w:val="-61"/>
          <w:w w:val="15"/>
          <w:shd w:val="solid" w:color="000000" w:fill="000000"/>
          <w:fitText w:val="-20" w:id="-694941686"/>
          <w14:textFill>
            <w14:solidFill>
              <w14:srgbClr w14:val="000000">
                <w14:alpha w14:val="100000"/>
              </w14:srgbClr>
            </w14:solidFill>
          </w14:textFill>
        </w:rPr>
        <w:t>|</w:t>
      </w:r>
      <w:r w:rsidRPr="4904BCD2">
        <w:t>% price reduction compared with the effective prices proposed in the previous submission.</w:t>
      </w:r>
      <w:r>
        <w:t xml:space="preserve"> The pre-PBAC Response proposed an additional </w:t>
      </w:r>
      <w:r w:rsidRPr="007848CD">
        <w:rPr>
          <w:color w:val="000000"/>
          <w:w w:val="15"/>
          <w:shd w:val="solid" w:color="000000" w:fill="000000"/>
          <w:fitText w:val="-20" w:id="-694941685"/>
          <w14:textFill>
            <w14:solidFill>
              <w14:srgbClr w14:val="000000">
                <w14:alpha w14:val="100000"/>
              </w14:srgbClr>
            </w14:solidFill>
          </w14:textFill>
        </w:rPr>
        <w:t>|</w:t>
      </w:r>
      <w:r w:rsidR="00D70DBB" w:rsidRPr="007848CD">
        <w:rPr>
          <w:color w:val="000000"/>
          <w:w w:val="15"/>
          <w:shd w:val="solid" w:color="000000" w:fill="000000"/>
          <w:fitText w:val="-20" w:id="-694941685"/>
          <w14:textFill>
            <w14:solidFill>
              <w14:srgbClr w14:val="000000">
                <w14:alpha w14:val="100000"/>
              </w14:srgbClr>
            </w14:solidFill>
          </w14:textFill>
        </w:rPr>
        <w:t xml:space="preserve"> </w:t>
      </w:r>
      <w:r w:rsidRPr="007848CD">
        <w:rPr>
          <w:color w:val="000000"/>
          <w:spacing w:val="-61"/>
          <w:w w:val="15"/>
          <w:shd w:val="solid" w:color="000000" w:fill="000000"/>
          <w:fitText w:val="-20" w:id="-694941685"/>
          <w14:textFill>
            <w14:solidFill>
              <w14:srgbClr w14:val="000000">
                <w14:alpha w14:val="100000"/>
              </w14:srgbClr>
            </w14:solidFill>
          </w14:textFill>
        </w:rPr>
        <w:t>|</w:t>
      </w:r>
      <w:r>
        <w:t>% price reduction to the effective AEMP (from $</w:t>
      </w:r>
      <w:r w:rsidRPr="007848CD">
        <w:rPr>
          <w:color w:val="000000"/>
          <w:w w:val="15"/>
          <w:shd w:val="solid" w:color="000000" w:fill="000000"/>
          <w:fitText w:val="-20" w:id="-694941684"/>
          <w14:textFill>
            <w14:solidFill>
              <w14:srgbClr w14:val="000000">
                <w14:alpha w14:val="100000"/>
              </w14:srgbClr>
            </w14:solidFill>
          </w14:textFill>
        </w:rPr>
        <w:t>|</w:t>
      </w:r>
      <w:r w:rsidR="00D70DBB" w:rsidRPr="007848CD">
        <w:rPr>
          <w:color w:val="000000"/>
          <w:w w:val="15"/>
          <w:shd w:val="solid" w:color="000000" w:fill="000000"/>
          <w:fitText w:val="-20" w:id="-694941684"/>
          <w14:textFill>
            <w14:solidFill>
              <w14:srgbClr w14:val="000000">
                <w14:alpha w14:val="100000"/>
              </w14:srgbClr>
            </w14:solidFill>
          </w14:textFill>
        </w:rPr>
        <w:t xml:space="preserve"> </w:t>
      </w:r>
      <w:r w:rsidRPr="007848CD">
        <w:rPr>
          <w:color w:val="000000"/>
          <w:spacing w:val="-61"/>
          <w:w w:val="15"/>
          <w:shd w:val="solid" w:color="000000" w:fill="000000"/>
          <w:fitText w:val="-20" w:id="-694941684"/>
          <w14:textFill>
            <w14:solidFill>
              <w14:srgbClr w14:val="000000">
                <w14:alpha w14:val="100000"/>
              </w14:srgbClr>
            </w14:solidFill>
          </w14:textFill>
        </w:rPr>
        <w:t>|</w:t>
      </w:r>
      <w:r>
        <w:t xml:space="preserve"> to $</w:t>
      </w:r>
      <w:r w:rsidRPr="007848CD">
        <w:rPr>
          <w:color w:val="000000"/>
          <w:w w:val="15"/>
          <w:shd w:val="solid" w:color="000000" w:fill="000000"/>
          <w:fitText w:val="-20" w:id="-694941683"/>
          <w14:textFill>
            <w14:solidFill>
              <w14:srgbClr w14:val="000000">
                <w14:alpha w14:val="100000"/>
              </w14:srgbClr>
            </w14:solidFill>
          </w14:textFill>
        </w:rPr>
        <w:t>|</w:t>
      </w:r>
      <w:r w:rsidR="00D70DBB" w:rsidRPr="007848CD">
        <w:rPr>
          <w:color w:val="000000"/>
          <w:w w:val="15"/>
          <w:shd w:val="solid" w:color="000000" w:fill="000000"/>
          <w:fitText w:val="-20" w:id="-694941683"/>
          <w14:textFill>
            <w14:solidFill>
              <w14:srgbClr w14:val="000000">
                <w14:alpha w14:val="100000"/>
              </w14:srgbClr>
            </w14:solidFill>
          </w14:textFill>
        </w:rPr>
        <w:t xml:space="preserve"> </w:t>
      </w:r>
      <w:r w:rsidRPr="007848CD">
        <w:rPr>
          <w:color w:val="000000"/>
          <w:spacing w:val="-61"/>
          <w:w w:val="15"/>
          <w:shd w:val="solid" w:color="000000" w:fill="000000"/>
          <w:fitText w:val="-20" w:id="-694941683"/>
          <w14:textFill>
            <w14:solidFill>
              <w14:srgbClr w14:val="000000">
                <w14:alpha w14:val="100000"/>
              </w14:srgbClr>
            </w14:solidFill>
          </w14:textFill>
        </w:rPr>
        <w:t>|</w:t>
      </w:r>
      <w:r>
        <w:t>) resulting in a DPMQ of $</w:t>
      </w:r>
      <w:r w:rsidRPr="007848CD">
        <w:rPr>
          <w:color w:val="000000"/>
          <w:w w:val="15"/>
          <w:shd w:val="solid" w:color="000000" w:fill="000000"/>
          <w:fitText w:val="-20" w:id="-694941682"/>
          <w14:textFill>
            <w14:solidFill>
              <w14:srgbClr w14:val="000000">
                <w14:alpha w14:val="100000"/>
              </w14:srgbClr>
            </w14:solidFill>
          </w14:textFill>
        </w:rPr>
        <w:t>|</w:t>
      </w:r>
      <w:r w:rsidR="00D70DBB" w:rsidRPr="007848CD">
        <w:rPr>
          <w:color w:val="000000"/>
          <w:w w:val="15"/>
          <w:shd w:val="solid" w:color="000000" w:fill="000000"/>
          <w:fitText w:val="-20" w:id="-694941682"/>
          <w14:textFill>
            <w14:solidFill>
              <w14:srgbClr w14:val="000000">
                <w14:alpha w14:val="100000"/>
              </w14:srgbClr>
            </w14:solidFill>
          </w14:textFill>
        </w:rPr>
        <w:t xml:space="preserve"> </w:t>
      </w:r>
      <w:r w:rsidRPr="007848CD">
        <w:rPr>
          <w:color w:val="000000"/>
          <w:spacing w:val="-61"/>
          <w:w w:val="15"/>
          <w:shd w:val="solid" w:color="000000" w:fill="000000"/>
          <w:fitText w:val="-20" w:id="-694941682"/>
          <w14:textFill>
            <w14:solidFill>
              <w14:srgbClr w14:val="000000">
                <w14:alpha w14:val="100000"/>
              </w14:srgbClr>
            </w14:solidFill>
          </w14:textFill>
        </w:rPr>
        <w:t>|</w:t>
      </w:r>
      <w:r>
        <w:t xml:space="preserve"> (public hospital) and $</w:t>
      </w:r>
      <w:r w:rsidRPr="007848CD">
        <w:rPr>
          <w:color w:val="000000"/>
          <w:w w:val="15"/>
          <w:shd w:val="solid" w:color="000000" w:fill="000000"/>
          <w:fitText w:val="-20" w:id="-694941681"/>
          <w14:textFill>
            <w14:solidFill>
              <w14:srgbClr w14:val="000000">
                <w14:alpha w14:val="100000"/>
              </w14:srgbClr>
            </w14:solidFill>
          </w14:textFill>
        </w:rPr>
        <w:t>|</w:t>
      </w:r>
      <w:r w:rsidR="00D70DBB" w:rsidRPr="007848CD">
        <w:rPr>
          <w:color w:val="000000"/>
          <w:w w:val="15"/>
          <w:shd w:val="solid" w:color="000000" w:fill="000000"/>
          <w:fitText w:val="-20" w:id="-694941681"/>
          <w14:textFill>
            <w14:solidFill>
              <w14:srgbClr w14:val="000000">
                <w14:alpha w14:val="100000"/>
              </w14:srgbClr>
            </w14:solidFill>
          </w14:textFill>
        </w:rPr>
        <w:t xml:space="preserve"> </w:t>
      </w:r>
      <w:r w:rsidRPr="007848CD">
        <w:rPr>
          <w:color w:val="000000"/>
          <w:spacing w:val="-61"/>
          <w:w w:val="15"/>
          <w:shd w:val="solid" w:color="000000" w:fill="000000"/>
          <w:fitText w:val="-20" w:id="-694941681"/>
          <w14:textFill>
            <w14:solidFill>
              <w14:srgbClr w14:val="000000">
                <w14:alpha w14:val="100000"/>
              </w14:srgbClr>
            </w14:solidFill>
          </w14:textFill>
        </w:rPr>
        <w:t>|</w:t>
      </w:r>
      <w:r>
        <w:t xml:space="preserve"> (private hospital/community access). </w:t>
      </w:r>
    </w:p>
    <w:p w14:paraId="5773962B" w14:textId="77777777" w:rsidR="000B266B" w:rsidRDefault="000B266B" w:rsidP="0041700E">
      <w:pPr>
        <w:pStyle w:val="3-BodyText"/>
        <w:spacing w:before="120" w:after="120"/>
      </w:pPr>
      <w:r w:rsidRPr="4904BCD2">
        <w:t xml:space="preserve">The resubmission requested PBS Section 100 Highly Specialised Drugs Program listing of bulevirtide in public and private hospitals, as well as community access. </w:t>
      </w:r>
    </w:p>
    <w:p w14:paraId="0854D0F5" w14:textId="77777777" w:rsidR="000B266B" w:rsidRPr="00B02820" w:rsidRDefault="000B266B" w:rsidP="0041700E">
      <w:pPr>
        <w:pStyle w:val="3-BodyText"/>
        <w:spacing w:before="120" w:after="120"/>
      </w:pPr>
      <w:r w:rsidRPr="005E27B8">
        <w:t>The PBAC</w:t>
      </w:r>
      <w:r>
        <w:t xml:space="preserve"> previously advised that </w:t>
      </w:r>
      <w:r w:rsidRPr="005E27B8">
        <w:t>given the rarity of CHD in Australia, and the potential access issues for patients in rural and remote communities it was appropriate for prescribing to be in consultation with physicians with experience in the management of viral hepatitis (para</w:t>
      </w:r>
      <w:r>
        <w:t>graph</w:t>
      </w:r>
      <w:r w:rsidRPr="005E27B8">
        <w:t xml:space="preserve"> 7.5, bulevirtide </w:t>
      </w:r>
      <w:r w:rsidRPr="00067A34">
        <w:t xml:space="preserve">Public Summary Document </w:t>
      </w:r>
      <w:r>
        <w:t>(</w:t>
      </w:r>
      <w:r w:rsidRPr="005E27B8">
        <w:t>PSD</w:t>
      </w:r>
      <w:r>
        <w:t>)</w:t>
      </w:r>
      <w:r w:rsidRPr="005E27B8">
        <w:t>, March</w:t>
      </w:r>
      <w:r>
        <w:t> </w:t>
      </w:r>
      <w:r w:rsidRPr="005E27B8">
        <w:t>2024 PBAC Meeting)</w:t>
      </w:r>
      <w:r>
        <w:t xml:space="preserve">. </w:t>
      </w:r>
      <w:r w:rsidRPr="4904BCD2">
        <w:t xml:space="preserve">For initiation of bulevirtide treatment the resubmission </w:t>
      </w:r>
      <w:r>
        <w:t xml:space="preserve">proposed </w:t>
      </w:r>
      <w:r w:rsidRPr="4904BCD2">
        <w:t>restrict</w:t>
      </w:r>
      <w:r>
        <w:t xml:space="preserve">ing to </w:t>
      </w:r>
      <w:r w:rsidRPr="4904BCD2">
        <w:t>prescrib</w:t>
      </w:r>
      <w:r>
        <w:t>ing</w:t>
      </w:r>
      <w:r w:rsidRPr="4904BCD2">
        <w:t xml:space="preserve"> by medical practitioners only, while in the previous submission, medical practitioners, as well as nurse </w:t>
      </w:r>
      <w:r w:rsidRPr="00B02820">
        <w:t xml:space="preserve">practitioners, were allowed to prescribe </w:t>
      </w:r>
      <w:r>
        <w:t>bulevirtide</w:t>
      </w:r>
      <w:r w:rsidRPr="00B02820">
        <w:t>. The ESCs noted that restricting prescribing of bulevirtide (initial and ongoing) to medical practitioners was consistent with its suggestion that the MBS item for monitoring HDV viral load during bulevirtide treatment should be limited to specialists.</w:t>
      </w:r>
      <w:r>
        <w:t xml:space="preserve"> </w:t>
      </w:r>
    </w:p>
    <w:p w14:paraId="38E0F89B" w14:textId="77777777" w:rsidR="000B266B" w:rsidRPr="00D61905" w:rsidRDefault="000B266B" w:rsidP="0041700E">
      <w:pPr>
        <w:pStyle w:val="3-BodyText"/>
        <w:spacing w:before="120" w:after="120"/>
      </w:pPr>
      <w:r w:rsidRPr="4904BCD2">
        <w:t xml:space="preserve">Age criteria </w:t>
      </w:r>
      <w:r>
        <w:t>were</w:t>
      </w:r>
      <w:r w:rsidRPr="4904BCD2">
        <w:t xml:space="preserve"> removed from the proposed PBS restriction in the resubmission</w:t>
      </w:r>
      <w:r>
        <w:t xml:space="preserve"> consistent with the PBAC’s previous advice </w:t>
      </w:r>
      <w:r w:rsidRPr="00914834">
        <w:t>(para</w:t>
      </w:r>
      <w:r>
        <w:t>graph</w:t>
      </w:r>
      <w:r w:rsidRPr="00914834">
        <w:t xml:space="preserve"> 7.5, bulevirtide PSD, March</w:t>
      </w:r>
      <w:r>
        <w:t> </w:t>
      </w:r>
      <w:r w:rsidRPr="00914834">
        <w:t>2024 PBAC Meeting)</w:t>
      </w:r>
      <w:r w:rsidRPr="00D61905">
        <w:t xml:space="preserve">. </w:t>
      </w:r>
    </w:p>
    <w:p w14:paraId="29AE3597" w14:textId="77777777" w:rsidR="000B266B" w:rsidRDefault="000B266B" w:rsidP="0041700E">
      <w:pPr>
        <w:pStyle w:val="3-BodyText"/>
        <w:spacing w:before="120" w:after="120"/>
      </w:pPr>
      <w:r w:rsidRPr="37C20EEE">
        <w:t>The proposed restriction in the resubmission still inappropriately exclud</w:t>
      </w:r>
      <w:r>
        <w:t>ed</w:t>
      </w:r>
      <w:r w:rsidRPr="37C20EEE">
        <w:t xml:space="preserve"> patients who are responders to the treatment and do not have detectable HDV RNA, from being eligible for continuous treatment. This issue was raised at the March 2024 PBAC meeting i.e. “A revised restriction that ensures patients are not inappropriately excluded from being able to continue bulevirtide if they achieve an undetectable viral load and/or ALT normalisation whilst on treatment” (para</w:t>
      </w:r>
      <w:r>
        <w:t>graph</w:t>
      </w:r>
      <w:r w:rsidRPr="37C20EEE">
        <w:t xml:space="preserve"> 7.17, bulevirtide PSD, March 2024 PBAC meeting). </w:t>
      </w:r>
      <w:r>
        <w:t xml:space="preserve">The pre-PBAC Response agreed with the PBAC ESC’s advice to include </w:t>
      </w:r>
      <w:r w:rsidRPr="00E147EB">
        <w:t>“prior to commencing treatment with bulevirtide” in the clinical criteria of detectable viral load and elevated serum alanine transaminase (ALT) to allow continuation of bulevirtide</w:t>
      </w:r>
      <w:r>
        <w:t>.</w:t>
      </w:r>
    </w:p>
    <w:p w14:paraId="1B4AAF2F" w14:textId="77777777" w:rsidR="000B266B" w:rsidRPr="00840DE7" w:rsidRDefault="000B266B" w:rsidP="0041700E">
      <w:pPr>
        <w:pStyle w:val="3-BodyText"/>
        <w:numPr>
          <w:ilvl w:val="0"/>
          <w:numId w:val="0"/>
        </w:numPr>
        <w:ind w:left="720"/>
        <w:rPr>
          <w:i/>
          <w:iCs/>
        </w:rPr>
      </w:pPr>
      <w:r w:rsidRPr="00840DE7">
        <w:rPr>
          <w:i/>
          <w:iCs/>
        </w:rPr>
        <w:t>For more detail on PBAC’s view, see section 7 PBAC outcome.</w:t>
      </w:r>
    </w:p>
    <w:p w14:paraId="1B2F62F0" w14:textId="77777777" w:rsidR="000B266B" w:rsidRPr="00FD70DE" w:rsidRDefault="000B266B" w:rsidP="0041700E">
      <w:pPr>
        <w:pStyle w:val="2-SectionHeading"/>
      </w:pPr>
      <w:bookmarkStart w:id="14" w:name="_Toc188360792"/>
      <w:r w:rsidRPr="00FD70DE">
        <w:t>Population and disease</w:t>
      </w:r>
      <w:bookmarkEnd w:id="10"/>
      <w:bookmarkEnd w:id="14"/>
    </w:p>
    <w:p w14:paraId="03F341E5" w14:textId="77777777" w:rsidR="000B266B" w:rsidRPr="00E0390A" w:rsidRDefault="000B266B" w:rsidP="0041700E">
      <w:pPr>
        <w:pStyle w:val="3-BodyText"/>
        <w:spacing w:before="120" w:after="120"/>
      </w:pPr>
      <w:r w:rsidRPr="4904BCD2">
        <w:t xml:space="preserve">The population and disease described in the resubmission were unchanged from the previous submission. HDV infection is caused by the hepatitis D virion, which is a defective virus and relies on an established HBV infection and the presence of </w:t>
      </w:r>
      <w:r w:rsidRPr="4904BCD2">
        <w:lastRenderedPageBreak/>
        <w:t>hepatitis B surface antigen (HBsAg) to complete its life cycle in the infected host’s hepatocyte</w:t>
      </w:r>
      <w:r w:rsidRPr="4904BCD2">
        <w:rPr>
          <w:rStyle w:val="FootnoteReference"/>
        </w:rPr>
        <w:footnoteReference w:id="2"/>
      </w:r>
      <w:r w:rsidRPr="4904BCD2">
        <w:t xml:space="preserve">. Coinfection of HDV and HBV (i.e., the infection of HDV and HBV occurs at the same time) usually has a transient and self-limiting disease course and most patients </w:t>
      </w:r>
      <w:proofErr w:type="gramStart"/>
      <w:r w:rsidRPr="4904BCD2">
        <w:t>are able to</w:t>
      </w:r>
      <w:proofErr w:type="gramEnd"/>
      <w:r w:rsidRPr="4904BCD2">
        <w:t xml:space="preserve"> spontaneously clear both viruses with their own immune system and recover from the liver injury. However, superinfection of HDV in patients who are chronic HBV carriers usually becomes long-term and results in persistent viraemia, elevated alanine aminotransferase (ALT) levels, and a more rapid disease progression to cirrhosis and liver decompensation, as well as an increased risk of hepatocellular carcinoma (HCC)</w:t>
      </w:r>
      <w:r w:rsidRPr="4904BCD2">
        <w:rPr>
          <w:rStyle w:val="FootnoteReference"/>
        </w:rPr>
        <w:footnoteReference w:id="3"/>
      </w:r>
      <w:r w:rsidRPr="4904BCD2">
        <w:rPr>
          <w:vertAlign w:val="superscript"/>
        </w:rPr>
        <w:t>,</w:t>
      </w:r>
      <w:r w:rsidRPr="4904BCD2">
        <w:rPr>
          <w:rStyle w:val="FootnoteReference"/>
        </w:rPr>
        <w:footnoteReference w:id="4"/>
      </w:r>
      <w:r w:rsidRPr="4904BCD2">
        <w:t>.</w:t>
      </w:r>
    </w:p>
    <w:p w14:paraId="2633A437" w14:textId="77777777" w:rsidR="000B266B" w:rsidRPr="00E0390A" w:rsidRDefault="000B266B" w:rsidP="0041700E">
      <w:pPr>
        <w:pStyle w:val="3-BodyText"/>
        <w:spacing w:before="120" w:after="120"/>
      </w:pPr>
      <w:r w:rsidRPr="4904BCD2">
        <w:t>CHD occurs predominantly in high risk groups in Australia. Risk factors include intravenous drug use, men who have sex with men and persons migrating from countries such as Sudan, Vietnam and Pakistan.</w:t>
      </w:r>
    </w:p>
    <w:p w14:paraId="262FAA66" w14:textId="77777777" w:rsidR="000B266B" w:rsidRPr="00E0390A" w:rsidRDefault="000B266B" w:rsidP="0041700E">
      <w:pPr>
        <w:pStyle w:val="3-BodyText"/>
        <w:spacing w:before="120" w:after="120"/>
      </w:pPr>
      <w:r w:rsidRPr="4904BCD2">
        <w:t>CHD is currently diagnosed by a positive serum anti-HDV antibody test. The standard treatment for CHD includes BSC or symptom management and long-term follow up by a liver specialist. For patients whose liver disease has progressed to an advanced stage, or those who have developed HCC, liver transplantation is the only treatment option.</w:t>
      </w:r>
    </w:p>
    <w:p w14:paraId="0DA8CB6C" w14:textId="77777777" w:rsidR="000B266B" w:rsidRPr="00914834" w:rsidRDefault="000B266B" w:rsidP="0041700E">
      <w:pPr>
        <w:pStyle w:val="3-BodyText"/>
        <w:spacing w:before="120" w:after="120"/>
      </w:pPr>
      <w:r w:rsidRPr="00914834">
        <w:t xml:space="preserve">Bulevirtide is a TGA approved treatment (registered with ARTG since 30 July 2024) specifically for CHD in adult patients with compensated liver disease. Bulevirtide is a lipopeptide with a structure mimicking the pre-S1 domain of the surface protein of HBV. The mechanism of action of bulevirtide involves inhibition of HBV and HDV virion entry into the hepatocytes through blocking the sodium taurocholate cotransporting polypeptide (NTCP) binding site on hepatocytes. Bulevirtide was proposed to be used for treatment of patients diagnosed with CHD who have tested positive for HDV RNA detected by PCR, with compensated liver disease, as well as an elevated ALT level. Patients receiving bulevirtide treatment will simultaneously receive management for the underlying HBV infection as clinically appropriate. </w:t>
      </w:r>
    </w:p>
    <w:p w14:paraId="1F90A2D6" w14:textId="77777777" w:rsidR="000B266B" w:rsidRPr="00914834" w:rsidRDefault="000B266B" w:rsidP="0041700E">
      <w:pPr>
        <w:pStyle w:val="3-BodyText"/>
        <w:numPr>
          <w:ilvl w:val="0"/>
          <w:numId w:val="0"/>
        </w:numPr>
        <w:ind w:left="720"/>
        <w:rPr>
          <w:i/>
          <w:iCs/>
        </w:rPr>
      </w:pPr>
      <w:r w:rsidRPr="00914834">
        <w:rPr>
          <w:i/>
          <w:iCs/>
        </w:rPr>
        <w:t>For more detail on PBAC’s view, see section 7 PBAC outcome.</w:t>
      </w:r>
    </w:p>
    <w:p w14:paraId="0AC3B2DA" w14:textId="77777777" w:rsidR="000B266B" w:rsidRPr="00FD70DE" w:rsidRDefault="000B266B" w:rsidP="0041700E">
      <w:pPr>
        <w:pStyle w:val="2-SectionHeading"/>
      </w:pPr>
      <w:bookmarkStart w:id="15" w:name="_Toc188360793"/>
      <w:r w:rsidRPr="00FD70DE">
        <w:t>Comparator</w:t>
      </w:r>
      <w:bookmarkEnd w:id="11"/>
      <w:bookmarkEnd w:id="15"/>
    </w:p>
    <w:p w14:paraId="10B11723" w14:textId="77777777" w:rsidR="000B266B" w:rsidRDefault="000B266B" w:rsidP="0041700E">
      <w:pPr>
        <w:pStyle w:val="3-BodyText"/>
        <w:spacing w:before="120" w:after="120"/>
      </w:pPr>
      <w:r w:rsidRPr="4904BCD2">
        <w:t xml:space="preserve">The resubmission nominated no HDV RNA PCR testing as the comparator for HDV RNA PCR testing, and symptomatic CHD management or BSC as the comparator for bulevirtide. These were unchanged from the previous submission. The PBAC </w:t>
      </w:r>
      <w:r w:rsidRPr="4904BCD2">
        <w:lastRenderedPageBreak/>
        <w:t>considered the nominated comparators for HDV RNA testing and bulevirtide as reasonable (para</w:t>
      </w:r>
      <w:r>
        <w:t>graph</w:t>
      </w:r>
      <w:r w:rsidRPr="4904BCD2">
        <w:t xml:space="preserve"> 7.8, bulevirtide PSD, March 2024 PBAC meeting).</w:t>
      </w:r>
    </w:p>
    <w:p w14:paraId="74D14732" w14:textId="77777777" w:rsidR="000B266B" w:rsidRPr="00A16C9B" w:rsidRDefault="000B266B" w:rsidP="0041700E">
      <w:pPr>
        <w:pStyle w:val="3-BodyText"/>
        <w:numPr>
          <w:ilvl w:val="0"/>
          <w:numId w:val="0"/>
        </w:numPr>
        <w:ind w:left="720"/>
      </w:pPr>
      <w:r w:rsidRPr="00840DE7">
        <w:rPr>
          <w:i/>
          <w:iCs/>
        </w:rPr>
        <w:t>For more detail on PBAC’s view, see section 7 PBAC outcome.</w:t>
      </w:r>
    </w:p>
    <w:p w14:paraId="1BA52CD2" w14:textId="77777777" w:rsidR="000B266B" w:rsidRPr="00FD70DE" w:rsidRDefault="000B266B" w:rsidP="0041700E">
      <w:pPr>
        <w:pStyle w:val="2-SectionHeading"/>
      </w:pPr>
      <w:bookmarkStart w:id="16" w:name="_Toc188360794"/>
      <w:r w:rsidRPr="00FD70DE">
        <w:t>Consideration of the evidence</w:t>
      </w:r>
      <w:bookmarkEnd w:id="16"/>
    </w:p>
    <w:p w14:paraId="2AB53E3F" w14:textId="77777777" w:rsidR="000B266B" w:rsidRPr="00555058" w:rsidRDefault="000B266B" w:rsidP="0041700E">
      <w:pPr>
        <w:pStyle w:val="4-SubsectionHeading"/>
      </w:pPr>
      <w:bookmarkStart w:id="17" w:name="_Hlk76375935"/>
      <w:bookmarkStart w:id="18" w:name="_Toc188360795"/>
      <w:r w:rsidRPr="00555058">
        <w:t>Sponsor hearing</w:t>
      </w:r>
    </w:p>
    <w:p w14:paraId="0621B515" w14:textId="77777777" w:rsidR="000B266B" w:rsidRPr="00BA1F98" w:rsidRDefault="000B266B" w:rsidP="0041700E">
      <w:pPr>
        <w:pStyle w:val="3-BodyText"/>
        <w:spacing w:before="120" w:after="120"/>
        <w:rPr>
          <w:rFonts w:ascii="Calibri" w:hAnsi="Calibri" w:cs="Calibri"/>
          <w:snapToGrid w:val="0"/>
        </w:rPr>
      </w:pPr>
      <w:r w:rsidRPr="00F91542">
        <w:rPr>
          <w:rFonts w:ascii="Calibri" w:hAnsi="Calibri" w:cs="Calibri"/>
          <w:snapToGrid w:val="0"/>
        </w:rPr>
        <w:t>There was no hearing for this item.</w:t>
      </w:r>
    </w:p>
    <w:p w14:paraId="562C90F6" w14:textId="77777777" w:rsidR="000B266B" w:rsidRPr="00555058" w:rsidRDefault="000B266B" w:rsidP="0041700E">
      <w:pPr>
        <w:pStyle w:val="4-SubsectionHeading"/>
      </w:pPr>
      <w:r w:rsidRPr="00555058">
        <w:t>Consumer comments</w:t>
      </w:r>
    </w:p>
    <w:p w14:paraId="06C21F43" w14:textId="77777777" w:rsidR="000B266B" w:rsidRDefault="000B266B" w:rsidP="0041700E">
      <w:pPr>
        <w:pStyle w:val="3-BodyText"/>
        <w:spacing w:before="120" w:after="120"/>
        <w:rPr>
          <w:snapToGrid w:val="0"/>
        </w:rPr>
      </w:pPr>
      <w:bookmarkStart w:id="19" w:name="_Hlk76382618"/>
      <w:r w:rsidRPr="00836F75">
        <w:rPr>
          <w:snapToGrid w:val="0"/>
        </w:rPr>
        <w:t xml:space="preserve">The PBAC noted and welcomed the input from </w:t>
      </w:r>
      <w:r>
        <w:rPr>
          <w:snapToGrid w:val="0"/>
        </w:rPr>
        <w:t>consumer group/</w:t>
      </w:r>
      <w:r w:rsidRPr="00836F75">
        <w:rPr>
          <w:snapToGrid w:val="0"/>
        </w:rPr>
        <w:t>organisations (</w:t>
      </w:r>
      <w:r>
        <w:rPr>
          <w:snapToGrid w:val="0"/>
        </w:rPr>
        <w:t>2</w:t>
      </w:r>
      <w:r w:rsidRPr="00836F75">
        <w:rPr>
          <w:snapToGrid w:val="0"/>
        </w:rPr>
        <w:t xml:space="preserve">) via the Consumer Comments facility on the PBS website. The </w:t>
      </w:r>
      <w:r>
        <w:rPr>
          <w:snapToGrid w:val="0"/>
        </w:rPr>
        <w:t xml:space="preserve">PBAC noted the comments from Hepatitis Australia and Liver Foundation supporting the listing of bulevirtide noting there is a high unmet demand for effective hepatitis D treatment. The PBAC noted Hepatitis Australia reiterated its support as provided in its March 2024 submission (paragraphs 6.2-6.3, </w:t>
      </w:r>
      <w:r w:rsidRPr="009D2673">
        <w:t>bulevirtide PSD, March 2024 PBAC meetin</w:t>
      </w:r>
      <w:r>
        <w:t>g</w:t>
      </w:r>
      <w:r>
        <w:rPr>
          <w:snapToGrid w:val="0"/>
        </w:rPr>
        <w:t>).</w:t>
      </w:r>
    </w:p>
    <w:bookmarkEnd w:id="17"/>
    <w:bookmarkEnd w:id="19"/>
    <w:p w14:paraId="60360469" w14:textId="77777777" w:rsidR="000B266B" w:rsidRPr="00FD70DE" w:rsidRDefault="000B266B" w:rsidP="0041700E">
      <w:pPr>
        <w:pStyle w:val="4-SubsectionHeading"/>
      </w:pPr>
      <w:r w:rsidRPr="00FD70DE">
        <w:t>Overview of the evidence base</w:t>
      </w:r>
      <w:bookmarkEnd w:id="18"/>
    </w:p>
    <w:p w14:paraId="13541D65" w14:textId="14884CEA" w:rsidR="000B266B" w:rsidRPr="00A16C9B" w:rsidRDefault="000B266B" w:rsidP="0041700E">
      <w:pPr>
        <w:pStyle w:val="3-BodyText"/>
        <w:spacing w:before="120" w:after="120"/>
        <w:rPr>
          <w:rStyle w:val="InstructionalTextChar"/>
        </w:rPr>
      </w:pPr>
      <w:r w:rsidRPr="37C20EEE">
        <w:t>The approach taken in the submission was to present evidence that has been linked to support the contention that targeting HDV RNA with bulevirtide will result in improved clinical outcomes compared with no HDV RNA testing and BSC (</w:t>
      </w:r>
      <w:r w:rsidRPr="00A16C9B">
        <w:fldChar w:fldCharType="begin"/>
      </w:r>
      <w:r w:rsidRPr="00A16C9B">
        <w:instrText xml:space="preserve"> REF _Ref490140772 \h  \* MERGEFORMAT </w:instrText>
      </w:r>
      <w:r w:rsidRPr="00A16C9B">
        <w:fldChar w:fldCharType="separate"/>
      </w:r>
      <w:r w:rsidR="007848CD" w:rsidRPr="007848CD">
        <w:t>Table 3</w:t>
      </w:r>
      <w:r w:rsidRPr="00A16C9B">
        <w:fldChar w:fldCharType="end"/>
      </w:r>
      <w:r w:rsidRPr="37C20EEE">
        <w:t>).</w:t>
      </w:r>
    </w:p>
    <w:p w14:paraId="1CF858BA" w14:textId="408131DE" w:rsidR="000B266B" w:rsidRPr="009D2673" w:rsidRDefault="000B266B" w:rsidP="0041700E">
      <w:pPr>
        <w:pStyle w:val="TableText"/>
        <w:keepLines/>
        <w:rPr>
          <w:b/>
          <w:bCs w:val="0"/>
        </w:rPr>
      </w:pPr>
      <w:bookmarkStart w:id="20" w:name="_Ref490140772"/>
      <w:r w:rsidRPr="009D2673">
        <w:rPr>
          <w:b/>
          <w:bCs w:val="0"/>
        </w:rPr>
        <w:lastRenderedPageBreak/>
        <w:t xml:space="preserve">Table </w:t>
      </w:r>
      <w:r w:rsidRPr="009D2673">
        <w:rPr>
          <w:b/>
          <w:bCs w:val="0"/>
        </w:rPr>
        <w:fldChar w:fldCharType="begin"/>
      </w:r>
      <w:r w:rsidRPr="009D2673">
        <w:rPr>
          <w:b/>
          <w:bCs w:val="0"/>
        </w:rPr>
        <w:instrText xml:space="preserve"> SEQ Table_PBAC. \* ARABIC </w:instrText>
      </w:r>
      <w:r w:rsidRPr="009D2673">
        <w:rPr>
          <w:b/>
          <w:bCs w:val="0"/>
        </w:rPr>
        <w:fldChar w:fldCharType="separate"/>
      </w:r>
      <w:r w:rsidR="007848CD">
        <w:rPr>
          <w:b/>
          <w:bCs w:val="0"/>
          <w:noProof/>
        </w:rPr>
        <w:t>3</w:t>
      </w:r>
      <w:r w:rsidRPr="009D2673">
        <w:rPr>
          <w:b/>
          <w:bCs w:val="0"/>
        </w:rPr>
        <w:fldChar w:fldCharType="end"/>
      </w:r>
      <w:bookmarkEnd w:id="20"/>
      <w:r>
        <w:rPr>
          <w:b/>
          <w:bCs w:val="0"/>
        </w:rPr>
        <w:t xml:space="preserve">: </w:t>
      </w:r>
      <w:r w:rsidRPr="009D2673">
        <w:rPr>
          <w:b/>
          <w:bCs w:val="0"/>
        </w:rPr>
        <w:t>Summary of the linked evidence approach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3: Summary of the linked evidence approach"/>
      </w:tblPr>
      <w:tblGrid>
        <w:gridCol w:w="1817"/>
        <w:gridCol w:w="3325"/>
        <w:gridCol w:w="1937"/>
        <w:gridCol w:w="1937"/>
      </w:tblGrid>
      <w:tr w:rsidR="000B266B" w:rsidRPr="00A16C9B" w14:paraId="4B5593C0" w14:textId="77777777" w:rsidTr="00B678E8">
        <w:trPr>
          <w:tblHeader/>
        </w:trPr>
        <w:tc>
          <w:tcPr>
            <w:tcW w:w="1008" w:type="pct"/>
            <w:tcBorders>
              <w:top w:val="single" w:sz="4" w:space="0" w:color="auto"/>
              <w:left w:val="single" w:sz="4" w:space="0" w:color="auto"/>
              <w:bottom w:val="single" w:sz="4" w:space="0" w:color="auto"/>
              <w:right w:val="single" w:sz="4" w:space="0" w:color="auto"/>
            </w:tcBorders>
            <w:vAlign w:val="bottom"/>
          </w:tcPr>
          <w:p w14:paraId="7E709169" w14:textId="77777777" w:rsidR="000B266B" w:rsidRPr="00A16C9B" w:rsidRDefault="000B266B" w:rsidP="0041700E">
            <w:pPr>
              <w:pStyle w:val="In-tableHeading"/>
              <w:keepLines/>
            </w:pPr>
          </w:p>
        </w:tc>
        <w:tc>
          <w:tcPr>
            <w:tcW w:w="1844" w:type="pct"/>
            <w:tcBorders>
              <w:top w:val="single" w:sz="4" w:space="0" w:color="auto"/>
              <w:left w:val="single" w:sz="4" w:space="0" w:color="auto"/>
              <w:bottom w:val="single" w:sz="4" w:space="0" w:color="auto"/>
              <w:right w:val="single" w:sz="4" w:space="0" w:color="auto"/>
            </w:tcBorders>
            <w:vAlign w:val="bottom"/>
            <w:hideMark/>
          </w:tcPr>
          <w:p w14:paraId="3F87720A" w14:textId="77777777" w:rsidR="000B266B" w:rsidRPr="00A16C9B" w:rsidRDefault="000B266B" w:rsidP="0041700E">
            <w:pPr>
              <w:pStyle w:val="In-tableHeading"/>
              <w:keepLines/>
            </w:pPr>
            <w:r w:rsidRPr="00A16C9B">
              <w:t>Type of evidence supplied</w:t>
            </w:r>
          </w:p>
        </w:tc>
        <w:tc>
          <w:tcPr>
            <w:tcW w:w="1074" w:type="pct"/>
            <w:tcBorders>
              <w:top w:val="single" w:sz="4" w:space="0" w:color="auto"/>
              <w:left w:val="single" w:sz="4" w:space="0" w:color="auto"/>
              <w:bottom w:val="single" w:sz="4" w:space="0" w:color="auto"/>
              <w:right w:val="single" w:sz="4" w:space="0" w:color="auto"/>
            </w:tcBorders>
            <w:vAlign w:val="bottom"/>
            <w:hideMark/>
          </w:tcPr>
          <w:p w14:paraId="4A2EBE14" w14:textId="77777777" w:rsidR="000B266B" w:rsidRPr="00A16C9B" w:rsidRDefault="000B266B" w:rsidP="0041700E">
            <w:pPr>
              <w:pStyle w:val="In-tableHeading"/>
              <w:keepLines/>
            </w:pPr>
            <w:r w:rsidRPr="00A16C9B">
              <w:t>Extent of evidence supplied</w:t>
            </w:r>
          </w:p>
        </w:tc>
        <w:tc>
          <w:tcPr>
            <w:tcW w:w="1074" w:type="pct"/>
            <w:tcBorders>
              <w:top w:val="single" w:sz="4" w:space="0" w:color="auto"/>
              <w:left w:val="single" w:sz="4" w:space="0" w:color="auto"/>
              <w:bottom w:val="single" w:sz="4" w:space="0" w:color="auto"/>
              <w:right w:val="single" w:sz="4" w:space="0" w:color="auto"/>
            </w:tcBorders>
            <w:vAlign w:val="bottom"/>
            <w:hideMark/>
          </w:tcPr>
          <w:p w14:paraId="7E3ED3F0" w14:textId="77777777" w:rsidR="000B266B" w:rsidRPr="00A16C9B" w:rsidRDefault="000B266B" w:rsidP="0041700E">
            <w:pPr>
              <w:pStyle w:val="In-tableHeading"/>
              <w:keepLines/>
            </w:pPr>
            <w:r w:rsidRPr="00A16C9B">
              <w:t>Overall risk of bias</w:t>
            </w:r>
          </w:p>
        </w:tc>
      </w:tr>
      <w:tr w:rsidR="000B266B" w:rsidRPr="00A16C9B" w14:paraId="65D0C23C" w14:textId="77777777" w:rsidTr="00B678E8">
        <w:tc>
          <w:tcPr>
            <w:tcW w:w="1008" w:type="pct"/>
            <w:tcBorders>
              <w:top w:val="single" w:sz="4" w:space="0" w:color="auto"/>
              <w:left w:val="single" w:sz="4" w:space="0" w:color="auto"/>
              <w:bottom w:val="single" w:sz="4" w:space="0" w:color="auto"/>
              <w:right w:val="single" w:sz="4" w:space="0" w:color="auto"/>
            </w:tcBorders>
            <w:hideMark/>
          </w:tcPr>
          <w:p w14:paraId="2D120671" w14:textId="77777777" w:rsidR="000B266B" w:rsidRPr="00A16C9B" w:rsidRDefault="000B266B" w:rsidP="0041700E">
            <w:pPr>
              <w:pStyle w:val="TableText"/>
              <w:keepLines/>
            </w:pPr>
            <w:r w:rsidRPr="00A16C9B">
              <w:t>Accuracy and performance of the test (cross-sectional accuracy)</w:t>
            </w:r>
          </w:p>
        </w:tc>
        <w:tc>
          <w:tcPr>
            <w:tcW w:w="1844" w:type="pct"/>
            <w:tcBorders>
              <w:top w:val="single" w:sz="4" w:space="0" w:color="auto"/>
              <w:left w:val="single" w:sz="4" w:space="0" w:color="auto"/>
              <w:bottom w:val="single" w:sz="4" w:space="0" w:color="auto"/>
              <w:right w:val="single" w:sz="4" w:space="0" w:color="auto"/>
            </w:tcBorders>
            <w:hideMark/>
          </w:tcPr>
          <w:p w14:paraId="278DE0CA" w14:textId="77777777" w:rsidR="000B266B" w:rsidRPr="00A16C9B" w:rsidRDefault="000B266B" w:rsidP="0041700E">
            <w:pPr>
              <w:pStyle w:val="TableText"/>
              <w:keepLines/>
            </w:pPr>
            <w:r w:rsidRPr="00A16C9B">
              <w:t>Concordance of quantitative HDV RNA levels between different tests and RNA extraction methods.</w:t>
            </w:r>
          </w:p>
        </w:tc>
        <w:tc>
          <w:tcPr>
            <w:tcW w:w="1074" w:type="pct"/>
            <w:tcBorders>
              <w:top w:val="single" w:sz="4" w:space="0" w:color="auto"/>
              <w:left w:val="single" w:sz="4" w:space="0" w:color="auto"/>
              <w:bottom w:val="single" w:sz="4" w:space="0" w:color="auto"/>
              <w:right w:val="single" w:sz="4" w:space="0" w:color="auto"/>
            </w:tcBorders>
            <w:hideMark/>
          </w:tcPr>
          <w:p w14:paraId="08F560A8" w14:textId="77777777" w:rsidR="000B266B" w:rsidRPr="00A16C9B" w:rsidRDefault="000B266B" w:rsidP="0041700E">
            <w:pPr>
              <w:pStyle w:val="TableText"/>
              <w:keepLines/>
            </w:pPr>
            <w:r w:rsidRPr="00A16C9B">
              <w:rPr>
                <w:rFonts w:ascii="MS Gothic" w:eastAsia="MS Gothic" w:hAnsi="MS Gothic"/>
              </w:rPr>
              <w:t>☒</w:t>
            </w:r>
            <w:r w:rsidRPr="00A16C9B">
              <w:tab/>
              <w:t>k=3</w:t>
            </w:r>
            <w:r w:rsidRPr="00A16C9B">
              <w:tab/>
              <w:t>n=335</w:t>
            </w:r>
          </w:p>
        </w:tc>
        <w:tc>
          <w:tcPr>
            <w:tcW w:w="1074" w:type="pct"/>
            <w:tcBorders>
              <w:top w:val="single" w:sz="4" w:space="0" w:color="auto"/>
              <w:left w:val="single" w:sz="4" w:space="0" w:color="auto"/>
              <w:bottom w:val="single" w:sz="4" w:space="0" w:color="auto"/>
              <w:right w:val="single" w:sz="4" w:space="0" w:color="auto"/>
            </w:tcBorders>
            <w:hideMark/>
          </w:tcPr>
          <w:p w14:paraId="4889B425" w14:textId="77777777" w:rsidR="000B266B" w:rsidRPr="00A16C9B" w:rsidRDefault="000B266B" w:rsidP="0041700E">
            <w:pPr>
              <w:pStyle w:val="TableText"/>
              <w:keepLines/>
            </w:pPr>
            <w:r w:rsidRPr="00A16C9B">
              <w:t>High</w:t>
            </w:r>
          </w:p>
        </w:tc>
      </w:tr>
      <w:tr w:rsidR="000B266B" w:rsidRPr="00A16C9B" w14:paraId="7440A93D" w14:textId="77777777" w:rsidTr="00B678E8">
        <w:tc>
          <w:tcPr>
            <w:tcW w:w="1008" w:type="pct"/>
            <w:tcBorders>
              <w:top w:val="single" w:sz="4" w:space="0" w:color="auto"/>
              <w:left w:val="single" w:sz="4" w:space="0" w:color="auto"/>
              <w:right w:val="single" w:sz="4" w:space="0" w:color="auto"/>
            </w:tcBorders>
            <w:hideMark/>
          </w:tcPr>
          <w:p w14:paraId="14B86CFD" w14:textId="77777777" w:rsidR="000B266B" w:rsidRPr="00A16C9B" w:rsidRDefault="000B266B" w:rsidP="0041700E">
            <w:pPr>
              <w:pStyle w:val="TableText"/>
              <w:keepLines/>
            </w:pPr>
            <w:r w:rsidRPr="00A16C9B">
              <w:t>Prognostic evidence (longitudinal accuracy)</w:t>
            </w:r>
          </w:p>
        </w:tc>
        <w:tc>
          <w:tcPr>
            <w:tcW w:w="1844" w:type="pct"/>
            <w:tcBorders>
              <w:top w:val="single" w:sz="4" w:space="0" w:color="auto"/>
              <w:left w:val="single" w:sz="4" w:space="0" w:color="auto"/>
              <w:bottom w:val="single" w:sz="4" w:space="0" w:color="auto"/>
              <w:right w:val="single" w:sz="4" w:space="0" w:color="auto"/>
            </w:tcBorders>
            <w:hideMark/>
          </w:tcPr>
          <w:p w14:paraId="0239DCB0" w14:textId="77777777" w:rsidR="000B266B" w:rsidRPr="00A16C9B" w:rsidRDefault="000B266B" w:rsidP="0041700E">
            <w:pPr>
              <w:pStyle w:val="TableText"/>
              <w:keepLines/>
            </w:pPr>
            <w:r w:rsidRPr="4904BCD2">
              <w:t>Comparison of outcomes in patients receiving usual care, conditioned on the presence, absence or reduction of HDV RNA at baseline</w:t>
            </w:r>
          </w:p>
        </w:tc>
        <w:tc>
          <w:tcPr>
            <w:tcW w:w="1074" w:type="pct"/>
            <w:tcBorders>
              <w:top w:val="single" w:sz="4" w:space="0" w:color="auto"/>
              <w:left w:val="single" w:sz="4" w:space="0" w:color="auto"/>
              <w:bottom w:val="single" w:sz="4" w:space="0" w:color="auto"/>
              <w:right w:val="single" w:sz="4" w:space="0" w:color="auto"/>
            </w:tcBorders>
            <w:hideMark/>
          </w:tcPr>
          <w:p w14:paraId="00D3F6F3" w14:textId="77777777" w:rsidR="000B266B" w:rsidRPr="00A16C9B" w:rsidRDefault="000B266B" w:rsidP="0041700E">
            <w:pPr>
              <w:pStyle w:val="TableText"/>
              <w:keepLines/>
            </w:pPr>
            <w:r w:rsidRPr="4904BCD2">
              <w:rPr>
                <w:rFonts w:ascii="MS Gothic" w:eastAsia="MS Gothic" w:hAnsi="MS Gothic"/>
              </w:rPr>
              <w:t>☒</w:t>
            </w:r>
            <w:r w:rsidRPr="00A16C9B">
              <w:tab/>
            </w:r>
            <w:r w:rsidRPr="4904BCD2">
              <w:t>k=14 retrospective cohorts</w:t>
            </w:r>
            <w:r w:rsidRPr="00A16C9B">
              <w:tab/>
            </w:r>
            <w:r w:rsidRPr="4904BCD2">
              <w:t>n=2,749</w:t>
            </w:r>
          </w:p>
          <w:p w14:paraId="5EB585CB" w14:textId="77777777" w:rsidR="000B266B" w:rsidRPr="00A16C9B" w:rsidRDefault="000B266B" w:rsidP="0041700E">
            <w:pPr>
              <w:pStyle w:val="TableText"/>
              <w:keepLines/>
            </w:pPr>
            <w:r w:rsidRPr="4904BCD2">
              <w:rPr>
                <w:rFonts w:ascii="MS Gothic" w:eastAsia="MS Gothic" w:hAnsi="MS Gothic"/>
              </w:rPr>
              <w:t>☒</w:t>
            </w:r>
            <w:r w:rsidRPr="00A16C9B">
              <w:tab/>
            </w:r>
            <w:r w:rsidRPr="4904BCD2">
              <w:t>k=2 prospective studies</w:t>
            </w:r>
            <w:r w:rsidRPr="00A16C9B">
              <w:tab/>
            </w:r>
            <w:r w:rsidRPr="4904BCD2">
              <w:t>n=154</w:t>
            </w:r>
          </w:p>
          <w:p w14:paraId="74DAB273" w14:textId="77777777" w:rsidR="000B266B" w:rsidRPr="00A16C9B" w:rsidRDefault="000B266B" w:rsidP="0041700E">
            <w:pPr>
              <w:pStyle w:val="TableText"/>
              <w:keepLines/>
            </w:pPr>
            <w:r w:rsidRPr="4904BCD2">
              <w:rPr>
                <w:rFonts w:ascii="MS Gothic" w:eastAsia="MS Gothic" w:hAnsi="MS Gothic"/>
              </w:rPr>
              <w:t>☒</w:t>
            </w:r>
            <w:r w:rsidRPr="00A16C9B">
              <w:tab/>
            </w:r>
            <w:r w:rsidRPr="4904BCD2">
              <w:t>k=1 systematic review</w:t>
            </w:r>
            <w:r w:rsidRPr="00A16C9B">
              <w:tab/>
            </w:r>
            <w:r w:rsidRPr="4904BCD2">
              <w:t>n=4,853</w:t>
            </w:r>
          </w:p>
        </w:tc>
        <w:tc>
          <w:tcPr>
            <w:tcW w:w="1074" w:type="pct"/>
            <w:tcBorders>
              <w:top w:val="single" w:sz="4" w:space="0" w:color="auto"/>
              <w:left w:val="single" w:sz="4" w:space="0" w:color="auto"/>
              <w:bottom w:val="single" w:sz="4" w:space="0" w:color="auto"/>
              <w:right w:val="single" w:sz="4" w:space="0" w:color="auto"/>
            </w:tcBorders>
            <w:hideMark/>
          </w:tcPr>
          <w:p w14:paraId="04FCE097" w14:textId="77777777" w:rsidR="000B266B" w:rsidRPr="00A16C9B" w:rsidRDefault="000B266B" w:rsidP="0041700E">
            <w:pPr>
              <w:pStyle w:val="TableText"/>
              <w:keepLines/>
            </w:pPr>
            <w:r w:rsidRPr="00A16C9B">
              <w:t>High</w:t>
            </w:r>
          </w:p>
        </w:tc>
      </w:tr>
      <w:tr w:rsidR="000B266B" w:rsidRPr="00A16C9B" w14:paraId="4237AFD7" w14:textId="77777777" w:rsidTr="00B678E8">
        <w:tc>
          <w:tcPr>
            <w:tcW w:w="1008" w:type="pct"/>
            <w:tcBorders>
              <w:top w:val="single" w:sz="4" w:space="0" w:color="auto"/>
              <w:left w:val="single" w:sz="4" w:space="0" w:color="auto"/>
              <w:bottom w:val="single" w:sz="4" w:space="0" w:color="auto"/>
              <w:right w:val="single" w:sz="4" w:space="0" w:color="auto"/>
            </w:tcBorders>
          </w:tcPr>
          <w:p w14:paraId="6FA985B0" w14:textId="77777777" w:rsidR="000B266B" w:rsidRPr="00A16C9B" w:rsidRDefault="000B266B" w:rsidP="0041700E">
            <w:pPr>
              <w:pStyle w:val="TableText"/>
              <w:keepLines/>
            </w:pPr>
            <w:r w:rsidRPr="00A16C9B">
              <w:t>Predictive effect</w:t>
            </w:r>
          </w:p>
        </w:tc>
        <w:tc>
          <w:tcPr>
            <w:tcW w:w="1844" w:type="pct"/>
            <w:tcBorders>
              <w:top w:val="single" w:sz="4" w:space="0" w:color="auto"/>
              <w:left w:val="single" w:sz="4" w:space="0" w:color="auto"/>
              <w:bottom w:val="single" w:sz="4" w:space="0" w:color="auto"/>
              <w:right w:val="single" w:sz="4" w:space="0" w:color="auto"/>
            </w:tcBorders>
          </w:tcPr>
          <w:p w14:paraId="557AACF1" w14:textId="77777777" w:rsidR="000B266B" w:rsidRPr="00A16C9B" w:rsidRDefault="000B266B" w:rsidP="0041700E">
            <w:pPr>
              <w:pStyle w:val="TableText"/>
              <w:keepLines/>
            </w:pPr>
            <w:r w:rsidRPr="00A16C9B">
              <w:t>Comparison of outcomes in patients receiving usual care, conditioned on the reduction of HDV RNA</w:t>
            </w:r>
          </w:p>
        </w:tc>
        <w:tc>
          <w:tcPr>
            <w:tcW w:w="1074" w:type="pct"/>
            <w:tcBorders>
              <w:top w:val="single" w:sz="4" w:space="0" w:color="auto"/>
              <w:left w:val="single" w:sz="4" w:space="0" w:color="auto"/>
              <w:bottom w:val="single" w:sz="4" w:space="0" w:color="auto"/>
              <w:right w:val="single" w:sz="4" w:space="0" w:color="auto"/>
            </w:tcBorders>
          </w:tcPr>
          <w:p w14:paraId="5E498B11" w14:textId="77777777" w:rsidR="000B266B" w:rsidRPr="00A16C9B" w:rsidRDefault="000B266B" w:rsidP="0041700E">
            <w:pPr>
              <w:pStyle w:val="TableText"/>
              <w:keepLines/>
            </w:pPr>
            <w:r w:rsidRPr="4904BCD2">
              <w:rPr>
                <w:rFonts w:ascii="MS Gothic" w:eastAsia="MS Gothic" w:hAnsi="MS Gothic"/>
              </w:rPr>
              <w:t>☒</w:t>
            </w:r>
            <w:r w:rsidRPr="00A16C9B">
              <w:tab/>
            </w:r>
            <w:r w:rsidRPr="4904BCD2">
              <w:t>k=5 retrospective cohorts</w:t>
            </w:r>
            <w:r w:rsidRPr="00A16C9B">
              <w:tab/>
            </w:r>
            <w:r w:rsidRPr="4904BCD2">
              <w:t>n=244</w:t>
            </w:r>
          </w:p>
        </w:tc>
        <w:tc>
          <w:tcPr>
            <w:tcW w:w="1074" w:type="pct"/>
            <w:tcBorders>
              <w:top w:val="single" w:sz="4" w:space="0" w:color="auto"/>
              <w:left w:val="single" w:sz="4" w:space="0" w:color="auto"/>
              <w:bottom w:val="single" w:sz="4" w:space="0" w:color="auto"/>
              <w:right w:val="single" w:sz="4" w:space="0" w:color="auto"/>
            </w:tcBorders>
          </w:tcPr>
          <w:p w14:paraId="4668EC22" w14:textId="77777777" w:rsidR="000B266B" w:rsidRPr="00A16C9B" w:rsidRDefault="000B266B" w:rsidP="0041700E">
            <w:pPr>
              <w:pStyle w:val="TableText"/>
              <w:keepLines/>
            </w:pPr>
            <w:r w:rsidRPr="00A16C9B">
              <w:t>High</w:t>
            </w:r>
          </w:p>
        </w:tc>
      </w:tr>
      <w:tr w:rsidR="000B266B" w:rsidRPr="00A16C9B" w14:paraId="0C325E34" w14:textId="77777777" w:rsidTr="00B678E8">
        <w:tc>
          <w:tcPr>
            <w:tcW w:w="1008" w:type="pct"/>
            <w:tcBorders>
              <w:top w:val="single" w:sz="4" w:space="0" w:color="auto"/>
              <w:left w:val="single" w:sz="4" w:space="0" w:color="auto"/>
              <w:bottom w:val="single" w:sz="4" w:space="0" w:color="auto"/>
              <w:right w:val="single" w:sz="4" w:space="0" w:color="auto"/>
            </w:tcBorders>
          </w:tcPr>
          <w:p w14:paraId="6D619CA0" w14:textId="77777777" w:rsidR="000B266B" w:rsidRPr="00A16C9B" w:rsidRDefault="000B266B" w:rsidP="0041700E">
            <w:pPr>
              <w:pStyle w:val="TableText"/>
              <w:keepLines/>
            </w:pPr>
            <w:r w:rsidRPr="00A16C9B">
              <w:t>Change in patient management</w:t>
            </w:r>
          </w:p>
        </w:tc>
        <w:tc>
          <w:tcPr>
            <w:tcW w:w="1844" w:type="pct"/>
            <w:tcBorders>
              <w:top w:val="single" w:sz="4" w:space="0" w:color="auto"/>
              <w:left w:val="single" w:sz="4" w:space="0" w:color="auto"/>
              <w:bottom w:val="single" w:sz="4" w:space="0" w:color="auto"/>
              <w:right w:val="single" w:sz="4" w:space="0" w:color="auto"/>
            </w:tcBorders>
          </w:tcPr>
          <w:p w14:paraId="54C297F1" w14:textId="77777777" w:rsidR="000B266B" w:rsidRPr="00A16C9B" w:rsidRDefault="000B266B" w:rsidP="0041700E">
            <w:pPr>
              <w:pStyle w:val="TableText"/>
              <w:keepLines/>
            </w:pPr>
            <w:r w:rsidRPr="00A16C9B">
              <w:t>Evidence to show that HDV RNA test results guide decisions about stopping treatment (due to response or lack of response) or intensifying treatment (due to limited response)</w:t>
            </w:r>
          </w:p>
        </w:tc>
        <w:tc>
          <w:tcPr>
            <w:tcW w:w="1074" w:type="pct"/>
            <w:tcBorders>
              <w:top w:val="single" w:sz="4" w:space="0" w:color="auto"/>
              <w:left w:val="single" w:sz="4" w:space="0" w:color="auto"/>
              <w:bottom w:val="single" w:sz="4" w:space="0" w:color="auto"/>
              <w:right w:val="single" w:sz="4" w:space="0" w:color="auto"/>
            </w:tcBorders>
          </w:tcPr>
          <w:p w14:paraId="484BCF18" w14:textId="77777777" w:rsidR="000B266B" w:rsidRPr="00A16C9B" w:rsidRDefault="000B266B" w:rsidP="0041700E">
            <w:pPr>
              <w:pStyle w:val="TableText"/>
              <w:keepLines/>
            </w:pPr>
            <w:r w:rsidRPr="4904BCD2">
              <w:rPr>
                <w:rFonts w:ascii="MS Gothic" w:eastAsia="MS Gothic" w:hAnsi="MS Gothic"/>
              </w:rPr>
              <w:t>☒</w:t>
            </w:r>
            <w:r w:rsidRPr="00A16C9B">
              <w:tab/>
            </w:r>
            <w:r w:rsidRPr="4904BCD2">
              <w:t>k=2 uncontrolled before/after studies</w:t>
            </w:r>
            <w:r w:rsidRPr="00A16C9B">
              <w:tab/>
            </w:r>
            <w:r w:rsidRPr="4904BCD2">
              <w:t>n=129</w:t>
            </w:r>
          </w:p>
        </w:tc>
        <w:tc>
          <w:tcPr>
            <w:tcW w:w="1074" w:type="pct"/>
            <w:tcBorders>
              <w:top w:val="single" w:sz="4" w:space="0" w:color="auto"/>
              <w:left w:val="single" w:sz="4" w:space="0" w:color="auto"/>
              <w:bottom w:val="single" w:sz="4" w:space="0" w:color="auto"/>
              <w:right w:val="single" w:sz="4" w:space="0" w:color="auto"/>
            </w:tcBorders>
            <w:hideMark/>
          </w:tcPr>
          <w:p w14:paraId="1F549DB1" w14:textId="77777777" w:rsidR="000B266B" w:rsidRPr="00A16C9B" w:rsidRDefault="000B266B" w:rsidP="0041700E">
            <w:pPr>
              <w:pStyle w:val="TableText"/>
              <w:keepLines/>
            </w:pPr>
            <w:r w:rsidRPr="00A16C9B">
              <w:t>High</w:t>
            </w:r>
          </w:p>
        </w:tc>
      </w:tr>
      <w:tr w:rsidR="000B266B" w:rsidRPr="00A16C9B" w14:paraId="641878D6" w14:textId="77777777" w:rsidTr="00B678E8">
        <w:tc>
          <w:tcPr>
            <w:tcW w:w="1008" w:type="pct"/>
            <w:tcBorders>
              <w:top w:val="single" w:sz="4" w:space="0" w:color="auto"/>
              <w:left w:val="single" w:sz="4" w:space="0" w:color="auto"/>
              <w:bottom w:val="nil"/>
              <w:right w:val="single" w:sz="4" w:space="0" w:color="auto"/>
            </w:tcBorders>
          </w:tcPr>
          <w:p w14:paraId="0354AEA3" w14:textId="77777777" w:rsidR="000B266B" w:rsidRPr="00A16C9B" w:rsidRDefault="000B266B" w:rsidP="0041700E">
            <w:pPr>
              <w:pStyle w:val="TableText"/>
              <w:keepLines/>
            </w:pPr>
            <w:r w:rsidRPr="00A16C9B">
              <w:t>Health outcomes (clinical utility)</w:t>
            </w:r>
          </w:p>
          <w:p w14:paraId="62BC4A1A" w14:textId="77777777" w:rsidR="000B266B" w:rsidRPr="00A16C9B" w:rsidRDefault="000B266B" w:rsidP="0041700E">
            <w:pPr>
              <w:pStyle w:val="TableText"/>
              <w:keepLines/>
            </w:pPr>
          </w:p>
        </w:tc>
        <w:tc>
          <w:tcPr>
            <w:tcW w:w="1844" w:type="pct"/>
            <w:tcBorders>
              <w:top w:val="single" w:sz="4" w:space="0" w:color="auto"/>
              <w:left w:val="single" w:sz="4" w:space="0" w:color="auto"/>
              <w:bottom w:val="nil"/>
              <w:right w:val="single" w:sz="4" w:space="0" w:color="auto"/>
            </w:tcBorders>
          </w:tcPr>
          <w:p w14:paraId="6C73ABB3" w14:textId="77777777" w:rsidR="000B266B" w:rsidRPr="00A16C9B" w:rsidRDefault="000B266B" w:rsidP="0041700E">
            <w:pPr>
              <w:pStyle w:val="TableText"/>
              <w:keepLines/>
            </w:pPr>
            <w:r w:rsidRPr="00A16C9B">
              <w:t>No evidence presented.</w:t>
            </w:r>
          </w:p>
        </w:tc>
        <w:tc>
          <w:tcPr>
            <w:tcW w:w="1074" w:type="pct"/>
            <w:tcBorders>
              <w:top w:val="single" w:sz="4" w:space="0" w:color="auto"/>
              <w:left w:val="single" w:sz="4" w:space="0" w:color="auto"/>
              <w:bottom w:val="nil"/>
              <w:right w:val="single" w:sz="4" w:space="0" w:color="auto"/>
            </w:tcBorders>
          </w:tcPr>
          <w:p w14:paraId="2C8EE438" w14:textId="77777777" w:rsidR="000B266B" w:rsidRPr="00A16C9B" w:rsidRDefault="000B266B" w:rsidP="0041700E">
            <w:pPr>
              <w:pStyle w:val="TableText"/>
              <w:keepLines/>
              <w:tabs>
                <w:tab w:val="left" w:pos="620"/>
                <w:tab w:val="left" w:pos="1403"/>
              </w:tabs>
            </w:pPr>
            <w:r w:rsidRPr="00A16C9B">
              <w:rPr>
                <w:rFonts w:ascii="MS Gothic" w:eastAsia="MS Gothic" w:hAnsi="MS Gothic"/>
              </w:rPr>
              <w:t>☐</w:t>
            </w:r>
            <w:r w:rsidRPr="00A16C9B">
              <w:tab/>
              <w:t>k=0</w:t>
            </w:r>
            <w:r w:rsidRPr="00A16C9B">
              <w:tab/>
              <w:t>n=0</w:t>
            </w:r>
          </w:p>
          <w:p w14:paraId="00D60B4B" w14:textId="77777777" w:rsidR="000B266B" w:rsidRPr="00A16C9B" w:rsidRDefault="000B266B" w:rsidP="0041700E">
            <w:pPr>
              <w:pStyle w:val="TableText"/>
              <w:keepLines/>
            </w:pPr>
          </w:p>
        </w:tc>
        <w:tc>
          <w:tcPr>
            <w:tcW w:w="1074" w:type="pct"/>
            <w:tcBorders>
              <w:top w:val="single" w:sz="4" w:space="0" w:color="auto"/>
              <w:left w:val="single" w:sz="4" w:space="0" w:color="auto"/>
              <w:bottom w:val="nil"/>
              <w:right w:val="single" w:sz="4" w:space="0" w:color="auto"/>
            </w:tcBorders>
          </w:tcPr>
          <w:p w14:paraId="2E7BF2A5" w14:textId="77777777" w:rsidR="000B266B" w:rsidRPr="00A16C9B" w:rsidRDefault="000B266B" w:rsidP="0041700E">
            <w:pPr>
              <w:pStyle w:val="TableText"/>
              <w:keepLines/>
            </w:pPr>
          </w:p>
        </w:tc>
      </w:tr>
      <w:tr w:rsidR="000B266B" w:rsidRPr="00A16C9B" w14:paraId="3BF8F90A" w14:textId="77777777" w:rsidTr="00B678E8">
        <w:tc>
          <w:tcPr>
            <w:tcW w:w="1008" w:type="pct"/>
            <w:tcBorders>
              <w:top w:val="nil"/>
              <w:left w:val="single" w:sz="4" w:space="0" w:color="auto"/>
              <w:bottom w:val="nil"/>
              <w:right w:val="single" w:sz="4" w:space="0" w:color="auto"/>
            </w:tcBorders>
          </w:tcPr>
          <w:p w14:paraId="19E0875E" w14:textId="77777777" w:rsidR="000B266B" w:rsidRPr="00A16C9B" w:rsidRDefault="000B266B" w:rsidP="0041700E">
            <w:pPr>
              <w:pStyle w:val="TableText"/>
              <w:keepLines/>
            </w:pPr>
            <w:r w:rsidRPr="00A16C9B">
              <w:t>Predictive effect (treatment effect variation)</w:t>
            </w:r>
          </w:p>
          <w:p w14:paraId="55B5E63B" w14:textId="77777777" w:rsidR="000B266B" w:rsidRPr="00A16C9B" w:rsidRDefault="000B266B" w:rsidP="0041700E">
            <w:pPr>
              <w:pStyle w:val="TableText"/>
              <w:keepLines/>
            </w:pPr>
          </w:p>
        </w:tc>
        <w:tc>
          <w:tcPr>
            <w:tcW w:w="1844" w:type="pct"/>
            <w:tcBorders>
              <w:top w:val="nil"/>
              <w:left w:val="single" w:sz="4" w:space="0" w:color="auto"/>
              <w:bottom w:val="nil"/>
              <w:right w:val="single" w:sz="4" w:space="0" w:color="auto"/>
            </w:tcBorders>
          </w:tcPr>
          <w:p w14:paraId="3E4E5168" w14:textId="77777777" w:rsidR="000B266B" w:rsidRPr="00A16C9B" w:rsidRDefault="000B266B" w:rsidP="0041700E">
            <w:pPr>
              <w:pStyle w:val="TableText"/>
              <w:keepLines/>
            </w:pPr>
            <w:r w:rsidRPr="00A16C9B">
              <w:t>Comparison of outcomes in patients receiving usual care, conditioned on the reduction of HDV RNA</w:t>
            </w:r>
          </w:p>
        </w:tc>
        <w:tc>
          <w:tcPr>
            <w:tcW w:w="1074" w:type="pct"/>
            <w:tcBorders>
              <w:top w:val="nil"/>
              <w:left w:val="single" w:sz="4" w:space="0" w:color="auto"/>
              <w:bottom w:val="nil"/>
              <w:right w:val="single" w:sz="4" w:space="0" w:color="auto"/>
            </w:tcBorders>
          </w:tcPr>
          <w:p w14:paraId="5D95D2CE" w14:textId="77777777" w:rsidR="000B266B" w:rsidRPr="00A16C9B" w:rsidRDefault="000B266B" w:rsidP="0041700E">
            <w:pPr>
              <w:pStyle w:val="TableText"/>
              <w:keepLines/>
              <w:tabs>
                <w:tab w:val="left" w:pos="610"/>
                <w:tab w:val="left" w:pos="1403"/>
              </w:tabs>
            </w:pPr>
            <w:r w:rsidRPr="00A16C9B">
              <w:rPr>
                <w:rFonts w:ascii="MS Gothic" w:eastAsia="MS Gothic" w:hAnsi="MS Gothic"/>
              </w:rPr>
              <w:t>☐</w:t>
            </w:r>
            <w:r w:rsidRPr="00A16C9B">
              <w:tab/>
              <w:t>k=0</w:t>
            </w:r>
            <w:r w:rsidRPr="00A16C9B">
              <w:tab/>
              <w:t>n=0</w:t>
            </w:r>
          </w:p>
        </w:tc>
        <w:tc>
          <w:tcPr>
            <w:tcW w:w="1074" w:type="pct"/>
            <w:tcBorders>
              <w:top w:val="nil"/>
              <w:left w:val="single" w:sz="4" w:space="0" w:color="auto"/>
              <w:bottom w:val="nil"/>
              <w:right w:val="single" w:sz="4" w:space="0" w:color="auto"/>
            </w:tcBorders>
          </w:tcPr>
          <w:p w14:paraId="57C50260" w14:textId="77777777" w:rsidR="000B266B" w:rsidRPr="00A16C9B" w:rsidRDefault="000B266B" w:rsidP="0041700E">
            <w:pPr>
              <w:pStyle w:val="TableText"/>
              <w:keepLines/>
            </w:pPr>
          </w:p>
        </w:tc>
      </w:tr>
      <w:tr w:rsidR="000B266B" w:rsidRPr="00A16C9B" w14:paraId="23CADA86" w14:textId="77777777" w:rsidTr="00B678E8">
        <w:tc>
          <w:tcPr>
            <w:tcW w:w="1008" w:type="pct"/>
            <w:tcBorders>
              <w:top w:val="nil"/>
              <w:left w:val="single" w:sz="4" w:space="0" w:color="auto"/>
              <w:bottom w:val="single" w:sz="4" w:space="0" w:color="auto"/>
              <w:right w:val="single" w:sz="4" w:space="0" w:color="auto"/>
            </w:tcBorders>
            <w:shd w:val="clear" w:color="auto" w:fill="BDD6EE" w:themeFill="accent1" w:themeFillTint="66"/>
            <w:hideMark/>
          </w:tcPr>
          <w:p w14:paraId="5976B824" w14:textId="77777777" w:rsidR="000B266B" w:rsidRPr="00A16C9B" w:rsidRDefault="000B266B" w:rsidP="0041700E">
            <w:pPr>
              <w:pStyle w:val="TableText"/>
              <w:keepLines/>
            </w:pPr>
            <w:r w:rsidRPr="00A16C9B">
              <w:t>Treatment effect (enriched)</w:t>
            </w:r>
          </w:p>
        </w:tc>
        <w:tc>
          <w:tcPr>
            <w:tcW w:w="1844" w:type="pct"/>
            <w:tcBorders>
              <w:top w:val="nil"/>
              <w:left w:val="single" w:sz="4" w:space="0" w:color="auto"/>
              <w:bottom w:val="single" w:sz="4" w:space="0" w:color="auto"/>
              <w:right w:val="single" w:sz="4" w:space="0" w:color="auto"/>
            </w:tcBorders>
            <w:shd w:val="clear" w:color="auto" w:fill="BDD6EE" w:themeFill="accent1" w:themeFillTint="66"/>
          </w:tcPr>
          <w:p w14:paraId="3A83302B" w14:textId="77777777" w:rsidR="000B266B" w:rsidRPr="00A16C9B" w:rsidRDefault="000B266B" w:rsidP="0041700E">
            <w:pPr>
              <w:pStyle w:val="TableText"/>
              <w:keepLines/>
            </w:pPr>
            <w:r w:rsidRPr="37C20EEE">
              <w:t>Single randomised controlled trial of bulevirtide vs symptom management of CHD in patients that are tested for HDV RNA by PCR in both arms and found to be positive.</w:t>
            </w:r>
          </w:p>
        </w:tc>
        <w:tc>
          <w:tcPr>
            <w:tcW w:w="1074" w:type="pct"/>
            <w:tcBorders>
              <w:top w:val="nil"/>
              <w:left w:val="single" w:sz="4" w:space="0" w:color="auto"/>
              <w:bottom w:val="single" w:sz="4" w:space="0" w:color="auto"/>
              <w:right w:val="single" w:sz="4" w:space="0" w:color="auto"/>
            </w:tcBorders>
            <w:shd w:val="clear" w:color="auto" w:fill="BDD6EE" w:themeFill="accent1" w:themeFillTint="66"/>
            <w:hideMark/>
          </w:tcPr>
          <w:p w14:paraId="55DBBB76" w14:textId="77777777" w:rsidR="000B266B" w:rsidRPr="00A16C9B" w:rsidRDefault="000B266B" w:rsidP="0041700E">
            <w:pPr>
              <w:pStyle w:val="TableText"/>
              <w:keepLines/>
              <w:tabs>
                <w:tab w:val="left" w:pos="619"/>
                <w:tab w:val="left" w:pos="1403"/>
              </w:tabs>
            </w:pPr>
            <w:r w:rsidRPr="00A16C9B">
              <w:rPr>
                <w:rFonts w:ascii="MS Gothic" w:eastAsia="MS Gothic" w:hAnsi="MS Gothic"/>
              </w:rPr>
              <w:t>☒</w:t>
            </w:r>
            <w:r w:rsidRPr="00A16C9B">
              <w:tab/>
              <w:t>k=1</w:t>
            </w:r>
            <w:r w:rsidRPr="00A16C9B">
              <w:tab/>
              <w:t>n=150</w:t>
            </w:r>
          </w:p>
        </w:tc>
        <w:tc>
          <w:tcPr>
            <w:tcW w:w="1074" w:type="pct"/>
            <w:tcBorders>
              <w:top w:val="nil"/>
              <w:left w:val="single" w:sz="4" w:space="0" w:color="auto"/>
              <w:bottom w:val="single" w:sz="4" w:space="0" w:color="auto"/>
              <w:right w:val="single" w:sz="4" w:space="0" w:color="auto"/>
            </w:tcBorders>
            <w:shd w:val="clear" w:color="auto" w:fill="BDD6EE" w:themeFill="accent1" w:themeFillTint="66"/>
          </w:tcPr>
          <w:p w14:paraId="69B36F89" w14:textId="77777777" w:rsidR="000B266B" w:rsidRPr="00A16C9B" w:rsidRDefault="000B266B" w:rsidP="0041700E">
            <w:pPr>
              <w:pStyle w:val="TableText"/>
              <w:keepLines/>
            </w:pPr>
            <w:r w:rsidRPr="00A16C9B">
              <w:t>Low</w:t>
            </w:r>
          </w:p>
        </w:tc>
      </w:tr>
    </w:tbl>
    <w:p w14:paraId="382E14E8" w14:textId="77777777" w:rsidR="000B266B" w:rsidRPr="00A16C9B" w:rsidRDefault="000B266B" w:rsidP="0041700E">
      <w:pPr>
        <w:pStyle w:val="TableFooter"/>
        <w:keepNext/>
        <w:keepLines/>
        <w:widowControl/>
      </w:pPr>
      <w:r w:rsidRPr="00A16C9B">
        <w:t>Source: Table compiled during the evaluation.</w:t>
      </w:r>
    </w:p>
    <w:p w14:paraId="5AE4D408" w14:textId="77777777" w:rsidR="000B266B" w:rsidRPr="00A16C9B" w:rsidRDefault="000B266B" w:rsidP="0041700E">
      <w:pPr>
        <w:pStyle w:val="TableFooter"/>
        <w:keepNext/>
        <w:keepLines/>
        <w:widowControl/>
      </w:pPr>
      <w:r w:rsidRPr="00A16C9B">
        <w:t>CHD = Chronic Hepatitis D; HDV = Hepatitis D Virus, k=number of studies, n=number of patients, NA=not applicable; RNA = Ribonucleic Acid.</w:t>
      </w:r>
    </w:p>
    <w:p w14:paraId="17A72940" w14:textId="77777777" w:rsidR="000B266B" w:rsidRPr="00A16C9B" w:rsidRDefault="000B266B" w:rsidP="0041700E">
      <w:pPr>
        <w:pStyle w:val="TableFooter"/>
        <w:keepNext/>
        <w:keepLines/>
        <w:widowControl/>
      </w:pPr>
      <w:bookmarkStart w:id="21" w:name="_Hlk185255482"/>
      <w:r w:rsidRPr="4904BCD2">
        <w:t>Note:</w:t>
      </w:r>
      <w:r w:rsidRPr="4904BCD2">
        <w:rPr>
          <w:shd w:val="clear" w:color="auto" w:fill="BDD6EE" w:themeFill="accent1" w:themeFillTint="66"/>
        </w:rPr>
        <w:t xml:space="preserve"> Blue </w:t>
      </w:r>
      <w:r w:rsidRPr="4904BCD2">
        <w:t>shading denotes clinical evidence unchanged from the previous submission.</w:t>
      </w:r>
    </w:p>
    <w:p w14:paraId="02E636C6" w14:textId="77777777" w:rsidR="000B266B" w:rsidRPr="00A16C9B" w:rsidRDefault="000B266B" w:rsidP="0041700E">
      <w:pPr>
        <w:pStyle w:val="TableFooter"/>
        <w:widowControl/>
        <w:spacing w:after="120"/>
      </w:pPr>
      <w:r w:rsidRPr="4904BCD2">
        <w:t>Note: Data of treatment effect provided in the resubmission was from the same key trial (MYR301) used in the previous submission, but the data provided in the resubmission covered a longer treatment duration (up to 144 weeks) compared to 96 weeks in the previous submission.</w:t>
      </w:r>
    </w:p>
    <w:bookmarkEnd w:id="21"/>
    <w:p w14:paraId="54CFF816" w14:textId="77777777" w:rsidR="000B266B" w:rsidRPr="00A16C9B" w:rsidRDefault="000B266B" w:rsidP="0041700E">
      <w:pPr>
        <w:pStyle w:val="3-BodyText"/>
        <w:spacing w:before="120" w:after="120"/>
      </w:pPr>
      <w:r w:rsidRPr="4904BCD2">
        <w:t>The resubmission was based on the same clinical trial of bulevirtide versus symptom management (MYR301) as presented in the previous submission. In the MYR301 trial, enrolled patients with positive HDV RNA detected by PCR, elevated serum ALT level, and compensated liver disease received bulevirtide or symptom management as a first line treatment for CHD.</w:t>
      </w:r>
    </w:p>
    <w:p w14:paraId="496D39A3" w14:textId="70CF9126" w:rsidR="000B266B" w:rsidRPr="00A16C9B" w:rsidRDefault="000B266B" w:rsidP="0041700E">
      <w:pPr>
        <w:pStyle w:val="TableFigureHeading"/>
        <w:rPr>
          <w:i/>
        </w:rPr>
      </w:pPr>
      <w:r w:rsidRPr="00A16C9B">
        <w:lastRenderedPageBreak/>
        <w:t xml:space="preserve">Table </w:t>
      </w:r>
      <w:r w:rsidRPr="00A16C9B">
        <w:rPr>
          <w:i/>
        </w:rPr>
        <w:fldChar w:fldCharType="begin"/>
      </w:r>
      <w:r w:rsidRPr="00A16C9B">
        <w:instrText xml:space="preserve"> SEQ Table_PBAC. \* ARABIC </w:instrText>
      </w:r>
      <w:r w:rsidRPr="00A16C9B">
        <w:rPr>
          <w:i/>
        </w:rPr>
        <w:fldChar w:fldCharType="separate"/>
      </w:r>
      <w:r w:rsidR="007848CD">
        <w:rPr>
          <w:noProof/>
        </w:rPr>
        <w:t>4</w:t>
      </w:r>
      <w:r w:rsidRPr="00A16C9B">
        <w:rPr>
          <w:i/>
          <w:noProof/>
        </w:rPr>
        <w:fldChar w:fldCharType="end"/>
      </w:r>
      <w:r>
        <w:rPr>
          <w:iCs/>
          <w:noProof/>
        </w:rPr>
        <w:t>:</w:t>
      </w:r>
      <w:r>
        <w:t xml:space="preserve"> </w:t>
      </w:r>
      <w:r w:rsidRPr="00A16C9B">
        <w:t>Data availability to inform comparisons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Table 4: Data availability to inform comparisons"/>
      </w:tblPr>
      <w:tblGrid>
        <w:gridCol w:w="2193"/>
        <w:gridCol w:w="3134"/>
        <w:gridCol w:w="3689"/>
      </w:tblGrid>
      <w:tr w:rsidR="000B266B" w:rsidRPr="00A16C9B" w14:paraId="15EC49D8" w14:textId="77777777" w:rsidTr="00B678E8">
        <w:tc>
          <w:tcPr>
            <w:tcW w:w="12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49044B" w14:textId="77777777" w:rsidR="000B266B" w:rsidRPr="00A16C9B" w:rsidRDefault="000B266B" w:rsidP="0041700E">
            <w:pPr>
              <w:pStyle w:val="TableText"/>
              <w:spacing w:before="40" w:after="40"/>
            </w:pPr>
            <w:r w:rsidRPr="00A16C9B">
              <w:t>Proposed test vs no test</w:t>
            </w:r>
          </w:p>
        </w:tc>
        <w:tc>
          <w:tcPr>
            <w:tcW w:w="378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36A888" w14:textId="77777777" w:rsidR="000B266B" w:rsidRPr="00A16C9B" w:rsidRDefault="000B266B" w:rsidP="0041700E">
            <w:pPr>
              <w:pStyle w:val="TableText"/>
              <w:spacing w:before="40" w:after="40"/>
              <w:rPr>
                <w:b/>
              </w:rPr>
            </w:pPr>
            <w:r w:rsidRPr="00A16C9B">
              <w:t>No evidence presented</w:t>
            </w:r>
          </w:p>
        </w:tc>
      </w:tr>
      <w:tr w:rsidR="000B266B" w:rsidRPr="00A16C9B" w14:paraId="5B7C55AC" w14:textId="77777777" w:rsidTr="00B678E8">
        <w:tc>
          <w:tcPr>
            <w:tcW w:w="12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D98E2E" w14:textId="77777777" w:rsidR="000B266B" w:rsidRPr="00A16C9B" w:rsidRDefault="000B266B" w:rsidP="0041700E">
            <w:pPr>
              <w:pStyle w:val="TableText"/>
              <w:spacing w:before="40" w:after="40"/>
            </w:pPr>
            <w:r w:rsidRPr="00A16C9B">
              <w:t>Proposed test vs alternative test</w:t>
            </w:r>
          </w:p>
        </w:tc>
        <w:tc>
          <w:tcPr>
            <w:tcW w:w="378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3042B7" w14:textId="77777777" w:rsidR="000B266B" w:rsidRPr="00A16C9B" w:rsidRDefault="000B266B" w:rsidP="0041700E">
            <w:pPr>
              <w:pStyle w:val="TableText"/>
              <w:spacing w:before="40" w:after="40"/>
              <w:rPr>
                <w:b/>
                <w:bCs w:val="0"/>
              </w:rPr>
            </w:pPr>
            <w:r w:rsidRPr="4904BCD2">
              <w:t>3 additional small studies reporting concordance of quantified HDV RNA results</w:t>
            </w:r>
          </w:p>
        </w:tc>
      </w:tr>
      <w:tr w:rsidR="000B266B" w:rsidRPr="00A16C9B" w14:paraId="12F593CF" w14:textId="77777777" w:rsidTr="00B678E8">
        <w:tc>
          <w:tcPr>
            <w:tcW w:w="12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EF969A" w14:textId="77777777" w:rsidR="000B266B" w:rsidRPr="00A16C9B" w:rsidRDefault="000B266B" w:rsidP="0041700E">
            <w:pPr>
              <w:pStyle w:val="TableText"/>
              <w:spacing w:before="40" w:after="40"/>
            </w:pPr>
          </w:p>
        </w:tc>
        <w:tc>
          <w:tcPr>
            <w:tcW w:w="17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717A19" w14:textId="77777777" w:rsidR="000B266B" w:rsidRPr="00A16C9B" w:rsidRDefault="000B266B" w:rsidP="0041700E">
            <w:pPr>
              <w:pStyle w:val="TableText"/>
              <w:spacing w:before="40" w:after="40"/>
              <w:rPr>
                <w:b/>
              </w:rPr>
            </w:pPr>
            <w:r w:rsidRPr="00A16C9B">
              <w:rPr>
                <w:b/>
              </w:rPr>
              <w:t>Proposed drug</w:t>
            </w:r>
          </w:p>
        </w:tc>
        <w:tc>
          <w:tcPr>
            <w:tcW w:w="20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65D6FE" w14:textId="77777777" w:rsidR="000B266B" w:rsidRPr="00A16C9B" w:rsidRDefault="000B266B" w:rsidP="0041700E">
            <w:pPr>
              <w:pStyle w:val="TableText"/>
              <w:spacing w:before="40" w:after="40"/>
              <w:rPr>
                <w:b/>
              </w:rPr>
            </w:pPr>
            <w:r w:rsidRPr="00A16C9B">
              <w:rPr>
                <w:b/>
              </w:rPr>
              <w:t>Comparator drug</w:t>
            </w:r>
          </w:p>
        </w:tc>
      </w:tr>
      <w:tr w:rsidR="000B266B" w:rsidRPr="00A16C9B" w14:paraId="3767FC1E" w14:textId="77777777" w:rsidTr="00B678E8">
        <w:tc>
          <w:tcPr>
            <w:tcW w:w="12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43540" w14:textId="77777777" w:rsidR="000B266B" w:rsidRPr="00A16C9B" w:rsidRDefault="000B266B" w:rsidP="0041700E">
            <w:pPr>
              <w:pStyle w:val="TableText"/>
              <w:spacing w:before="40" w:after="40"/>
            </w:pPr>
            <w:r w:rsidRPr="4904BCD2">
              <w:t>Biomarker test positive</w:t>
            </w:r>
          </w:p>
        </w:tc>
        <w:tc>
          <w:tcPr>
            <w:tcW w:w="17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BDC46" w14:textId="77777777" w:rsidR="000B266B" w:rsidRPr="00A16C9B" w:rsidRDefault="000B266B" w:rsidP="0041700E">
            <w:pPr>
              <w:pStyle w:val="TableText"/>
              <w:spacing w:before="40" w:after="40"/>
            </w:pPr>
            <w:r w:rsidRPr="00A16C9B">
              <w:t>Updated data from MYR301</w:t>
            </w:r>
          </w:p>
        </w:tc>
        <w:tc>
          <w:tcPr>
            <w:tcW w:w="20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E455F" w14:textId="77777777" w:rsidR="000B266B" w:rsidRPr="00A16C9B" w:rsidRDefault="000B266B" w:rsidP="0041700E">
            <w:pPr>
              <w:pStyle w:val="TableText"/>
              <w:spacing w:before="40" w:after="40"/>
            </w:pPr>
            <w:r w:rsidRPr="00A16C9B">
              <w:t>Updated data from MYR301</w:t>
            </w:r>
          </w:p>
        </w:tc>
      </w:tr>
      <w:tr w:rsidR="000B266B" w:rsidRPr="00A16C9B" w14:paraId="5BEC3943" w14:textId="77777777" w:rsidTr="00B678E8">
        <w:tc>
          <w:tcPr>
            <w:tcW w:w="12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FE3FD" w14:textId="77777777" w:rsidR="000B266B" w:rsidRPr="00A16C9B" w:rsidRDefault="000B266B" w:rsidP="0041700E">
            <w:pPr>
              <w:pStyle w:val="TableText"/>
              <w:spacing w:before="40" w:after="40"/>
              <w:rPr>
                <w:b/>
                <w:bCs w:val="0"/>
              </w:rPr>
            </w:pPr>
            <w:r w:rsidRPr="4904BCD2">
              <w:t>Biomarker test negative</w:t>
            </w:r>
            <w:r w:rsidRPr="4904BCD2">
              <w:rPr>
                <w:b/>
              </w:rPr>
              <w:t xml:space="preserve"> </w:t>
            </w:r>
          </w:p>
        </w:tc>
        <w:tc>
          <w:tcPr>
            <w:tcW w:w="17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A39A0" w14:textId="77777777" w:rsidR="000B266B" w:rsidRPr="00A16C9B" w:rsidRDefault="000B266B" w:rsidP="0041700E">
            <w:pPr>
              <w:pStyle w:val="TableText"/>
              <w:spacing w:before="40" w:after="40"/>
            </w:pPr>
            <w:r w:rsidRPr="00A16C9B">
              <w:t>No evidence presented</w:t>
            </w:r>
          </w:p>
        </w:tc>
        <w:tc>
          <w:tcPr>
            <w:tcW w:w="20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18B5E" w14:textId="77777777" w:rsidR="000B266B" w:rsidRPr="00A16C9B" w:rsidRDefault="000B266B" w:rsidP="0041700E">
            <w:pPr>
              <w:pStyle w:val="TableText"/>
              <w:spacing w:before="40" w:after="40"/>
            </w:pPr>
            <w:r w:rsidRPr="00A16C9B">
              <w:t>No evidence presented</w:t>
            </w:r>
          </w:p>
        </w:tc>
      </w:tr>
    </w:tbl>
    <w:p w14:paraId="105DAE50" w14:textId="77777777" w:rsidR="000B266B" w:rsidRPr="00A16C9B" w:rsidRDefault="000B266B" w:rsidP="0041700E">
      <w:pPr>
        <w:pStyle w:val="TableFooter"/>
        <w:widowControl/>
        <w:spacing w:after="120"/>
      </w:pPr>
      <w:r w:rsidRPr="00A16C9B">
        <w:t>Source: Table compiled during the evaluation.</w:t>
      </w:r>
    </w:p>
    <w:p w14:paraId="74F4FDEA" w14:textId="77777777" w:rsidR="000B266B" w:rsidRPr="00A16C9B" w:rsidRDefault="000B266B" w:rsidP="0041700E">
      <w:pPr>
        <w:pStyle w:val="3-BodyText"/>
        <w:spacing w:before="120" w:after="120"/>
      </w:pPr>
      <w:r w:rsidRPr="4904BCD2">
        <w:t>The populations and tests were largely transferable across the linked evidence, but the treatment regimens identified in the literature searches largely used treatment with interferon (IFN), which is not routinely used in Australia for CHD.</w:t>
      </w:r>
    </w:p>
    <w:p w14:paraId="75BDE574" w14:textId="77777777" w:rsidR="000B266B" w:rsidRPr="00A16C9B" w:rsidRDefault="000B266B" w:rsidP="0041700E">
      <w:pPr>
        <w:pStyle w:val="3-BodyText"/>
        <w:spacing w:before="120" w:after="120"/>
      </w:pPr>
      <w:r w:rsidRPr="4904BCD2">
        <w:t>The risk of bias was considered high for the studies which informed assessments of the accuracy and performance of the test, prognostic value of HDV RNA and change in patient management. The overall risk of bias in the trial (MYR301) was considered low. The limitation of the MYR301 trial design was the open-label design of the study, in which patients and investigators were not blinded to the treatment group assignment. The risk of bias was considered low for the efficacy endpoints (i.e., serum HDV RNA level and ALT level), as they were objective outcomes and as those who assessed these endpoints were blinded to treatment allocation. However, there is potential for bias in assessment of patient reported outcomes such as adverse events (AEs) and quality of life.</w:t>
      </w:r>
    </w:p>
    <w:p w14:paraId="11187F44" w14:textId="77777777" w:rsidR="000B266B" w:rsidRPr="00F50184" w:rsidRDefault="000B266B" w:rsidP="0041700E">
      <w:pPr>
        <w:pStyle w:val="4-SubsectionHeading"/>
      </w:pPr>
      <w:bookmarkStart w:id="22" w:name="_Toc188360796"/>
      <w:r w:rsidRPr="00F50184">
        <w:t>Clinical trials on the effectiveness and safety of bulevirtide</w:t>
      </w:r>
      <w:bookmarkEnd w:id="22"/>
      <w:r w:rsidRPr="00F50184">
        <w:t xml:space="preserve"> </w:t>
      </w:r>
    </w:p>
    <w:p w14:paraId="73D70B5F" w14:textId="77777777" w:rsidR="000B266B" w:rsidRPr="00A16C9B" w:rsidRDefault="000B266B" w:rsidP="0041700E">
      <w:pPr>
        <w:pStyle w:val="3-BodyText"/>
        <w:spacing w:before="120" w:after="120"/>
      </w:pPr>
      <w:r w:rsidRPr="4904BCD2">
        <w:t xml:space="preserve">MYR301 was a head-to-head, Phase 3, multicentre, open-label trial that assessed the effectiveness and safety of bulevirtide in adult patients diagnosed with CHD who had serum HDV RNA detected by PCR, elevated serum ALT level, as well as compensated liver disease (n=150). In the trial, patients were randomly assigned to three treatment arms: 1) bulevirtide 2 mg arm (bulevirtide 2 mg once daily for 144 weeks) (N=49); 2) bulevirtide 10 mg arm (bulevirtide 5 mg twice daily for 144 weeks) (N = 50); and 3) delayed treatment arm (symptom management of CHD or BSC for the first 48 weeks, followed by bulevirtide 10 mg daily for 96 weeks) (N=51). In the resubmission, effectiveness and safety data covering Week 96 to Week 144 of the treatment period of the trial were presented, in addition to the data that had been presented in the previous submission which </w:t>
      </w:r>
      <w:r>
        <w:t>included</w:t>
      </w:r>
      <w:r w:rsidRPr="4904BCD2">
        <w:t xml:space="preserve"> the first 96 weeks of the study. </w:t>
      </w:r>
      <w:r w:rsidRPr="007F2B39">
        <w:t>As bulevirtide 5 mg twice daily is not the recommended dose regimen, the results of this treatment arm of the MYR301 trial are not presented</w:t>
      </w:r>
      <w:r>
        <w:t>.</w:t>
      </w:r>
    </w:p>
    <w:p w14:paraId="1BDC3A25" w14:textId="650E9890" w:rsidR="000B266B" w:rsidRPr="007F2B39" w:rsidRDefault="000B266B" w:rsidP="0041700E">
      <w:pPr>
        <w:pStyle w:val="3-BodyText"/>
        <w:spacing w:before="120" w:after="120"/>
      </w:pPr>
      <w:r w:rsidRPr="4904BCD2">
        <w:t xml:space="preserve">In the MYR301 trial, patients randomised to the two bulevirtide treatment arms received bulevirtide for 144 weeks, regardless of their response status. </w:t>
      </w:r>
      <w:r>
        <w:t>T</w:t>
      </w:r>
      <w:r w:rsidRPr="4904BCD2">
        <w:t xml:space="preserve">he bulevirtide product information (PI) </w:t>
      </w:r>
      <w:r>
        <w:t xml:space="preserve">states </w:t>
      </w:r>
      <w:r w:rsidRPr="4904BCD2">
        <w:t xml:space="preserve">that the optimal treatment duration is unknown, and that treatment should be continued </w:t>
      </w:r>
      <w:proofErr w:type="gramStart"/>
      <w:r w:rsidRPr="4904BCD2">
        <w:t>as long as</w:t>
      </w:r>
      <w:proofErr w:type="gramEnd"/>
      <w:r w:rsidRPr="4904BCD2">
        <w:t xml:space="preserve"> it is associated with clinical benefit. In the March 2024 PBAC meeting, it was concluded that “the decision to continue or </w:t>
      </w:r>
      <w:r w:rsidRPr="4904BCD2">
        <w:lastRenderedPageBreak/>
        <w:t>cease treatment, based on response, was a matter of clinical judgement” (para</w:t>
      </w:r>
      <w:r>
        <w:t>graph</w:t>
      </w:r>
      <w:r w:rsidRPr="4904BCD2">
        <w:t xml:space="preserve"> 7.6, bulevirtide PSD, March 2024 PBAC meeting). </w:t>
      </w:r>
      <w:r w:rsidRPr="007F2B39">
        <w:t>See also ESCs discussion of HDV testing to monitor treatment response and inform management decisions</w:t>
      </w:r>
      <w:r>
        <w:t xml:space="preserve"> (paragraphs </w:t>
      </w:r>
      <w:r>
        <w:fldChar w:fldCharType="begin"/>
      </w:r>
      <w:r>
        <w:instrText xml:space="preserve"> REF _Ref195278500 \r \h </w:instrText>
      </w:r>
      <w:r>
        <w:fldChar w:fldCharType="separate"/>
      </w:r>
      <w:r w:rsidR="007848CD">
        <w:t>6.38</w:t>
      </w:r>
      <w:r>
        <w:fldChar w:fldCharType="end"/>
      </w:r>
      <w:r>
        <w:t>-</w:t>
      </w:r>
      <w:r>
        <w:fldChar w:fldCharType="begin"/>
      </w:r>
      <w:r>
        <w:instrText xml:space="preserve"> REF _Ref195278507 \r \h </w:instrText>
      </w:r>
      <w:r>
        <w:fldChar w:fldCharType="separate"/>
      </w:r>
      <w:r w:rsidR="007848CD">
        <w:t>6.41</w:t>
      </w:r>
      <w:r>
        <w:fldChar w:fldCharType="end"/>
      </w:r>
      <w:r>
        <w:t>)</w:t>
      </w:r>
      <w:r w:rsidRPr="007F2B39">
        <w:t>.</w:t>
      </w:r>
    </w:p>
    <w:p w14:paraId="6AAF5004" w14:textId="77777777" w:rsidR="000B266B" w:rsidRPr="007F2B39" w:rsidRDefault="000B266B" w:rsidP="0041700E">
      <w:pPr>
        <w:pStyle w:val="3-BodyText"/>
        <w:spacing w:before="120" w:after="120"/>
      </w:pPr>
      <w:r w:rsidRPr="007F2B39">
        <w:t xml:space="preserve">In the MYR301 trial, 60.7% of the patients received anti-HBV treatment </w:t>
      </w:r>
      <w:proofErr w:type="gramStart"/>
      <w:r w:rsidRPr="007F2B39">
        <w:t>during the course of</w:t>
      </w:r>
      <w:proofErr w:type="gramEnd"/>
      <w:r w:rsidRPr="007F2B39">
        <w:t xml:space="preserve"> the study, of these, 54.7% had started anti-HBV treatment prior to baseline and 6.0% had started anti-HBV treatment at baseline (by Day 2). Patients who had used interferon (IFN) within 6 months of screening were not included in the study and no patients received pegylated (PEG) IFN concomitantly with bulevirtide during the study.</w:t>
      </w:r>
    </w:p>
    <w:p w14:paraId="629D9A98" w14:textId="77777777" w:rsidR="000B266B" w:rsidRPr="007F2B39" w:rsidRDefault="000B266B" w:rsidP="0041700E">
      <w:pPr>
        <w:pStyle w:val="3-BodyText"/>
        <w:spacing w:before="120" w:after="120"/>
      </w:pPr>
      <w:r w:rsidRPr="007F2B39">
        <w:t>The primary efficacy endpoint of the MYR301 trial was a combined response at Week</w:t>
      </w:r>
      <w:r>
        <w:t> </w:t>
      </w:r>
      <w:r w:rsidRPr="007F2B39">
        <w:t>48. A combined response was defined as simultaneous achievement of 1) undetectable HDV RNA or decrease in HDV RNA by ≥ 2 log</w:t>
      </w:r>
      <w:r w:rsidRPr="007F2B39">
        <w:rPr>
          <w:vertAlign w:val="subscript"/>
        </w:rPr>
        <w:t xml:space="preserve">10 </w:t>
      </w:r>
      <w:r w:rsidRPr="007F2B39">
        <w:t>IU/mL from baseline, and 2) ALT normalisation. Undetectable HDV RNA, ALT normalisation, and virological response (defined as HDV RNA decrease by ≥ 2 log</w:t>
      </w:r>
      <w:r w:rsidRPr="007F2B39">
        <w:rPr>
          <w:vertAlign w:val="subscript"/>
        </w:rPr>
        <w:t>10</w:t>
      </w:r>
      <w:r w:rsidRPr="007F2B39">
        <w:t xml:space="preserve"> IU/mL or undetectable HDV RNA) were also reported as secondary and exploratory outcomes in the trial. </w:t>
      </w:r>
    </w:p>
    <w:p w14:paraId="53409DB2" w14:textId="77777777" w:rsidR="000B266B" w:rsidRPr="007F2B39" w:rsidRDefault="000B266B" w:rsidP="0041700E">
      <w:pPr>
        <w:pStyle w:val="3-BodyText"/>
        <w:spacing w:before="120" w:after="120"/>
      </w:pPr>
      <w:bookmarkStart w:id="23" w:name="_Ref190962372"/>
      <w:r w:rsidRPr="007F2B39">
        <w:t xml:space="preserve">There is a body of evidence supporting the association between undetectable HDV RNA (either at baseline or achieved through treatment) and improved liver-related health outcomes. The ESCs noted the </w:t>
      </w:r>
      <w:r w:rsidRPr="009D2673">
        <w:t>additional evidence presented in the resubmission addressing the correlation between viremia and clinical outcomes. The ESCs accepted that the evidence presented in the resubmission, including evidence based on detectable versus undetectable RNA levels, was indicative of the biologically plausible claim that a drop in HDV viral load levels relative to baseline was indicative of clinical response to treatment insofar as patients with lower viral loads may have a reduced risk of developing liver-related clinical events compared to patients with higher viral loads. However, the ESCs agreed with the evaluation that no studies provided conclusive evidence to support that the ≥ 2log10 IU/mL decline in HDV RNA level, as a surrogate marker by itself, is correlated with improved long-term liver-related health outcomes. The evaluation considered virological response to treatment on its own may not be a clear predictor for the prognosis of chronic viral hepatitis because liver injury in viral hepatitis is the consequence of not only the viral infection but also the infected individual’s immunological response to the virus</w:t>
      </w:r>
      <w:r w:rsidRPr="007F2B39">
        <w:t>. This response can vary between patients. ALT is a liver enzyme produced in hepatocytes and is released when there is hepatocellular injury. ALT, in combination with viral load, is usually used as an indicator to measure the severity of liver disease in CHD patients.</w:t>
      </w:r>
      <w:bookmarkEnd w:id="23"/>
    </w:p>
    <w:p w14:paraId="70EEA5C1" w14:textId="2CE98C36" w:rsidR="000B266B" w:rsidRPr="007F2B39" w:rsidRDefault="000B266B" w:rsidP="0041700E">
      <w:pPr>
        <w:pStyle w:val="3-BodyText"/>
        <w:spacing w:before="120" w:after="120"/>
      </w:pPr>
      <w:bookmarkStart w:id="24" w:name="_Ref190961048"/>
      <w:r w:rsidRPr="007F2B39">
        <w:t xml:space="preserve">The </w:t>
      </w:r>
      <w:r w:rsidRPr="00091A36">
        <w:t xml:space="preserve">Pre-Sub-Committee Response </w:t>
      </w:r>
      <w:r>
        <w:t>(</w:t>
      </w:r>
      <w:r w:rsidRPr="007F2B39">
        <w:t>PSCR</w:t>
      </w:r>
      <w:r>
        <w:t>)</w:t>
      </w:r>
      <w:r w:rsidRPr="007F2B39">
        <w:t xml:space="preserve"> argued that achieving undetectable viral load is the ideal goal of treatment for any viral hepatitis patient. However, the assays used to quantify HDV RNA in older CHD studies that reported improved clinical outcomes due to the viral load declining to a level reported as “undetectable” had LLoD levels that are substantially higher (less sensitive) than the assay used in the pivotal MYR301 trial for bulevirtide in this resubmission. As such, the PSCR argued that </w:t>
      </w:r>
      <w:r w:rsidRPr="007F2B39">
        <w:lastRenderedPageBreak/>
        <w:t>use of the term “undetectable” based on older assays is conflating and is not the appropriate outcome for assessing response or to determine surrogacy of viral load to clinical outcomes. The PSCR also presented additional analyses of HDV RNA response rates using different viral load cutoff levels using the pivotal MYR301 trial data at Week 144 (</w:t>
      </w:r>
      <w:r w:rsidRPr="007F2B39">
        <w:fldChar w:fldCharType="begin"/>
      </w:r>
      <w:r w:rsidRPr="007F2B39">
        <w:instrText xml:space="preserve"> REF _Ref190947986 \h  \* MERGEFORMAT </w:instrText>
      </w:r>
      <w:r w:rsidRPr="007F2B39">
        <w:fldChar w:fldCharType="separate"/>
      </w:r>
      <w:r w:rsidR="007848CD" w:rsidRPr="007F2B39">
        <w:t xml:space="preserve">Table </w:t>
      </w:r>
      <w:r w:rsidR="007848CD">
        <w:t>8</w:t>
      </w:r>
      <w:r w:rsidRPr="007F2B39">
        <w:fldChar w:fldCharType="end"/>
      </w:r>
      <w:r w:rsidRPr="007F2B39">
        <w:t>).</w:t>
      </w:r>
      <w:bookmarkEnd w:id="24"/>
      <w:r w:rsidRPr="007F2B39">
        <w:t xml:space="preserve"> The PSCR argued ≥2 log</w:t>
      </w:r>
      <w:r w:rsidRPr="00474867">
        <w:rPr>
          <w:vertAlign w:val="subscript"/>
        </w:rPr>
        <w:t>10</w:t>
      </w:r>
      <w:r w:rsidRPr="007F2B39">
        <w:t xml:space="preserve"> responders it is a good proxy for responses that were previously quantified as undetectable using less sensitivity assays, and that HEPCLUDEX ‘undetectable’ responders using the 930 IU/mL LLoD are </w:t>
      </w:r>
      <w:proofErr w:type="gramStart"/>
      <w:r w:rsidRPr="007F2B39">
        <w:t>similar to</w:t>
      </w:r>
      <w:proofErr w:type="gramEnd"/>
      <w:r w:rsidRPr="007F2B39">
        <w:t xml:space="preserve"> ≥</w:t>
      </w:r>
      <w:r>
        <w:t> </w:t>
      </w:r>
      <w:r w:rsidRPr="007F2B39">
        <w:t>2</w:t>
      </w:r>
      <w:r>
        <w:t> </w:t>
      </w:r>
      <w:r w:rsidRPr="007F2B39">
        <w:t>log</w:t>
      </w:r>
      <w:r w:rsidRPr="00474867">
        <w:rPr>
          <w:vertAlign w:val="subscript"/>
        </w:rPr>
        <w:t>10</w:t>
      </w:r>
      <w:r w:rsidRPr="007F2B39">
        <w:t xml:space="preserve"> responders. </w:t>
      </w:r>
    </w:p>
    <w:p w14:paraId="0E59D321" w14:textId="77777777" w:rsidR="000B266B" w:rsidRPr="007F2B39" w:rsidRDefault="000B266B" w:rsidP="0041700E">
      <w:pPr>
        <w:pStyle w:val="3-BodyText"/>
        <w:spacing w:before="120" w:after="120"/>
      </w:pPr>
      <w:bookmarkStart w:id="25" w:name="_Ref190961047"/>
      <w:r w:rsidRPr="007F2B39">
        <w:t>While noting the limitations of the concept of “detectable” vs “undetectable”, the ESCs considered the evidence provided did not adequately support the surrogacy of a ≥2 log</w:t>
      </w:r>
      <w:r w:rsidRPr="007F2B39">
        <w:rPr>
          <w:vertAlign w:val="subscript"/>
        </w:rPr>
        <w:t>10</w:t>
      </w:r>
      <w:r w:rsidRPr="007F2B39">
        <w:t xml:space="preserve"> IU/mL decline in HDV RNA level, for improved long-term liver-related health outcomes. The ESCs noted that one publication provided evidence for this relationship (Farci et al 2004), however this analysis was based on data from a 1994 study of treatment with interferon, and two more recent studies (Palom 2021 and Wranke 2020) failed to show a statistically significant difference in clinical outcomes based on ≥2 log</w:t>
      </w:r>
      <w:r w:rsidRPr="007F2B39">
        <w:rPr>
          <w:vertAlign w:val="subscript"/>
        </w:rPr>
        <w:t>10</w:t>
      </w:r>
      <w:r w:rsidRPr="007F2B39">
        <w:t xml:space="preserve"> IU/ml reduction.</w:t>
      </w:r>
      <w:bookmarkEnd w:id="25"/>
      <w:r w:rsidRPr="007F2B39">
        <w:t xml:space="preserve"> </w:t>
      </w:r>
    </w:p>
    <w:p w14:paraId="27054FC3" w14:textId="77777777" w:rsidR="000B266B" w:rsidRPr="00A16C9B" w:rsidRDefault="000B266B" w:rsidP="0041700E">
      <w:pPr>
        <w:pStyle w:val="3-BodyText"/>
        <w:spacing w:before="120" w:after="120"/>
      </w:pPr>
      <w:r w:rsidRPr="00A16C9B">
        <w:t>Details of the MYR301 trial presented in the resubmission are provided in the table below.</w:t>
      </w:r>
    </w:p>
    <w:p w14:paraId="11D1BD37" w14:textId="703CF8AC" w:rsidR="000B266B" w:rsidRPr="00A16C9B" w:rsidRDefault="000B266B" w:rsidP="0041700E">
      <w:pPr>
        <w:pStyle w:val="TableFigureHeading"/>
        <w:keepNext w:val="0"/>
        <w:rPr>
          <w:rStyle w:val="CommentReference"/>
          <w:rFonts w:asciiTheme="minorHAnsi" w:eastAsiaTheme="minorHAnsi" w:hAnsiTheme="minorHAnsi" w:cstheme="minorBidi"/>
          <w:b w:val="0"/>
          <w:bCs w:val="0"/>
          <w:i/>
          <w:szCs w:val="18"/>
        </w:rPr>
      </w:pPr>
      <w:r w:rsidRPr="00A16C9B">
        <w:t xml:space="preserve">Table </w:t>
      </w:r>
      <w:r w:rsidRPr="00A16C9B">
        <w:rPr>
          <w:i/>
        </w:rPr>
        <w:fldChar w:fldCharType="begin"/>
      </w:r>
      <w:r w:rsidRPr="00A16C9B">
        <w:instrText xml:space="preserve"> SEQ Table_PBAC. \* ARABIC </w:instrText>
      </w:r>
      <w:r w:rsidRPr="00A16C9B">
        <w:rPr>
          <w:i/>
        </w:rPr>
        <w:fldChar w:fldCharType="separate"/>
      </w:r>
      <w:r w:rsidR="007848CD">
        <w:rPr>
          <w:noProof/>
        </w:rPr>
        <w:t>5</w:t>
      </w:r>
      <w:r w:rsidRPr="00A16C9B">
        <w:rPr>
          <w:i/>
          <w:noProof/>
        </w:rPr>
        <w:fldChar w:fldCharType="end"/>
      </w:r>
      <w:r>
        <w:rPr>
          <w:iCs/>
          <w:noProof/>
        </w:rPr>
        <w:t>:</w:t>
      </w:r>
      <w:r>
        <w:t xml:space="preserve"> </w:t>
      </w:r>
      <w:r w:rsidRPr="00A16C9B">
        <w:t>Trials and associated reports presented in the submission</w:t>
      </w:r>
    </w:p>
    <w:tbl>
      <w:tblPr>
        <w:tblStyle w:val="TableGrid"/>
        <w:tblW w:w="5000" w:type="pct"/>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Table 5: Trials and associated reports presented in the submission"/>
      </w:tblPr>
      <w:tblGrid>
        <w:gridCol w:w="1596"/>
        <w:gridCol w:w="5528"/>
        <w:gridCol w:w="1892"/>
      </w:tblGrid>
      <w:tr w:rsidR="000B266B" w:rsidRPr="00A16C9B" w:rsidDel="009C0D07" w14:paraId="02E0A30F" w14:textId="77777777" w:rsidTr="00B678E8">
        <w:trPr>
          <w:tblHeader/>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4A47F" w14:textId="77777777" w:rsidR="000B266B" w:rsidRPr="009D2673" w:rsidDel="009C0D07" w:rsidRDefault="000B266B" w:rsidP="0041700E">
            <w:pPr>
              <w:pStyle w:val="In-tableHeading"/>
              <w:keepNext w:val="0"/>
            </w:pPr>
            <w:bookmarkStart w:id="26" w:name="_Hlk185251657"/>
            <w:r w:rsidRPr="009D2673" w:rsidDel="009C0D07">
              <w:t>Trial ID</w:t>
            </w:r>
          </w:p>
        </w:tc>
        <w:tc>
          <w:tcPr>
            <w:tcW w:w="53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377AD8" w14:textId="77777777" w:rsidR="000B266B" w:rsidRPr="009D2673" w:rsidDel="009C0D07" w:rsidRDefault="000B266B" w:rsidP="0041700E">
            <w:pPr>
              <w:pStyle w:val="In-tableHeading"/>
              <w:keepNext w:val="0"/>
            </w:pPr>
            <w:r w:rsidRPr="009D2673" w:rsidDel="009C0D07">
              <w:t>Protocol title/ Publication title</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0A116" w14:textId="77777777" w:rsidR="000B266B" w:rsidRPr="009D2673" w:rsidDel="009C0D07" w:rsidRDefault="000B266B" w:rsidP="0041700E">
            <w:pPr>
              <w:pStyle w:val="In-tableHeading"/>
              <w:keepNext w:val="0"/>
            </w:pPr>
            <w:r w:rsidRPr="009D2673" w:rsidDel="009C0D07">
              <w:t>Publication citation</w:t>
            </w:r>
          </w:p>
        </w:tc>
      </w:tr>
      <w:tr w:rsidR="000B266B" w:rsidRPr="00A16C9B" w:rsidDel="009C0D07" w14:paraId="11E114F6" w14:textId="77777777" w:rsidTr="00B678E8">
        <w:tc>
          <w:tcPr>
            <w:tcW w:w="1555" w:type="dxa"/>
            <w:tcBorders>
              <w:top w:val="single" w:sz="4" w:space="0" w:color="auto"/>
              <w:left w:val="single" w:sz="4" w:space="0" w:color="auto"/>
              <w:bottom w:val="dotted" w:sz="4" w:space="0" w:color="auto"/>
              <w:right w:val="single" w:sz="4" w:space="0" w:color="auto"/>
            </w:tcBorders>
            <w:shd w:val="clear" w:color="auto" w:fill="FFFFFF" w:themeFill="background1"/>
            <w:vAlign w:val="center"/>
          </w:tcPr>
          <w:p w14:paraId="7EDC36A9" w14:textId="77777777" w:rsidR="000B266B" w:rsidRPr="00A16C9B" w:rsidDel="009C0D07" w:rsidRDefault="000B266B" w:rsidP="0041700E">
            <w:pPr>
              <w:pStyle w:val="TableText"/>
              <w:keepNext w:val="0"/>
            </w:pPr>
            <w:r w:rsidRPr="00A16C9B" w:rsidDel="009C0D07">
              <w:t>MYR 301</w:t>
            </w:r>
          </w:p>
          <w:p w14:paraId="6129E4C9" w14:textId="77777777" w:rsidR="000B266B" w:rsidRPr="00A16C9B" w:rsidDel="009C0D07" w:rsidRDefault="000B266B" w:rsidP="0041700E">
            <w:pPr>
              <w:pStyle w:val="TableText"/>
              <w:keepNext w:val="0"/>
            </w:pPr>
            <w:r w:rsidRPr="00A16C9B" w:rsidDel="009C0D07">
              <w:t>(NCT03852719)</w:t>
            </w:r>
          </w:p>
          <w:p w14:paraId="1F3AD973" w14:textId="77777777" w:rsidR="000B266B" w:rsidRPr="00A16C9B" w:rsidDel="009C0D07" w:rsidRDefault="000B266B" w:rsidP="0041700E">
            <w:pPr>
              <w:pStyle w:val="TableText"/>
              <w:keepNext w:val="0"/>
            </w:pPr>
          </w:p>
        </w:tc>
        <w:tc>
          <w:tcPr>
            <w:tcW w:w="5386" w:type="dxa"/>
            <w:tcBorders>
              <w:top w:val="single" w:sz="4" w:space="0" w:color="auto"/>
              <w:left w:val="single" w:sz="4" w:space="0" w:color="auto"/>
              <w:bottom w:val="dotted" w:sz="4" w:space="0" w:color="auto"/>
              <w:right w:val="single" w:sz="4" w:space="0" w:color="auto"/>
            </w:tcBorders>
            <w:shd w:val="clear" w:color="auto" w:fill="FFFFFF" w:themeFill="background1"/>
            <w:vAlign w:val="center"/>
          </w:tcPr>
          <w:p w14:paraId="2FB4CFDE" w14:textId="77777777" w:rsidR="000B266B" w:rsidRPr="00A16C9B" w:rsidDel="009C0D07" w:rsidRDefault="000B266B" w:rsidP="0041700E">
            <w:pPr>
              <w:pStyle w:val="In-tableHeading"/>
              <w:keepNext w:val="0"/>
              <w:rPr>
                <w:b w:val="0"/>
                <w:bCs/>
                <w:lang w:val="en-AU"/>
              </w:rPr>
            </w:pPr>
            <w:r w:rsidRPr="00A16C9B" w:rsidDel="009C0D07">
              <w:rPr>
                <w:b w:val="0"/>
                <w:bCs/>
                <w:lang w:val="en-AU"/>
              </w:rPr>
              <w:t xml:space="preserve">A Multicenter, Open-label, Randomized Phase 3 Clinical Study to Assess Efficacy and Safety of Bulevirtide in Patients with Chronic Hepatitis Delta. </w:t>
            </w:r>
          </w:p>
          <w:p w14:paraId="46974F3D" w14:textId="77777777" w:rsidR="000B266B" w:rsidRPr="00A16C9B" w:rsidDel="009C0D07" w:rsidRDefault="000B266B" w:rsidP="0041700E">
            <w:pPr>
              <w:pStyle w:val="In-tableHeading"/>
              <w:keepNext w:val="0"/>
              <w:rPr>
                <w:b w:val="0"/>
                <w:bCs/>
                <w:lang w:val="en-AU"/>
              </w:rPr>
            </w:pPr>
            <w:r w:rsidRPr="00A16C9B" w:rsidDel="009C0D07">
              <w:rPr>
                <w:b w:val="0"/>
                <w:bCs/>
                <w:lang w:val="en-AU"/>
              </w:rPr>
              <w:t>MYR301- Interim Week 144 Clinical Study Report</w:t>
            </w:r>
          </w:p>
        </w:tc>
        <w:tc>
          <w:tcPr>
            <w:tcW w:w="1843" w:type="dxa"/>
            <w:tcBorders>
              <w:top w:val="single" w:sz="4" w:space="0" w:color="auto"/>
              <w:left w:val="single" w:sz="4" w:space="0" w:color="auto"/>
              <w:bottom w:val="dotted" w:sz="4" w:space="0" w:color="auto"/>
              <w:right w:val="single" w:sz="4" w:space="0" w:color="auto"/>
            </w:tcBorders>
            <w:shd w:val="clear" w:color="auto" w:fill="FFFFFF" w:themeFill="background1"/>
          </w:tcPr>
          <w:p w14:paraId="35C7BDF6" w14:textId="77777777" w:rsidR="000B266B" w:rsidRPr="00A16C9B" w:rsidDel="009C0D07" w:rsidRDefault="000B266B" w:rsidP="0041700E">
            <w:pPr>
              <w:pStyle w:val="TableText"/>
              <w:keepNext w:val="0"/>
              <w:rPr>
                <w:rStyle w:val="ui-provider"/>
                <w:rFonts w:cs="Times New Roman"/>
                <w:b/>
                <w:bCs w:val="0"/>
                <w:lang w:val="en-US"/>
              </w:rPr>
            </w:pPr>
            <w:r w:rsidRPr="00A16C9B" w:rsidDel="009C0D07">
              <w:rPr>
                <w:rStyle w:val="ui-provider"/>
              </w:rPr>
              <w:t>Report date:</w:t>
            </w:r>
          </w:p>
          <w:p w14:paraId="4ACF684C" w14:textId="77777777" w:rsidR="000B266B" w:rsidRPr="00A16C9B" w:rsidDel="009C0D07" w:rsidRDefault="000B266B" w:rsidP="0041700E">
            <w:pPr>
              <w:pStyle w:val="TableText"/>
              <w:keepNext w:val="0"/>
              <w:rPr>
                <w:rStyle w:val="ui-provider"/>
              </w:rPr>
            </w:pPr>
            <w:r w:rsidRPr="00A16C9B" w:rsidDel="009C0D07">
              <w:rPr>
                <w:rStyle w:val="ui-provider"/>
              </w:rPr>
              <w:t>17 April 2024</w:t>
            </w:r>
          </w:p>
        </w:tc>
      </w:tr>
      <w:tr w:rsidR="000B266B" w:rsidRPr="00A16C9B" w:rsidDel="009C0D07" w14:paraId="4E2942F8" w14:textId="77777777" w:rsidTr="00B678E8">
        <w:tc>
          <w:tcPr>
            <w:tcW w:w="1555"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02EDE3AF" w14:textId="77777777" w:rsidR="000B266B" w:rsidRPr="00A16C9B" w:rsidDel="009C0D07" w:rsidRDefault="000B266B" w:rsidP="0041700E">
            <w:pPr>
              <w:pStyle w:val="TableText"/>
              <w:keepNext w:val="0"/>
            </w:pPr>
          </w:p>
        </w:tc>
        <w:tc>
          <w:tcPr>
            <w:tcW w:w="5386"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7B445A88" w14:textId="77777777" w:rsidR="000B266B" w:rsidRPr="00A16C9B" w:rsidDel="009C0D07" w:rsidRDefault="000B266B" w:rsidP="0041700E">
            <w:pPr>
              <w:pStyle w:val="In-tableHeading"/>
              <w:keepNext w:val="0"/>
              <w:rPr>
                <w:b w:val="0"/>
                <w:bCs/>
                <w:lang w:val="en-AU"/>
              </w:rPr>
            </w:pPr>
            <w:r w:rsidRPr="00A16C9B" w:rsidDel="009C0D07">
              <w:rPr>
                <w:b w:val="0"/>
                <w:bCs/>
                <w:lang w:val="en-AU"/>
              </w:rPr>
              <w:t xml:space="preserve">Wedemeyer H, Aleman S, et al. Bulevirtide monotherapy in patients with chronic HDV: efficacy and safety results through week 96 from a phase III randomized trial. </w:t>
            </w:r>
          </w:p>
        </w:tc>
        <w:tc>
          <w:tcPr>
            <w:tcW w:w="1843" w:type="dxa"/>
            <w:tcBorders>
              <w:top w:val="dotted" w:sz="4" w:space="0" w:color="auto"/>
              <w:left w:val="single" w:sz="4" w:space="0" w:color="auto"/>
              <w:bottom w:val="dotted" w:sz="4" w:space="0" w:color="auto"/>
              <w:right w:val="single" w:sz="4" w:space="0" w:color="auto"/>
            </w:tcBorders>
            <w:shd w:val="clear" w:color="auto" w:fill="FFFFFF" w:themeFill="background1"/>
          </w:tcPr>
          <w:p w14:paraId="085208D3" w14:textId="77777777" w:rsidR="000B266B" w:rsidRPr="00A16C9B" w:rsidDel="009C0D07" w:rsidRDefault="000B266B" w:rsidP="0041700E">
            <w:pPr>
              <w:pStyle w:val="TableText"/>
              <w:keepNext w:val="0"/>
              <w:rPr>
                <w:rStyle w:val="ui-provider"/>
                <w:rFonts w:cs="Times New Roman"/>
                <w:b/>
                <w:bCs w:val="0"/>
                <w:lang w:val="en-US"/>
              </w:rPr>
            </w:pPr>
            <w:r w:rsidRPr="00A16C9B" w:rsidDel="009C0D07">
              <w:rPr>
                <w:rStyle w:val="ui-provider"/>
              </w:rPr>
              <w:t>Journal of Hepatology 2024; 1-9</w:t>
            </w:r>
          </w:p>
        </w:tc>
      </w:tr>
      <w:tr w:rsidR="000B266B" w:rsidRPr="00A16C9B" w:rsidDel="009C0D07" w14:paraId="01235056" w14:textId="77777777" w:rsidTr="00B678E8">
        <w:tc>
          <w:tcPr>
            <w:tcW w:w="1555"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1FFB0667" w14:textId="77777777" w:rsidR="000B266B" w:rsidRPr="00A16C9B" w:rsidDel="009C0D07" w:rsidRDefault="000B266B" w:rsidP="0041700E">
            <w:pPr>
              <w:pStyle w:val="In-tableHeading"/>
              <w:keepNext w:val="0"/>
              <w:rPr>
                <w:lang w:val="en-AU"/>
              </w:rPr>
            </w:pPr>
          </w:p>
        </w:tc>
        <w:tc>
          <w:tcPr>
            <w:tcW w:w="5386"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7C315CE1" w14:textId="77777777" w:rsidR="000B266B" w:rsidRPr="00A16C9B" w:rsidDel="009C0D07" w:rsidRDefault="000B266B" w:rsidP="0041700E">
            <w:pPr>
              <w:pStyle w:val="In-tableHeading"/>
              <w:keepNext w:val="0"/>
              <w:rPr>
                <w:b w:val="0"/>
                <w:bCs/>
                <w:lang w:val="en-AU"/>
              </w:rPr>
            </w:pPr>
            <w:r w:rsidRPr="00A16C9B" w:rsidDel="009C0D07">
              <w:rPr>
                <w:b w:val="0"/>
                <w:bCs/>
                <w:lang w:val="en-AU"/>
              </w:rPr>
              <w:t>Wedemeyer H, Aleman S, et al. Efficacy and safety at 96 weeks of bulevirtide 2 mg or 10 mg monotherapy for chronic hepatitis delta: results from an interim analysis of a phase 3 randomized study.</w:t>
            </w:r>
          </w:p>
        </w:tc>
        <w:tc>
          <w:tcPr>
            <w:tcW w:w="1843" w:type="dxa"/>
            <w:tcBorders>
              <w:top w:val="dotted" w:sz="4" w:space="0" w:color="auto"/>
              <w:left w:val="single" w:sz="4" w:space="0" w:color="auto"/>
              <w:bottom w:val="dotted" w:sz="4" w:space="0" w:color="auto"/>
              <w:right w:val="single" w:sz="4" w:space="0" w:color="auto"/>
            </w:tcBorders>
            <w:shd w:val="clear" w:color="auto" w:fill="FFFFFF" w:themeFill="background1"/>
          </w:tcPr>
          <w:p w14:paraId="0CC51E2D" w14:textId="77777777" w:rsidR="000B266B" w:rsidRPr="00A16C9B" w:rsidDel="009C0D07" w:rsidRDefault="000B266B" w:rsidP="0041700E">
            <w:pPr>
              <w:pStyle w:val="TableText"/>
              <w:keepNext w:val="0"/>
            </w:pPr>
            <w:r w:rsidRPr="00A16C9B" w:rsidDel="009C0D07">
              <w:rPr>
                <w:rStyle w:val="ui-provider"/>
              </w:rPr>
              <w:t>Gastroenterology 2024; 166(5) S-1600</w:t>
            </w:r>
          </w:p>
        </w:tc>
      </w:tr>
      <w:tr w:rsidR="000B266B" w:rsidRPr="00A16C9B" w:rsidDel="009C0D07" w14:paraId="5D489246" w14:textId="77777777" w:rsidTr="00B678E8">
        <w:tc>
          <w:tcPr>
            <w:tcW w:w="1555"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42CD9842" w14:textId="77777777" w:rsidR="000B266B" w:rsidRPr="00A16C9B" w:rsidDel="009C0D07" w:rsidRDefault="000B266B" w:rsidP="0041700E">
            <w:pPr>
              <w:pStyle w:val="In-tableHeading"/>
              <w:keepNext w:val="0"/>
              <w:rPr>
                <w:lang w:val="en-AU"/>
              </w:rPr>
            </w:pPr>
          </w:p>
        </w:tc>
        <w:tc>
          <w:tcPr>
            <w:tcW w:w="5386"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6456EB7A" w14:textId="77777777" w:rsidR="000B266B" w:rsidRPr="00A16C9B" w:rsidDel="009C0D07" w:rsidRDefault="000B266B" w:rsidP="0041700E">
            <w:pPr>
              <w:pStyle w:val="In-tableHeading"/>
              <w:keepNext w:val="0"/>
              <w:rPr>
                <w:b w:val="0"/>
                <w:bCs/>
                <w:lang w:val="en-AU"/>
              </w:rPr>
            </w:pPr>
            <w:r w:rsidRPr="00A16C9B" w:rsidDel="009C0D07">
              <w:rPr>
                <w:b w:val="0"/>
                <w:bCs/>
                <w:lang w:val="en-AU"/>
              </w:rPr>
              <w:t>Lampertico P, Wedemeyer H, et al. Continued treatment of early nonresponder or partial virological responders with bulevirtide monotherapy in patients with chronic hepatitis delta (CHD) through week 96 leads to improvement in virological and biochemical responses.</w:t>
            </w:r>
          </w:p>
        </w:tc>
        <w:tc>
          <w:tcPr>
            <w:tcW w:w="1843" w:type="dxa"/>
            <w:tcBorders>
              <w:top w:val="dotted" w:sz="4" w:space="0" w:color="auto"/>
              <w:left w:val="single" w:sz="4" w:space="0" w:color="auto"/>
              <w:bottom w:val="dotted" w:sz="4" w:space="0" w:color="auto"/>
              <w:right w:val="single" w:sz="4" w:space="0" w:color="auto"/>
            </w:tcBorders>
            <w:shd w:val="clear" w:color="auto" w:fill="FFFFFF" w:themeFill="background1"/>
          </w:tcPr>
          <w:p w14:paraId="759481E8" w14:textId="77777777" w:rsidR="000B266B" w:rsidRPr="00A16C9B" w:rsidDel="009C0D07" w:rsidRDefault="000B266B" w:rsidP="0041700E">
            <w:pPr>
              <w:pStyle w:val="TableText"/>
              <w:keepNext w:val="0"/>
              <w:rPr>
                <w:rStyle w:val="ui-provider"/>
                <w:rFonts w:cs="Times New Roman"/>
                <w:b/>
                <w:bCs w:val="0"/>
                <w:lang w:val="en-US"/>
              </w:rPr>
            </w:pPr>
            <w:r w:rsidRPr="00A16C9B" w:rsidDel="009C0D07">
              <w:rPr>
                <w:rStyle w:val="ui-provider"/>
              </w:rPr>
              <w:t>Gut 2023; 82: A101-A102</w:t>
            </w:r>
          </w:p>
        </w:tc>
      </w:tr>
      <w:tr w:rsidR="000B266B" w:rsidRPr="00A16C9B" w:rsidDel="009C0D07" w14:paraId="4D8E4107" w14:textId="77777777" w:rsidTr="00B678E8">
        <w:tc>
          <w:tcPr>
            <w:tcW w:w="1555"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44205DF9" w14:textId="77777777" w:rsidR="000B266B" w:rsidRPr="00A16C9B" w:rsidDel="009C0D07" w:rsidRDefault="000B266B" w:rsidP="0041700E">
            <w:pPr>
              <w:pStyle w:val="In-tableHeading"/>
              <w:keepNext w:val="0"/>
              <w:rPr>
                <w:lang w:val="en-AU"/>
              </w:rPr>
            </w:pPr>
          </w:p>
        </w:tc>
        <w:tc>
          <w:tcPr>
            <w:tcW w:w="5386"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28C1EB6E" w14:textId="77777777" w:rsidR="000B266B" w:rsidRPr="00A16C9B" w:rsidDel="009C0D07" w:rsidRDefault="000B266B" w:rsidP="0041700E">
            <w:pPr>
              <w:pStyle w:val="In-tableHeading"/>
              <w:keepNext w:val="0"/>
              <w:rPr>
                <w:b w:val="0"/>
                <w:bCs/>
                <w:lang w:val="en-AU"/>
              </w:rPr>
            </w:pPr>
            <w:r w:rsidRPr="00A16C9B" w:rsidDel="009C0D07">
              <w:rPr>
                <w:b w:val="0"/>
                <w:bCs/>
                <w:lang w:val="en-AU"/>
              </w:rPr>
              <w:t>Aleman S, Wedemeyer H, et al. High rates of adherence to bulevirtide monotherapy for chronic hepatitis delta through 96 weeks: results from an interim analysis of the phase 3 study MYR301.</w:t>
            </w:r>
          </w:p>
        </w:tc>
        <w:tc>
          <w:tcPr>
            <w:tcW w:w="1843" w:type="dxa"/>
            <w:tcBorders>
              <w:top w:val="dotted" w:sz="4" w:space="0" w:color="auto"/>
              <w:left w:val="single" w:sz="4" w:space="0" w:color="auto"/>
              <w:bottom w:val="dotted" w:sz="4" w:space="0" w:color="auto"/>
              <w:right w:val="single" w:sz="4" w:space="0" w:color="auto"/>
            </w:tcBorders>
            <w:shd w:val="clear" w:color="auto" w:fill="FFFFFF" w:themeFill="background1"/>
          </w:tcPr>
          <w:p w14:paraId="3271A9DD" w14:textId="77777777" w:rsidR="000B266B" w:rsidRPr="00A16C9B" w:rsidDel="009C0D07" w:rsidRDefault="000B266B" w:rsidP="0041700E">
            <w:pPr>
              <w:pStyle w:val="TableText"/>
              <w:keepNext w:val="0"/>
              <w:rPr>
                <w:rStyle w:val="ui-provider"/>
                <w:rFonts w:cs="Times New Roman"/>
                <w:b/>
                <w:bCs w:val="0"/>
                <w:lang w:val="en-US"/>
              </w:rPr>
            </w:pPr>
            <w:r w:rsidRPr="00A16C9B" w:rsidDel="009C0D07">
              <w:t>Gastroenterology 2024;166(5): S</w:t>
            </w:r>
            <w:r w:rsidRPr="00A16C9B" w:rsidDel="009C0D07">
              <w:rPr>
                <w:rFonts w:ascii="Cambria Math" w:hAnsi="Cambria Math" w:cs="Cambria Math"/>
              </w:rPr>
              <w:t>‐</w:t>
            </w:r>
            <w:r w:rsidRPr="00A16C9B" w:rsidDel="009C0D07">
              <w:t>1603</w:t>
            </w:r>
            <w:r w:rsidRPr="00A16C9B" w:rsidDel="009C0D07">
              <w:rPr>
                <w:rFonts w:ascii="Cambria Math" w:hAnsi="Cambria Math" w:cs="Cambria Math"/>
              </w:rPr>
              <w:t>‐</w:t>
            </w:r>
            <w:r w:rsidRPr="00A16C9B" w:rsidDel="009C0D07">
              <w:t>S</w:t>
            </w:r>
            <w:r w:rsidRPr="00A16C9B" w:rsidDel="009C0D07">
              <w:rPr>
                <w:rFonts w:ascii="Cambria Math" w:hAnsi="Cambria Math" w:cs="Cambria Math"/>
              </w:rPr>
              <w:t>‐</w:t>
            </w:r>
            <w:r w:rsidRPr="00A16C9B" w:rsidDel="009C0D07">
              <w:t>1604</w:t>
            </w:r>
          </w:p>
        </w:tc>
      </w:tr>
      <w:tr w:rsidR="000B266B" w:rsidRPr="00A16C9B" w:rsidDel="009C0D07" w14:paraId="376ABA73" w14:textId="77777777" w:rsidTr="00B678E8">
        <w:tc>
          <w:tcPr>
            <w:tcW w:w="1555"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656176CB" w14:textId="77777777" w:rsidR="000B266B" w:rsidRPr="00A16C9B" w:rsidDel="009C0D07" w:rsidRDefault="000B266B" w:rsidP="0041700E">
            <w:pPr>
              <w:pStyle w:val="In-tableHeading"/>
              <w:keepNext w:val="0"/>
              <w:rPr>
                <w:lang w:val="en-AU"/>
              </w:rPr>
            </w:pPr>
          </w:p>
        </w:tc>
        <w:tc>
          <w:tcPr>
            <w:tcW w:w="5386"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67172E00" w14:textId="77777777" w:rsidR="000B266B" w:rsidRPr="00A16C9B" w:rsidDel="009C0D07" w:rsidRDefault="000B266B" w:rsidP="0041700E">
            <w:pPr>
              <w:pStyle w:val="In-tableHeading"/>
              <w:keepNext w:val="0"/>
              <w:rPr>
                <w:b w:val="0"/>
                <w:bCs/>
                <w:lang w:val="en-AU"/>
              </w:rPr>
            </w:pPr>
            <w:r w:rsidRPr="00A16C9B" w:rsidDel="009C0D07">
              <w:rPr>
                <w:b w:val="0"/>
                <w:bCs/>
                <w:lang w:val="en-AU"/>
              </w:rPr>
              <w:t>Wedemeyer H, Aleman S, et al. Efficacy and safety at 96 weeks of bulevirtide 2 mg or 10 mg monotherapy for chronic hepatitis delta: results from an interim analysis of a phase 3 randomized study</w:t>
            </w:r>
          </w:p>
        </w:tc>
        <w:tc>
          <w:tcPr>
            <w:tcW w:w="1843" w:type="dxa"/>
            <w:tcBorders>
              <w:top w:val="dotted" w:sz="4" w:space="0" w:color="auto"/>
              <w:left w:val="single" w:sz="4" w:space="0" w:color="auto"/>
              <w:bottom w:val="dotted" w:sz="4" w:space="0" w:color="auto"/>
              <w:right w:val="single" w:sz="4" w:space="0" w:color="auto"/>
            </w:tcBorders>
            <w:shd w:val="clear" w:color="auto" w:fill="FFFFFF" w:themeFill="background1"/>
          </w:tcPr>
          <w:p w14:paraId="7F4C912F" w14:textId="77777777" w:rsidR="000B266B" w:rsidRPr="00A16C9B" w:rsidDel="009C0D07" w:rsidRDefault="000B266B" w:rsidP="0041700E">
            <w:pPr>
              <w:pStyle w:val="TableText"/>
              <w:keepNext w:val="0"/>
            </w:pPr>
            <w:r w:rsidRPr="00A16C9B" w:rsidDel="009C0D07">
              <w:t>Gut 2023;72:A103</w:t>
            </w:r>
            <w:r w:rsidRPr="00A16C9B" w:rsidDel="009C0D07">
              <w:rPr>
                <w:rFonts w:ascii="Cambria Math" w:hAnsi="Cambria Math" w:cs="Cambria Math"/>
              </w:rPr>
              <w:t>‐</w:t>
            </w:r>
            <w:r w:rsidRPr="00A16C9B" w:rsidDel="009C0D07">
              <w:t>A104</w:t>
            </w:r>
          </w:p>
        </w:tc>
      </w:tr>
      <w:tr w:rsidR="000B266B" w:rsidRPr="00A16C9B" w:rsidDel="009C0D07" w14:paraId="6331B75D" w14:textId="77777777" w:rsidTr="00B678E8">
        <w:tc>
          <w:tcPr>
            <w:tcW w:w="1555"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147FA9B8" w14:textId="77777777" w:rsidR="000B266B" w:rsidRPr="00A16C9B" w:rsidDel="009C0D07" w:rsidRDefault="000B266B" w:rsidP="0041700E">
            <w:pPr>
              <w:pStyle w:val="In-tableHeading"/>
              <w:keepNext w:val="0"/>
              <w:rPr>
                <w:lang w:val="en-AU"/>
              </w:rPr>
            </w:pPr>
          </w:p>
        </w:tc>
        <w:tc>
          <w:tcPr>
            <w:tcW w:w="5386"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009EA674" w14:textId="77777777" w:rsidR="000B266B" w:rsidRPr="00A16C9B" w:rsidDel="009C0D07" w:rsidRDefault="000B266B" w:rsidP="0041700E">
            <w:pPr>
              <w:pStyle w:val="In-tableHeading"/>
              <w:keepNext w:val="0"/>
              <w:rPr>
                <w:b w:val="0"/>
                <w:bCs/>
                <w:lang w:val="en-AU"/>
              </w:rPr>
            </w:pPr>
            <w:r w:rsidRPr="00A16C9B" w:rsidDel="009C0D07">
              <w:rPr>
                <w:b w:val="0"/>
                <w:bCs/>
                <w:lang w:val="en-AU"/>
              </w:rPr>
              <w:t>Aleman S, Liu Y, et al. No detectable resistance to bulevirtide monotherapy through 96 weeks treatment in patients with chronic hepatitis D.</w:t>
            </w:r>
          </w:p>
        </w:tc>
        <w:tc>
          <w:tcPr>
            <w:tcW w:w="1843" w:type="dxa"/>
            <w:tcBorders>
              <w:top w:val="dotted" w:sz="4" w:space="0" w:color="auto"/>
              <w:left w:val="single" w:sz="4" w:space="0" w:color="auto"/>
              <w:bottom w:val="dotted" w:sz="4" w:space="0" w:color="auto"/>
              <w:right w:val="single" w:sz="4" w:space="0" w:color="auto"/>
            </w:tcBorders>
            <w:shd w:val="clear" w:color="auto" w:fill="FFFFFF" w:themeFill="background1"/>
          </w:tcPr>
          <w:p w14:paraId="616462DE" w14:textId="77777777" w:rsidR="000B266B" w:rsidRPr="00A16C9B" w:rsidDel="009C0D07" w:rsidRDefault="000B266B" w:rsidP="0041700E">
            <w:pPr>
              <w:pStyle w:val="TableText"/>
              <w:keepNext w:val="0"/>
              <w:rPr>
                <w:rStyle w:val="ui-provider"/>
                <w:rFonts w:cs="Times New Roman"/>
                <w:b/>
                <w:bCs w:val="0"/>
                <w:lang w:val="en-US"/>
              </w:rPr>
            </w:pPr>
            <w:r w:rsidRPr="00A16C9B" w:rsidDel="009C0D07">
              <w:rPr>
                <w:rStyle w:val="ui-provider"/>
              </w:rPr>
              <w:t>Hepatology 2023; 78: S398-S399</w:t>
            </w:r>
          </w:p>
        </w:tc>
      </w:tr>
      <w:tr w:rsidR="000B266B" w:rsidRPr="00A16C9B" w:rsidDel="009C0D07" w14:paraId="3875883D" w14:textId="77777777" w:rsidTr="00B678E8">
        <w:tc>
          <w:tcPr>
            <w:tcW w:w="1555"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0554527D" w14:textId="77777777" w:rsidR="000B266B" w:rsidRPr="00A16C9B" w:rsidDel="009C0D07" w:rsidRDefault="000B266B" w:rsidP="0041700E">
            <w:pPr>
              <w:pStyle w:val="In-tableHeading"/>
              <w:keepNext w:val="0"/>
              <w:rPr>
                <w:lang w:val="en-AU"/>
              </w:rPr>
            </w:pPr>
          </w:p>
        </w:tc>
        <w:tc>
          <w:tcPr>
            <w:tcW w:w="5386"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0EED47E0" w14:textId="77777777" w:rsidR="000B266B" w:rsidRPr="00A16C9B" w:rsidDel="009C0D07" w:rsidRDefault="000B266B" w:rsidP="0041700E">
            <w:pPr>
              <w:pStyle w:val="In-tableHeading"/>
              <w:keepNext w:val="0"/>
              <w:rPr>
                <w:b w:val="0"/>
                <w:bCs/>
                <w:lang w:val="en-AU"/>
              </w:rPr>
            </w:pPr>
            <w:r w:rsidRPr="00A16C9B" w:rsidDel="009C0D07">
              <w:rPr>
                <w:b w:val="0"/>
                <w:bCs/>
                <w:lang w:val="en-AU"/>
              </w:rPr>
              <w:t xml:space="preserve">Wedemeyer H, Aleman S, et al. </w:t>
            </w:r>
            <w:r w:rsidRPr="00A16C9B" w:rsidDel="009C0D07">
              <w:rPr>
                <w:b w:val="0"/>
                <w:lang w:val="en-AU"/>
              </w:rPr>
              <w:t>Efficacy and safety at 96 weeks of bulevirtide 2 mg or 10 mg monotherapy for chronic hepatitis D: results from an interim analysis of a phase 3 randomized study.</w:t>
            </w:r>
          </w:p>
        </w:tc>
        <w:tc>
          <w:tcPr>
            <w:tcW w:w="1843" w:type="dxa"/>
            <w:tcBorders>
              <w:top w:val="dotted" w:sz="4" w:space="0" w:color="auto"/>
              <w:left w:val="single" w:sz="4" w:space="0" w:color="auto"/>
              <w:bottom w:val="dotted" w:sz="4" w:space="0" w:color="auto"/>
              <w:right w:val="single" w:sz="4" w:space="0" w:color="auto"/>
            </w:tcBorders>
            <w:shd w:val="clear" w:color="auto" w:fill="FFFFFF" w:themeFill="background1"/>
          </w:tcPr>
          <w:p w14:paraId="3FEB1446" w14:textId="77777777" w:rsidR="000B266B" w:rsidRPr="00A16C9B" w:rsidDel="009C0D07" w:rsidRDefault="000B266B" w:rsidP="0041700E">
            <w:pPr>
              <w:pStyle w:val="TableText"/>
              <w:keepNext w:val="0"/>
              <w:rPr>
                <w:rStyle w:val="ui-provider"/>
                <w:rFonts w:cs="Times New Roman"/>
                <w:b/>
                <w:bCs w:val="0"/>
                <w:lang w:val="en-US"/>
              </w:rPr>
            </w:pPr>
            <w:r w:rsidRPr="00A16C9B" w:rsidDel="009C0D07">
              <w:rPr>
                <w:rStyle w:val="ui-provider"/>
              </w:rPr>
              <w:t>Journal of Hepatology 2023; 78: S57-S58</w:t>
            </w:r>
          </w:p>
        </w:tc>
      </w:tr>
      <w:tr w:rsidR="000B266B" w:rsidRPr="00A16C9B" w:rsidDel="009C0D07" w14:paraId="795B254D" w14:textId="77777777" w:rsidTr="00B678E8">
        <w:tc>
          <w:tcPr>
            <w:tcW w:w="1555"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0FF85897" w14:textId="77777777" w:rsidR="000B266B" w:rsidRPr="00A16C9B" w:rsidDel="009C0D07" w:rsidRDefault="000B266B" w:rsidP="0041700E">
            <w:pPr>
              <w:pStyle w:val="In-tableHeading"/>
              <w:keepNext w:val="0"/>
              <w:rPr>
                <w:lang w:val="en-AU"/>
              </w:rPr>
            </w:pPr>
          </w:p>
        </w:tc>
        <w:tc>
          <w:tcPr>
            <w:tcW w:w="5386"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456B56D2" w14:textId="77777777" w:rsidR="000B266B" w:rsidRPr="00A16C9B" w:rsidDel="009C0D07" w:rsidRDefault="000B266B" w:rsidP="0041700E">
            <w:pPr>
              <w:pStyle w:val="In-tableHeading"/>
              <w:keepNext w:val="0"/>
              <w:rPr>
                <w:b w:val="0"/>
                <w:bCs/>
                <w:lang w:val="en-AU"/>
              </w:rPr>
            </w:pPr>
            <w:r w:rsidRPr="00A16C9B" w:rsidDel="009C0D07">
              <w:rPr>
                <w:b w:val="0"/>
                <w:bCs/>
                <w:lang w:val="en-AU"/>
              </w:rPr>
              <w:t>Lampertico P, Wedemeyer H, et al. Continued treatment of early nonresponder or partial virological responders with bulevirtide monotherapy in patients with chronic hepatitis delta (CHD) through week 96 leads to improvement in virological and biochemical responses.</w:t>
            </w:r>
          </w:p>
        </w:tc>
        <w:tc>
          <w:tcPr>
            <w:tcW w:w="1843" w:type="dxa"/>
            <w:tcBorders>
              <w:top w:val="dotted" w:sz="4" w:space="0" w:color="auto"/>
              <w:left w:val="single" w:sz="4" w:space="0" w:color="auto"/>
              <w:bottom w:val="dotted" w:sz="4" w:space="0" w:color="auto"/>
              <w:right w:val="single" w:sz="4" w:space="0" w:color="auto"/>
            </w:tcBorders>
            <w:shd w:val="clear" w:color="auto" w:fill="FFFFFF" w:themeFill="background1"/>
          </w:tcPr>
          <w:p w14:paraId="41EE9872" w14:textId="77777777" w:rsidR="000B266B" w:rsidRPr="00A16C9B" w:rsidDel="009C0D07" w:rsidRDefault="000B266B" w:rsidP="0041700E">
            <w:pPr>
              <w:pStyle w:val="TableText"/>
              <w:keepNext w:val="0"/>
              <w:rPr>
                <w:rStyle w:val="ui-provider"/>
                <w:rFonts w:cs="Times New Roman"/>
                <w:b/>
                <w:bCs w:val="0"/>
                <w:lang w:val="en-US"/>
              </w:rPr>
            </w:pPr>
            <w:r w:rsidRPr="00A16C9B" w:rsidDel="009C0D07">
              <w:rPr>
                <w:rStyle w:val="ui-provider"/>
              </w:rPr>
              <w:t>Journal of Hepatology 2023; 78: S111-S114</w:t>
            </w:r>
          </w:p>
        </w:tc>
      </w:tr>
      <w:tr w:rsidR="000B266B" w:rsidRPr="00A16C9B" w:rsidDel="009C0D07" w14:paraId="54D4A22B" w14:textId="77777777" w:rsidTr="00B678E8">
        <w:tc>
          <w:tcPr>
            <w:tcW w:w="1555"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38B2FDA6" w14:textId="77777777" w:rsidR="000B266B" w:rsidRPr="00A16C9B" w:rsidDel="009C0D07" w:rsidRDefault="000B266B" w:rsidP="0041700E">
            <w:pPr>
              <w:pStyle w:val="In-tableHeading"/>
              <w:keepNext w:val="0"/>
              <w:rPr>
                <w:lang w:val="en-AU"/>
              </w:rPr>
            </w:pPr>
          </w:p>
        </w:tc>
        <w:tc>
          <w:tcPr>
            <w:tcW w:w="5386"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45B99AC0" w14:textId="77777777" w:rsidR="000B266B" w:rsidRPr="00A16C9B" w:rsidDel="009C0D07" w:rsidRDefault="000B266B" w:rsidP="0041700E">
            <w:pPr>
              <w:pStyle w:val="In-tableHeading"/>
              <w:keepNext w:val="0"/>
              <w:rPr>
                <w:b w:val="0"/>
                <w:bCs/>
                <w:lang w:val="en-AU"/>
              </w:rPr>
            </w:pPr>
            <w:r w:rsidRPr="00A16C9B" w:rsidDel="009C0D07">
              <w:rPr>
                <w:b w:val="0"/>
                <w:bCs/>
                <w:lang w:val="en-AU"/>
              </w:rPr>
              <w:t xml:space="preserve">Wedemeyer H, Aleman S, et al. </w:t>
            </w:r>
            <w:r w:rsidRPr="00A16C9B" w:rsidDel="009C0D07">
              <w:rPr>
                <w:b w:val="0"/>
                <w:lang w:val="en-AU"/>
              </w:rPr>
              <w:t>Efficacy and safety at 96 weeks of bulevirtide 2 mg or 10 mg monotherapy for chronic hepatitis D: results from an interim analysis of a phase 3 randomized study.</w:t>
            </w:r>
          </w:p>
        </w:tc>
        <w:tc>
          <w:tcPr>
            <w:tcW w:w="1843" w:type="dxa"/>
            <w:tcBorders>
              <w:top w:val="dotted" w:sz="4" w:space="0" w:color="auto"/>
              <w:left w:val="single" w:sz="4" w:space="0" w:color="auto"/>
              <w:bottom w:val="dotted" w:sz="4" w:space="0" w:color="auto"/>
              <w:right w:val="single" w:sz="4" w:space="0" w:color="auto"/>
            </w:tcBorders>
            <w:shd w:val="clear" w:color="auto" w:fill="FFFFFF" w:themeFill="background1"/>
          </w:tcPr>
          <w:p w14:paraId="7C72A298" w14:textId="77777777" w:rsidR="000B266B" w:rsidRPr="00A16C9B" w:rsidDel="009C0D07" w:rsidRDefault="000B266B" w:rsidP="0041700E">
            <w:pPr>
              <w:pStyle w:val="TableText"/>
              <w:keepNext w:val="0"/>
              <w:rPr>
                <w:rStyle w:val="ui-provider"/>
                <w:rFonts w:cs="Times New Roman"/>
                <w:b/>
                <w:bCs w:val="0"/>
                <w:lang w:val="en-US"/>
              </w:rPr>
            </w:pPr>
            <w:r w:rsidRPr="00A16C9B" w:rsidDel="009C0D07">
              <w:rPr>
                <w:rStyle w:val="ui-provider"/>
              </w:rPr>
              <w:t>Gut Liver 2023; 17:165</w:t>
            </w:r>
          </w:p>
        </w:tc>
      </w:tr>
      <w:tr w:rsidR="000B266B" w:rsidRPr="00A16C9B" w:rsidDel="009C0D07" w14:paraId="37F345C3" w14:textId="77777777" w:rsidTr="00B678E8">
        <w:tc>
          <w:tcPr>
            <w:tcW w:w="1555" w:type="dxa"/>
            <w:tcBorders>
              <w:top w:val="dotted" w:sz="4" w:space="0" w:color="auto"/>
              <w:left w:val="single" w:sz="4" w:space="0" w:color="auto"/>
              <w:bottom w:val="dotted" w:sz="4" w:space="0" w:color="auto"/>
              <w:right w:val="single" w:sz="4" w:space="0" w:color="auto"/>
            </w:tcBorders>
          </w:tcPr>
          <w:p w14:paraId="7C5E3CAF" w14:textId="77777777" w:rsidR="000B266B" w:rsidRPr="00A16C9B" w:rsidDel="009C0D07" w:rsidRDefault="000B266B" w:rsidP="0041700E">
            <w:pPr>
              <w:pStyle w:val="TableText"/>
              <w:keepNext w:val="0"/>
            </w:pPr>
          </w:p>
        </w:tc>
        <w:tc>
          <w:tcPr>
            <w:tcW w:w="5386" w:type="dxa"/>
            <w:tcBorders>
              <w:top w:val="dotted" w:sz="4" w:space="0" w:color="auto"/>
              <w:left w:val="single" w:sz="4" w:space="0" w:color="auto"/>
              <w:bottom w:val="single" w:sz="4" w:space="0" w:color="BFBFBF" w:themeColor="background1" w:themeShade="BF"/>
              <w:right w:val="single" w:sz="4" w:space="0" w:color="auto"/>
            </w:tcBorders>
            <w:shd w:val="clear" w:color="auto" w:fill="BDD6EE" w:themeFill="accent1" w:themeFillTint="66"/>
          </w:tcPr>
          <w:p w14:paraId="464B0973" w14:textId="77777777" w:rsidR="000B266B" w:rsidRPr="00A16C9B" w:rsidDel="009C0D07" w:rsidRDefault="000B266B" w:rsidP="0041700E">
            <w:pPr>
              <w:pStyle w:val="TableText"/>
              <w:keepNext w:val="0"/>
              <w:rPr>
                <w:rFonts w:cstheme="minorHAnsi"/>
                <w:szCs w:val="20"/>
              </w:rPr>
            </w:pPr>
            <w:r w:rsidRPr="00A16C9B" w:rsidDel="009C0D07">
              <w:rPr>
                <w:szCs w:val="20"/>
              </w:rPr>
              <w:t xml:space="preserve">Wedemeyer H, Aleman S, et al. </w:t>
            </w:r>
            <w:r w:rsidRPr="00A16C9B" w:rsidDel="009C0D07">
              <w:rPr>
                <w:rFonts w:cstheme="minorHAnsi"/>
                <w:szCs w:val="20"/>
              </w:rPr>
              <w:t>A phase 3, randomized trial of bulevirtide in chronic hepatitis D.</w:t>
            </w:r>
          </w:p>
        </w:tc>
        <w:tc>
          <w:tcPr>
            <w:tcW w:w="1843" w:type="dxa"/>
            <w:tcBorders>
              <w:top w:val="dotted" w:sz="4" w:space="0" w:color="auto"/>
              <w:left w:val="single" w:sz="4" w:space="0" w:color="auto"/>
              <w:bottom w:val="single" w:sz="4" w:space="0" w:color="BFBFBF" w:themeColor="background1" w:themeShade="BF"/>
              <w:right w:val="single" w:sz="4" w:space="0" w:color="auto"/>
            </w:tcBorders>
            <w:shd w:val="clear" w:color="auto" w:fill="BDD6EE" w:themeFill="accent1" w:themeFillTint="66"/>
          </w:tcPr>
          <w:p w14:paraId="47B64EA1" w14:textId="77777777" w:rsidR="000B266B" w:rsidRPr="00A16C9B" w:rsidDel="009C0D07" w:rsidRDefault="000B266B" w:rsidP="0041700E">
            <w:pPr>
              <w:pStyle w:val="TableText"/>
              <w:keepNext w:val="0"/>
              <w:rPr>
                <w:rStyle w:val="ui-provider"/>
              </w:rPr>
            </w:pPr>
            <w:r w:rsidRPr="00A16C9B" w:rsidDel="009C0D07">
              <w:rPr>
                <w:rStyle w:val="ui-provider"/>
              </w:rPr>
              <w:t>New England Journal of Medicine 2023; 389(1): 22-32.</w:t>
            </w:r>
          </w:p>
        </w:tc>
      </w:tr>
      <w:tr w:rsidR="000B266B" w:rsidRPr="00A16C9B" w:rsidDel="009C0D07" w14:paraId="656028F6" w14:textId="77777777" w:rsidTr="00B678E8">
        <w:trPr>
          <w:trHeight w:val="132"/>
        </w:trPr>
        <w:tc>
          <w:tcPr>
            <w:tcW w:w="1555" w:type="dxa"/>
            <w:tcBorders>
              <w:top w:val="dotted" w:sz="4" w:space="0" w:color="auto"/>
              <w:left w:val="single" w:sz="4" w:space="0" w:color="auto"/>
              <w:bottom w:val="dotted" w:sz="4" w:space="0" w:color="auto"/>
              <w:right w:val="single" w:sz="4" w:space="0" w:color="auto"/>
            </w:tcBorders>
          </w:tcPr>
          <w:p w14:paraId="0AC82A6D" w14:textId="77777777" w:rsidR="000B266B" w:rsidRPr="00A16C9B" w:rsidDel="009C0D07" w:rsidRDefault="000B266B" w:rsidP="0041700E"/>
        </w:tc>
        <w:tc>
          <w:tcPr>
            <w:tcW w:w="5386" w:type="dxa"/>
            <w:tcBorders>
              <w:top w:val="single" w:sz="4" w:space="0" w:color="BFBFBF" w:themeColor="background1" w:themeShade="BF"/>
              <w:left w:val="single" w:sz="4" w:space="0" w:color="auto"/>
              <w:bottom w:val="nil"/>
              <w:right w:val="single" w:sz="4" w:space="0" w:color="auto"/>
            </w:tcBorders>
            <w:shd w:val="clear" w:color="auto" w:fill="BDD6EE" w:themeFill="accent1" w:themeFillTint="66"/>
          </w:tcPr>
          <w:p w14:paraId="3C10503E" w14:textId="77777777" w:rsidR="000B266B" w:rsidRPr="00A16C9B" w:rsidDel="009C0D07" w:rsidRDefault="000B266B" w:rsidP="0041700E">
            <w:pPr>
              <w:pStyle w:val="TableText"/>
              <w:keepNext w:val="0"/>
              <w:rPr>
                <w:szCs w:val="20"/>
              </w:rPr>
            </w:pPr>
            <w:r w:rsidRPr="00A16C9B" w:rsidDel="009C0D07">
              <w:rPr>
                <w:szCs w:val="20"/>
              </w:rPr>
              <w:t>Buti M, Wedemeyer H, et al. Bulevirtide improves health-related quality of life measured by EQ-5D VAS in patients with chronic hepatitis delta: An exploratory analysis of a Phase 3 trial at 48 weeks.</w:t>
            </w:r>
          </w:p>
        </w:tc>
        <w:tc>
          <w:tcPr>
            <w:tcW w:w="1843" w:type="dxa"/>
            <w:tcBorders>
              <w:top w:val="single" w:sz="4" w:space="0" w:color="BFBFBF" w:themeColor="background1" w:themeShade="BF"/>
              <w:left w:val="single" w:sz="4" w:space="0" w:color="auto"/>
              <w:bottom w:val="nil"/>
              <w:right w:val="single" w:sz="4" w:space="0" w:color="auto"/>
            </w:tcBorders>
            <w:shd w:val="clear" w:color="auto" w:fill="BDD6EE" w:themeFill="accent1" w:themeFillTint="66"/>
          </w:tcPr>
          <w:p w14:paraId="58E340A6" w14:textId="77777777" w:rsidR="000B266B" w:rsidRPr="00A16C9B" w:rsidDel="009C0D07" w:rsidRDefault="000B266B" w:rsidP="0041700E">
            <w:pPr>
              <w:pStyle w:val="TableText"/>
              <w:keepNext w:val="0"/>
            </w:pPr>
            <w:r w:rsidRPr="00A16C9B" w:rsidDel="009C0D07">
              <w:t>Digestive and Liver Disease 2023; 55: S72-3.</w:t>
            </w:r>
          </w:p>
          <w:p w14:paraId="21341040" w14:textId="77777777" w:rsidR="000B266B" w:rsidRPr="00A16C9B" w:rsidDel="009C0D07" w:rsidRDefault="000B266B" w:rsidP="0041700E"/>
        </w:tc>
      </w:tr>
      <w:tr w:rsidR="000B266B" w:rsidRPr="00A16C9B" w:rsidDel="009C0D07" w14:paraId="1E2ACEA9" w14:textId="77777777" w:rsidTr="00B678E8">
        <w:trPr>
          <w:trHeight w:val="737"/>
        </w:trPr>
        <w:tc>
          <w:tcPr>
            <w:tcW w:w="1555" w:type="dxa"/>
            <w:tcBorders>
              <w:top w:val="dotted" w:sz="4" w:space="0" w:color="auto"/>
              <w:left w:val="single" w:sz="4" w:space="0" w:color="auto"/>
              <w:bottom w:val="dotted" w:sz="4" w:space="0" w:color="auto"/>
              <w:right w:val="single" w:sz="4" w:space="0" w:color="auto"/>
            </w:tcBorders>
          </w:tcPr>
          <w:p w14:paraId="35104AAC" w14:textId="77777777" w:rsidR="000B266B" w:rsidRPr="00A16C9B" w:rsidDel="009C0D07" w:rsidRDefault="000B266B" w:rsidP="0041700E"/>
        </w:tc>
        <w:tc>
          <w:tcPr>
            <w:tcW w:w="5386" w:type="dxa"/>
            <w:tcBorders>
              <w:top w:val="nil"/>
              <w:left w:val="single" w:sz="4" w:space="0" w:color="auto"/>
              <w:right w:val="single" w:sz="4" w:space="0" w:color="auto"/>
            </w:tcBorders>
            <w:shd w:val="clear" w:color="auto" w:fill="BDD6EE" w:themeFill="accent1" w:themeFillTint="66"/>
          </w:tcPr>
          <w:p w14:paraId="4D0D7223" w14:textId="77777777" w:rsidR="000B266B" w:rsidRPr="00A16C9B" w:rsidDel="009C0D07" w:rsidRDefault="000B266B" w:rsidP="0041700E">
            <w:pPr>
              <w:pStyle w:val="TableText"/>
              <w:keepNext w:val="0"/>
              <w:rPr>
                <w:szCs w:val="20"/>
              </w:rPr>
            </w:pPr>
            <w:r w:rsidRPr="00A16C9B" w:rsidDel="009C0D07">
              <w:rPr>
                <w:szCs w:val="20"/>
              </w:rPr>
              <w:t>Wedemeyer H, Aleman S, et al. Bulevirtide monotherapy at low and high dose in patients with chronic hepatitis delta: 24 weeks interim data of the phase 3 MYR301 study.</w:t>
            </w:r>
          </w:p>
        </w:tc>
        <w:tc>
          <w:tcPr>
            <w:tcW w:w="1843" w:type="dxa"/>
            <w:tcBorders>
              <w:top w:val="nil"/>
              <w:left w:val="single" w:sz="4" w:space="0" w:color="auto"/>
              <w:right w:val="single" w:sz="4" w:space="0" w:color="auto"/>
            </w:tcBorders>
            <w:shd w:val="clear" w:color="auto" w:fill="BDD6EE" w:themeFill="accent1" w:themeFillTint="66"/>
          </w:tcPr>
          <w:p w14:paraId="17E097C3" w14:textId="77777777" w:rsidR="000B266B" w:rsidRPr="00A16C9B" w:rsidDel="009C0D07" w:rsidRDefault="000B266B" w:rsidP="0041700E">
            <w:pPr>
              <w:pStyle w:val="TableText"/>
              <w:keepNext w:val="0"/>
            </w:pPr>
            <w:r w:rsidRPr="00A16C9B" w:rsidDel="009C0D07">
              <w:t>Digestive and Liver Disease 2022; 54: S24-5.</w:t>
            </w:r>
          </w:p>
        </w:tc>
      </w:tr>
      <w:tr w:rsidR="000B266B" w:rsidRPr="00A16C9B" w:rsidDel="009C0D07" w14:paraId="2BA7F0DC" w14:textId="77777777" w:rsidTr="00B678E8">
        <w:trPr>
          <w:trHeight w:val="737"/>
        </w:trPr>
        <w:tc>
          <w:tcPr>
            <w:tcW w:w="1555" w:type="dxa"/>
            <w:tcBorders>
              <w:top w:val="dotted" w:sz="4" w:space="0" w:color="auto"/>
              <w:left w:val="single" w:sz="4" w:space="0" w:color="auto"/>
              <w:bottom w:val="dotted" w:sz="4" w:space="0" w:color="auto"/>
              <w:right w:val="single" w:sz="4" w:space="0" w:color="auto"/>
            </w:tcBorders>
          </w:tcPr>
          <w:p w14:paraId="6B46F36C" w14:textId="77777777" w:rsidR="000B266B" w:rsidRPr="00A16C9B" w:rsidDel="009C0D07" w:rsidRDefault="000B266B" w:rsidP="0041700E"/>
        </w:tc>
        <w:tc>
          <w:tcPr>
            <w:tcW w:w="5386" w:type="dxa"/>
            <w:tcBorders>
              <w:left w:val="single" w:sz="4" w:space="0" w:color="auto"/>
              <w:bottom w:val="single" w:sz="4" w:space="0" w:color="BFBFBF" w:themeColor="background1" w:themeShade="BF"/>
              <w:right w:val="single" w:sz="4" w:space="0" w:color="auto"/>
            </w:tcBorders>
            <w:shd w:val="clear" w:color="auto" w:fill="BDD6EE" w:themeFill="accent1" w:themeFillTint="66"/>
          </w:tcPr>
          <w:p w14:paraId="1BF561C2" w14:textId="77777777" w:rsidR="000B266B" w:rsidRPr="00A16C9B" w:rsidDel="009C0D07" w:rsidRDefault="000B266B" w:rsidP="0041700E">
            <w:pPr>
              <w:pStyle w:val="TableText"/>
              <w:keepNext w:val="0"/>
              <w:rPr>
                <w:szCs w:val="20"/>
              </w:rPr>
            </w:pPr>
            <w:r w:rsidRPr="00A16C9B" w:rsidDel="009C0D07">
              <w:rPr>
                <w:szCs w:val="20"/>
              </w:rPr>
              <w:t>Wedemeyer H, Aleman S, et al. Bulevirtide monotherapy at low and high dose in patients with chronic hepatitis delta: 24 weeks interim data of the phase 3 MYR301 study.</w:t>
            </w:r>
          </w:p>
        </w:tc>
        <w:tc>
          <w:tcPr>
            <w:tcW w:w="1843" w:type="dxa"/>
            <w:tcBorders>
              <w:left w:val="single" w:sz="4" w:space="0" w:color="auto"/>
              <w:bottom w:val="single" w:sz="4" w:space="0" w:color="BFBFBF" w:themeColor="background1" w:themeShade="BF"/>
              <w:right w:val="single" w:sz="4" w:space="0" w:color="auto"/>
            </w:tcBorders>
            <w:shd w:val="clear" w:color="auto" w:fill="BDD6EE" w:themeFill="accent1" w:themeFillTint="66"/>
          </w:tcPr>
          <w:p w14:paraId="2FB41C21" w14:textId="77777777" w:rsidR="000B266B" w:rsidRPr="00A16C9B" w:rsidDel="009C0D07" w:rsidRDefault="000B266B" w:rsidP="0041700E">
            <w:pPr>
              <w:pStyle w:val="TableText"/>
              <w:keepNext w:val="0"/>
            </w:pPr>
            <w:r w:rsidRPr="00A16C9B" w:rsidDel="009C0D07">
              <w:t>Hepatology International 2022; 16: S234.</w:t>
            </w:r>
          </w:p>
        </w:tc>
      </w:tr>
      <w:tr w:rsidR="000B266B" w:rsidRPr="00A16C9B" w:rsidDel="009C0D07" w14:paraId="1ACDC620" w14:textId="77777777" w:rsidTr="00B678E8">
        <w:trPr>
          <w:trHeight w:val="964"/>
        </w:trPr>
        <w:tc>
          <w:tcPr>
            <w:tcW w:w="1555" w:type="dxa"/>
            <w:tcBorders>
              <w:top w:val="dotted" w:sz="4" w:space="0" w:color="auto"/>
              <w:left w:val="single" w:sz="4" w:space="0" w:color="auto"/>
              <w:bottom w:val="dotted" w:sz="4" w:space="0" w:color="auto"/>
              <w:right w:val="single" w:sz="4" w:space="0" w:color="auto"/>
            </w:tcBorders>
          </w:tcPr>
          <w:p w14:paraId="64CFFDB6" w14:textId="77777777" w:rsidR="000B266B" w:rsidRPr="00A16C9B" w:rsidDel="009C0D07" w:rsidRDefault="000B266B" w:rsidP="0041700E"/>
        </w:tc>
        <w:tc>
          <w:tcPr>
            <w:tcW w:w="5386" w:type="dxa"/>
            <w:tcBorders>
              <w:top w:val="single" w:sz="4" w:space="0" w:color="BFBFBF" w:themeColor="background1" w:themeShade="BF"/>
              <w:left w:val="single" w:sz="4" w:space="0" w:color="auto"/>
              <w:bottom w:val="dotted" w:sz="4" w:space="0" w:color="auto"/>
              <w:right w:val="single" w:sz="4" w:space="0" w:color="auto"/>
            </w:tcBorders>
            <w:shd w:val="clear" w:color="auto" w:fill="BDD6EE" w:themeFill="accent1" w:themeFillTint="66"/>
          </w:tcPr>
          <w:p w14:paraId="1A452E7F" w14:textId="77777777" w:rsidR="000B266B" w:rsidRPr="00A16C9B" w:rsidDel="009C0D07" w:rsidRDefault="000B266B" w:rsidP="0041700E">
            <w:pPr>
              <w:pStyle w:val="TableText"/>
              <w:keepNext w:val="0"/>
              <w:rPr>
                <w:szCs w:val="20"/>
              </w:rPr>
            </w:pPr>
            <w:r w:rsidRPr="00A16C9B" w:rsidDel="009C0D07">
              <w:rPr>
                <w:szCs w:val="20"/>
              </w:rPr>
              <w:t>Wedemeyer H, Aleman S, et al. Efficacy and safety of bulevirtide monotherapy given at 2 mg or 10 mg dose level once daily for treatment of chronic hepatitis delta: week 48 primary end point results from a phase 3 randomized, multicenter, parallel design study.</w:t>
            </w:r>
          </w:p>
        </w:tc>
        <w:tc>
          <w:tcPr>
            <w:tcW w:w="1843" w:type="dxa"/>
            <w:tcBorders>
              <w:top w:val="single" w:sz="4" w:space="0" w:color="BFBFBF" w:themeColor="background1" w:themeShade="BF"/>
              <w:left w:val="single" w:sz="4" w:space="0" w:color="auto"/>
              <w:bottom w:val="dotted" w:sz="4" w:space="0" w:color="auto"/>
              <w:right w:val="single" w:sz="4" w:space="0" w:color="auto"/>
            </w:tcBorders>
            <w:shd w:val="clear" w:color="auto" w:fill="BDD6EE" w:themeFill="accent1" w:themeFillTint="66"/>
          </w:tcPr>
          <w:p w14:paraId="6B158FE2" w14:textId="77777777" w:rsidR="000B266B" w:rsidRPr="00A16C9B" w:rsidDel="009C0D07" w:rsidRDefault="000B266B" w:rsidP="0041700E">
            <w:pPr>
              <w:pStyle w:val="TableText"/>
              <w:keepNext w:val="0"/>
            </w:pPr>
            <w:r w:rsidRPr="00A16C9B" w:rsidDel="009C0D07">
              <w:t>Journal of Hepatology 2022; 77 (suppl1): 4-5.</w:t>
            </w:r>
          </w:p>
          <w:p w14:paraId="353DB176" w14:textId="77777777" w:rsidR="000B266B" w:rsidRPr="00A16C9B" w:rsidDel="009C0D07" w:rsidRDefault="000B266B" w:rsidP="0041700E">
            <w:pPr>
              <w:pStyle w:val="TableText"/>
              <w:keepNext w:val="0"/>
            </w:pPr>
          </w:p>
        </w:tc>
      </w:tr>
      <w:tr w:rsidR="000B266B" w:rsidRPr="00A16C9B" w:rsidDel="009C0D07" w14:paraId="79CC9DB7" w14:textId="77777777" w:rsidTr="00B678E8">
        <w:trPr>
          <w:trHeight w:val="737"/>
        </w:trPr>
        <w:tc>
          <w:tcPr>
            <w:tcW w:w="1555" w:type="dxa"/>
            <w:tcBorders>
              <w:top w:val="dotted" w:sz="4" w:space="0" w:color="auto"/>
              <w:left w:val="single" w:sz="4" w:space="0" w:color="auto"/>
              <w:bottom w:val="dotted" w:sz="4" w:space="0" w:color="auto"/>
              <w:right w:val="single" w:sz="4" w:space="0" w:color="auto"/>
            </w:tcBorders>
          </w:tcPr>
          <w:p w14:paraId="63366D53" w14:textId="77777777" w:rsidR="000B266B" w:rsidRPr="00A16C9B" w:rsidDel="009C0D07" w:rsidRDefault="000B266B" w:rsidP="0041700E"/>
        </w:tc>
        <w:tc>
          <w:tcPr>
            <w:tcW w:w="5386" w:type="dxa"/>
            <w:tcBorders>
              <w:top w:val="dotted" w:sz="4" w:space="0" w:color="auto"/>
              <w:left w:val="single" w:sz="4" w:space="0" w:color="auto"/>
              <w:bottom w:val="dotted" w:sz="4" w:space="0" w:color="auto"/>
              <w:right w:val="single" w:sz="4" w:space="0" w:color="auto"/>
            </w:tcBorders>
            <w:shd w:val="clear" w:color="auto" w:fill="BDD6EE" w:themeFill="accent1" w:themeFillTint="66"/>
          </w:tcPr>
          <w:p w14:paraId="3A0CEFBB" w14:textId="77777777" w:rsidR="000B266B" w:rsidRPr="00A16C9B" w:rsidDel="009C0D07" w:rsidRDefault="000B266B" w:rsidP="0041700E">
            <w:pPr>
              <w:pStyle w:val="TableText"/>
              <w:keepNext w:val="0"/>
              <w:rPr>
                <w:szCs w:val="20"/>
              </w:rPr>
            </w:pPr>
            <w:r w:rsidRPr="00A16C9B" w:rsidDel="009C0D07">
              <w:rPr>
                <w:szCs w:val="20"/>
              </w:rPr>
              <w:t>Buti M, Wedemeyer H, et al. Treatment with bulevirtide improves patient-reported outcomes in patients with chronic hepatitis delta: An exploratory analysis of a Phase 3 trial at 48 weeks.</w:t>
            </w:r>
          </w:p>
        </w:tc>
        <w:tc>
          <w:tcPr>
            <w:tcW w:w="1843" w:type="dxa"/>
            <w:tcBorders>
              <w:top w:val="dotted" w:sz="4" w:space="0" w:color="auto"/>
              <w:left w:val="single" w:sz="4" w:space="0" w:color="auto"/>
              <w:bottom w:val="dotted" w:sz="4" w:space="0" w:color="auto"/>
              <w:right w:val="single" w:sz="4" w:space="0" w:color="auto"/>
            </w:tcBorders>
            <w:shd w:val="clear" w:color="auto" w:fill="BDD6EE" w:themeFill="accent1" w:themeFillTint="66"/>
          </w:tcPr>
          <w:p w14:paraId="1D55A5F6" w14:textId="77777777" w:rsidR="000B266B" w:rsidRPr="00A16C9B" w:rsidDel="009C0D07" w:rsidRDefault="000B266B" w:rsidP="0041700E">
            <w:pPr>
              <w:pStyle w:val="TableText"/>
              <w:keepNext w:val="0"/>
            </w:pPr>
            <w:r w:rsidRPr="00A16C9B" w:rsidDel="009C0D07">
              <w:t>Journal of Hepatology 2022; 77 (suppl1): S103</w:t>
            </w:r>
          </w:p>
        </w:tc>
      </w:tr>
      <w:tr w:rsidR="000B266B" w:rsidRPr="00A16C9B" w:rsidDel="009C0D07" w14:paraId="3DCE0117" w14:textId="77777777" w:rsidTr="00B678E8">
        <w:trPr>
          <w:trHeight w:val="907"/>
        </w:trPr>
        <w:tc>
          <w:tcPr>
            <w:tcW w:w="1555" w:type="dxa"/>
            <w:tcBorders>
              <w:top w:val="dotted" w:sz="4" w:space="0" w:color="auto"/>
              <w:left w:val="single" w:sz="4" w:space="0" w:color="auto"/>
              <w:bottom w:val="dotted" w:sz="4" w:space="0" w:color="auto"/>
              <w:right w:val="single" w:sz="4" w:space="0" w:color="auto"/>
            </w:tcBorders>
          </w:tcPr>
          <w:p w14:paraId="39CB5D08" w14:textId="77777777" w:rsidR="000B266B" w:rsidRPr="00A16C9B" w:rsidDel="009C0D07" w:rsidRDefault="000B266B" w:rsidP="0041700E"/>
        </w:tc>
        <w:tc>
          <w:tcPr>
            <w:tcW w:w="5386" w:type="dxa"/>
            <w:tcBorders>
              <w:top w:val="dotted" w:sz="4" w:space="0" w:color="auto"/>
              <w:left w:val="single" w:sz="4" w:space="0" w:color="auto"/>
              <w:bottom w:val="dotted" w:sz="4" w:space="0" w:color="auto"/>
              <w:right w:val="single" w:sz="4" w:space="0" w:color="auto"/>
            </w:tcBorders>
            <w:shd w:val="clear" w:color="auto" w:fill="BDD6EE" w:themeFill="accent1" w:themeFillTint="66"/>
          </w:tcPr>
          <w:p w14:paraId="49BCD6F2" w14:textId="77777777" w:rsidR="000B266B" w:rsidRPr="00A16C9B" w:rsidDel="009C0D07" w:rsidRDefault="000B266B" w:rsidP="0041700E">
            <w:pPr>
              <w:pStyle w:val="TableText"/>
              <w:keepNext w:val="0"/>
              <w:rPr>
                <w:szCs w:val="20"/>
              </w:rPr>
            </w:pPr>
            <w:r w:rsidRPr="00A16C9B" w:rsidDel="009C0D07">
              <w:rPr>
                <w:szCs w:val="20"/>
              </w:rPr>
              <w:t>Freismuth A, Wedemeyer H, et al. Bulevirtide monotherapy at low and high doses in patients with chronic hepatitis delta: 24-week interim data of the Phase 3 MYR301 study.</w:t>
            </w:r>
          </w:p>
        </w:tc>
        <w:tc>
          <w:tcPr>
            <w:tcW w:w="1843" w:type="dxa"/>
            <w:tcBorders>
              <w:top w:val="dotted" w:sz="4" w:space="0" w:color="auto"/>
              <w:left w:val="single" w:sz="4" w:space="0" w:color="auto"/>
              <w:bottom w:val="dotted" w:sz="4" w:space="0" w:color="auto"/>
              <w:right w:val="single" w:sz="4" w:space="0" w:color="auto"/>
            </w:tcBorders>
            <w:shd w:val="clear" w:color="auto" w:fill="BDD6EE" w:themeFill="accent1" w:themeFillTint="66"/>
          </w:tcPr>
          <w:p w14:paraId="6C8ECFFD" w14:textId="77777777" w:rsidR="000B266B" w:rsidRPr="00A16C9B" w:rsidDel="009C0D07" w:rsidRDefault="000B266B" w:rsidP="0041700E">
            <w:pPr>
              <w:pStyle w:val="TableText"/>
              <w:keepNext w:val="0"/>
            </w:pPr>
            <w:r w:rsidRPr="00A16C9B" w:rsidDel="009C0D07">
              <w:t>Journal of Gastroenterology and Hepatology 2022; 37(suppl1): 52-53.</w:t>
            </w:r>
          </w:p>
        </w:tc>
      </w:tr>
      <w:tr w:rsidR="000B266B" w:rsidRPr="00A16C9B" w:rsidDel="009C0D07" w14:paraId="5A7F4D36" w14:textId="77777777" w:rsidTr="00B678E8">
        <w:trPr>
          <w:trHeight w:val="737"/>
        </w:trPr>
        <w:tc>
          <w:tcPr>
            <w:tcW w:w="1555" w:type="dxa"/>
            <w:tcBorders>
              <w:top w:val="dotted" w:sz="4" w:space="0" w:color="auto"/>
              <w:left w:val="single" w:sz="4" w:space="0" w:color="auto"/>
              <w:bottom w:val="dotted" w:sz="4" w:space="0" w:color="auto"/>
              <w:right w:val="single" w:sz="4" w:space="0" w:color="auto"/>
            </w:tcBorders>
          </w:tcPr>
          <w:p w14:paraId="230CA3A7" w14:textId="77777777" w:rsidR="000B266B" w:rsidRPr="00A16C9B" w:rsidDel="009C0D07" w:rsidRDefault="000B266B" w:rsidP="0041700E"/>
        </w:tc>
        <w:tc>
          <w:tcPr>
            <w:tcW w:w="5386" w:type="dxa"/>
            <w:tcBorders>
              <w:top w:val="dotted" w:sz="4" w:space="0" w:color="auto"/>
              <w:left w:val="single" w:sz="4" w:space="0" w:color="auto"/>
              <w:bottom w:val="single" w:sz="4" w:space="0" w:color="BFBFBF" w:themeColor="background1" w:themeShade="BF"/>
              <w:right w:val="single" w:sz="4" w:space="0" w:color="auto"/>
            </w:tcBorders>
            <w:shd w:val="clear" w:color="auto" w:fill="BDD6EE" w:themeFill="accent1" w:themeFillTint="66"/>
          </w:tcPr>
          <w:p w14:paraId="36EEFE68" w14:textId="77777777" w:rsidR="000B266B" w:rsidRPr="00A16C9B" w:rsidDel="009C0D07" w:rsidRDefault="000B266B" w:rsidP="0041700E">
            <w:pPr>
              <w:pStyle w:val="TableText"/>
              <w:keepNext w:val="0"/>
              <w:rPr>
                <w:szCs w:val="20"/>
              </w:rPr>
            </w:pPr>
            <w:r w:rsidRPr="00A16C9B" w:rsidDel="009C0D07">
              <w:rPr>
                <w:szCs w:val="20"/>
              </w:rPr>
              <w:t>Buti M, Wedemeyer H, et al. Bulevirtide improves health related quality life measured by EQ-5D VAS in patients with chronic hepatitis delta: an exploratory analysis of a phase 3 trial at 48 weeks.</w:t>
            </w:r>
          </w:p>
        </w:tc>
        <w:tc>
          <w:tcPr>
            <w:tcW w:w="1843" w:type="dxa"/>
            <w:tcBorders>
              <w:top w:val="dotted" w:sz="4" w:space="0" w:color="auto"/>
              <w:left w:val="single" w:sz="4" w:space="0" w:color="auto"/>
              <w:bottom w:val="single" w:sz="4" w:space="0" w:color="BFBFBF" w:themeColor="background1" w:themeShade="BF"/>
              <w:right w:val="single" w:sz="4" w:space="0" w:color="auto"/>
            </w:tcBorders>
            <w:shd w:val="clear" w:color="auto" w:fill="BDD6EE" w:themeFill="accent1" w:themeFillTint="66"/>
          </w:tcPr>
          <w:p w14:paraId="09A2B33A" w14:textId="77777777" w:rsidR="000B266B" w:rsidRPr="00A16C9B" w:rsidDel="009C0D07" w:rsidRDefault="000B266B" w:rsidP="0041700E">
            <w:pPr>
              <w:pStyle w:val="TableText"/>
              <w:keepNext w:val="0"/>
            </w:pPr>
            <w:r w:rsidRPr="00A16C9B" w:rsidDel="009C0D07">
              <w:t>Hepatology 2022; 76: S224-5.</w:t>
            </w:r>
          </w:p>
          <w:p w14:paraId="41C26A92" w14:textId="77777777" w:rsidR="000B266B" w:rsidRPr="00A16C9B" w:rsidDel="009C0D07" w:rsidRDefault="000B266B" w:rsidP="0041700E">
            <w:pPr>
              <w:pStyle w:val="TableText"/>
              <w:keepNext w:val="0"/>
            </w:pPr>
          </w:p>
        </w:tc>
      </w:tr>
      <w:tr w:rsidR="000B266B" w:rsidRPr="00A16C9B" w:rsidDel="009C0D07" w14:paraId="20476BE4" w14:textId="77777777" w:rsidTr="00B678E8">
        <w:tc>
          <w:tcPr>
            <w:tcW w:w="1555" w:type="dxa"/>
            <w:tcBorders>
              <w:top w:val="dotted" w:sz="4" w:space="0" w:color="auto"/>
              <w:left w:val="single" w:sz="4" w:space="0" w:color="auto"/>
              <w:bottom w:val="dotted" w:sz="4" w:space="0" w:color="auto"/>
              <w:right w:val="single" w:sz="4" w:space="0" w:color="auto"/>
            </w:tcBorders>
          </w:tcPr>
          <w:p w14:paraId="60C1F937" w14:textId="77777777" w:rsidR="000B266B" w:rsidRPr="00A16C9B" w:rsidDel="009C0D07" w:rsidRDefault="000B266B" w:rsidP="0041700E"/>
        </w:tc>
        <w:tc>
          <w:tcPr>
            <w:tcW w:w="5386" w:type="dxa"/>
            <w:tcBorders>
              <w:top w:val="single" w:sz="4" w:space="0" w:color="BFBFBF" w:themeColor="background1" w:themeShade="BF"/>
              <w:left w:val="single" w:sz="4" w:space="0" w:color="auto"/>
              <w:bottom w:val="dotted" w:sz="4" w:space="0" w:color="BFBFBF" w:themeColor="background1" w:themeShade="BF"/>
              <w:right w:val="single" w:sz="4" w:space="0" w:color="auto"/>
            </w:tcBorders>
            <w:shd w:val="clear" w:color="auto" w:fill="BDD6EE" w:themeFill="accent1" w:themeFillTint="66"/>
          </w:tcPr>
          <w:p w14:paraId="0C82A2B4" w14:textId="77777777" w:rsidR="000B266B" w:rsidRPr="00A16C9B" w:rsidDel="009C0D07" w:rsidRDefault="000B266B" w:rsidP="0041700E">
            <w:pPr>
              <w:pStyle w:val="TableText"/>
              <w:keepNext w:val="0"/>
              <w:rPr>
                <w:szCs w:val="20"/>
              </w:rPr>
            </w:pPr>
            <w:r w:rsidRPr="00A16C9B" w:rsidDel="009C0D07">
              <w:rPr>
                <w:szCs w:val="20"/>
              </w:rPr>
              <w:t>Allweiss L, Dettmer C, et al. Strong intrahepatic decline of hepatitis D virus RNA and antigen after 24 weeks of treatment with Myrcludex B in combination with tenofovir in chronic HBV/HDV infected patients: Interim results from a multicenter, open-label phase 2b clinical trial.</w:t>
            </w:r>
          </w:p>
        </w:tc>
        <w:tc>
          <w:tcPr>
            <w:tcW w:w="1843" w:type="dxa"/>
            <w:tcBorders>
              <w:top w:val="single" w:sz="4" w:space="0" w:color="BFBFBF" w:themeColor="background1" w:themeShade="BF"/>
              <w:left w:val="single" w:sz="4" w:space="0" w:color="auto"/>
              <w:bottom w:val="dotted" w:sz="4" w:space="0" w:color="BFBFBF" w:themeColor="background1" w:themeShade="BF"/>
              <w:right w:val="single" w:sz="4" w:space="0" w:color="auto"/>
            </w:tcBorders>
            <w:shd w:val="clear" w:color="auto" w:fill="BDD6EE" w:themeFill="accent1" w:themeFillTint="66"/>
          </w:tcPr>
          <w:p w14:paraId="0AA88034" w14:textId="77777777" w:rsidR="000B266B" w:rsidRPr="00A16C9B" w:rsidDel="009C0D07" w:rsidRDefault="000B266B" w:rsidP="0041700E">
            <w:pPr>
              <w:pStyle w:val="TableText"/>
              <w:keepNext w:val="0"/>
            </w:pPr>
            <w:r w:rsidRPr="00A16C9B" w:rsidDel="009C0D07">
              <w:t>Hepatology 2021; 74(suppl1): 148A.</w:t>
            </w:r>
          </w:p>
          <w:p w14:paraId="7D4AEFD4" w14:textId="77777777" w:rsidR="000B266B" w:rsidRPr="00A16C9B" w:rsidDel="009C0D07" w:rsidRDefault="000B266B" w:rsidP="0041700E">
            <w:pPr>
              <w:pStyle w:val="TableText"/>
              <w:keepNext w:val="0"/>
            </w:pPr>
          </w:p>
          <w:p w14:paraId="3EDF86E9" w14:textId="77777777" w:rsidR="000B266B" w:rsidRPr="00A16C9B" w:rsidDel="009C0D07" w:rsidRDefault="000B266B" w:rsidP="0041700E">
            <w:pPr>
              <w:pStyle w:val="TableText"/>
              <w:keepNext w:val="0"/>
            </w:pPr>
          </w:p>
        </w:tc>
      </w:tr>
      <w:tr w:rsidR="000B266B" w:rsidRPr="00A16C9B" w:rsidDel="009C0D07" w14:paraId="1FF18155" w14:textId="77777777" w:rsidTr="00B678E8">
        <w:tc>
          <w:tcPr>
            <w:tcW w:w="1555" w:type="dxa"/>
            <w:tcBorders>
              <w:top w:val="dotted" w:sz="4" w:space="0" w:color="auto"/>
              <w:left w:val="single" w:sz="4" w:space="0" w:color="auto"/>
              <w:bottom w:val="dotted" w:sz="4" w:space="0" w:color="auto"/>
              <w:right w:val="single" w:sz="4" w:space="0" w:color="auto"/>
            </w:tcBorders>
          </w:tcPr>
          <w:p w14:paraId="6F02DC19" w14:textId="77777777" w:rsidR="000B266B" w:rsidRPr="00A16C9B" w:rsidDel="009C0D07" w:rsidRDefault="000B266B" w:rsidP="0041700E"/>
        </w:tc>
        <w:tc>
          <w:tcPr>
            <w:tcW w:w="5386" w:type="dxa"/>
            <w:tcBorders>
              <w:top w:val="dotted" w:sz="4" w:space="0" w:color="BFBFBF" w:themeColor="background1" w:themeShade="BF"/>
              <w:left w:val="single" w:sz="4" w:space="0" w:color="auto"/>
              <w:right w:val="single" w:sz="4" w:space="0" w:color="auto"/>
            </w:tcBorders>
            <w:shd w:val="clear" w:color="auto" w:fill="BDD6EE" w:themeFill="accent1" w:themeFillTint="66"/>
          </w:tcPr>
          <w:p w14:paraId="5BC295DA" w14:textId="77777777" w:rsidR="000B266B" w:rsidRPr="00A16C9B" w:rsidDel="009C0D07" w:rsidRDefault="000B266B" w:rsidP="0041700E">
            <w:pPr>
              <w:pStyle w:val="TableText"/>
              <w:keepNext w:val="0"/>
              <w:rPr>
                <w:szCs w:val="20"/>
              </w:rPr>
            </w:pPr>
            <w:r w:rsidRPr="00A16C9B" w:rsidDel="009C0D07">
              <w:rPr>
                <w:szCs w:val="20"/>
              </w:rPr>
              <w:t>Wedemeyer H, Aleman S, et al. Treatment with bulevirtide improves patient reported outcomes in patients with chronic hepatitis delta (CHD): An Interim exploratory analysis at week 24.</w:t>
            </w:r>
          </w:p>
        </w:tc>
        <w:tc>
          <w:tcPr>
            <w:tcW w:w="1843" w:type="dxa"/>
            <w:tcBorders>
              <w:top w:val="dotted" w:sz="4" w:space="0" w:color="BFBFBF" w:themeColor="background1" w:themeShade="BF"/>
              <w:left w:val="single" w:sz="4" w:space="0" w:color="auto"/>
              <w:right w:val="single" w:sz="4" w:space="0" w:color="auto"/>
            </w:tcBorders>
            <w:shd w:val="clear" w:color="auto" w:fill="BDD6EE" w:themeFill="accent1" w:themeFillTint="66"/>
          </w:tcPr>
          <w:p w14:paraId="52FBC641" w14:textId="77777777" w:rsidR="000B266B" w:rsidRPr="00A16C9B" w:rsidDel="009C0D07" w:rsidRDefault="000B266B" w:rsidP="0041700E">
            <w:pPr>
              <w:pStyle w:val="TableText"/>
              <w:keepNext w:val="0"/>
            </w:pPr>
            <w:r w:rsidRPr="00A16C9B" w:rsidDel="009C0D07">
              <w:t>Hepatology 2021; 74: 413A-414A</w:t>
            </w:r>
          </w:p>
        </w:tc>
      </w:tr>
      <w:tr w:rsidR="000B266B" w:rsidRPr="00A16C9B" w:rsidDel="009C0D07" w14:paraId="3D25A91B" w14:textId="77777777" w:rsidTr="00B678E8">
        <w:tc>
          <w:tcPr>
            <w:tcW w:w="1555" w:type="dxa"/>
            <w:tcBorders>
              <w:top w:val="dotted" w:sz="4" w:space="0" w:color="auto"/>
              <w:left w:val="single" w:sz="4" w:space="0" w:color="auto"/>
              <w:bottom w:val="dotted" w:sz="4" w:space="0" w:color="auto"/>
              <w:right w:val="single" w:sz="4" w:space="0" w:color="auto"/>
            </w:tcBorders>
          </w:tcPr>
          <w:p w14:paraId="0EFB6BEE" w14:textId="77777777" w:rsidR="000B266B" w:rsidRPr="00A16C9B" w:rsidDel="009C0D07" w:rsidRDefault="000B266B" w:rsidP="0041700E"/>
        </w:tc>
        <w:tc>
          <w:tcPr>
            <w:tcW w:w="5386" w:type="dxa"/>
            <w:tcBorders>
              <w:left w:val="single" w:sz="4" w:space="0" w:color="auto"/>
              <w:right w:val="single" w:sz="4" w:space="0" w:color="auto"/>
            </w:tcBorders>
            <w:shd w:val="clear" w:color="auto" w:fill="BDD6EE" w:themeFill="accent1" w:themeFillTint="66"/>
          </w:tcPr>
          <w:p w14:paraId="5E6838F7" w14:textId="77777777" w:rsidR="000B266B" w:rsidRPr="00A16C9B" w:rsidDel="009C0D07" w:rsidRDefault="000B266B" w:rsidP="0041700E">
            <w:pPr>
              <w:pStyle w:val="TableText"/>
              <w:keepNext w:val="0"/>
              <w:rPr>
                <w:szCs w:val="20"/>
              </w:rPr>
            </w:pPr>
            <w:r w:rsidRPr="00A16C9B" w:rsidDel="009C0D07">
              <w:rPr>
                <w:szCs w:val="20"/>
              </w:rPr>
              <w:t>Wedemeyer H, Aleman S, et al. Efficacy and safety of bulevirtide monotherapy given at 2 mg or 10 mg dose Level once daily for treatment of chronic hepatitis delta: Week 48 primary endpoint results from a Phase 3 randomized, multicenter, parallel design study.</w:t>
            </w:r>
          </w:p>
        </w:tc>
        <w:tc>
          <w:tcPr>
            <w:tcW w:w="1843" w:type="dxa"/>
            <w:tcBorders>
              <w:left w:val="single" w:sz="4" w:space="0" w:color="auto"/>
              <w:right w:val="single" w:sz="4" w:space="0" w:color="auto"/>
            </w:tcBorders>
            <w:shd w:val="clear" w:color="auto" w:fill="BDD6EE" w:themeFill="accent1" w:themeFillTint="66"/>
          </w:tcPr>
          <w:p w14:paraId="5F5E3BB6" w14:textId="77777777" w:rsidR="000B266B" w:rsidRPr="00A16C9B" w:rsidDel="009C0D07" w:rsidRDefault="000B266B" w:rsidP="0041700E">
            <w:pPr>
              <w:pStyle w:val="TableText"/>
              <w:keepNext w:val="0"/>
            </w:pPr>
            <w:r w:rsidRPr="00A16C9B" w:rsidDel="009C0D07">
              <w:t>Zeitschrift für Gastroenterologie 2023; 61(01): e45-6</w:t>
            </w:r>
          </w:p>
        </w:tc>
      </w:tr>
      <w:tr w:rsidR="000B266B" w:rsidRPr="00A16C9B" w:rsidDel="009C0D07" w14:paraId="02E83380" w14:textId="77777777" w:rsidTr="00B678E8">
        <w:trPr>
          <w:trHeight w:val="1145"/>
        </w:trPr>
        <w:tc>
          <w:tcPr>
            <w:tcW w:w="1555" w:type="dxa"/>
            <w:tcBorders>
              <w:top w:val="dotted" w:sz="4" w:space="0" w:color="auto"/>
              <w:left w:val="single" w:sz="4" w:space="0" w:color="auto"/>
              <w:bottom w:val="dotted" w:sz="4" w:space="0" w:color="auto"/>
              <w:right w:val="single" w:sz="4" w:space="0" w:color="auto"/>
            </w:tcBorders>
          </w:tcPr>
          <w:p w14:paraId="68D5518A" w14:textId="77777777" w:rsidR="000B266B" w:rsidRPr="00A16C9B" w:rsidDel="009C0D07" w:rsidRDefault="000B266B" w:rsidP="0041700E"/>
        </w:tc>
        <w:tc>
          <w:tcPr>
            <w:tcW w:w="5386" w:type="dxa"/>
            <w:tcBorders>
              <w:left w:val="single" w:sz="4" w:space="0" w:color="auto"/>
              <w:right w:val="single" w:sz="4" w:space="0" w:color="auto"/>
            </w:tcBorders>
            <w:shd w:val="clear" w:color="auto" w:fill="BDD6EE" w:themeFill="accent1" w:themeFillTint="66"/>
          </w:tcPr>
          <w:p w14:paraId="5AA60814" w14:textId="77777777" w:rsidR="000B266B" w:rsidRPr="00A16C9B" w:rsidDel="009C0D07" w:rsidRDefault="000B266B" w:rsidP="0041700E">
            <w:pPr>
              <w:pStyle w:val="TableText"/>
              <w:keepNext w:val="0"/>
              <w:rPr>
                <w:szCs w:val="20"/>
              </w:rPr>
            </w:pPr>
            <w:r w:rsidRPr="00A16C9B" w:rsidDel="009C0D07">
              <w:rPr>
                <w:szCs w:val="20"/>
              </w:rPr>
              <w:t>Lee S, Wedemeyer H, et al. S1179 bulevirtide monotherapy at low and high dose in patients with chronic hepatitis Delta: 24-week interim data of the Phase 3 MYR301 study.</w:t>
            </w:r>
          </w:p>
        </w:tc>
        <w:tc>
          <w:tcPr>
            <w:tcW w:w="1843" w:type="dxa"/>
            <w:tcBorders>
              <w:left w:val="single" w:sz="4" w:space="0" w:color="auto"/>
              <w:right w:val="single" w:sz="4" w:space="0" w:color="auto"/>
            </w:tcBorders>
            <w:shd w:val="clear" w:color="auto" w:fill="BDD6EE" w:themeFill="accent1" w:themeFillTint="66"/>
          </w:tcPr>
          <w:p w14:paraId="2E90C527" w14:textId="77777777" w:rsidR="000B266B" w:rsidRPr="00A16C9B" w:rsidDel="009C0D07" w:rsidRDefault="000B266B" w:rsidP="0041700E">
            <w:pPr>
              <w:pStyle w:val="TableText"/>
              <w:keepNext w:val="0"/>
            </w:pPr>
            <w:r w:rsidRPr="00A16C9B" w:rsidDel="009C0D07">
              <w:rPr>
                <w:rFonts w:cstheme="minorHAnsi"/>
                <w:szCs w:val="20"/>
              </w:rPr>
              <w:t>Official Journal of the American College of Gastroenterology 2022; 117(10S): e858-9.</w:t>
            </w:r>
          </w:p>
        </w:tc>
      </w:tr>
      <w:tr w:rsidR="000B266B" w:rsidRPr="00A16C9B" w:rsidDel="009C0D07" w14:paraId="2B8D243F" w14:textId="77777777" w:rsidTr="00B678E8">
        <w:trPr>
          <w:trHeight w:val="737"/>
        </w:trPr>
        <w:tc>
          <w:tcPr>
            <w:tcW w:w="1555" w:type="dxa"/>
            <w:tcBorders>
              <w:top w:val="dotted" w:sz="4" w:space="0" w:color="auto"/>
              <w:left w:val="single" w:sz="4" w:space="0" w:color="auto"/>
              <w:bottom w:val="single" w:sz="4" w:space="0" w:color="auto"/>
              <w:right w:val="single" w:sz="4" w:space="0" w:color="auto"/>
            </w:tcBorders>
          </w:tcPr>
          <w:p w14:paraId="210C702C" w14:textId="77777777" w:rsidR="000B266B" w:rsidRPr="00A16C9B" w:rsidDel="009C0D07" w:rsidRDefault="000B266B" w:rsidP="0041700E"/>
        </w:tc>
        <w:tc>
          <w:tcPr>
            <w:tcW w:w="5386" w:type="dxa"/>
            <w:tcBorders>
              <w:left w:val="single" w:sz="4" w:space="0" w:color="auto"/>
              <w:bottom w:val="single" w:sz="4" w:space="0" w:color="auto"/>
              <w:right w:val="single" w:sz="4" w:space="0" w:color="auto"/>
            </w:tcBorders>
            <w:shd w:val="clear" w:color="auto" w:fill="BDD6EE" w:themeFill="accent1" w:themeFillTint="66"/>
          </w:tcPr>
          <w:p w14:paraId="75380414" w14:textId="77777777" w:rsidR="000B266B" w:rsidRPr="00A16C9B" w:rsidDel="009C0D07" w:rsidRDefault="000B266B" w:rsidP="0041700E">
            <w:pPr>
              <w:pStyle w:val="TableText"/>
              <w:keepNext w:val="0"/>
              <w:rPr>
                <w:szCs w:val="20"/>
              </w:rPr>
            </w:pPr>
            <w:r w:rsidRPr="00A16C9B" w:rsidDel="009C0D07">
              <w:rPr>
                <w:szCs w:val="20"/>
              </w:rPr>
              <w:t>Buti M, Wedemeyer H, et al. Treatment with bulevirtide improves patient-reported outcomes in patients with chronic hepatitis delta: An exploratory analysis of a Phase 3 trial at 48 weeks.</w:t>
            </w:r>
          </w:p>
        </w:tc>
        <w:tc>
          <w:tcPr>
            <w:tcW w:w="1843" w:type="dxa"/>
            <w:tcBorders>
              <w:left w:val="single" w:sz="4" w:space="0" w:color="auto"/>
              <w:bottom w:val="single" w:sz="4" w:space="0" w:color="auto"/>
              <w:right w:val="single" w:sz="4" w:space="0" w:color="auto"/>
            </w:tcBorders>
            <w:shd w:val="clear" w:color="auto" w:fill="BDD6EE" w:themeFill="accent1" w:themeFillTint="66"/>
          </w:tcPr>
          <w:p w14:paraId="010157AC" w14:textId="77777777" w:rsidR="000B266B" w:rsidRPr="00A16C9B" w:rsidDel="009C0D07" w:rsidRDefault="000B266B" w:rsidP="0041700E">
            <w:pPr>
              <w:pStyle w:val="TableText"/>
              <w:keepNext w:val="0"/>
            </w:pPr>
            <w:r w:rsidRPr="00A16C9B" w:rsidDel="009C0D07">
              <w:rPr>
                <w:rFonts w:cstheme="minorHAnsi"/>
                <w:szCs w:val="20"/>
              </w:rPr>
              <w:t>Zeitschrift für Gastroenterologie 2023; 61(01): e47-.</w:t>
            </w:r>
          </w:p>
        </w:tc>
      </w:tr>
    </w:tbl>
    <w:bookmarkEnd w:id="26"/>
    <w:p w14:paraId="60B458A8" w14:textId="77777777" w:rsidR="000B266B" w:rsidRPr="00A16C9B" w:rsidRDefault="000B266B" w:rsidP="0041700E">
      <w:pPr>
        <w:pStyle w:val="TableFooter"/>
        <w:widowControl/>
      </w:pPr>
      <w:r w:rsidRPr="00A16C9B">
        <w:t>Source: Table 2.6-1, pp57-59 of the resubmission</w:t>
      </w:r>
    </w:p>
    <w:p w14:paraId="01BA0D39" w14:textId="77777777" w:rsidR="000B266B" w:rsidRPr="00A16C9B" w:rsidRDefault="000B266B" w:rsidP="0041700E">
      <w:pPr>
        <w:pStyle w:val="TableFooter"/>
        <w:widowControl/>
      </w:pPr>
      <w:r w:rsidRPr="00A16C9B">
        <w:t>EQ-5D VAS = EuroQoL-5 Dimension Visual Analogue Scale</w:t>
      </w:r>
    </w:p>
    <w:p w14:paraId="5999F9F4" w14:textId="77777777" w:rsidR="000B266B" w:rsidRPr="00A16C9B" w:rsidRDefault="000B266B" w:rsidP="0041700E">
      <w:pPr>
        <w:pStyle w:val="TableFooter"/>
        <w:widowControl/>
        <w:spacing w:after="120"/>
      </w:pPr>
      <w:r w:rsidRPr="4904BCD2">
        <w:t xml:space="preserve">Note: </w:t>
      </w:r>
      <w:r w:rsidRPr="4904BCD2">
        <w:rPr>
          <w:shd w:val="clear" w:color="auto" w:fill="BDD6EE" w:themeFill="accent1" w:themeFillTint="66"/>
        </w:rPr>
        <w:t>Blue</w:t>
      </w:r>
      <w:r w:rsidRPr="4904BCD2">
        <w:t xml:space="preserve"> shading denotes reports used in the previous submission</w:t>
      </w:r>
    </w:p>
    <w:p w14:paraId="0316F2F8" w14:textId="77777777" w:rsidR="000B266B" w:rsidRPr="00A16C9B" w:rsidRDefault="000B266B" w:rsidP="0041700E">
      <w:pPr>
        <w:pStyle w:val="3-BodyText"/>
        <w:spacing w:before="120" w:after="120"/>
      </w:pPr>
      <w:r w:rsidRPr="00A16C9B">
        <w:t>The key features of the direct randomised trial are summarised in the table below.</w:t>
      </w:r>
    </w:p>
    <w:p w14:paraId="2273B8BC" w14:textId="261C311D" w:rsidR="000B266B" w:rsidRPr="00A16C9B" w:rsidRDefault="000B266B" w:rsidP="0041700E">
      <w:pPr>
        <w:pStyle w:val="TableFigureHeading"/>
        <w:rPr>
          <w:i/>
        </w:rPr>
      </w:pPr>
      <w:r w:rsidRPr="00A16C9B">
        <w:t xml:space="preserve">Table </w:t>
      </w:r>
      <w:r w:rsidRPr="00A16C9B">
        <w:rPr>
          <w:i/>
        </w:rPr>
        <w:fldChar w:fldCharType="begin"/>
      </w:r>
      <w:r w:rsidRPr="00A16C9B">
        <w:instrText xml:space="preserve"> SEQ Table_PBAC. \* ARABIC </w:instrText>
      </w:r>
      <w:r w:rsidRPr="00A16C9B">
        <w:rPr>
          <w:i/>
        </w:rPr>
        <w:fldChar w:fldCharType="separate"/>
      </w:r>
      <w:r w:rsidR="007848CD">
        <w:rPr>
          <w:noProof/>
        </w:rPr>
        <w:t>6</w:t>
      </w:r>
      <w:r w:rsidRPr="00A16C9B">
        <w:rPr>
          <w:i/>
          <w:noProof/>
        </w:rPr>
        <w:fldChar w:fldCharType="end"/>
      </w:r>
      <w:r>
        <w:rPr>
          <w:iCs/>
          <w:noProof/>
        </w:rPr>
        <w:t>:</w:t>
      </w:r>
      <w:r w:rsidRPr="00A16C9B">
        <w:t xml:space="preserve"> Key features of the included evidence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6: Key features of the included evidence "/>
      </w:tblPr>
      <w:tblGrid>
        <w:gridCol w:w="1048"/>
        <w:gridCol w:w="862"/>
        <w:gridCol w:w="1230"/>
        <w:gridCol w:w="1782"/>
        <w:gridCol w:w="2680"/>
        <w:gridCol w:w="1414"/>
      </w:tblGrid>
      <w:tr w:rsidR="000B266B" w:rsidRPr="00A16C9B" w14:paraId="57881809" w14:textId="77777777" w:rsidTr="00B678E8">
        <w:tc>
          <w:tcPr>
            <w:tcW w:w="582"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4C82D752" w14:textId="77777777" w:rsidR="000B266B" w:rsidRPr="00A16C9B" w:rsidRDefault="000B266B" w:rsidP="0041700E">
            <w:pPr>
              <w:pStyle w:val="In-tableHeading"/>
            </w:pPr>
            <w:r w:rsidRPr="00A16C9B">
              <w:t>Trial</w:t>
            </w:r>
          </w:p>
        </w:tc>
        <w:tc>
          <w:tcPr>
            <w:tcW w:w="478"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528B3928" w14:textId="77777777" w:rsidR="000B266B" w:rsidRPr="00A16C9B" w:rsidRDefault="000B266B" w:rsidP="0041700E">
            <w:pPr>
              <w:pStyle w:val="In-tableHeading"/>
            </w:pPr>
            <w:r w:rsidRPr="00A16C9B">
              <w:t>N</w:t>
            </w:r>
          </w:p>
        </w:tc>
        <w:tc>
          <w:tcPr>
            <w:tcW w:w="682"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421CA19A" w14:textId="77777777" w:rsidR="000B266B" w:rsidRPr="00A16C9B" w:rsidRDefault="000B266B" w:rsidP="0041700E">
            <w:pPr>
              <w:pStyle w:val="In-tableHeading"/>
            </w:pPr>
            <w:r w:rsidRPr="00A16C9B">
              <w:t>Design/ duration</w:t>
            </w:r>
          </w:p>
        </w:tc>
        <w:tc>
          <w:tcPr>
            <w:tcW w:w="988"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5F706444" w14:textId="77777777" w:rsidR="000B266B" w:rsidRPr="00A16C9B" w:rsidRDefault="000B266B" w:rsidP="0041700E">
            <w:pPr>
              <w:pStyle w:val="In-tableHeading"/>
            </w:pPr>
            <w:r w:rsidRPr="00A16C9B">
              <w:t>Patient population</w:t>
            </w:r>
          </w:p>
        </w:tc>
        <w:tc>
          <w:tcPr>
            <w:tcW w:w="1486"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75C35DF1" w14:textId="77777777" w:rsidR="000B266B" w:rsidRPr="00A16C9B" w:rsidRDefault="000B266B" w:rsidP="0041700E">
            <w:pPr>
              <w:pStyle w:val="In-tableHeading"/>
            </w:pPr>
            <w:r w:rsidRPr="00A16C9B">
              <w:t>Outcome(s)</w:t>
            </w:r>
          </w:p>
        </w:tc>
        <w:tc>
          <w:tcPr>
            <w:tcW w:w="783"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62F7CD33" w14:textId="77777777" w:rsidR="000B266B" w:rsidRPr="00A16C9B" w:rsidRDefault="000B266B" w:rsidP="0041700E">
            <w:pPr>
              <w:pStyle w:val="In-tableHeading"/>
            </w:pPr>
            <w:r w:rsidRPr="00A16C9B">
              <w:t>Use in modelled evaluation</w:t>
            </w:r>
          </w:p>
        </w:tc>
      </w:tr>
      <w:tr w:rsidR="000B266B" w:rsidRPr="00A16C9B" w14:paraId="26448402" w14:textId="77777777" w:rsidTr="00B678E8">
        <w:tc>
          <w:tcPr>
            <w:tcW w:w="5000" w:type="pct"/>
            <w:gridSpan w:val="6"/>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B0EEA70" w14:textId="77777777" w:rsidR="000B266B" w:rsidRPr="00A16C9B" w:rsidRDefault="000B266B" w:rsidP="0041700E">
            <w:pPr>
              <w:pStyle w:val="TableText"/>
              <w:rPr>
                <w:b/>
                <w:bCs w:val="0"/>
              </w:rPr>
            </w:pPr>
            <w:r w:rsidRPr="37C20EEE">
              <w:rPr>
                <w:b/>
              </w:rPr>
              <w:t>Bulevirtide versus symptom management of CHD</w:t>
            </w:r>
          </w:p>
        </w:tc>
      </w:tr>
      <w:tr w:rsidR="000B266B" w:rsidRPr="00A16C9B" w14:paraId="5DEBC9EE" w14:textId="77777777" w:rsidTr="00B678E8">
        <w:tc>
          <w:tcPr>
            <w:tcW w:w="582"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D8918D8" w14:textId="77777777" w:rsidR="000B266B" w:rsidRPr="00A16C9B" w:rsidRDefault="000B266B" w:rsidP="0041700E">
            <w:pPr>
              <w:pStyle w:val="TableText"/>
            </w:pPr>
            <w:r w:rsidRPr="00A16C9B">
              <w:t>MYR301</w:t>
            </w:r>
          </w:p>
        </w:tc>
        <w:tc>
          <w:tcPr>
            <w:tcW w:w="478"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F8AE152" w14:textId="77777777" w:rsidR="000B266B" w:rsidRPr="00A16C9B" w:rsidRDefault="000B266B" w:rsidP="0041700E">
            <w:pPr>
              <w:pStyle w:val="TableText"/>
              <w:rPr>
                <w:vertAlign w:val="superscript"/>
              </w:rPr>
            </w:pPr>
            <w:r w:rsidRPr="00A16C9B">
              <w:t>150</w:t>
            </w:r>
            <w:r w:rsidRPr="00A16C9B">
              <w:rPr>
                <w:vertAlign w:val="superscript"/>
              </w:rPr>
              <w:t>a</w:t>
            </w:r>
          </w:p>
        </w:tc>
        <w:tc>
          <w:tcPr>
            <w:tcW w:w="682"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DF2F23D" w14:textId="77777777" w:rsidR="000B266B" w:rsidRPr="00A16C9B" w:rsidRDefault="000B266B" w:rsidP="0041700E">
            <w:pPr>
              <w:pStyle w:val="TableText"/>
            </w:pPr>
            <w:r w:rsidRPr="00A16C9B">
              <w:t>R, MC, OL</w:t>
            </w:r>
          </w:p>
          <w:p w14:paraId="3C43D3EB" w14:textId="77777777" w:rsidR="000B266B" w:rsidRPr="00A16C9B" w:rsidRDefault="000B266B" w:rsidP="0041700E">
            <w:pPr>
              <w:pStyle w:val="TableText"/>
            </w:pPr>
            <w:r w:rsidRPr="00A16C9B">
              <w:t xml:space="preserve">Trial duration: </w:t>
            </w:r>
            <w:r w:rsidRPr="00A16C9B">
              <w:rPr>
                <w:shd w:val="clear" w:color="auto" w:fill="FFFFFF" w:themeFill="background1"/>
              </w:rPr>
              <w:t>144</w:t>
            </w:r>
            <w:r w:rsidRPr="00A16C9B">
              <w:t xml:space="preserve"> </w:t>
            </w:r>
            <w:r w:rsidRPr="00A16C9B">
              <w:rPr>
                <w:shd w:val="clear" w:color="auto" w:fill="FFFFFF" w:themeFill="background1"/>
              </w:rPr>
              <w:t>weeks</w:t>
            </w:r>
          </w:p>
          <w:p w14:paraId="1125BC56" w14:textId="77777777" w:rsidR="000B266B" w:rsidRPr="00A16C9B" w:rsidRDefault="000B266B" w:rsidP="0041700E">
            <w:pPr>
              <w:pStyle w:val="TableText"/>
            </w:pPr>
          </w:p>
        </w:tc>
        <w:tc>
          <w:tcPr>
            <w:tcW w:w="988"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FB6DA2C" w14:textId="77777777" w:rsidR="000B266B" w:rsidRPr="00A16C9B" w:rsidRDefault="000B266B" w:rsidP="0041700E">
            <w:pPr>
              <w:pStyle w:val="TableText"/>
            </w:pPr>
            <w:r w:rsidRPr="00A16C9B">
              <w:t>Patient with CHD, compensated liver disease, positive HDV RNA detected PCR and elevated serum ALT level</w:t>
            </w:r>
          </w:p>
        </w:tc>
        <w:tc>
          <w:tcPr>
            <w:tcW w:w="1486"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4DCCD42" w14:textId="77777777" w:rsidR="000B266B" w:rsidRPr="00A16C9B" w:rsidRDefault="000B266B" w:rsidP="0041700E">
            <w:pPr>
              <w:pStyle w:val="TableText"/>
            </w:pPr>
            <w:r w:rsidRPr="4904BCD2">
              <w:t>Primary efficacy endpoint: combined response defined as virological response</w:t>
            </w:r>
            <w:r w:rsidRPr="4904BCD2">
              <w:rPr>
                <w:vertAlign w:val="superscript"/>
              </w:rPr>
              <w:t xml:space="preserve">b </w:t>
            </w:r>
            <w:r w:rsidRPr="4904BCD2">
              <w:t>and ALT normalisation</w:t>
            </w:r>
          </w:p>
          <w:p w14:paraId="35BB3FCF" w14:textId="77777777" w:rsidR="000B266B" w:rsidRPr="00A16C9B" w:rsidRDefault="000B266B" w:rsidP="0041700E">
            <w:pPr>
              <w:pStyle w:val="TableText"/>
            </w:pPr>
            <w:r w:rsidRPr="00A16C9B">
              <w:t>Key secondary and exploratory efficacy endpoints:</w:t>
            </w:r>
          </w:p>
          <w:p w14:paraId="6B8BB214" w14:textId="77777777" w:rsidR="000B266B" w:rsidRPr="00A16C9B" w:rsidRDefault="000B266B" w:rsidP="0041700E">
            <w:pPr>
              <w:pStyle w:val="TableText"/>
              <w:numPr>
                <w:ilvl w:val="0"/>
                <w:numId w:val="15"/>
              </w:numPr>
              <w:ind w:left="403" w:hanging="317"/>
            </w:pPr>
            <w:r w:rsidRPr="00A16C9B">
              <w:t>Undetectable HDV RNA</w:t>
            </w:r>
          </w:p>
          <w:p w14:paraId="693B86D9" w14:textId="77777777" w:rsidR="000B266B" w:rsidRPr="00A16C9B" w:rsidRDefault="000B266B" w:rsidP="0041700E">
            <w:pPr>
              <w:pStyle w:val="TableText"/>
              <w:numPr>
                <w:ilvl w:val="0"/>
                <w:numId w:val="15"/>
              </w:numPr>
              <w:ind w:left="403" w:hanging="317"/>
              <w:rPr>
                <w:vertAlign w:val="superscript"/>
              </w:rPr>
            </w:pPr>
            <w:r w:rsidRPr="4904BCD2">
              <w:t>Virological response</w:t>
            </w:r>
            <w:r w:rsidRPr="4904BCD2">
              <w:rPr>
                <w:vertAlign w:val="superscript"/>
              </w:rPr>
              <w:t>b</w:t>
            </w:r>
          </w:p>
          <w:p w14:paraId="2BB12E17" w14:textId="77777777" w:rsidR="000B266B" w:rsidRPr="00A16C9B" w:rsidRDefault="000B266B" w:rsidP="0041700E">
            <w:pPr>
              <w:pStyle w:val="TableText"/>
              <w:numPr>
                <w:ilvl w:val="0"/>
                <w:numId w:val="15"/>
              </w:numPr>
              <w:ind w:left="403" w:hanging="317"/>
            </w:pPr>
            <w:r w:rsidRPr="00A16C9B">
              <w:t xml:space="preserve">ALT normalisation </w:t>
            </w:r>
          </w:p>
          <w:p w14:paraId="4741FA7A" w14:textId="77777777" w:rsidR="000B266B" w:rsidRPr="00A16C9B" w:rsidRDefault="000B266B" w:rsidP="0041700E">
            <w:pPr>
              <w:pStyle w:val="TableText"/>
              <w:numPr>
                <w:ilvl w:val="0"/>
                <w:numId w:val="15"/>
              </w:numPr>
              <w:ind w:left="403" w:hanging="317"/>
            </w:pPr>
            <w:r w:rsidRPr="00A16C9B">
              <w:t xml:space="preserve">Change from baseline in liver stiffness as measured by elastography </w:t>
            </w:r>
          </w:p>
          <w:p w14:paraId="4932F728" w14:textId="77777777" w:rsidR="000B266B" w:rsidRPr="00A16C9B" w:rsidRDefault="000B266B" w:rsidP="0041700E">
            <w:pPr>
              <w:pStyle w:val="TableText"/>
            </w:pPr>
            <w:r w:rsidRPr="00A16C9B">
              <w:t>Quality of life outcomes: EQ-5D, FSS and HQLQ</w:t>
            </w:r>
          </w:p>
          <w:p w14:paraId="43409565" w14:textId="77777777" w:rsidR="000B266B" w:rsidRPr="00A16C9B" w:rsidRDefault="000B266B" w:rsidP="0041700E">
            <w:pPr>
              <w:pStyle w:val="TableText"/>
            </w:pPr>
          </w:p>
          <w:p w14:paraId="1FB011B2" w14:textId="77777777" w:rsidR="000B266B" w:rsidRPr="00A16C9B" w:rsidRDefault="000B266B" w:rsidP="0041700E">
            <w:pPr>
              <w:pStyle w:val="TableText"/>
            </w:pPr>
            <w:r w:rsidRPr="00A16C9B">
              <w:t>Key safety outcomes: TEAEs</w:t>
            </w:r>
          </w:p>
        </w:tc>
        <w:tc>
          <w:tcPr>
            <w:tcW w:w="783"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0A39083" w14:textId="77777777" w:rsidR="000B266B" w:rsidRPr="00A16C9B" w:rsidRDefault="000B266B" w:rsidP="0041700E">
            <w:pPr>
              <w:pStyle w:val="TableText"/>
            </w:pPr>
            <w:r w:rsidRPr="4904BCD2">
              <w:t>Virological response</w:t>
            </w:r>
            <w:r w:rsidRPr="4904BCD2">
              <w:rPr>
                <w:vertAlign w:val="superscript"/>
              </w:rPr>
              <w:t>b</w:t>
            </w:r>
            <w:r w:rsidRPr="4904BCD2">
              <w:t xml:space="preserve">, EQ-5D, and ≥ Grade 3 TEAEs, </w:t>
            </w:r>
            <w:r w:rsidRPr="4904BCD2">
              <w:rPr>
                <w:shd w:val="clear" w:color="auto" w:fill="FFFFFF" w:themeFill="background1"/>
              </w:rPr>
              <w:t>up to week 144</w:t>
            </w:r>
          </w:p>
        </w:tc>
      </w:tr>
    </w:tbl>
    <w:p w14:paraId="39AE8F38" w14:textId="77777777" w:rsidR="000B266B" w:rsidRPr="00A16C9B" w:rsidRDefault="000B266B" w:rsidP="0041700E">
      <w:pPr>
        <w:pStyle w:val="TableFooter"/>
        <w:widowControl/>
      </w:pPr>
      <w:r w:rsidRPr="00A16C9B">
        <w:t>Source: developed during the evaluation</w:t>
      </w:r>
    </w:p>
    <w:p w14:paraId="78B9366D" w14:textId="77777777" w:rsidR="000B266B" w:rsidRPr="00A16C9B" w:rsidRDefault="000B266B" w:rsidP="0041700E">
      <w:pPr>
        <w:pStyle w:val="TableFooter"/>
        <w:widowControl/>
      </w:pPr>
      <w:r w:rsidRPr="4904BCD2">
        <w:t xml:space="preserve">ALT = alanine aminotransferase; CHD = chronic hepatitis D; </w:t>
      </w:r>
      <w:r w:rsidRPr="4904BCD2">
        <w:rPr>
          <w:rFonts w:cstheme="minorBidi"/>
        </w:rPr>
        <w:t>FSS = Fatigue Severity Scale</w:t>
      </w:r>
      <w:r w:rsidRPr="4904BCD2">
        <w:t xml:space="preserve">; HDV = hepatitis D virus; </w:t>
      </w:r>
      <w:r w:rsidRPr="4904BCD2">
        <w:rPr>
          <w:rFonts w:cstheme="minorBidi"/>
        </w:rPr>
        <w:t>HQLQ = Hepatitis Quality of Life Questionnaire</w:t>
      </w:r>
      <w:r w:rsidRPr="4904BCD2">
        <w:t>; LLoD = lower limit of detection; MC = multi-centre; OL= open label; PCR = polymerase chain reaction; R = randomised; RNA = ribonucleic acid; TEAEs = treatment emergent adverse events</w:t>
      </w:r>
    </w:p>
    <w:p w14:paraId="7469E0B1" w14:textId="77777777" w:rsidR="000B266B" w:rsidRPr="00A16C9B" w:rsidRDefault="000B266B" w:rsidP="0041700E">
      <w:pPr>
        <w:pStyle w:val="TableFooter"/>
        <w:widowControl/>
      </w:pPr>
      <w:r w:rsidRPr="4904BCD2">
        <w:rPr>
          <w:vertAlign w:val="superscript"/>
        </w:rPr>
        <w:t xml:space="preserve">a </w:t>
      </w:r>
      <w:r w:rsidRPr="4904BCD2">
        <w:t xml:space="preserve">Of the 150 patients randomised, 50 patients were randomised into bulevirtide 10 mg treatment group. As a daily dose of bulevirtide 10 mg is not the recommended dosing regimen, the results from this treatment arm were not presented in the Commentary. </w:t>
      </w:r>
    </w:p>
    <w:p w14:paraId="1CDDD220" w14:textId="77777777" w:rsidR="000B266B" w:rsidRPr="00A16C9B" w:rsidRDefault="000B266B" w:rsidP="0041700E">
      <w:pPr>
        <w:pStyle w:val="TableFooter"/>
        <w:widowControl/>
      </w:pPr>
      <w:r w:rsidRPr="4904BCD2">
        <w:rPr>
          <w:vertAlign w:val="superscript"/>
        </w:rPr>
        <w:t xml:space="preserve">b </w:t>
      </w:r>
      <w:r w:rsidRPr="4904BCD2">
        <w:t>Virological response was defined as undetectable HDV RNA (HDV RNA &lt; lower limit of detection - LLoD) or decrease in HDV RNA by ≥ 2 log</w:t>
      </w:r>
      <w:r w:rsidRPr="4904BCD2">
        <w:rPr>
          <w:vertAlign w:val="subscript"/>
        </w:rPr>
        <w:t>10</w:t>
      </w:r>
      <w:r w:rsidRPr="4904BCD2">
        <w:t xml:space="preserve"> IU/ml from baseline</w:t>
      </w:r>
    </w:p>
    <w:p w14:paraId="04D2D7CA" w14:textId="77777777" w:rsidR="000B266B" w:rsidRPr="00FD70DE" w:rsidRDefault="000B266B" w:rsidP="0041700E">
      <w:pPr>
        <w:pStyle w:val="TableFooter"/>
        <w:widowControl/>
        <w:spacing w:after="120"/>
      </w:pPr>
      <w:r w:rsidRPr="4904BCD2">
        <w:t xml:space="preserve">Note: </w:t>
      </w:r>
      <w:r w:rsidRPr="4904BCD2">
        <w:rPr>
          <w:shd w:val="clear" w:color="auto" w:fill="BDD6EE" w:themeFill="accent1" w:themeFillTint="66"/>
        </w:rPr>
        <w:t>Blue</w:t>
      </w:r>
      <w:r w:rsidRPr="4904BCD2">
        <w:t xml:space="preserve"> shading denotes features unchanged from the previous submission.</w:t>
      </w:r>
    </w:p>
    <w:p w14:paraId="27AD22C5" w14:textId="77777777" w:rsidR="000B266B" w:rsidRPr="00FD70DE" w:rsidRDefault="000B266B" w:rsidP="0041700E">
      <w:pPr>
        <w:pStyle w:val="4-SubsectionHeading"/>
        <w:rPr>
          <w:rFonts w:cstheme="minorHAnsi"/>
        </w:rPr>
      </w:pPr>
      <w:bookmarkStart w:id="27" w:name="_Toc188360797"/>
      <w:r w:rsidRPr="00F50184">
        <w:t>Comparative effectiveness</w:t>
      </w:r>
      <w:bookmarkEnd w:id="27"/>
    </w:p>
    <w:p w14:paraId="381BB6DC" w14:textId="77777777" w:rsidR="000B266B" w:rsidRPr="00A16C9B" w:rsidRDefault="000B266B" w:rsidP="0041700E">
      <w:pPr>
        <w:pStyle w:val="3-BodyText"/>
        <w:spacing w:before="120" w:after="120"/>
      </w:pPr>
      <w:r w:rsidRPr="37C20EEE">
        <w:t>A summary of the MYR301 trial results in patients in the bulevirtide 2</w:t>
      </w:r>
      <w:r>
        <w:t> </w:t>
      </w:r>
      <w:r w:rsidRPr="37C20EEE">
        <w:t>mg treatment arm and in the delayed treatment arm is provided in the table below. As patients in the delayed treatment arm were switched to bulevirtide 10 mg at Week 48, data at Week 96 and Week 144 for this treatment arm, and the differences between the bulevirtide 2 mg arm and the delayed treatment arm at these two data cut-off timepoints, are not presented.</w:t>
      </w:r>
    </w:p>
    <w:p w14:paraId="1A42E0DA" w14:textId="10F91335" w:rsidR="000B266B" w:rsidRPr="00A16C9B" w:rsidRDefault="000B266B" w:rsidP="0041700E">
      <w:pPr>
        <w:pStyle w:val="TableFigureHeading"/>
        <w:rPr>
          <w:i/>
        </w:rPr>
      </w:pPr>
      <w:bookmarkStart w:id="28" w:name="_Ref497116463"/>
      <w:bookmarkStart w:id="29" w:name="_Toc487029168"/>
      <w:bookmarkStart w:id="30" w:name="_Toc433202796"/>
      <w:r w:rsidRPr="00A16C9B">
        <w:lastRenderedPageBreak/>
        <w:t xml:space="preserve">Table </w:t>
      </w:r>
      <w:r w:rsidRPr="00A16C9B">
        <w:rPr>
          <w:i/>
        </w:rPr>
        <w:fldChar w:fldCharType="begin"/>
      </w:r>
      <w:r w:rsidRPr="00A16C9B">
        <w:instrText xml:space="preserve"> SEQ Table_PBAC. \* ARABIC </w:instrText>
      </w:r>
      <w:r w:rsidRPr="00A16C9B">
        <w:rPr>
          <w:i/>
        </w:rPr>
        <w:fldChar w:fldCharType="separate"/>
      </w:r>
      <w:r w:rsidR="007848CD">
        <w:rPr>
          <w:noProof/>
        </w:rPr>
        <w:t>7</w:t>
      </w:r>
      <w:r w:rsidRPr="00A16C9B">
        <w:rPr>
          <w:i/>
          <w:noProof/>
        </w:rPr>
        <w:fldChar w:fldCharType="end"/>
      </w:r>
      <w:bookmarkEnd w:id="28"/>
      <w:r>
        <w:rPr>
          <w:iCs/>
          <w:noProof/>
        </w:rPr>
        <w:t>:</w:t>
      </w:r>
      <w:r>
        <w:t xml:space="preserve"> </w:t>
      </w:r>
      <w:r w:rsidRPr="00A16C9B">
        <w:t>Key efficacy results reported in the MYR301 trial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7: Key efficacy results reported in the MYR301 trial"/>
      </w:tblPr>
      <w:tblGrid>
        <w:gridCol w:w="1271"/>
        <w:gridCol w:w="3124"/>
        <w:gridCol w:w="2121"/>
        <w:gridCol w:w="2364"/>
      </w:tblGrid>
      <w:tr w:rsidR="000B266B" w:rsidRPr="00A16C9B" w14:paraId="7A4A1777" w14:textId="77777777" w:rsidTr="00B678E8">
        <w:trPr>
          <w:jc w:val="center"/>
        </w:trPr>
        <w:tc>
          <w:tcPr>
            <w:tcW w:w="4395" w:type="dxa"/>
            <w:gridSpan w:val="2"/>
            <w:tcBorders>
              <w:top w:val="single" w:sz="4" w:space="0" w:color="auto"/>
              <w:left w:val="single" w:sz="4" w:space="0" w:color="auto"/>
              <w:bottom w:val="single" w:sz="4" w:space="0" w:color="auto"/>
              <w:right w:val="single" w:sz="4" w:space="0" w:color="auto"/>
            </w:tcBorders>
            <w:vAlign w:val="bottom"/>
            <w:hideMark/>
          </w:tcPr>
          <w:p w14:paraId="12B8D740" w14:textId="77777777" w:rsidR="000B266B" w:rsidRPr="00A16C9B" w:rsidRDefault="000B266B" w:rsidP="0041700E">
            <w:pPr>
              <w:pStyle w:val="TableText"/>
              <w:jc w:val="center"/>
              <w:rPr>
                <w:b/>
                <w:bCs w:val="0"/>
              </w:rPr>
            </w:pPr>
            <w:bookmarkStart w:id="31" w:name="_Hlk184379700"/>
            <w:r w:rsidRPr="00A16C9B">
              <w:rPr>
                <w:b/>
              </w:rPr>
              <w:t>Endpoint</w:t>
            </w:r>
          </w:p>
        </w:tc>
        <w:tc>
          <w:tcPr>
            <w:tcW w:w="2121" w:type="dxa"/>
            <w:tcBorders>
              <w:top w:val="single" w:sz="4" w:space="0" w:color="auto"/>
              <w:left w:val="single" w:sz="4" w:space="0" w:color="auto"/>
              <w:bottom w:val="single" w:sz="4" w:space="0" w:color="auto"/>
              <w:right w:val="single" w:sz="4" w:space="0" w:color="auto"/>
            </w:tcBorders>
            <w:vAlign w:val="center"/>
            <w:hideMark/>
          </w:tcPr>
          <w:p w14:paraId="582673BC" w14:textId="77777777" w:rsidR="000B266B" w:rsidRPr="00A16C9B" w:rsidRDefault="000B266B" w:rsidP="0041700E">
            <w:pPr>
              <w:pStyle w:val="TableText"/>
              <w:rPr>
                <w:b/>
                <w:bCs w:val="0"/>
              </w:rPr>
            </w:pPr>
            <w:r w:rsidRPr="37C20EEE">
              <w:rPr>
                <w:b/>
              </w:rPr>
              <w:t>Bulevirtide 2 mg (N=49)</w:t>
            </w:r>
          </w:p>
        </w:tc>
        <w:tc>
          <w:tcPr>
            <w:tcW w:w="2364" w:type="dxa"/>
            <w:tcBorders>
              <w:top w:val="single" w:sz="4" w:space="0" w:color="auto"/>
              <w:left w:val="single" w:sz="4" w:space="0" w:color="auto"/>
              <w:bottom w:val="single" w:sz="4" w:space="0" w:color="auto"/>
              <w:right w:val="single" w:sz="4" w:space="0" w:color="auto"/>
            </w:tcBorders>
            <w:vAlign w:val="center"/>
            <w:hideMark/>
          </w:tcPr>
          <w:p w14:paraId="5632EA0F" w14:textId="77777777" w:rsidR="000B266B" w:rsidRPr="00A16C9B" w:rsidRDefault="000B266B" w:rsidP="0041700E">
            <w:pPr>
              <w:pStyle w:val="TableText"/>
              <w:rPr>
                <w:b/>
                <w:bCs w:val="0"/>
              </w:rPr>
            </w:pPr>
            <w:r w:rsidRPr="00A16C9B">
              <w:rPr>
                <w:b/>
              </w:rPr>
              <w:t>Delayed treatment (N=51)</w:t>
            </w:r>
          </w:p>
        </w:tc>
      </w:tr>
      <w:tr w:rsidR="000B266B" w:rsidRPr="00A16C9B" w14:paraId="6CBE7993" w14:textId="77777777" w:rsidTr="00B678E8">
        <w:trPr>
          <w:trHeight w:val="210"/>
          <w:jc w:val="center"/>
        </w:trPr>
        <w:tc>
          <w:tcPr>
            <w:tcW w:w="1271" w:type="dxa"/>
            <w:vMerge w:val="restart"/>
            <w:tcBorders>
              <w:top w:val="single" w:sz="4" w:space="0" w:color="auto"/>
              <w:left w:val="single" w:sz="4" w:space="0" w:color="auto"/>
              <w:right w:val="single" w:sz="4" w:space="0" w:color="auto"/>
            </w:tcBorders>
            <w:hideMark/>
          </w:tcPr>
          <w:p w14:paraId="07731E27" w14:textId="77777777" w:rsidR="000B266B" w:rsidRPr="00A16C9B" w:rsidRDefault="000B266B" w:rsidP="0041700E">
            <w:pPr>
              <w:pStyle w:val="TableText"/>
              <w:ind w:left="-57" w:right="-57"/>
              <w:rPr>
                <w:vertAlign w:val="superscript"/>
              </w:rPr>
            </w:pPr>
            <w:r w:rsidRPr="4904BCD2">
              <w:t>Combined response</w:t>
            </w:r>
            <w:r w:rsidRPr="4904BCD2">
              <w:rPr>
                <w:vertAlign w:val="superscript"/>
              </w:rPr>
              <w:t>a</w:t>
            </w:r>
          </w:p>
        </w:tc>
        <w:tc>
          <w:tcPr>
            <w:tcW w:w="7609"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5883A0" w14:textId="77777777" w:rsidR="000B266B" w:rsidRPr="00A16C9B" w:rsidRDefault="000B266B" w:rsidP="0041700E">
            <w:pPr>
              <w:pStyle w:val="TableText"/>
              <w:jc w:val="center"/>
            </w:pPr>
            <w:r w:rsidRPr="00A16C9B">
              <w:t>Week 48 (primary endpoint)</w:t>
            </w:r>
          </w:p>
        </w:tc>
      </w:tr>
      <w:tr w:rsidR="000B266B" w:rsidRPr="00A16C9B" w14:paraId="7445A6B4" w14:textId="77777777" w:rsidTr="00B678E8">
        <w:trPr>
          <w:jc w:val="center"/>
        </w:trPr>
        <w:tc>
          <w:tcPr>
            <w:tcW w:w="1271" w:type="dxa"/>
            <w:vMerge/>
            <w:hideMark/>
          </w:tcPr>
          <w:p w14:paraId="624ADE2F" w14:textId="77777777" w:rsidR="000B266B" w:rsidRPr="00A16C9B" w:rsidRDefault="000B266B" w:rsidP="0041700E">
            <w:pPr>
              <w:pStyle w:val="TableText"/>
              <w:ind w:left="-57" w:right="-57"/>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3A8C8F" w14:textId="77777777" w:rsidR="000B266B" w:rsidRPr="00A16C9B" w:rsidRDefault="000B266B" w:rsidP="0041700E">
            <w:pPr>
              <w:pStyle w:val="TableText"/>
            </w:pPr>
            <w:r w:rsidRPr="00A16C9B">
              <w:t>Number of responders</w:t>
            </w:r>
          </w:p>
        </w:tc>
        <w:tc>
          <w:tcPr>
            <w:tcW w:w="212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A2F41D5" w14:textId="77777777" w:rsidR="000B266B" w:rsidRPr="00A16C9B" w:rsidRDefault="000B266B" w:rsidP="0041700E">
            <w:pPr>
              <w:pStyle w:val="TableText"/>
              <w:jc w:val="center"/>
            </w:pPr>
            <w:r w:rsidRPr="00A16C9B">
              <w:t>22</w:t>
            </w:r>
          </w:p>
        </w:tc>
        <w:tc>
          <w:tcPr>
            <w:tcW w:w="236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1FD7A33" w14:textId="77777777" w:rsidR="000B266B" w:rsidRPr="00A16C9B" w:rsidRDefault="000B266B" w:rsidP="0041700E">
            <w:pPr>
              <w:pStyle w:val="TableText"/>
              <w:jc w:val="center"/>
            </w:pPr>
            <w:r w:rsidRPr="00A16C9B">
              <w:t>1</w:t>
            </w:r>
          </w:p>
        </w:tc>
      </w:tr>
      <w:tr w:rsidR="000B266B" w:rsidRPr="00A16C9B" w14:paraId="7E9E127F" w14:textId="77777777" w:rsidTr="00B678E8">
        <w:trPr>
          <w:jc w:val="center"/>
        </w:trPr>
        <w:tc>
          <w:tcPr>
            <w:tcW w:w="1271" w:type="dxa"/>
            <w:vMerge/>
            <w:hideMark/>
          </w:tcPr>
          <w:p w14:paraId="2F193FBB" w14:textId="77777777" w:rsidR="000B266B" w:rsidRPr="00A16C9B" w:rsidRDefault="000B266B" w:rsidP="0041700E">
            <w:pPr>
              <w:pStyle w:val="TableText"/>
              <w:ind w:left="-57" w:right="-57"/>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AEA88B" w14:textId="77777777" w:rsidR="000B266B" w:rsidRPr="00A16C9B" w:rsidRDefault="000B266B" w:rsidP="0041700E">
            <w:pPr>
              <w:pStyle w:val="TableText"/>
            </w:pPr>
            <w:r w:rsidRPr="00A16C9B">
              <w:t>Proportion responders, % (95% CI)</w:t>
            </w:r>
          </w:p>
        </w:tc>
        <w:tc>
          <w:tcPr>
            <w:tcW w:w="212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584E4DE" w14:textId="77777777" w:rsidR="000B266B" w:rsidRPr="00A16C9B" w:rsidRDefault="000B266B" w:rsidP="0041700E">
            <w:pPr>
              <w:pStyle w:val="TableText"/>
              <w:jc w:val="center"/>
            </w:pPr>
            <w:r w:rsidRPr="00A16C9B">
              <w:t>44.9 (30.7, 59.8)</w:t>
            </w:r>
          </w:p>
        </w:tc>
        <w:tc>
          <w:tcPr>
            <w:tcW w:w="236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64CE29A" w14:textId="77777777" w:rsidR="000B266B" w:rsidRPr="00A16C9B" w:rsidRDefault="000B266B" w:rsidP="0041700E">
            <w:pPr>
              <w:pStyle w:val="TableText"/>
              <w:jc w:val="center"/>
            </w:pPr>
            <w:r w:rsidRPr="00A16C9B">
              <w:t>2.0 (0.0, 10.4)</w:t>
            </w:r>
          </w:p>
        </w:tc>
      </w:tr>
      <w:tr w:rsidR="000B266B" w:rsidRPr="00A16C9B" w14:paraId="72D1E0DB" w14:textId="77777777" w:rsidTr="00B678E8">
        <w:trPr>
          <w:jc w:val="center"/>
        </w:trPr>
        <w:tc>
          <w:tcPr>
            <w:tcW w:w="1271" w:type="dxa"/>
            <w:vMerge/>
            <w:hideMark/>
          </w:tcPr>
          <w:p w14:paraId="1138895A" w14:textId="77777777" w:rsidR="000B266B" w:rsidRPr="00A16C9B" w:rsidRDefault="000B266B" w:rsidP="0041700E">
            <w:pPr>
              <w:pStyle w:val="TableText"/>
              <w:ind w:left="-57" w:right="-57"/>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F9F4DF" w14:textId="77777777" w:rsidR="000B266B" w:rsidRPr="00A16C9B" w:rsidRDefault="000B266B" w:rsidP="0041700E">
            <w:pPr>
              <w:pStyle w:val="TableText"/>
            </w:pPr>
            <w:r w:rsidRPr="37C20EEE">
              <w:t>Difference in proportions (96% CI) (bulevirtide 2 mg vs delayed treatment)</w:t>
            </w:r>
          </w:p>
        </w:tc>
        <w:tc>
          <w:tcPr>
            <w:tcW w:w="448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033EB2C" w14:textId="77777777" w:rsidR="000B266B" w:rsidRPr="00A16C9B" w:rsidRDefault="000B266B" w:rsidP="0041700E">
            <w:pPr>
              <w:pStyle w:val="TableText"/>
              <w:jc w:val="center"/>
            </w:pPr>
            <w:r w:rsidRPr="00A16C9B">
              <w:t>42.9 (27.0, 58.5)</w:t>
            </w:r>
          </w:p>
        </w:tc>
      </w:tr>
      <w:tr w:rsidR="000B266B" w:rsidRPr="00A16C9B" w14:paraId="1EFB98DF" w14:textId="77777777" w:rsidTr="00B678E8">
        <w:trPr>
          <w:jc w:val="center"/>
        </w:trPr>
        <w:tc>
          <w:tcPr>
            <w:tcW w:w="1271" w:type="dxa"/>
            <w:vMerge/>
          </w:tcPr>
          <w:p w14:paraId="78AC24A5" w14:textId="77777777" w:rsidR="000B266B" w:rsidRPr="00A16C9B" w:rsidRDefault="000B266B" w:rsidP="0041700E">
            <w:pPr>
              <w:pStyle w:val="TableText"/>
              <w:ind w:left="-57" w:right="-57"/>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06CE24" w14:textId="77777777" w:rsidR="000B266B" w:rsidRPr="00A16C9B" w:rsidRDefault="000B266B" w:rsidP="0041700E">
            <w:pPr>
              <w:pStyle w:val="TableText"/>
              <w:rPr>
                <w:vertAlign w:val="superscript"/>
              </w:rPr>
            </w:pPr>
            <w:r w:rsidRPr="4904BCD2">
              <w:t>p-value</w:t>
            </w:r>
            <w:r w:rsidRPr="4904BCD2">
              <w:rPr>
                <w:vertAlign w:val="superscript"/>
              </w:rPr>
              <w:t>e</w:t>
            </w:r>
          </w:p>
        </w:tc>
        <w:tc>
          <w:tcPr>
            <w:tcW w:w="448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1F3330" w14:textId="77777777" w:rsidR="000B266B" w:rsidRPr="00A16C9B" w:rsidRDefault="000B266B" w:rsidP="0041700E">
            <w:pPr>
              <w:pStyle w:val="TableText"/>
              <w:jc w:val="center"/>
            </w:pPr>
            <w:r w:rsidRPr="00A16C9B">
              <w:t>&lt;0.0001</w:t>
            </w:r>
          </w:p>
        </w:tc>
      </w:tr>
      <w:tr w:rsidR="000B266B" w:rsidRPr="00A16C9B" w14:paraId="021F20D6" w14:textId="77777777" w:rsidTr="00B678E8">
        <w:trPr>
          <w:jc w:val="center"/>
        </w:trPr>
        <w:tc>
          <w:tcPr>
            <w:tcW w:w="1271" w:type="dxa"/>
            <w:vMerge/>
          </w:tcPr>
          <w:p w14:paraId="35247416" w14:textId="77777777" w:rsidR="000B266B" w:rsidRPr="00A16C9B" w:rsidRDefault="000B266B" w:rsidP="0041700E">
            <w:pPr>
              <w:pStyle w:val="TableText"/>
              <w:ind w:left="-57" w:right="-57"/>
            </w:pPr>
          </w:p>
        </w:tc>
        <w:tc>
          <w:tcPr>
            <w:tcW w:w="7609"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8637FF" w14:textId="77777777" w:rsidR="000B266B" w:rsidRPr="00A16C9B" w:rsidRDefault="000B266B" w:rsidP="0041700E">
            <w:pPr>
              <w:pStyle w:val="TableText"/>
              <w:jc w:val="center"/>
              <w:rPr>
                <w:vertAlign w:val="superscript"/>
              </w:rPr>
            </w:pPr>
            <w:r w:rsidRPr="4904BCD2">
              <w:t>Week 96 (exploratory endpoint)</w:t>
            </w:r>
            <w:r w:rsidRPr="4904BCD2">
              <w:rPr>
                <w:vertAlign w:val="superscript"/>
              </w:rPr>
              <w:t>d</w:t>
            </w:r>
          </w:p>
        </w:tc>
      </w:tr>
      <w:tr w:rsidR="000B266B" w:rsidRPr="00A16C9B" w14:paraId="2E030F9C" w14:textId="77777777" w:rsidTr="00B678E8">
        <w:trPr>
          <w:jc w:val="center"/>
        </w:trPr>
        <w:tc>
          <w:tcPr>
            <w:tcW w:w="1271" w:type="dxa"/>
            <w:vMerge/>
          </w:tcPr>
          <w:p w14:paraId="7F3B5421" w14:textId="77777777" w:rsidR="000B266B" w:rsidRPr="00A16C9B" w:rsidRDefault="000B266B" w:rsidP="0041700E">
            <w:pPr>
              <w:pStyle w:val="TableText"/>
              <w:ind w:left="-57" w:right="-57"/>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178482" w14:textId="77777777" w:rsidR="000B266B" w:rsidRPr="00A16C9B" w:rsidRDefault="000B266B" w:rsidP="0041700E">
            <w:pPr>
              <w:pStyle w:val="TableText"/>
            </w:pPr>
            <w:r w:rsidRPr="00A16C9B">
              <w:t>Number of responders</w:t>
            </w:r>
          </w:p>
        </w:tc>
        <w:tc>
          <w:tcPr>
            <w:tcW w:w="21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4325D9" w14:textId="77777777" w:rsidR="000B266B" w:rsidRPr="00A16C9B" w:rsidRDefault="000B266B" w:rsidP="0041700E">
            <w:pPr>
              <w:pStyle w:val="TableText"/>
              <w:jc w:val="center"/>
            </w:pPr>
            <w:r w:rsidRPr="00A16C9B">
              <w:t>27</w:t>
            </w:r>
          </w:p>
        </w:tc>
        <w:tc>
          <w:tcPr>
            <w:tcW w:w="236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0FDFA1" w14:textId="77777777" w:rsidR="000B266B" w:rsidRPr="00A16C9B" w:rsidRDefault="000B266B" w:rsidP="0041700E">
            <w:pPr>
              <w:pStyle w:val="TableText"/>
              <w:jc w:val="center"/>
            </w:pPr>
            <w:r w:rsidRPr="00A16C9B">
              <w:t>n/a</w:t>
            </w:r>
          </w:p>
        </w:tc>
      </w:tr>
      <w:tr w:rsidR="000B266B" w:rsidRPr="00A16C9B" w14:paraId="2CB9F105" w14:textId="77777777" w:rsidTr="00B678E8">
        <w:trPr>
          <w:jc w:val="center"/>
        </w:trPr>
        <w:tc>
          <w:tcPr>
            <w:tcW w:w="1271" w:type="dxa"/>
            <w:vMerge/>
          </w:tcPr>
          <w:p w14:paraId="467AB1A2" w14:textId="77777777" w:rsidR="000B266B" w:rsidRPr="00A16C9B" w:rsidRDefault="000B266B" w:rsidP="0041700E">
            <w:pPr>
              <w:pStyle w:val="TableText"/>
              <w:ind w:left="-57" w:right="-57"/>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FD6525" w14:textId="77777777" w:rsidR="000B266B" w:rsidRPr="00A16C9B" w:rsidRDefault="000B266B" w:rsidP="0041700E">
            <w:pPr>
              <w:pStyle w:val="TableText"/>
            </w:pPr>
            <w:r w:rsidRPr="00A16C9B">
              <w:t>Proportion responders, % (95% CI)</w:t>
            </w:r>
          </w:p>
        </w:tc>
        <w:tc>
          <w:tcPr>
            <w:tcW w:w="21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1E3FB7" w14:textId="77777777" w:rsidR="000B266B" w:rsidRPr="00A16C9B" w:rsidRDefault="000B266B" w:rsidP="0041700E">
            <w:pPr>
              <w:pStyle w:val="TableText"/>
              <w:jc w:val="center"/>
            </w:pPr>
            <w:r w:rsidRPr="00A16C9B">
              <w:t>55.1 (40.2, 69.3)</w:t>
            </w:r>
          </w:p>
        </w:tc>
        <w:tc>
          <w:tcPr>
            <w:tcW w:w="236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7F324F" w14:textId="77777777" w:rsidR="000B266B" w:rsidRPr="00A16C9B" w:rsidRDefault="000B266B" w:rsidP="0041700E">
            <w:pPr>
              <w:pStyle w:val="TableText"/>
              <w:jc w:val="center"/>
            </w:pPr>
            <w:r w:rsidRPr="00A16C9B">
              <w:t>n/a</w:t>
            </w:r>
          </w:p>
        </w:tc>
      </w:tr>
      <w:tr w:rsidR="000B266B" w:rsidRPr="00A16C9B" w14:paraId="5DB64D33" w14:textId="77777777" w:rsidTr="00B678E8">
        <w:trPr>
          <w:jc w:val="center"/>
        </w:trPr>
        <w:tc>
          <w:tcPr>
            <w:tcW w:w="1271" w:type="dxa"/>
            <w:vMerge/>
          </w:tcPr>
          <w:p w14:paraId="74600B01" w14:textId="77777777" w:rsidR="000B266B" w:rsidRPr="00A16C9B" w:rsidRDefault="000B266B" w:rsidP="0041700E">
            <w:pPr>
              <w:pStyle w:val="TableText"/>
              <w:ind w:left="-57" w:right="-57"/>
            </w:pPr>
          </w:p>
        </w:tc>
        <w:tc>
          <w:tcPr>
            <w:tcW w:w="7609" w:type="dxa"/>
            <w:gridSpan w:val="3"/>
            <w:tcBorders>
              <w:top w:val="single" w:sz="4" w:space="0" w:color="auto"/>
              <w:left w:val="single" w:sz="4" w:space="0" w:color="auto"/>
              <w:bottom w:val="single" w:sz="4" w:space="0" w:color="auto"/>
              <w:right w:val="single" w:sz="4" w:space="0" w:color="auto"/>
            </w:tcBorders>
          </w:tcPr>
          <w:p w14:paraId="23931C6D" w14:textId="77777777" w:rsidR="000B266B" w:rsidRPr="00A16C9B" w:rsidRDefault="000B266B" w:rsidP="0041700E">
            <w:pPr>
              <w:pStyle w:val="TableText"/>
              <w:jc w:val="center"/>
              <w:rPr>
                <w:vertAlign w:val="superscript"/>
              </w:rPr>
            </w:pPr>
            <w:r w:rsidRPr="4904BCD2">
              <w:t>Week 144 (exploratory endpoint)</w:t>
            </w:r>
            <w:r w:rsidRPr="4904BCD2">
              <w:rPr>
                <w:vertAlign w:val="superscript"/>
              </w:rPr>
              <w:t>d</w:t>
            </w:r>
          </w:p>
        </w:tc>
      </w:tr>
      <w:tr w:rsidR="000B266B" w:rsidRPr="00A16C9B" w14:paraId="648F3377" w14:textId="77777777" w:rsidTr="00B678E8">
        <w:trPr>
          <w:jc w:val="center"/>
        </w:trPr>
        <w:tc>
          <w:tcPr>
            <w:tcW w:w="1271" w:type="dxa"/>
            <w:vMerge/>
          </w:tcPr>
          <w:p w14:paraId="35BC81EF" w14:textId="77777777" w:rsidR="000B266B" w:rsidRPr="00A16C9B" w:rsidRDefault="000B266B" w:rsidP="0041700E">
            <w:pPr>
              <w:pStyle w:val="TableText"/>
              <w:ind w:left="-57" w:right="-57"/>
            </w:pPr>
          </w:p>
        </w:tc>
        <w:tc>
          <w:tcPr>
            <w:tcW w:w="3124" w:type="dxa"/>
          </w:tcPr>
          <w:p w14:paraId="1BD17096" w14:textId="77777777" w:rsidR="000B266B" w:rsidRPr="00A16C9B" w:rsidRDefault="000B266B" w:rsidP="0041700E">
            <w:pPr>
              <w:pStyle w:val="TableText"/>
            </w:pPr>
            <w:r w:rsidRPr="00A16C9B">
              <w:t>Number of responders</w:t>
            </w:r>
          </w:p>
        </w:tc>
        <w:tc>
          <w:tcPr>
            <w:tcW w:w="2121" w:type="dxa"/>
          </w:tcPr>
          <w:p w14:paraId="4CD8FE43" w14:textId="77777777" w:rsidR="000B266B" w:rsidRPr="00A16C9B" w:rsidRDefault="000B266B" w:rsidP="0041700E">
            <w:pPr>
              <w:pStyle w:val="TableText"/>
              <w:jc w:val="center"/>
            </w:pPr>
            <w:r w:rsidRPr="00A16C9B">
              <w:t>28</w:t>
            </w:r>
          </w:p>
        </w:tc>
        <w:tc>
          <w:tcPr>
            <w:tcW w:w="2364" w:type="dxa"/>
          </w:tcPr>
          <w:p w14:paraId="3B9F2D07" w14:textId="77777777" w:rsidR="000B266B" w:rsidRPr="00A16C9B" w:rsidRDefault="000B266B" w:rsidP="0041700E">
            <w:pPr>
              <w:pStyle w:val="TableText"/>
              <w:jc w:val="center"/>
            </w:pPr>
            <w:r w:rsidRPr="00A16C9B">
              <w:t>n/a</w:t>
            </w:r>
          </w:p>
        </w:tc>
      </w:tr>
      <w:tr w:rsidR="000B266B" w:rsidRPr="00A16C9B" w14:paraId="279E0C9C" w14:textId="77777777" w:rsidTr="00B678E8">
        <w:trPr>
          <w:jc w:val="center"/>
        </w:trPr>
        <w:tc>
          <w:tcPr>
            <w:tcW w:w="1271" w:type="dxa"/>
            <w:vMerge/>
          </w:tcPr>
          <w:p w14:paraId="64B658D6" w14:textId="77777777" w:rsidR="000B266B" w:rsidRPr="00A16C9B" w:rsidRDefault="000B266B" w:rsidP="0041700E">
            <w:pPr>
              <w:pStyle w:val="TableText"/>
              <w:ind w:left="-57" w:right="-57"/>
            </w:pPr>
          </w:p>
        </w:tc>
        <w:tc>
          <w:tcPr>
            <w:tcW w:w="3124" w:type="dxa"/>
          </w:tcPr>
          <w:p w14:paraId="427AE634" w14:textId="77777777" w:rsidR="000B266B" w:rsidRPr="00A16C9B" w:rsidRDefault="000B266B" w:rsidP="0041700E">
            <w:pPr>
              <w:pStyle w:val="TableText"/>
            </w:pPr>
            <w:r w:rsidRPr="00A16C9B">
              <w:t>Proportion responders, % (95% CI)</w:t>
            </w:r>
          </w:p>
        </w:tc>
        <w:tc>
          <w:tcPr>
            <w:tcW w:w="2121" w:type="dxa"/>
          </w:tcPr>
          <w:p w14:paraId="7FDE3845" w14:textId="77777777" w:rsidR="000B266B" w:rsidRPr="00A16C9B" w:rsidRDefault="000B266B" w:rsidP="0041700E">
            <w:pPr>
              <w:pStyle w:val="TableText"/>
              <w:jc w:val="center"/>
            </w:pPr>
            <w:r w:rsidRPr="00A16C9B">
              <w:t>57.1 (42.2, 71.2)</w:t>
            </w:r>
          </w:p>
        </w:tc>
        <w:tc>
          <w:tcPr>
            <w:tcW w:w="2364" w:type="dxa"/>
          </w:tcPr>
          <w:p w14:paraId="0B21B80A" w14:textId="77777777" w:rsidR="000B266B" w:rsidRPr="00A16C9B" w:rsidRDefault="000B266B" w:rsidP="0041700E">
            <w:pPr>
              <w:pStyle w:val="TableText"/>
              <w:jc w:val="center"/>
            </w:pPr>
            <w:r w:rsidRPr="00A16C9B">
              <w:t>n/a</w:t>
            </w:r>
          </w:p>
        </w:tc>
      </w:tr>
      <w:tr w:rsidR="000B266B" w:rsidRPr="00A16C9B" w14:paraId="4EFB9747" w14:textId="77777777" w:rsidTr="00B678E8">
        <w:trPr>
          <w:jc w:val="center"/>
        </w:trPr>
        <w:tc>
          <w:tcPr>
            <w:tcW w:w="1271" w:type="dxa"/>
            <w:vMerge w:val="restart"/>
            <w:tcBorders>
              <w:top w:val="single" w:sz="4" w:space="0" w:color="auto"/>
              <w:left w:val="single" w:sz="4" w:space="0" w:color="auto"/>
              <w:right w:val="single" w:sz="4" w:space="0" w:color="auto"/>
            </w:tcBorders>
          </w:tcPr>
          <w:p w14:paraId="75568041" w14:textId="77777777" w:rsidR="000B266B" w:rsidRPr="00A16C9B" w:rsidRDefault="000B266B" w:rsidP="0041700E">
            <w:pPr>
              <w:pStyle w:val="TableText"/>
              <w:keepNext w:val="0"/>
              <w:ind w:left="-57" w:right="-57"/>
              <w:rPr>
                <w:vertAlign w:val="superscript"/>
              </w:rPr>
            </w:pPr>
            <w:r w:rsidRPr="4904BCD2">
              <w:t>Virological response</w:t>
            </w:r>
            <w:r w:rsidRPr="4904BCD2">
              <w:rPr>
                <w:vertAlign w:val="superscript"/>
              </w:rPr>
              <w:t>b</w:t>
            </w:r>
          </w:p>
        </w:tc>
        <w:tc>
          <w:tcPr>
            <w:tcW w:w="7609"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8337AD" w14:textId="77777777" w:rsidR="000B266B" w:rsidRPr="00A16C9B" w:rsidRDefault="000B266B" w:rsidP="0041700E">
            <w:pPr>
              <w:pStyle w:val="TableText"/>
              <w:keepNext w:val="0"/>
              <w:jc w:val="center"/>
            </w:pPr>
            <w:r w:rsidRPr="4904BCD2">
              <w:t>Week 48 (additional endpoint)</w:t>
            </w:r>
          </w:p>
        </w:tc>
      </w:tr>
      <w:tr w:rsidR="000B266B" w:rsidRPr="00A16C9B" w14:paraId="223397E6" w14:textId="77777777" w:rsidTr="00B678E8">
        <w:trPr>
          <w:jc w:val="center"/>
        </w:trPr>
        <w:tc>
          <w:tcPr>
            <w:tcW w:w="1271" w:type="dxa"/>
            <w:vMerge/>
            <w:hideMark/>
          </w:tcPr>
          <w:p w14:paraId="24E757CF" w14:textId="77777777" w:rsidR="000B266B" w:rsidRPr="00A16C9B" w:rsidRDefault="000B266B" w:rsidP="0041700E">
            <w:pPr>
              <w:pStyle w:val="TableText"/>
              <w:keepNext w:val="0"/>
              <w:ind w:left="-57"/>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2071F2" w14:textId="77777777" w:rsidR="000B266B" w:rsidRPr="00A16C9B" w:rsidRDefault="000B266B" w:rsidP="0041700E">
            <w:pPr>
              <w:pStyle w:val="TableText"/>
              <w:keepNext w:val="0"/>
            </w:pPr>
            <w:r w:rsidRPr="00A16C9B">
              <w:t>Number of responders</w:t>
            </w:r>
          </w:p>
        </w:tc>
        <w:tc>
          <w:tcPr>
            <w:tcW w:w="21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C03146" w14:textId="77777777" w:rsidR="000B266B" w:rsidRPr="00A16C9B" w:rsidRDefault="000B266B" w:rsidP="0041700E">
            <w:pPr>
              <w:pStyle w:val="TableText"/>
              <w:keepNext w:val="0"/>
              <w:jc w:val="center"/>
            </w:pPr>
            <w:r w:rsidRPr="00A16C9B">
              <w:t>36</w:t>
            </w:r>
          </w:p>
        </w:tc>
        <w:tc>
          <w:tcPr>
            <w:tcW w:w="2364" w:type="dxa"/>
            <w:shd w:val="clear" w:color="auto" w:fill="BDD6EE" w:themeFill="accent1" w:themeFillTint="66"/>
          </w:tcPr>
          <w:p w14:paraId="4D2F1489" w14:textId="77777777" w:rsidR="000B266B" w:rsidRPr="00A16C9B" w:rsidRDefault="000B266B" w:rsidP="0041700E">
            <w:pPr>
              <w:pStyle w:val="TableText"/>
              <w:keepNext w:val="0"/>
              <w:jc w:val="center"/>
            </w:pPr>
            <w:r w:rsidRPr="00A16C9B">
              <w:rPr>
                <w:rFonts w:eastAsia="Calibri" w:cstheme="minorHAnsi"/>
              </w:rPr>
              <w:t>2</w:t>
            </w:r>
          </w:p>
        </w:tc>
      </w:tr>
      <w:tr w:rsidR="000B266B" w:rsidRPr="00A16C9B" w14:paraId="5FB9028C" w14:textId="77777777" w:rsidTr="00B678E8">
        <w:trPr>
          <w:jc w:val="center"/>
        </w:trPr>
        <w:tc>
          <w:tcPr>
            <w:tcW w:w="1271" w:type="dxa"/>
            <w:vMerge/>
            <w:hideMark/>
          </w:tcPr>
          <w:p w14:paraId="30571B03" w14:textId="77777777" w:rsidR="000B266B" w:rsidRPr="00A16C9B" w:rsidRDefault="000B266B" w:rsidP="0041700E">
            <w:pPr>
              <w:pStyle w:val="TableText"/>
              <w:keepNext w:val="0"/>
              <w:ind w:left="-57"/>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B40E5F" w14:textId="77777777" w:rsidR="000B266B" w:rsidRPr="00A16C9B" w:rsidRDefault="000B266B" w:rsidP="0041700E">
            <w:pPr>
              <w:pStyle w:val="TableText"/>
              <w:keepNext w:val="0"/>
            </w:pPr>
            <w:r w:rsidRPr="00A16C9B">
              <w:t>Proportion responders, % (95% CI)</w:t>
            </w:r>
          </w:p>
        </w:tc>
        <w:tc>
          <w:tcPr>
            <w:tcW w:w="21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98028A" w14:textId="77777777" w:rsidR="000B266B" w:rsidRPr="00A16C9B" w:rsidRDefault="000B266B" w:rsidP="0041700E">
            <w:pPr>
              <w:pStyle w:val="TableText"/>
              <w:keepNext w:val="0"/>
              <w:jc w:val="center"/>
            </w:pPr>
            <w:r w:rsidRPr="00A16C9B">
              <w:t>73.5 (58.9, 85.1)</w:t>
            </w:r>
          </w:p>
        </w:tc>
        <w:tc>
          <w:tcPr>
            <w:tcW w:w="2364" w:type="dxa"/>
            <w:shd w:val="clear" w:color="auto" w:fill="BDD6EE" w:themeFill="accent1" w:themeFillTint="66"/>
          </w:tcPr>
          <w:p w14:paraId="38A65288" w14:textId="77777777" w:rsidR="000B266B" w:rsidRPr="00A16C9B" w:rsidRDefault="000B266B" w:rsidP="0041700E">
            <w:pPr>
              <w:pStyle w:val="TableText"/>
              <w:keepNext w:val="0"/>
              <w:jc w:val="center"/>
            </w:pPr>
            <w:r w:rsidRPr="00A16C9B">
              <w:rPr>
                <w:rFonts w:eastAsia="Calibri" w:cstheme="minorHAnsi"/>
              </w:rPr>
              <w:t>3.9 (0.5, 13.5)</w:t>
            </w:r>
          </w:p>
        </w:tc>
      </w:tr>
      <w:tr w:rsidR="000B266B" w:rsidRPr="00A16C9B" w14:paraId="783FA6D8" w14:textId="77777777" w:rsidTr="00B678E8">
        <w:trPr>
          <w:jc w:val="center"/>
        </w:trPr>
        <w:tc>
          <w:tcPr>
            <w:tcW w:w="1271" w:type="dxa"/>
            <w:vMerge/>
            <w:hideMark/>
          </w:tcPr>
          <w:p w14:paraId="57A39837" w14:textId="77777777" w:rsidR="000B266B" w:rsidRPr="00A16C9B" w:rsidRDefault="000B266B" w:rsidP="0041700E">
            <w:pPr>
              <w:pStyle w:val="TableText"/>
              <w:keepNext w:val="0"/>
              <w:ind w:left="-57"/>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134A47" w14:textId="77777777" w:rsidR="000B266B" w:rsidRPr="00A16C9B" w:rsidRDefault="000B266B" w:rsidP="0041700E">
            <w:pPr>
              <w:pStyle w:val="TableText"/>
              <w:keepNext w:val="0"/>
            </w:pPr>
            <w:r w:rsidRPr="37C20EEE">
              <w:t>Difference in proportions (95% CI) (bulevirtide 2 mg vs delayed treatment)</w:t>
            </w:r>
          </w:p>
        </w:tc>
        <w:tc>
          <w:tcPr>
            <w:tcW w:w="448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1154689" w14:textId="77777777" w:rsidR="000B266B" w:rsidRPr="00A16C9B" w:rsidRDefault="000B266B" w:rsidP="0041700E">
            <w:pPr>
              <w:pStyle w:val="TableText"/>
              <w:keepNext w:val="0"/>
              <w:jc w:val="center"/>
            </w:pPr>
            <w:r w:rsidRPr="00A16C9B">
              <w:t>69.5 (54.1, 81.9)</w:t>
            </w:r>
          </w:p>
        </w:tc>
      </w:tr>
      <w:tr w:rsidR="000B266B" w:rsidRPr="00A16C9B" w14:paraId="2137BC42" w14:textId="77777777" w:rsidTr="00B678E8">
        <w:trPr>
          <w:jc w:val="center"/>
        </w:trPr>
        <w:tc>
          <w:tcPr>
            <w:tcW w:w="1271" w:type="dxa"/>
            <w:vMerge/>
          </w:tcPr>
          <w:p w14:paraId="3CF0ABB3" w14:textId="77777777" w:rsidR="000B266B" w:rsidRPr="00A16C9B" w:rsidRDefault="000B266B" w:rsidP="0041700E">
            <w:pPr>
              <w:pStyle w:val="TableText"/>
              <w:keepNext w:val="0"/>
              <w:ind w:left="-57"/>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F7B5FC" w14:textId="77777777" w:rsidR="000B266B" w:rsidRPr="00A16C9B" w:rsidRDefault="000B266B" w:rsidP="0041700E">
            <w:pPr>
              <w:pStyle w:val="TableText"/>
              <w:keepNext w:val="0"/>
            </w:pPr>
            <w:r w:rsidRPr="00A16C9B">
              <w:t>p-value</w:t>
            </w:r>
          </w:p>
        </w:tc>
        <w:tc>
          <w:tcPr>
            <w:tcW w:w="448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0D7B15" w14:textId="77777777" w:rsidR="000B266B" w:rsidRPr="00A16C9B" w:rsidRDefault="000B266B" w:rsidP="0041700E">
            <w:pPr>
              <w:pStyle w:val="TableText"/>
              <w:keepNext w:val="0"/>
              <w:jc w:val="center"/>
            </w:pPr>
            <w:r w:rsidRPr="00A16C9B">
              <w:rPr>
                <w:rFonts w:eastAsia="Calibri" w:cstheme="minorHAnsi"/>
              </w:rPr>
              <w:t>&lt; 0.0001</w:t>
            </w:r>
          </w:p>
        </w:tc>
      </w:tr>
      <w:tr w:rsidR="000B266B" w:rsidRPr="00A16C9B" w14:paraId="3699734B" w14:textId="77777777" w:rsidTr="00B678E8">
        <w:trPr>
          <w:jc w:val="center"/>
        </w:trPr>
        <w:tc>
          <w:tcPr>
            <w:tcW w:w="1271" w:type="dxa"/>
            <w:vMerge/>
          </w:tcPr>
          <w:p w14:paraId="723DEB8B" w14:textId="77777777" w:rsidR="000B266B" w:rsidRPr="00A16C9B" w:rsidRDefault="000B266B" w:rsidP="0041700E">
            <w:pPr>
              <w:pStyle w:val="TableText"/>
              <w:keepNext w:val="0"/>
              <w:ind w:left="-57"/>
            </w:pPr>
          </w:p>
        </w:tc>
        <w:tc>
          <w:tcPr>
            <w:tcW w:w="7609"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821CD8" w14:textId="77777777" w:rsidR="000B266B" w:rsidRPr="00A16C9B" w:rsidRDefault="000B266B" w:rsidP="0041700E">
            <w:pPr>
              <w:pStyle w:val="TableText"/>
              <w:keepNext w:val="0"/>
              <w:jc w:val="center"/>
              <w:rPr>
                <w:vertAlign w:val="superscript"/>
              </w:rPr>
            </w:pPr>
            <w:r w:rsidRPr="4904BCD2">
              <w:t>Week 96 (exploratory endpoint)</w:t>
            </w:r>
            <w:r w:rsidRPr="4904BCD2">
              <w:rPr>
                <w:vertAlign w:val="superscript"/>
              </w:rPr>
              <w:t>d</w:t>
            </w:r>
          </w:p>
        </w:tc>
      </w:tr>
      <w:tr w:rsidR="000B266B" w:rsidRPr="00A16C9B" w14:paraId="5B9E1B6E" w14:textId="77777777" w:rsidTr="00B678E8">
        <w:trPr>
          <w:jc w:val="center"/>
        </w:trPr>
        <w:tc>
          <w:tcPr>
            <w:tcW w:w="1271" w:type="dxa"/>
            <w:vMerge/>
            <w:hideMark/>
          </w:tcPr>
          <w:p w14:paraId="37E8E282" w14:textId="77777777" w:rsidR="000B266B" w:rsidRPr="00A16C9B" w:rsidRDefault="000B266B" w:rsidP="0041700E">
            <w:pPr>
              <w:pStyle w:val="TableText"/>
              <w:keepNext w:val="0"/>
              <w:ind w:left="-57"/>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465C08" w14:textId="77777777" w:rsidR="000B266B" w:rsidRPr="00A16C9B" w:rsidRDefault="000B266B" w:rsidP="0041700E">
            <w:pPr>
              <w:pStyle w:val="TableText"/>
              <w:keepNext w:val="0"/>
            </w:pPr>
            <w:r w:rsidRPr="00A16C9B">
              <w:t>Number of responders</w:t>
            </w:r>
          </w:p>
        </w:tc>
        <w:tc>
          <w:tcPr>
            <w:tcW w:w="21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4591B3" w14:textId="77777777" w:rsidR="000B266B" w:rsidRPr="00A16C9B" w:rsidRDefault="000B266B" w:rsidP="0041700E">
            <w:pPr>
              <w:pStyle w:val="TableText"/>
              <w:keepNext w:val="0"/>
              <w:jc w:val="center"/>
            </w:pPr>
            <w:r w:rsidRPr="00A16C9B">
              <w:t>37</w:t>
            </w:r>
          </w:p>
        </w:tc>
        <w:tc>
          <w:tcPr>
            <w:tcW w:w="236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F33DFF" w14:textId="77777777" w:rsidR="000B266B" w:rsidRPr="00A16C9B" w:rsidRDefault="000B266B" w:rsidP="0041700E">
            <w:pPr>
              <w:pStyle w:val="TableText"/>
              <w:keepNext w:val="0"/>
              <w:jc w:val="center"/>
            </w:pPr>
            <w:r w:rsidRPr="00A16C9B">
              <w:t>n/a</w:t>
            </w:r>
          </w:p>
        </w:tc>
      </w:tr>
      <w:tr w:rsidR="000B266B" w:rsidRPr="00A16C9B" w14:paraId="03C9F579" w14:textId="77777777" w:rsidTr="00B678E8">
        <w:trPr>
          <w:jc w:val="center"/>
        </w:trPr>
        <w:tc>
          <w:tcPr>
            <w:tcW w:w="1271" w:type="dxa"/>
            <w:vMerge/>
          </w:tcPr>
          <w:p w14:paraId="5B8F22DA" w14:textId="77777777" w:rsidR="000B266B" w:rsidRPr="00A16C9B" w:rsidRDefault="000B266B" w:rsidP="0041700E">
            <w:pPr>
              <w:pStyle w:val="TableText"/>
              <w:keepNext w:val="0"/>
              <w:ind w:left="-57"/>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38E182" w14:textId="77777777" w:rsidR="000B266B" w:rsidRPr="00A16C9B" w:rsidRDefault="000B266B" w:rsidP="0041700E">
            <w:pPr>
              <w:pStyle w:val="TableText"/>
              <w:keepNext w:val="0"/>
            </w:pPr>
            <w:r w:rsidRPr="00A16C9B">
              <w:t>Proportion responders, % (95% CI)</w:t>
            </w:r>
          </w:p>
        </w:tc>
        <w:tc>
          <w:tcPr>
            <w:tcW w:w="21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3009AD" w14:textId="77777777" w:rsidR="000B266B" w:rsidRPr="00A16C9B" w:rsidRDefault="000B266B" w:rsidP="0041700E">
            <w:pPr>
              <w:pStyle w:val="TableText"/>
              <w:keepNext w:val="0"/>
              <w:jc w:val="center"/>
            </w:pPr>
            <w:r w:rsidRPr="00A16C9B">
              <w:t>75.5 (61.1, 86,7)</w:t>
            </w:r>
          </w:p>
        </w:tc>
        <w:tc>
          <w:tcPr>
            <w:tcW w:w="236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EFF656" w14:textId="77777777" w:rsidR="000B266B" w:rsidRPr="00A16C9B" w:rsidRDefault="000B266B" w:rsidP="0041700E">
            <w:pPr>
              <w:pStyle w:val="TableText"/>
              <w:keepNext w:val="0"/>
              <w:jc w:val="center"/>
            </w:pPr>
            <w:r w:rsidRPr="00A16C9B">
              <w:t>n/a</w:t>
            </w:r>
          </w:p>
        </w:tc>
      </w:tr>
      <w:tr w:rsidR="000B266B" w:rsidRPr="00A16C9B" w14:paraId="24F1E54C" w14:textId="77777777" w:rsidTr="00B678E8">
        <w:trPr>
          <w:jc w:val="center"/>
        </w:trPr>
        <w:tc>
          <w:tcPr>
            <w:tcW w:w="1271" w:type="dxa"/>
            <w:vMerge/>
          </w:tcPr>
          <w:p w14:paraId="75DAC738" w14:textId="77777777" w:rsidR="000B266B" w:rsidRPr="00A16C9B" w:rsidRDefault="000B266B" w:rsidP="0041700E">
            <w:pPr>
              <w:pStyle w:val="TableText"/>
              <w:keepNext w:val="0"/>
              <w:ind w:left="-57"/>
            </w:pPr>
          </w:p>
        </w:tc>
        <w:tc>
          <w:tcPr>
            <w:tcW w:w="7609" w:type="dxa"/>
            <w:gridSpan w:val="3"/>
            <w:tcBorders>
              <w:top w:val="single" w:sz="4" w:space="0" w:color="auto"/>
              <w:left w:val="single" w:sz="4" w:space="0" w:color="auto"/>
              <w:bottom w:val="single" w:sz="4" w:space="0" w:color="auto"/>
              <w:right w:val="single" w:sz="4" w:space="0" w:color="auto"/>
            </w:tcBorders>
          </w:tcPr>
          <w:p w14:paraId="6519AC3F" w14:textId="77777777" w:rsidR="000B266B" w:rsidRPr="00A16C9B" w:rsidRDefault="000B266B" w:rsidP="0041700E">
            <w:pPr>
              <w:pStyle w:val="TableText"/>
              <w:keepNext w:val="0"/>
              <w:jc w:val="center"/>
              <w:rPr>
                <w:b/>
                <w:bCs w:val="0"/>
              </w:rPr>
            </w:pPr>
            <w:r w:rsidRPr="4904BCD2">
              <w:t>Week 144 (exploratory endpoint)</w:t>
            </w:r>
            <w:r w:rsidRPr="4904BCD2">
              <w:rPr>
                <w:vertAlign w:val="superscript"/>
              </w:rPr>
              <w:t>d</w:t>
            </w:r>
          </w:p>
        </w:tc>
      </w:tr>
      <w:tr w:rsidR="000B266B" w:rsidRPr="00A16C9B" w14:paraId="3CD172CA" w14:textId="77777777" w:rsidTr="00B678E8">
        <w:trPr>
          <w:jc w:val="center"/>
        </w:trPr>
        <w:tc>
          <w:tcPr>
            <w:tcW w:w="1271" w:type="dxa"/>
            <w:vMerge/>
          </w:tcPr>
          <w:p w14:paraId="6EF66A7A" w14:textId="77777777" w:rsidR="000B266B" w:rsidRPr="00A16C9B" w:rsidRDefault="000B266B" w:rsidP="0041700E">
            <w:pPr>
              <w:pStyle w:val="TableText"/>
              <w:keepNext w:val="0"/>
              <w:ind w:left="-57"/>
            </w:pPr>
          </w:p>
        </w:tc>
        <w:tc>
          <w:tcPr>
            <w:tcW w:w="3124" w:type="dxa"/>
            <w:tcBorders>
              <w:top w:val="single" w:sz="4" w:space="0" w:color="auto"/>
              <w:left w:val="single" w:sz="4" w:space="0" w:color="auto"/>
              <w:bottom w:val="single" w:sz="4" w:space="0" w:color="auto"/>
              <w:right w:val="single" w:sz="4" w:space="0" w:color="auto"/>
            </w:tcBorders>
            <w:shd w:val="clear" w:color="auto" w:fill="FFFFFF" w:themeFill="background1"/>
          </w:tcPr>
          <w:p w14:paraId="7E5FAA4D" w14:textId="77777777" w:rsidR="000B266B" w:rsidRPr="00A16C9B" w:rsidRDefault="000B266B" w:rsidP="0041700E">
            <w:pPr>
              <w:pStyle w:val="TableText"/>
              <w:keepNext w:val="0"/>
            </w:pPr>
            <w:r w:rsidRPr="00A16C9B">
              <w:t>Number of responders</w:t>
            </w:r>
          </w:p>
        </w:tc>
        <w:tc>
          <w:tcPr>
            <w:tcW w:w="2121" w:type="dxa"/>
            <w:tcBorders>
              <w:top w:val="single" w:sz="4" w:space="0" w:color="auto"/>
              <w:left w:val="single" w:sz="4" w:space="0" w:color="auto"/>
              <w:bottom w:val="single" w:sz="4" w:space="0" w:color="auto"/>
              <w:right w:val="single" w:sz="4" w:space="0" w:color="auto"/>
            </w:tcBorders>
          </w:tcPr>
          <w:p w14:paraId="3715400A" w14:textId="77777777" w:rsidR="000B266B" w:rsidRPr="00A16C9B" w:rsidRDefault="000B266B" w:rsidP="0041700E">
            <w:pPr>
              <w:pStyle w:val="TableText"/>
              <w:keepNext w:val="0"/>
              <w:jc w:val="center"/>
            </w:pPr>
            <w:r w:rsidRPr="00A16C9B">
              <w:t>36</w:t>
            </w:r>
          </w:p>
        </w:tc>
        <w:tc>
          <w:tcPr>
            <w:tcW w:w="2364" w:type="dxa"/>
            <w:tcBorders>
              <w:top w:val="single" w:sz="4" w:space="0" w:color="auto"/>
              <w:left w:val="single" w:sz="4" w:space="0" w:color="auto"/>
              <w:bottom w:val="single" w:sz="4" w:space="0" w:color="auto"/>
              <w:right w:val="single" w:sz="4" w:space="0" w:color="auto"/>
            </w:tcBorders>
          </w:tcPr>
          <w:p w14:paraId="4546810C" w14:textId="77777777" w:rsidR="000B266B" w:rsidRPr="00A16C9B" w:rsidRDefault="000B266B" w:rsidP="0041700E">
            <w:pPr>
              <w:pStyle w:val="TableText"/>
              <w:keepNext w:val="0"/>
              <w:jc w:val="center"/>
            </w:pPr>
            <w:r w:rsidRPr="00A16C9B">
              <w:t>n/a</w:t>
            </w:r>
          </w:p>
        </w:tc>
      </w:tr>
      <w:tr w:rsidR="000B266B" w:rsidRPr="00A16C9B" w14:paraId="37DAA2B6" w14:textId="77777777" w:rsidTr="00B678E8">
        <w:trPr>
          <w:jc w:val="center"/>
        </w:trPr>
        <w:tc>
          <w:tcPr>
            <w:tcW w:w="1271" w:type="dxa"/>
            <w:vMerge/>
          </w:tcPr>
          <w:p w14:paraId="4A2D8985" w14:textId="77777777" w:rsidR="000B266B" w:rsidRPr="00A16C9B" w:rsidRDefault="000B266B" w:rsidP="0041700E">
            <w:pPr>
              <w:pStyle w:val="TableText"/>
              <w:keepNext w:val="0"/>
              <w:ind w:left="-57"/>
            </w:pPr>
          </w:p>
        </w:tc>
        <w:tc>
          <w:tcPr>
            <w:tcW w:w="3124" w:type="dxa"/>
            <w:tcBorders>
              <w:top w:val="single" w:sz="4" w:space="0" w:color="auto"/>
              <w:left w:val="single" w:sz="4" w:space="0" w:color="auto"/>
              <w:bottom w:val="single" w:sz="4" w:space="0" w:color="auto"/>
              <w:right w:val="single" w:sz="4" w:space="0" w:color="auto"/>
            </w:tcBorders>
            <w:shd w:val="clear" w:color="auto" w:fill="FFFFFF" w:themeFill="background1"/>
          </w:tcPr>
          <w:p w14:paraId="5001A0DC" w14:textId="77777777" w:rsidR="000B266B" w:rsidRPr="00A16C9B" w:rsidRDefault="000B266B" w:rsidP="0041700E">
            <w:pPr>
              <w:pStyle w:val="TableText"/>
              <w:keepNext w:val="0"/>
            </w:pPr>
            <w:r w:rsidRPr="00A16C9B">
              <w:t>Proportion responders, % (95% CI)</w:t>
            </w:r>
          </w:p>
        </w:tc>
        <w:tc>
          <w:tcPr>
            <w:tcW w:w="2121" w:type="dxa"/>
            <w:tcBorders>
              <w:top w:val="single" w:sz="4" w:space="0" w:color="auto"/>
              <w:left w:val="single" w:sz="4" w:space="0" w:color="auto"/>
              <w:bottom w:val="single" w:sz="4" w:space="0" w:color="auto"/>
              <w:right w:val="single" w:sz="4" w:space="0" w:color="auto"/>
            </w:tcBorders>
          </w:tcPr>
          <w:p w14:paraId="69850730" w14:textId="77777777" w:rsidR="000B266B" w:rsidRPr="00A16C9B" w:rsidRDefault="000B266B" w:rsidP="0041700E">
            <w:pPr>
              <w:pStyle w:val="TableText"/>
              <w:keepNext w:val="0"/>
              <w:jc w:val="center"/>
            </w:pPr>
            <w:r w:rsidRPr="00A16C9B">
              <w:t>73.5 (58.9, 85.1)</w:t>
            </w:r>
          </w:p>
        </w:tc>
        <w:tc>
          <w:tcPr>
            <w:tcW w:w="2364" w:type="dxa"/>
            <w:tcBorders>
              <w:top w:val="single" w:sz="4" w:space="0" w:color="auto"/>
              <w:left w:val="single" w:sz="4" w:space="0" w:color="auto"/>
              <w:bottom w:val="single" w:sz="4" w:space="0" w:color="auto"/>
              <w:right w:val="single" w:sz="4" w:space="0" w:color="auto"/>
            </w:tcBorders>
          </w:tcPr>
          <w:p w14:paraId="2F71B287" w14:textId="77777777" w:rsidR="000B266B" w:rsidRPr="00A16C9B" w:rsidRDefault="000B266B" w:rsidP="0041700E">
            <w:pPr>
              <w:pStyle w:val="TableText"/>
              <w:keepNext w:val="0"/>
              <w:jc w:val="center"/>
            </w:pPr>
            <w:r w:rsidRPr="00A16C9B">
              <w:t>n/a</w:t>
            </w:r>
          </w:p>
        </w:tc>
      </w:tr>
      <w:tr w:rsidR="000B266B" w:rsidRPr="00A16C9B" w14:paraId="66C3B9C6" w14:textId="77777777" w:rsidTr="00B678E8">
        <w:trPr>
          <w:jc w:val="center"/>
        </w:trPr>
        <w:tc>
          <w:tcPr>
            <w:tcW w:w="1271" w:type="dxa"/>
            <w:vMerge w:val="restart"/>
            <w:tcBorders>
              <w:top w:val="single" w:sz="4" w:space="0" w:color="auto"/>
              <w:left w:val="single" w:sz="4" w:space="0" w:color="auto"/>
              <w:right w:val="single" w:sz="4" w:space="0" w:color="auto"/>
            </w:tcBorders>
            <w:hideMark/>
          </w:tcPr>
          <w:p w14:paraId="59A0E666" w14:textId="77777777" w:rsidR="000B266B" w:rsidRPr="00A16C9B" w:rsidRDefault="000B266B" w:rsidP="0041700E">
            <w:pPr>
              <w:pStyle w:val="TableText"/>
              <w:keepNext w:val="0"/>
              <w:ind w:left="-57" w:right="-57"/>
            </w:pPr>
            <w:r w:rsidRPr="00A16C9B">
              <w:t>Undetectable HDV RNA</w:t>
            </w:r>
          </w:p>
        </w:tc>
        <w:tc>
          <w:tcPr>
            <w:tcW w:w="7609"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B3BF6F" w14:textId="77777777" w:rsidR="000B266B" w:rsidRPr="00A16C9B" w:rsidRDefault="000B266B" w:rsidP="0041700E">
            <w:pPr>
              <w:pStyle w:val="TableText"/>
              <w:keepNext w:val="0"/>
              <w:jc w:val="center"/>
            </w:pPr>
            <w:r w:rsidRPr="00A16C9B">
              <w:t>Week 48 (key secondary endpoint)</w:t>
            </w:r>
          </w:p>
        </w:tc>
      </w:tr>
      <w:tr w:rsidR="000B266B" w:rsidRPr="00A16C9B" w14:paraId="6E58DBD1" w14:textId="77777777" w:rsidTr="00B678E8">
        <w:trPr>
          <w:jc w:val="center"/>
        </w:trPr>
        <w:tc>
          <w:tcPr>
            <w:tcW w:w="1271" w:type="dxa"/>
            <w:vMerge/>
            <w:hideMark/>
          </w:tcPr>
          <w:p w14:paraId="7DBAC076" w14:textId="77777777" w:rsidR="000B266B" w:rsidRPr="00A16C9B" w:rsidRDefault="000B266B" w:rsidP="0041700E">
            <w:pPr>
              <w:pStyle w:val="TableText"/>
              <w:keepNext w:val="0"/>
              <w:ind w:left="-57" w:right="-57"/>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765F6A" w14:textId="77777777" w:rsidR="000B266B" w:rsidRPr="00A16C9B" w:rsidRDefault="000B266B" w:rsidP="0041700E">
            <w:pPr>
              <w:pStyle w:val="TableText"/>
              <w:keepNext w:val="0"/>
            </w:pPr>
            <w:r w:rsidRPr="00A16C9B">
              <w:t>Number of responders</w:t>
            </w:r>
          </w:p>
        </w:tc>
        <w:tc>
          <w:tcPr>
            <w:tcW w:w="212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8371264" w14:textId="77777777" w:rsidR="000B266B" w:rsidRPr="00A16C9B" w:rsidRDefault="000B266B" w:rsidP="0041700E">
            <w:pPr>
              <w:pStyle w:val="TableText"/>
              <w:keepNext w:val="0"/>
              <w:jc w:val="center"/>
            </w:pPr>
            <w:r w:rsidRPr="00A16C9B">
              <w:t>6</w:t>
            </w:r>
          </w:p>
        </w:tc>
        <w:tc>
          <w:tcPr>
            <w:tcW w:w="236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3C9589A" w14:textId="77777777" w:rsidR="000B266B" w:rsidRPr="00A16C9B" w:rsidRDefault="000B266B" w:rsidP="0041700E">
            <w:pPr>
              <w:pStyle w:val="TableText"/>
              <w:keepNext w:val="0"/>
              <w:jc w:val="center"/>
            </w:pPr>
            <w:r w:rsidRPr="00A16C9B">
              <w:t>0</w:t>
            </w:r>
          </w:p>
        </w:tc>
      </w:tr>
      <w:tr w:rsidR="000B266B" w:rsidRPr="00A16C9B" w14:paraId="6C31D9BB" w14:textId="77777777" w:rsidTr="00B678E8">
        <w:trPr>
          <w:jc w:val="center"/>
        </w:trPr>
        <w:tc>
          <w:tcPr>
            <w:tcW w:w="1271" w:type="dxa"/>
            <w:vMerge/>
            <w:hideMark/>
          </w:tcPr>
          <w:p w14:paraId="61F5D2E4" w14:textId="77777777" w:rsidR="000B266B" w:rsidRPr="00A16C9B" w:rsidRDefault="000B266B" w:rsidP="0041700E">
            <w:pPr>
              <w:pStyle w:val="TableText"/>
              <w:keepNext w:val="0"/>
              <w:ind w:left="-57" w:right="-57"/>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A8594F" w14:textId="77777777" w:rsidR="000B266B" w:rsidRPr="00A16C9B" w:rsidRDefault="000B266B" w:rsidP="0041700E">
            <w:pPr>
              <w:pStyle w:val="TableText"/>
              <w:keepNext w:val="0"/>
            </w:pPr>
            <w:r w:rsidRPr="00A16C9B">
              <w:t>Proportion responders, % (95% CI)</w:t>
            </w:r>
          </w:p>
        </w:tc>
        <w:tc>
          <w:tcPr>
            <w:tcW w:w="212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B76F56F" w14:textId="77777777" w:rsidR="000B266B" w:rsidRPr="00A16C9B" w:rsidRDefault="000B266B" w:rsidP="0041700E">
            <w:pPr>
              <w:pStyle w:val="TableText"/>
              <w:keepNext w:val="0"/>
              <w:jc w:val="center"/>
            </w:pPr>
            <w:r w:rsidRPr="00A16C9B">
              <w:t>12.2 (4.6, 24.8)</w:t>
            </w:r>
          </w:p>
        </w:tc>
        <w:tc>
          <w:tcPr>
            <w:tcW w:w="236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B24C9B" w14:textId="77777777" w:rsidR="000B266B" w:rsidRPr="00A16C9B" w:rsidRDefault="000B266B" w:rsidP="0041700E">
            <w:pPr>
              <w:pStyle w:val="TableText"/>
              <w:keepNext w:val="0"/>
              <w:jc w:val="center"/>
            </w:pPr>
            <w:r w:rsidRPr="00A16C9B">
              <w:t>0.0 (0.0, 7.0)</w:t>
            </w:r>
          </w:p>
        </w:tc>
      </w:tr>
      <w:tr w:rsidR="000B266B" w:rsidRPr="00A16C9B" w14:paraId="6E165BCF" w14:textId="77777777" w:rsidTr="00B678E8">
        <w:trPr>
          <w:jc w:val="center"/>
        </w:trPr>
        <w:tc>
          <w:tcPr>
            <w:tcW w:w="1271" w:type="dxa"/>
            <w:vMerge/>
            <w:hideMark/>
          </w:tcPr>
          <w:p w14:paraId="4F7ACBDA" w14:textId="77777777" w:rsidR="000B266B" w:rsidRPr="00A16C9B" w:rsidRDefault="000B266B" w:rsidP="0041700E">
            <w:pPr>
              <w:pStyle w:val="TableText"/>
              <w:keepNext w:val="0"/>
              <w:ind w:left="-57" w:right="-57"/>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EB39D8" w14:textId="77777777" w:rsidR="000B266B" w:rsidRPr="00A16C9B" w:rsidRDefault="000B266B" w:rsidP="0041700E">
            <w:pPr>
              <w:pStyle w:val="TableText"/>
              <w:keepNext w:val="0"/>
            </w:pPr>
            <w:r w:rsidRPr="37C20EEE">
              <w:t>Difference in proportions (96% CI) (bulevirtide 2 mg vs delayed treatment)</w:t>
            </w:r>
          </w:p>
        </w:tc>
        <w:tc>
          <w:tcPr>
            <w:tcW w:w="448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F16F088" w14:textId="77777777" w:rsidR="000B266B" w:rsidRPr="00A16C9B" w:rsidRDefault="000B266B" w:rsidP="0041700E">
            <w:pPr>
              <w:pStyle w:val="TableText"/>
              <w:keepNext w:val="0"/>
              <w:jc w:val="center"/>
            </w:pPr>
            <w:r w:rsidRPr="00A16C9B">
              <w:t>12.2 (3.7, 24.8)</w:t>
            </w:r>
          </w:p>
        </w:tc>
      </w:tr>
      <w:tr w:rsidR="000B266B" w:rsidRPr="00A16C9B" w14:paraId="1FBDC7FE" w14:textId="77777777" w:rsidTr="00B678E8">
        <w:trPr>
          <w:jc w:val="center"/>
        </w:trPr>
        <w:tc>
          <w:tcPr>
            <w:tcW w:w="1271" w:type="dxa"/>
            <w:vMerge/>
          </w:tcPr>
          <w:p w14:paraId="6ACCFC33" w14:textId="77777777" w:rsidR="000B266B" w:rsidRPr="00A16C9B" w:rsidRDefault="000B266B" w:rsidP="0041700E">
            <w:pPr>
              <w:pStyle w:val="TableText"/>
              <w:keepNext w:val="0"/>
              <w:ind w:left="-57" w:right="-57"/>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F40EDC" w14:textId="77777777" w:rsidR="000B266B" w:rsidRPr="00A16C9B" w:rsidRDefault="000B266B" w:rsidP="0041700E">
            <w:pPr>
              <w:pStyle w:val="TableText"/>
              <w:keepNext w:val="0"/>
              <w:rPr>
                <w:vertAlign w:val="superscript"/>
              </w:rPr>
            </w:pPr>
            <w:r w:rsidRPr="4904BCD2">
              <w:t>p-value</w:t>
            </w:r>
            <w:r w:rsidRPr="4904BCD2">
              <w:rPr>
                <w:vertAlign w:val="superscript"/>
              </w:rPr>
              <w:t>e</w:t>
            </w:r>
          </w:p>
        </w:tc>
        <w:tc>
          <w:tcPr>
            <w:tcW w:w="448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EB0223" w14:textId="77777777" w:rsidR="000B266B" w:rsidRPr="00A16C9B" w:rsidRDefault="000B266B" w:rsidP="0041700E">
            <w:pPr>
              <w:pStyle w:val="TableText"/>
              <w:keepNext w:val="0"/>
              <w:jc w:val="center"/>
            </w:pPr>
            <w:r w:rsidRPr="00A16C9B">
              <w:t>0.0117</w:t>
            </w:r>
          </w:p>
        </w:tc>
      </w:tr>
      <w:tr w:rsidR="000B266B" w:rsidRPr="00A16C9B" w14:paraId="23631BC9" w14:textId="77777777" w:rsidTr="00B678E8">
        <w:trPr>
          <w:jc w:val="center"/>
        </w:trPr>
        <w:tc>
          <w:tcPr>
            <w:tcW w:w="1271" w:type="dxa"/>
            <w:vMerge/>
          </w:tcPr>
          <w:p w14:paraId="4EAE157E" w14:textId="77777777" w:rsidR="000B266B" w:rsidRPr="00A16C9B" w:rsidRDefault="000B266B" w:rsidP="0041700E">
            <w:pPr>
              <w:pStyle w:val="TableText"/>
              <w:keepNext w:val="0"/>
              <w:ind w:left="-57" w:right="-57"/>
            </w:pPr>
          </w:p>
        </w:tc>
        <w:tc>
          <w:tcPr>
            <w:tcW w:w="7609"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7B61C9" w14:textId="77777777" w:rsidR="000B266B" w:rsidRPr="00A16C9B" w:rsidRDefault="000B266B" w:rsidP="0041700E">
            <w:pPr>
              <w:pStyle w:val="TableText"/>
              <w:keepNext w:val="0"/>
              <w:jc w:val="center"/>
              <w:rPr>
                <w:vertAlign w:val="superscript"/>
              </w:rPr>
            </w:pPr>
            <w:r w:rsidRPr="4904BCD2">
              <w:t>Week 96 (exploratory endpoint)</w:t>
            </w:r>
            <w:r w:rsidRPr="4904BCD2">
              <w:rPr>
                <w:vertAlign w:val="superscript"/>
              </w:rPr>
              <w:t>d</w:t>
            </w:r>
          </w:p>
        </w:tc>
      </w:tr>
      <w:tr w:rsidR="000B266B" w:rsidRPr="00A16C9B" w14:paraId="08476E3D" w14:textId="77777777" w:rsidTr="00B678E8">
        <w:trPr>
          <w:jc w:val="center"/>
        </w:trPr>
        <w:tc>
          <w:tcPr>
            <w:tcW w:w="1271" w:type="dxa"/>
            <w:vMerge/>
          </w:tcPr>
          <w:p w14:paraId="2C2DB79A" w14:textId="77777777" w:rsidR="000B266B" w:rsidRPr="00A16C9B" w:rsidRDefault="000B266B" w:rsidP="0041700E">
            <w:pPr>
              <w:pStyle w:val="TableText"/>
              <w:keepNext w:val="0"/>
              <w:ind w:left="-57" w:right="-57"/>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E950A8" w14:textId="77777777" w:rsidR="000B266B" w:rsidRPr="00A16C9B" w:rsidRDefault="000B266B" w:rsidP="0041700E">
            <w:pPr>
              <w:pStyle w:val="TableText"/>
              <w:keepNext w:val="0"/>
            </w:pPr>
            <w:r w:rsidRPr="00A16C9B">
              <w:t>Number of responders</w:t>
            </w:r>
          </w:p>
        </w:tc>
        <w:tc>
          <w:tcPr>
            <w:tcW w:w="21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C82256" w14:textId="77777777" w:rsidR="000B266B" w:rsidRPr="00A16C9B" w:rsidRDefault="000B266B" w:rsidP="0041700E">
            <w:pPr>
              <w:pStyle w:val="TableText"/>
              <w:keepNext w:val="0"/>
              <w:jc w:val="center"/>
            </w:pPr>
            <w:r w:rsidRPr="00A16C9B">
              <w:t>10</w:t>
            </w:r>
          </w:p>
        </w:tc>
        <w:tc>
          <w:tcPr>
            <w:tcW w:w="236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DA06E6" w14:textId="77777777" w:rsidR="000B266B" w:rsidRPr="00A16C9B" w:rsidRDefault="000B266B" w:rsidP="0041700E">
            <w:pPr>
              <w:pStyle w:val="TableText"/>
              <w:keepNext w:val="0"/>
              <w:jc w:val="center"/>
            </w:pPr>
            <w:r w:rsidRPr="00A16C9B">
              <w:t>n/a</w:t>
            </w:r>
          </w:p>
        </w:tc>
      </w:tr>
      <w:tr w:rsidR="000B266B" w:rsidRPr="00A16C9B" w14:paraId="014A17CF" w14:textId="77777777" w:rsidTr="00B678E8">
        <w:trPr>
          <w:jc w:val="center"/>
        </w:trPr>
        <w:tc>
          <w:tcPr>
            <w:tcW w:w="1271" w:type="dxa"/>
            <w:vMerge/>
          </w:tcPr>
          <w:p w14:paraId="375CD4FB" w14:textId="77777777" w:rsidR="000B266B" w:rsidRPr="00A16C9B" w:rsidRDefault="000B266B" w:rsidP="0041700E">
            <w:pPr>
              <w:pStyle w:val="TableText"/>
              <w:keepNext w:val="0"/>
              <w:ind w:left="-57" w:right="-57"/>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636B36" w14:textId="77777777" w:rsidR="000B266B" w:rsidRPr="00A16C9B" w:rsidRDefault="000B266B" w:rsidP="0041700E">
            <w:pPr>
              <w:pStyle w:val="TableText"/>
              <w:keepNext w:val="0"/>
            </w:pPr>
            <w:r w:rsidRPr="37C20EEE">
              <w:t>Proportion responders, % (95% CI) (bulevirtide 2 mg vs delayed treatment)</w:t>
            </w:r>
          </w:p>
        </w:tc>
        <w:tc>
          <w:tcPr>
            <w:tcW w:w="212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414E224" w14:textId="77777777" w:rsidR="000B266B" w:rsidRPr="00A16C9B" w:rsidRDefault="000B266B" w:rsidP="0041700E">
            <w:pPr>
              <w:pStyle w:val="TableText"/>
              <w:keepNext w:val="0"/>
              <w:jc w:val="center"/>
            </w:pPr>
            <w:r w:rsidRPr="00A16C9B">
              <w:t>20.4 (10.2, 34.3)</w:t>
            </w:r>
          </w:p>
        </w:tc>
        <w:tc>
          <w:tcPr>
            <w:tcW w:w="236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0344BBB" w14:textId="77777777" w:rsidR="000B266B" w:rsidRPr="00A16C9B" w:rsidRDefault="000B266B" w:rsidP="0041700E">
            <w:pPr>
              <w:pStyle w:val="TableText"/>
              <w:keepNext w:val="0"/>
              <w:jc w:val="center"/>
            </w:pPr>
            <w:r w:rsidRPr="00A16C9B">
              <w:t>n/a</w:t>
            </w:r>
          </w:p>
        </w:tc>
      </w:tr>
      <w:tr w:rsidR="000B266B" w:rsidRPr="00A16C9B" w14:paraId="37236E1D" w14:textId="77777777" w:rsidTr="00B678E8">
        <w:trPr>
          <w:jc w:val="center"/>
        </w:trPr>
        <w:tc>
          <w:tcPr>
            <w:tcW w:w="1271" w:type="dxa"/>
            <w:vMerge/>
          </w:tcPr>
          <w:p w14:paraId="12800FA2" w14:textId="77777777" w:rsidR="000B266B" w:rsidRPr="00A16C9B" w:rsidRDefault="000B266B" w:rsidP="0041700E">
            <w:pPr>
              <w:pStyle w:val="TableText"/>
              <w:keepNext w:val="0"/>
              <w:ind w:left="-57" w:right="-57"/>
            </w:pPr>
          </w:p>
        </w:tc>
        <w:tc>
          <w:tcPr>
            <w:tcW w:w="7609" w:type="dxa"/>
            <w:gridSpan w:val="3"/>
            <w:tcBorders>
              <w:top w:val="single" w:sz="4" w:space="0" w:color="auto"/>
              <w:left w:val="single" w:sz="4" w:space="0" w:color="auto"/>
              <w:bottom w:val="single" w:sz="4" w:space="0" w:color="auto"/>
              <w:right w:val="single" w:sz="4" w:space="0" w:color="auto"/>
            </w:tcBorders>
          </w:tcPr>
          <w:p w14:paraId="55E46C81" w14:textId="77777777" w:rsidR="000B266B" w:rsidRPr="00A16C9B" w:rsidRDefault="000B266B" w:rsidP="0041700E">
            <w:pPr>
              <w:pStyle w:val="TableText"/>
              <w:keepNext w:val="0"/>
              <w:jc w:val="center"/>
              <w:rPr>
                <w:vertAlign w:val="superscript"/>
              </w:rPr>
            </w:pPr>
            <w:r w:rsidRPr="4904BCD2">
              <w:t>Week 144 (exploratory endpoint)</w:t>
            </w:r>
            <w:r w:rsidRPr="4904BCD2">
              <w:rPr>
                <w:vertAlign w:val="superscript"/>
              </w:rPr>
              <w:t>d</w:t>
            </w:r>
          </w:p>
        </w:tc>
      </w:tr>
      <w:tr w:rsidR="000B266B" w:rsidRPr="00A16C9B" w14:paraId="07574BF3" w14:textId="77777777" w:rsidTr="00B678E8">
        <w:trPr>
          <w:jc w:val="center"/>
        </w:trPr>
        <w:tc>
          <w:tcPr>
            <w:tcW w:w="1271" w:type="dxa"/>
            <w:vMerge/>
          </w:tcPr>
          <w:p w14:paraId="65441737" w14:textId="77777777" w:rsidR="000B266B" w:rsidRPr="00A16C9B" w:rsidRDefault="000B266B" w:rsidP="0041700E">
            <w:pPr>
              <w:pStyle w:val="TableText"/>
              <w:keepNext w:val="0"/>
              <w:ind w:left="-57" w:right="-57"/>
            </w:pPr>
          </w:p>
        </w:tc>
        <w:tc>
          <w:tcPr>
            <w:tcW w:w="3124" w:type="dxa"/>
          </w:tcPr>
          <w:p w14:paraId="003B7A2B" w14:textId="77777777" w:rsidR="000B266B" w:rsidRPr="00A16C9B" w:rsidRDefault="000B266B" w:rsidP="0041700E">
            <w:pPr>
              <w:pStyle w:val="TableText"/>
              <w:keepNext w:val="0"/>
            </w:pPr>
            <w:r w:rsidRPr="00A16C9B">
              <w:rPr>
                <w:szCs w:val="20"/>
              </w:rPr>
              <w:t>Number of responders</w:t>
            </w:r>
          </w:p>
        </w:tc>
        <w:tc>
          <w:tcPr>
            <w:tcW w:w="2121" w:type="dxa"/>
          </w:tcPr>
          <w:p w14:paraId="04CA674A" w14:textId="77777777" w:rsidR="000B266B" w:rsidRPr="00A16C9B" w:rsidRDefault="000B266B" w:rsidP="0041700E">
            <w:pPr>
              <w:pStyle w:val="TableText"/>
              <w:keepNext w:val="0"/>
              <w:jc w:val="center"/>
            </w:pPr>
            <w:r w:rsidRPr="00A16C9B">
              <w:rPr>
                <w:szCs w:val="20"/>
              </w:rPr>
              <w:t>14</w:t>
            </w:r>
          </w:p>
        </w:tc>
        <w:tc>
          <w:tcPr>
            <w:tcW w:w="2364" w:type="dxa"/>
          </w:tcPr>
          <w:p w14:paraId="63E9470B" w14:textId="77777777" w:rsidR="000B266B" w:rsidRPr="00A16C9B" w:rsidRDefault="000B266B" w:rsidP="0041700E">
            <w:pPr>
              <w:pStyle w:val="TableText"/>
              <w:keepNext w:val="0"/>
              <w:jc w:val="center"/>
            </w:pPr>
            <w:r w:rsidRPr="00A16C9B">
              <w:rPr>
                <w:szCs w:val="20"/>
              </w:rPr>
              <w:t>n/a</w:t>
            </w:r>
          </w:p>
        </w:tc>
      </w:tr>
      <w:tr w:rsidR="000B266B" w:rsidRPr="00A16C9B" w14:paraId="0AEC4224" w14:textId="77777777" w:rsidTr="00B678E8">
        <w:trPr>
          <w:jc w:val="center"/>
        </w:trPr>
        <w:tc>
          <w:tcPr>
            <w:tcW w:w="1271" w:type="dxa"/>
            <w:vMerge/>
          </w:tcPr>
          <w:p w14:paraId="3B095988" w14:textId="77777777" w:rsidR="000B266B" w:rsidRPr="00A16C9B" w:rsidRDefault="000B266B" w:rsidP="0041700E">
            <w:pPr>
              <w:pStyle w:val="TableText"/>
              <w:keepNext w:val="0"/>
              <w:ind w:left="-57" w:right="-57"/>
            </w:pPr>
          </w:p>
        </w:tc>
        <w:tc>
          <w:tcPr>
            <w:tcW w:w="3124" w:type="dxa"/>
          </w:tcPr>
          <w:p w14:paraId="70BC8F58" w14:textId="77777777" w:rsidR="000B266B" w:rsidRPr="00A16C9B" w:rsidRDefault="000B266B" w:rsidP="0041700E">
            <w:pPr>
              <w:pStyle w:val="TableText"/>
              <w:keepNext w:val="0"/>
            </w:pPr>
            <w:r w:rsidRPr="00A16C9B">
              <w:rPr>
                <w:szCs w:val="20"/>
              </w:rPr>
              <w:t>Proportion responders, % (95% CI)</w:t>
            </w:r>
          </w:p>
        </w:tc>
        <w:tc>
          <w:tcPr>
            <w:tcW w:w="2121" w:type="dxa"/>
          </w:tcPr>
          <w:p w14:paraId="0CD4141D" w14:textId="77777777" w:rsidR="000B266B" w:rsidRPr="00A16C9B" w:rsidRDefault="000B266B" w:rsidP="0041700E">
            <w:pPr>
              <w:pStyle w:val="TableText"/>
              <w:keepNext w:val="0"/>
              <w:jc w:val="center"/>
            </w:pPr>
            <w:r w:rsidRPr="00A16C9B">
              <w:rPr>
                <w:szCs w:val="20"/>
              </w:rPr>
              <w:t>28.6 (16.6, 43.3)</w:t>
            </w:r>
          </w:p>
        </w:tc>
        <w:tc>
          <w:tcPr>
            <w:tcW w:w="2364" w:type="dxa"/>
          </w:tcPr>
          <w:p w14:paraId="3F145ACD" w14:textId="77777777" w:rsidR="000B266B" w:rsidRPr="00A16C9B" w:rsidRDefault="000B266B" w:rsidP="0041700E">
            <w:pPr>
              <w:pStyle w:val="TableText"/>
              <w:keepNext w:val="0"/>
              <w:jc w:val="center"/>
            </w:pPr>
            <w:r w:rsidRPr="00A16C9B">
              <w:rPr>
                <w:szCs w:val="20"/>
              </w:rPr>
              <w:t>n/a</w:t>
            </w:r>
          </w:p>
        </w:tc>
      </w:tr>
      <w:tr w:rsidR="000B266B" w:rsidRPr="00A16C9B" w14:paraId="5073FB48" w14:textId="77777777" w:rsidTr="00B678E8">
        <w:trPr>
          <w:jc w:val="center"/>
        </w:trPr>
        <w:tc>
          <w:tcPr>
            <w:tcW w:w="1271" w:type="dxa"/>
            <w:vMerge w:val="restart"/>
            <w:tcBorders>
              <w:top w:val="single" w:sz="4" w:space="0" w:color="auto"/>
              <w:left w:val="single" w:sz="4" w:space="0" w:color="auto"/>
              <w:right w:val="single" w:sz="4" w:space="0" w:color="auto"/>
            </w:tcBorders>
            <w:hideMark/>
          </w:tcPr>
          <w:p w14:paraId="24B2267D" w14:textId="77777777" w:rsidR="000B266B" w:rsidRPr="00A16C9B" w:rsidRDefault="000B266B" w:rsidP="0041700E">
            <w:pPr>
              <w:pStyle w:val="TableText"/>
              <w:keepNext w:val="0"/>
              <w:ind w:left="-57" w:right="-57"/>
              <w:rPr>
                <w:vertAlign w:val="superscript"/>
              </w:rPr>
            </w:pPr>
            <w:r w:rsidRPr="4904BCD2">
              <w:t>ALT normalisation</w:t>
            </w:r>
            <w:r w:rsidRPr="4904BCD2">
              <w:rPr>
                <w:vertAlign w:val="superscript"/>
              </w:rPr>
              <w:t>c</w:t>
            </w:r>
          </w:p>
        </w:tc>
        <w:tc>
          <w:tcPr>
            <w:tcW w:w="7609"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7B40DB" w14:textId="77777777" w:rsidR="000B266B" w:rsidRPr="00A16C9B" w:rsidRDefault="000B266B" w:rsidP="0041700E">
            <w:pPr>
              <w:pStyle w:val="TableText"/>
              <w:keepNext w:val="0"/>
              <w:jc w:val="center"/>
            </w:pPr>
            <w:r w:rsidRPr="00A16C9B">
              <w:t>Week 48 (secondary endpoint)</w:t>
            </w:r>
          </w:p>
        </w:tc>
      </w:tr>
      <w:tr w:rsidR="000B266B" w:rsidRPr="00A16C9B" w14:paraId="538F329A" w14:textId="77777777" w:rsidTr="00B678E8">
        <w:trPr>
          <w:jc w:val="center"/>
        </w:trPr>
        <w:tc>
          <w:tcPr>
            <w:tcW w:w="1271" w:type="dxa"/>
            <w:vMerge/>
            <w:hideMark/>
          </w:tcPr>
          <w:p w14:paraId="0C7BDE50" w14:textId="77777777" w:rsidR="000B266B" w:rsidRPr="00A16C9B" w:rsidRDefault="000B266B" w:rsidP="0041700E">
            <w:pPr>
              <w:pStyle w:val="TableText"/>
              <w:keepNext w:val="0"/>
              <w:ind w:left="-57"/>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0C5EC9" w14:textId="77777777" w:rsidR="000B266B" w:rsidRPr="00A16C9B" w:rsidRDefault="000B266B" w:rsidP="0041700E">
            <w:pPr>
              <w:pStyle w:val="TableText"/>
              <w:keepNext w:val="0"/>
            </w:pPr>
            <w:r w:rsidRPr="00A16C9B">
              <w:t>Number of responders</w:t>
            </w:r>
          </w:p>
        </w:tc>
        <w:tc>
          <w:tcPr>
            <w:tcW w:w="21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9CEF95" w14:textId="77777777" w:rsidR="000B266B" w:rsidRPr="00A16C9B" w:rsidRDefault="000B266B" w:rsidP="0041700E">
            <w:pPr>
              <w:pStyle w:val="TableText"/>
              <w:keepNext w:val="0"/>
              <w:jc w:val="center"/>
            </w:pPr>
            <w:r w:rsidRPr="00A16C9B">
              <w:t>25</w:t>
            </w:r>
          </w:p>
        </w:tc>
        <w:tc>
          <w:tcPr>
            <w:tcW w:w="236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9FE133" w14:textId="77777777" w:rsidR="000B266B" w:rsidRPr="00A16C9B" w:rsidRDefault="000B266B" w:rsidP="0041700E">
            <w:pPr>
              <w:pStyle w:val="TableText"/>
              <w:keepNext w:val="0"/>
              <w:jc w:val="center"/>
            </w:pPr>
            <w:r w:rsidRPr="00A16C9B">
              <w:t>6</w:t>
            </w:r>
          </w:p>
        </w:tc>
      </w:tr>
      <w:tr w:rsidR="000B266B" w:rsidRPr="00A16C9B" w14:paraId="44D08A16" w14:textId="77777777" w:rsidTr="00B678E8">
        <w:trPr>
          <w:jc w:val="center"/>
        </w:trPr>
        <w:tc>
          <w:tcPr>
            <w:tcW w:w="1271" w:type="dxa"/>
            <w:vMerge/>
            <w:hideMark/>
          </w:tcPr>
          <w:p w14:paraId="37951174" w14:textId="77777777" w:rsidR="000B266B" w:rsidRPr="00A16C9B" w:rsidRDefault="000B266B" w:rsidP="0041700E">
            <w:pPr>
              <w:pStyle w:val="TableText"/>
              <w:keepNext w:val="0"/>
              <w:ind w:left="-57"/>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CB66A8" w14:textId="77777777" w:rsidR="000B266B" w:rsidRPr="00A16C9B" w:rsidRDefault="000B266B" w:rsidP="0041700E">
            <w:pPr>
              <w:pStyle w:val="TableText"/>
              <w:keepNext w:val="0"/>
            </w:pPr>
            <w:r w:rsidRPr="00A16C9B">
              <w:t>Proportion responders, % (95% CI)</w:t>
            </w:r>
          </w:p>
        </w:tc>
        <w:tc>
          <w:tcPr>
            <w:tcW w:w="21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2E1ADD" w14:textId="77777777" w:rsidR="000B266B" w:rsidRPr="00A16C9B" w:rsidRDefault="000B266B" w:rsidP="0041700E">
            <w:pPr>
              <w:pStyle w:val="TableText"/>
              <w:keepNext w:val="0"/>
              <w:jc w:val="center"/>
            </w:pPr>
            <w:r w:rsidRPr="00A16C9B">
              <w:t>51.0 (36.3, 65.6)</w:t>
            </w:r>
          </w:p>
        </w:tc>
        <w:tc>
          <w:tcPr>
            <w:tcW w:w="236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C97669" w14:textId="77777777" w:rsidR="000B266B" w:rsidRPr="00A16C9B" w:rsidRDefault="000B266B" w:rsidP="0041700E">
            <w:pPr>
              <w:pStyle w:val="TableText"/>
              <w:keepNext w:val="0"/>
              <w:jc w:val="center"/>
            </w:pPr>
            <w:r w:rsidRPr="00A16C9B">
              <w:t>11.8 (4.4, 23.9)</w:t>
            </w:r>
          </w:p>
        </w:tc>
      </w:tr>
      <w:tr w:rsidR="000B266B" w:rsidRPr="00A16C9B" w14:paraId="6E059149" w14:textId="77777777" w:rsidTr="00B678E8">
        <w:trPr>
          <w:jc w:val="center"/>
        </w:trPr>
        <w:tc>
          <w:tcPr>
            <w:tcW w:w="1271" w:type="dxa"/>
            <w:vMerge/>
            <w:hideMark/>
          </w:tcPr>
          <w:p w14:paraId="0F4E5612" w14:textId="77777777" w:rsidR="000B266B" w:rsidRPr="00A16C9B" w:rsidRDefault="000B266B" w:rsidP="0041700E">
            <w:pPr>
              <w:pStyle w:val="TableText"/>
              <w:keepNext w:val="0"/>
              <w:ind w:left="-57"/>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48AF7A" w14:textId="77777777" w:rsidR="000B266B" w:rsidRPr="00A16C9B" w:rsidRDefault="000B266B" w:rsidP="0041700E">
            <w:pPr>
              <w:pStyle w:val="TableText"/>
              <w:keepNext w:val="0"/>
            </w:pPr>
            <w:r w:rsidRPr="37C20EEE">
              <w:t>Difference in proportions (95% CI) (bulevirtide 2 mg vs delayed treatment)</w:t>
            </w:r>
          </w:p>
        </w:tc>
        <w:tc>
          <w:tcPr>
            <w:tcW w:w="448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E80CB57" w14:textId="77777777" w:rsidR="000B266B" w:rsidRPr="00A16C9B" w:rsidRDefault="000B266B" w:rsidP="0041700E">
            <w:pPr>
              <w:pStyle w:val="TableText"/>
              <w:keepNext w:val="0"/>
              <w:jc w:val="center"/>
            </w:pPr>
            <w:r w:rsidRPr="00A16C9B">
              <w:t>39.3 (19.9, 55.8)</w:t>
            </w:r>
          </w:p>
        </w:tc>
      </w:tr>
      <w:tr w:rsidR="000B266B" w:rsidRPr="00A16C9B" w14:paraId="6EEF8E28" w14:textId="77777777" w:rsidTr="00B678E8">
        <w:trPr>
          <w:jc w:val="center"/>
        </w:trPr>
        <w:tc>
          <w:tcPr>
            <w:tcW w:w="1271" w:type="dxa"/>
            <w:vMerge/>
          </w:tcPr>
          <w:p w14:paraId="66A37EB3" w14:textId="77777777" w:rsidR="000B266B" w:rsidRPr="00A16C9B" w:rsidRDefault="000B266B" w:rsidP="0041700E">
            <w:pPr>
              <w:pStyle w:val="TableText"/>
              <w:keepNext w:val="0"/>
              <w:ind w:left="-57"/>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40897F" w14:textId="77777777" w:rsidR="000B266B" w:rsidRPr="00A16C9B" w:rsidRDefault="000B266B" w:rsidP="0041700E">
            <w:pPr>
              <w:pStyle w:val="TableText"/>
              <w:keepNext w:val="0"/>
            </w:pPr>
            <w:r w:rsidRPr="00A16C9B">
              <w:t>p-value</w:t>
            </w:r>
          </w:p>
        </w:tc>
        <w:tc>
          <w:tcPr>
            <w:tcW w:w="448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E79944" w14:textId="753C4316" w:rsidR="000B266B" w:rsidRPr="00A16C9B" w:rsidRDefault="000B266B" w:rsidP="0041700E">
            <w:pPr>
              <w:pStyle w:val="TableText"/>
              <w:keepNext w:val="0"/>
              <w:jc w:val="center"/>
            </w:pPr>
            <w:r w:rsidRPr="00A16C9B">
              <w:t>&lt;</w:t>
            </w:r>
            <w:r w:rsidR="003D0255">
              <w:t xml:space="preserve"> </w:t>
            </w:r>
            <w:r w:rsidRPr="00A16C9B">
              <w:t>0.0001</w:t>
            </w:r>
          </w:p>
        </w:tc>
      </w:tr>
      <w:tr w:rsidR="000B266B" w:rsidRPr="00A16C9B" w14:paraId="3BEE0217" w14:textId="77777777" w:rsidTr="00B678E8">
        <w:trPr>
          <w:jc w:val="center"/>
        </w:trPr>
        <w:tc>
          <w:tcPr>
            <w:tcW w:w="1271" w:type="dxa"/>
            <w:vMerge/>
          </w:tcPr>
          <w:p w14:paraId="772D872B" w14:textId="77777777" w:rsidR="000B266B" w:rsidRPr="00A16C9B" w:rsidRDefault="000B266B" w:rsidP="0041700E">
            <w:pPr>
              <w:pStyle w:val="TableText"/>
              <w:keepNext w:val="0"/>
              <w:ind w:left="-57"/>
            </w:pPr>
          </w:p>
        </w:tc>
        <w:tc>
          <w:tcPr>
            <w:tcW w:w="7609"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A77987" w14:textId="77777777" w:rsidR="000B266B" w:rsidRPr="00A16C9B" w:rsidRDefault="000B266B" w:rsidP="0041700E">
            <w:pPr>
              <w:pStyle w:val="TableText"/>
              <w:keepNext w:val="0"/>
              <w:jc w:val="center"/>
              <w:rPr>
                <w:vertAlign w:val="superscript"/>
              </w:rPr>
            </w:pPr>
            <w:r w:rsidRPr="4904BCD2">
              <w:t>Week 96 (exploratory endpoint)</w:t>
            </w:r>
            <w:r w:rsidRPr="4904BCD2">
              <w:rPr>
                <w:vertAlign w:val="superscript"/>
              </w:rPr>
              <w:t>d</w:t>
            </w:r>
          </w:p>
        </w:tc>
      </w:tr>
      <w:tr w:rsidR="000B266B" w:rsidRPr="00A16C9B" w14:paraId="580DE4F6" w14:textId="77777777" w:rsidTr="00B678E8">
        <w:trPr>
          <w:jc w:val="center"/>
        </w:trPr>
        <w:tc>
          <w:tcPr>
            <w:tcW w:w="1271" w:type="dxa"/>
            <w:vMerge/>
            <w:hideMark/>
          </w:tcPr>
          <w:p w14:paraId="34D30239" w14:textId="77777777" w:rsidR="000B266B" w:rsidRPr="00A16C9B" w:rsidRDefault="000B266B" w:rsidP="0041700E">
            <w:pPr>
              <w:pStyle w:val="TableText"/>
              <w:keepNext w:val="0"/>
              <w:ind w:left="-57"/>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0924B1" w14:textId="77777777" w:rsidR="000B266B" w:rsidRPr="00A16C9B" w:rsidRDefault="000B266B" w:rsidP="0041700E">
            <w:pPr>
              <w:pStyle w:val="TableText"/>
              <w:keepNext w:val="0"/>
            </w:pPr>
            <w:r w:rsidRPr="00A16C9B">
              <w:t>Number of responders</w:t>
            </w:r>
          </w:p>
        </w:tc>
        <w:tc>
          <w:tcPr>
            <w:tcW w:w="212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FD167ED" w14:textId="77777777" w:rsidR="000B266B" w:rsidRPr="00A16C9B" w:rsidRDefault="000B266B" w:rsidP="0041700E">
            <w:pPr>
              <w:pStyle w:val="TableText"/>
              <w:keepNext w:val="0"/>
              <w:jc w:val="center"/>
            </w:pPr>
            <w:r w:rsidRPr="00A16C9B">
              <w:t>31</w:t>
            </w:r>
          </w:p>
        </w:tc>
        <w:tc>
          <w:tcPr>
            <w:tcW w:w="236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F8CCFD4" w14:textId="77777777" w:rsidR="000B266B" w:rsidRPr="00A16C9B" w:rsidRDefault="000B266B" w:rsidP="0041700E">
            <w:pPr>
              <w:pStyle w:val="TableText"/>
              <w:keepNext w:val="0"/>
              <w:jc w:val="center"/>
            </w:pPr>
            <w:r w:rsidRPr="00A16C9B">
              <w:t>n/a</w:t>
            </w:r>
          </w:p>
        </w:tc>
      </w:tr>
      <w:tr w:rsidR="000B266B" w:rsidRPr="00A16C9B" w14:paraId="713C64A1" w14:textId="77777777" w:rsidTr="00B678E8">
        <w:trPr>
          <w:jc w:val="center"/>
        </w:trPr>
        <w:tc>
          <w:tcPr>
            <w:tcW w:w="1271" w:type="dxa"/>
            <w:vMerge/>
          </w:tcPr>
          <w:p w14:paraId="28158F67" w14:textId="77777777" w:rsidR="000B266B" w:rsidRPr="00A16C9B" w:rsidRDefault="000B266B" w:rsidP="0041700E">
            <w:pPr>
              <w:pStyle w:val="TableText"/>
              <w:keepNext w:val="0"/>
              <w:ind w:left="-57"/>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2B3AAF" w14:textId="77777777" w:rsidR="000B266B" w:rsidRPr="00A16C9B" w:rsidRDefault="000B266B" w:rsidP="0041700E">
            <w:pPr>
              <w:pStyle w:val="TableText"/>
              <w:keepNext w:val="0"/>
            </w:pPr>
            <w:r w:rsidRPr="00A16C9B">
              <w:t>Proportion responders, % (95% CI)</w:t>
            </w:r>
          </w:p>
        </w:tc>
        <w:tc>
          <w:tcPr>
            <w:tcW w:w="21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77245D" w14:textId="77777777" w:rsidR="000B266B" w:rsidRPr="00A16C9B" w:rsidRDefault="000B266B" w:rsidP="0041700E">
            <w:pPr>
              <w:pStyle w:val="TableText"/>
              <w:keepNext w:val="0"/>
              <w:jc w:val="center"/>
            </w:pPr>
            <w:r w:rsidRPr="00A16C9B">
              <w:t>63.3 (48.3, 76.6)</w:t>
            </w:r>
          </w:p>
        </w:tc>
        <w:tc>
          <w:tcPr>
            <w:tcW w:w="236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BAE6FD" w14:textId="77777777" w:rsidR="000B266B" w:rsidRPr="00A16C9B" w:rsidRDefault="000B266B" w:rsidP="0041700E">
            <w:pPr>
              <w:pStyle w:val="TableText"/>
              <w:keepNext w:val="0"/>
              <w:jc w:val="center"/>
            </w:pPr>
            <w:r w:rsidRPr="00A16C9B">
              <w:t>n/a</w:t>
            </w:r>
          </w:p>
        </w:tc>
      </w:tr>
      <w:tr w:rsidR="000B266B" w:rsidRPr="00A16C9B" w14:paraId="4C9D8730" w14:textId="77777777" w:rsidTr="00B678E8">
        <w:trPr>
          <w:jc w:val="center"/>
        </w:trPr>
        <w:tc>
          <w:tcPr>
            <w:tcW w:w="1271" w:type="dxa"/>
            <w:vMerge/>
          </w:tcPr>
          <w:p w14:paraId="34ED63D5" w14:textId="77777777" w:rsidR="000B266B" w:rsidRPr="00A16C9B" w:rsidRDefault="000B266B" w:rsidP="0041700E">
            <w:pPr>
              <w:pStyle w:val="TableText"/>
              <w:keepNext w:val="0"/>
              <w:ind w:left="-57"/>
            </w:pPr>
          </w:p>
        </w:tc>
        <w:tc>
          <w:tcPr>
            <w:tcW w:w="7609" w:type="dxa"/>
            <w:gridSpan w:val="3"/>
            <w:tcBorders>
              <w:top w:val="single" w:sz="4" w:space="0" w:color="auto"/>
              <w:left w:val="single" w:sz="4" w:space="0" w:color="auto"/>
              <w:bottom w:val="single" w:sz="4" w:space="0" w:color="auto"/>
              <w:right w:val="single" w:sz="4" w:space="0" w:color="auto"/>
            </w:tcBorders>
          </w:tcPr>
          <w:p w14:paraId="121BB939" w14:textId="77777777" w:rsidR="000B266B" w:rsidRPr="00A16C9B" w:rsidRDefault="000B266B" w:rsidP="0041700E">
            <w:pPr>
              <w:pStyle w:val="TableText"/>
              <w:keepNext w:val="0"/>
              <w:jc w:val="center"/>
              <w:rPr>
                <w:vertAlign w:val="superscript"/>
              </w:rPr>
            </w:pPr>
            <w:r w:rsidRPr="4904BCD2">
              <w:t>Week 144 (exploratory endpoint)</w:t>
            </w:r>
            <w:r w:rsidRPr="4904BCD2">
              <w:rPr>
                <w:vertAlign w:val="superscript"/>
              </w:rPr>
              <w:t>d</w:t>
            </w:r>
          </w:p>
        </w:tc>
      </w:tr>
      <w:tr w:rsidR="000B266B" w:rsidRPr="00A16C9B" w14:paraId="274FE3B0" w14:textId="77777777" w:rsidTr="00B678E8">
        <w:trPr>
          <w:jc w:val="center"/>
        </w:trPr>
        <w:tc>
          <w:tcPr>
            <w:tcW w:w="1271" w:type="dxa"/>
            <w:vMerge/>
          </w:tcPr>
          <w:p w14:paraId="52582137" w14:textId="77777777" w:rsidR="000B266B" w:rsidRPr="00A16C9B" w:rsidRDefault="000B266B" w:rsidP="0041700E">
            <w:pPr>
              <w:pStyle w:val="TableText"/>
              <w:keepNext w:val="0"/>
              <w:ind w:left="-57"/>
            </w:pPr>
          </w:p>
        </w:tc>
        <w:tc>
          <w:tcPr>
            <w:tcW w:w="3124" w:type="dxa"/>
          </w:tcPr>
          <w:p w14:paraId="19FF2096" w14:textId="77777777" w:rsidR="000B266B" w:rsidRPr="00A16C9B" w:rsidRDefault="000B266B" w:rsidP="0041700E">
            <w:pPr>
              <w:pStyle w:val="TableText"/>
              <w:keepNext w:val="0"/>
            </w:pPr>
            <w:r w:rsidRPr="00A16C9B">
              <w:rPr>
                <w:rFonts w:eastAsia="Calibri" w:cstheme="minorHAnsi"/>
                <w:snapToGrid w:val="0"/>
                <w:szCs w:val="20"/>
              </w:rPr>
              <w:t xml:space="preserve">Number of responders </w:t>
            </w:r>
          </w:p>
        </w:tc>
        <w:tc>
          <w:tcPr>
            <w:tcW w:w="2121" w:type="dxa"/>
          </w:tcPr>
          <w:p w14:paraId="6B91D9A8" w14:textId="77777777" w:rsidR="000B266B" w:rsidRPr="00A16C9B" w:rsidRDefault="000B266B" w:rsidP="0041700E">
            <w:pPr>
              <w:pStyle w:val="TableText"/>
              <w:keepNext w:val="0"/>
              <w:jc w:val="center"/>
            </w:pPr>
            <w:r w:rsidRPr="00A16C9B">
              <w:rPr>
                <w:rFonts w:eastAsia="Calibri" w:cstheme="minorHAnsi"/>
                <w:snapToGrid w:val="0"/>
                <w:szCs w:val="20"/>
              </w:rPr>
              <w:t>29</w:t>
            </w:r>
          </w:p>
        </w:tc>
        <w:tc>
          <w:tcPr>
            <w:tcW w:w="2364" w:type="dxa"/>
          </w:tcPr>
          <w:p w14:paraId="5557E097" w14:textId="77777777" w:rsidR="000B266B" w:rsidRPr="00A16C9B" w:rsidRDefault="000B266B" w:rsidP="0041700E">
            <w:pPr>
              <w:pStyle w:val="TableText"/>
              <w:keepNext w:val="0"/>
              <w:jc w:val="center"/>
            </w:pPr>
            <w:r w:rsidRPr="00A16C9B">
              <w:rPr>
                <w:rFonts w:eastAsia="Calibri" w:cstheme="minorHAnsi"/>
                <w:snapToGrid w:val="0"/>
                <w:szCs w:val="20"/>
              </w:rPr>
              <w:t>n/a</w:t>
            </w:r>
          </w:p>
        </w:tc>
      </w:tr>
      <w:tr w:rsidR="000B266B" w:rsidRPr="00A16C9B" w14:paraId="2DCF8091" w14:textId="77777777" w:rsidTr="00B678E8">
        <w:trPr>
          <w:jc w:val="center"/>
        </w:trPr>
        <w:tc>
          <w:tcPr>
            <w:tcW w:w="1271" w:type="dxa"/>
            <w:vMerge/>
          </w:tcPr>
          <w:p w14:paraId="3EDEA0D1" w14:textId="77777777" w:rsidR="000B266B" w:rsidRPr="00A16C9B" w:rsidRDefault="000B266B" w:rsidP="0041700E">
            <w:pPr>
              <w:pStyle w:val="TableText"/>
              <w:keepNext w:val="0"/>
              <w:ind w:left="-57"/>
            </w:pPr>
          </w:p>
        </w:tc>
        <w:tc>
          <w:tcPr>
            <w:tcW w:w="3124" w:type="dxa"/>
          </w:tcPr>
          <w:p w14:paraId="7DCC4F82" w14:textId="77777777" w:rsidR="000B266B" w:rsidRPr="00A16C9B" w:rsidRDefault="000B266B" w:rsidP="0041700E">
            <w:pPr>
              <w:pStyle w:val="TableText"/>
              <w:keepNext w:val="0"/>
            </w:pPr>
            <w:r w:rsidRPr="00A16C9B">
              <w:rPr>
                <w:rFonts w:eastAsia="Calibri" w:cstheme="minorHAnsi"/>
                <w:snapToGrid w:val="0"/>
                <w:szCs w:val="20"/>
              </w:rPr>
              <w:t>Proportion responders, % (95% CI)</w:t>
            </w:r>
          </w:p>
        </w:tc>
        <w:tc>
          <w:tcPr>
            <w:tcW w:w="2121" w:type="dxa"/>
          </w:tcPr>
          <w:p w14:paraId="22132969" w14:textId="77777777" w:rsidR="000B266B" w:rsidRPr="00A16C9B" w:rsidRDefault="000B266B" w:rsidP="0041700E">
            <w:pPr>
              <w:pStyle w:val="TableText"/>
              <w:keepNext w:val="0"/>
              <w:jc w:val="center"/>
            </w:pPr>
            <w:r w:rsidRPr="00A16C9B">
              <w:rPr>
                <w:rFonts w:eastAsia="Calibri" w:cstheme="minorHAnsi"/>
                <w:snapToGrid w:val="0"/>
                <w:szCs w:val="20"/>
              </w:rPr>
              <w:t>59.2 (42.2. 73.0)</w:t>
            </w:r>
          </w:p>
        </w:tc>
        <w:tc>
          <w:tcPr>
            <w:tcW w:w="2364" w:type="dxa"/>
          </w:tcPr>
          <w:p w14:paraId="54286C4C" w14:textId="77777777" w:rsidR="000B266B" w:rsidRPr="00A16C9B" w:rsidRDefault="000B266B" w:rsidP="0041700E">
            <w:pPr>
              <w:pStyle w:val="TableText"/>
              <w:keepNext w:val="0"/>
              <w:jc w:val="center"/>
            </w:pPr>
            <w:r w:rsidRPr="00A16C9B">
              <w:rPr>
                <w:rFonts w:eastAsia="Calibri" w:cstheme="minorHAnsi"/>
                <w:snapToGrid w:val="0"/>
                <w:szCs w:val="20"/>
              </w:rPr>
              <w:t>n/a</w:t>
            </w:r>
          </w:p>
        </w:tc>
      </w:tr>
      <w:tr w:rsidR="000B266B" w:rsidRPr="00A16C9B" w14:paraId="0937361D" w14:textId="77777777" w:rsidTr="00B678E8">
        <w:trPr>
          <w:jc w:val="center"/>
        </w:trPr>
        <w:tc>
          <w:tcPr>
            <w:tcW w:w="1271" w:type="dxa"/>
            <w:vMerge w:val="restart"/>
            <w:tcBorders>
              <w:top w:val="single" w:sz="4" w:space="0" w:color="auto"/>
              <w:left w:val="single" w:sz="4" w:space="0" w:color="auto"/>
              <w:right w:val="single" w:sz="4" w:space="0" w:color="auto"/>
            </w:tcBorders>
          </w:tcPr>
          <w:p w14:paraId="0C84162B" w14:textId="77777777" w:rsidR="000B266B" w:rsidRPr="00A16C9B" w:rsidRDefault="000B266B" w:rsidP="0041700E">
            <w:pPr>
              <w:pStyle w:val="TableText"/>
              <w:keepLines/>
              <w:ind w:left="-57"/>
            </w:pPr>
            <w:r w:rsidRPr="00A16C9B">
              <w:lastRenderedPageBreak/>
              <w:t>Change in liver stiffness from baseline</w:t>
            </w:r>
          </w:p>
        </w:tc>
        <w:tc>
          <w:tcPr>
            <w:tcW w:w="7609"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531AC8" w14:textId="77777777" w:rsidR="000B266B" w:rsidRPr="00A16C9B" w:rsidRDefault="000B266B" w:rsidP="0041700E">
            <w:pPr>
              <w:pStyle w:val="TableText"/>
              <w:keepLines/>
              <w:jc w:val="center"/>
            </w:pPr>
            <w:r w:rsidRPr="00A16C9B">
              <w:t>Week 48 (secondary endpoint)</w:t>
            </w:r>
          </w:p>
        </w:tc>
      </w:tr>
      <w:tr w:rsidR="000B266B" w:rsidRPr="00A16C9B" w14:paraId="7C73748A" w14:textId="77777777" w:rsidTr="00B678E8">
        <w:trPr>
          <w:jc w:val="center"/>
        </w:trPr>
        <w:tc>
          <w:tcPr>
            <w:tcW w:w="1271" w:type="dxa"/>
            <w:vMerge/>
          </w:tcPr>
          <w:p w14:paraId="2623A6A4" w14:textId="77777777" w:rsidR="000B266B" w:rsidRPr="00A16C9B" w:rsidRDefault="000B266B" w:rsidP="0041700E">
            <w:pPr>
              <w:pStyle w:val="TableText"/>
              <w:keepLines/>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BCAC95" w14:textId="77777777" w:rsidR="000B266B" w:rsidRPr="00A16C9B" w:rsidRDefault="000B266B" w:rsidP="0041700E">
            <w:pPr>
              <w:pStyle w:val="TableText"/>
              <w:keepLines/>
            </w:pPr>
            <w:r w:rsidRPr="00A16C9B">
              <w:t>Baseline means (SD), kPa</w:t>
            </w:r>
          </w:p>
        </w:tc>
        <w:tc>
          <w:tcPr>
            <w:tcW w:w="21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35A327" w14:textId="77777777" w:rsidR="000B266B" w:rsidRPr="00A16C9B" w:rsidRDefault="000B266B" w:rsidP="0041700E">
            <w:pPr>
              <w:pStyle w:val="TableText"/>
              <w:keepLines/>
              <w:jc w:val="center"/>
            </w:pPr>
            <w:r w:rsidRPr="00A16C9B">
              <w:t>14.0 (8.2)</w:t>
            </w:r>
          </w:p>
        </w:tc>
        <w:tc>
          <w:tcPr>
            <w:tcW w:w="236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C0CC89" w14:textId="77777777" w:rsidR="000B266B" w:rsidRPr="00A16C9B" w:rsidRDefault="000B266B" w:rsidP="0041700E">
            <w:pPr>
              <w:pStyle w:val="TableText"/>
              <w:keepLines/>
              <w:jc w:val="center"/>
            </w:pPr>
            <w:r w:rsidRPr="00A16C9B">
              <w:t>15.3 (9.0)</w:t>
            </w:r>
          </w:p>
        </w:tc>
      </w:tr>
      <w:tr w:rsidR="000B266B" w:rsidRPr="00A16C9B" w14:paraId="19CDC8B7" w14:textId="77777777" w:rsidTr="00B678E8">
        <w:trPr>
          <w:jc w:val="center"/>
        </w:trPr>
        <w:tc>
          <w:tcPr>
            <w:tcW w:w="1271" w:type="dxa"/>
            <w:vMerge/>
          </w:tcPr>
          <w:p w14:paraId="744ACAFD" w14:textId="77777777" w:rsidR="000B266B" w:rsidRPr="00A16C9B" w:rsidRDefault="000B266B" w:rsidP="0041700E">
            <w:pPr>
              <w:pStyle w:val="TableText"/>
              <w:keepNext w:val="0"/>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5A4BA9" w14:textId="77777777" w:rsidR="000B266B" w:rsidRPr="00A16C9B" w:rsidRDefault="000B266B" w:rsidP="0041700E">
            <w:pPr>
              <w:pStyle w:val="TableText"/>
              <w:keepNext w:val="0"/>
            </w:pPr>
            <w:r w:rsidRPr="00A16C9B">
              <w:t>Number of participants in analysis</w:t>
            </w:r>
          </w:p>
        </w:tc>
        <w:tc>
          <w:tcPr>
            <w:tcW w:w="21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15870F" w14:textId="77777777" w:rsidR="000B266B" w:rsidRPr="00A16C9B" w:rsidRDefault="000B266B" w:rsidP="0041700E">
            <w:pPr>
              <w:pStyle w:val="TableText"/>
              <w:keepNext w:val="0"/>
              <w:jc w:val="center"/>
            </w:pPr>
            <w:r w:rsidRPr="00A16C9B">
              <w:t>48</w:t>
            </w:r>
          </w:p>
        </w:tc>
        <w:tc>
          <w:tcPr>
            <w:tcW w:w="236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EB1D3F" w14:textId="77777777" w:rsidR="000B266B" w:rsidRPr="00A16C9B" w:rsidRDefault="000B266B" w:rsidP="0041700E">
            <w:pPr>
              <w:pStyle w:val="TableText"/>
              <w:keepNext w:val="0"/>
              <w:jc w:val="center"/>
            </w:pPr>
            <w:r w:rsidRPr="00A16C9B">
              <w:t>45</w:t>
            </w:r>
          </w:p>
        </w:tc>
      </w:tr>
      <w:tr w:rsidR="000B266B" w:rsidRPr="00A16C9B" w14:paraId="781924F3" w14:textId="77777777" w:rsidTr="00B678E8">
        <w:trPr>
          <w:jc w:val="center"/>
        </w:trPr>
        <w:tc>
          <w:tcPr>
            <w:tcW w:w="1271" w:type="dxa"/>
            <w:vMerge/>
          </w:tcPr>
          <w:p w14:paraId="0699CB42" w14:textId="77777777" w:rsidR="000B266B" w:rsidRPr="00A16C9B" w:rsidRDefault="000B266B" w:rsidP="0041700E">
            <w:pPr>
              <w:pStyle w:val="TableText"/>
              <w:keepNext w:val="0"/>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174DFC" w14:textId="77777777" w:rsidR="000B266B" w:rsidRPr="00A16C9B" w:rsidRDefault="000B266B" w:rsidP="0041700E">
            <w:pPr>
              <w:pStyle w:val="TableText"/>
              <w:keepNext w:val="0"/>
            </w:pPr>
            <w:r w:rsidRPr="00A16C9B">
              <w:t>Least square means (95%CI)</w:t>
            </w:r>
          </w:p>
        </w:tc>
        <w:tc>
          <w:tcPr>
            <w:tcW w:w="21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17A06C" w14:textId="77777777" w:rsidR="000B266B" w:rsidRPr="00A16C9B" w:rsidRDefault="000B266B" w:rsidP="0041700E">
            <w:pPr>
              <w:pStyle w:val="TableText"/>
              <w:keepNext w:val="0"/>
              <w:jc w:val="center"/>
            </w:pPr>
            <w:r w:rsidRPr="00A16C9B">
              <w:t>−3.1 (−4.7, −1.5)</w:t>
            </w:r>
          </w:p>
        </w:tc>
        <w:tc>
          <w:tcPr>
            <w:tcW w:w="236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72544E" w14:textId="77777777" w:rsidR="000B266B" w:rsidRPr="00A16C9B" w:rsidRDefault="000B266B" w:rsidP="0041700E">
            <w:pPr>
              <w:pStyle w:val="TableText"/>
              <w:keepNext w:val="0"/>
              <w:jc w:val="center"/>
            </w:pPr>
            <w:r w:rsidRPr="00A16C9B">
              <w:t>0.9 (−0.8, 2.6)</w:t>
            </w:r>
          </w:p>
        </w:tc>
      </w:tr>
      <w:tr w:rsidR="000B266B" w:rsidRPr="00A16C9B" w14:paraId="26325694" w14:textId="77777777" w:rsidTr="00B678E8">
        <w:trPr>
          <w:jc w:val="center"/>
        </w:trPr>
        <w:tc>
          <w:tcPr>
            <w:tcW w:w="1271" w:type="dxa"/>
            <w:vMerge/>
          </w:tcPr>
          <w:p w14:paraId="77AB7EC7" w14:textId="77777777" w:rsidR="000B266B" w:rsidRPr="00A16C9B" w:rsidRDefault="000B266B" w:rsidP="0041700E">
            <w:pPr>
              <w:pStyle w:val="TableText"/>
              <w:keepNext w:val="0"/>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2B85EB" w14:textId="77777777" w:rsidR="000B266B" w:rsidRPr="00A16C9B" w:rsidRDefault="000B266B" w:rsidP="0041700E">
            <w:pPr>
              <w:pStyle w:val="TableText"/>
              <w:keepNext w:val="0"/>
            </w:pPr>
            <w:r w:rsidRPr="37C20EEE">
              <w:t>Difference in least square means (95% CI) (bulevirtide 2 mg vs delayed treatment)</w:t>
            </w:r>
          </w:p>
        </w:tc>
        <w:tc>
          <w:tcPr>
            <w:tcW w:w="448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BD31F4" w14:textId="77777777" w:rsidR="000B266B" w:rsidRPr="00A16C9B" w:rsidRDefault="000B266B" w:rsidP="0041700E">
            <w:pPr>
              <w:pStyle w:val="TableText"/>
              <w:keepNext w:val="0"/>
              <w:jc w:val="center"/>
            </w:pPr>
            <w:r w:rsidRPr="00A16C9B">
              <w:t>−4.0 (−6.3, −1.6)</w:t>
            </w:r>
          </w:p>
        </w:tc>
      </w:tr>
      <w:tr w:rsidR="000B266B" w:rsidRPr="00A16C9B" w14:paraId="77433952" w14:textId="77777777" w:rsidTr="00B678E8">
        <w:trPr>
          <w:jc w:val="center"/>
        </w:trPr>
        <w:tc>
          <w:tcPr>
            <w:tcW w:w="1271" w:type="dxa"/>
            <w:vMerge/>
          </w:tcPr>
          <w:p w14:paraId="743025AF" w14:textId="77777777" w:rsidR="000B266B" w:rsidRPr="00A16C9B" w:rsidRDefault="000B266B" w:rsidP="0041700E">
            <w:pPr>
              <w:pStyle w:val="TableText"/>
              <w:keepNext w:val="0"/>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229412" w14:textId="77777777" w:rsidR="000B266B" w:rsidRPr="00A16C9B" w:rsidRDefault="000B266B" w:rsidP="0041700E">
            <w:pPr>
              <w:pStyle w:val="TableText"/>
              <w:keepNext w:val="0"/>
            </w:pPr>
            <w:r w:rsidRPr="00A16C9B">
              <w:t>p-value</w:t>
            </w:r>
          </w:p>
        </w:tc>
        <w:tc>
          <w:tcPr>
            <w:tcW w:w="448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976D27" w14:textId="77777777" w:rsidR="000B266B" w:rsidRPr="00A16C9B" w:rsidRDefault="000B266B" w:rsidP="0041700E">
            <w:pPr>
              <w:pStyle w:val="TableText"/>
              <w:keepNext w:val="0"/>
              <w:jc w:val="center"/>
            </w:pPr>
            <w:r w:rsidRPr="00A16C9B">
              <w:t>0.0010</w:t>
            </w:r>
          </w:p>
        </w:tc>
      </w:tr>
      <w:tr w:rsidR="000B266B" w:rsidRPr="00A16C9B" w14:paraId="1D691288" w14:textId="77777777" w:rsidTr="00B678E8">
        <w:trPr>
          <w:jc w:val="center"/>
        </w:trPr>
        <w:tc>
          <w:tcPr>
            <w:tcW w:w="1271" w:type="dxa"/>
            <w:vMerge/>
          </w:tcPr>
          <w:p w14:paraId="68FAFBEB" w14:textId="77777777" w:rsidR="000B266B" w:rsidRPr="00A16C9B" w:rsidRDefault="000B266B" w:rsidP="0041700E">
            <w:pPr>
              <w:pStyle w:val="TableText"/>
              <w:keepNext w:val="0"/>
            </w:pPr>
          </w:p>
        </w:tc>
        <w:tc>
          <w:tcPr>
            <w:tcW w:w="7609"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9F4D65" w14:textId="77777777" w:rsidR="000B266B" w:rsidRPr="00A16C9B" w:rsidRDefault="000B266B" w:rsidP="0041700E">
            <w:pPr>
              <w:pStyle w:val="TableText"/>
              <w:keepNext w:val="0"/>
              <w:jc w:val="center"/>
              <w:rPr>
                <w:vertAlign w:val="superscript"/>
              </w:rPr>
            </w:pPr>
            <w:r w:rsidRPr="4904BCD2">
              <w:t>Week 96 (secondary endpoint)</w:t>
            </w:r>
            <w:r w:rsidRPr="4904BCD2">
              <w:rPr>
                <w:vertAlign w:val="superscript"/>
              </w:rPr>
              <w:t>d</w:t>
            </w:r>
          </w:p>
        </w:tc>
      </w:tr>
      <w:tr w:rsidR="000B266B" w:rsidRPr="00A16C9B" w14:paraId="1622D751" w14:textId="77777777" w:rsidTr="00B678E8">
        <w:trPr>
          <w:jc w:val="center"/>
        </w:trPr>
        <w:tc>
          <w:tcPr>
            <w:tcW w:w="1271" w:type="dxa"/>
            <w:vMerge/>
          </w:tcPr>
          <w:p w14:paraId="62F8A22D" w14:textId="77777777" w:rsidR="000B266B" w:rsidRPr="00A16C9B" w:rsidRDefault="000B266B" w:rsidP="0041700E">
            <w:pPr>
              <w:pStyle w:val="TableText"/>
              <w:keepNext w:val="0"/>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729014" w14:textId="77777777" w:rsidR="000B266B" w:rsidRPr="00A16C9B" w:rsidRDefault="000B266B" w:rsidP="0041700E">
            <w:pPr>
              <w:pStyle w:val="TableText"/>
              <w:keepNext w:val="0"/>
            </w:pPr>
            <w:r w:rsidRPr="00A16C9B">
              <w:t>Number of participants in analysis</w:t>
            </w:r>
          </w:p>
        </w:tc>
        <w:tc>
          <w:tcPr>
            <w:tcW w:w="21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0E5983" w14:textId="77777777" w:rsidR="000B266B" w:rsidRPr="00A16C9B" w:rsidRDefault="000B266B" w:rsidP="0041700E">
            <w:pPr>
              <w:pStyle w:val="TableText"/>
              <w:keepNext w:val="0"/>
              <w:jc w:val="center"/>
            </w:pPr>
            <w:r w:rsidRPr="00A16C9B">
              <w:t>48</w:t>
            </w:r>
          </w:p>
        </w:tc>
        <w:tc>
          <w:tcPr>
            <w:tcW w:w="236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8CAF03" w14:textId="77777777" w:rsidR="000B266B" w:rsidRPr="00A16C9B" w:rsidRDefault="000B266B" w:rsidP="0041700E">
            <w:pPr>
              <w:pStyle w:val="TableText"/>
              <w:keepNext w:val="0"/>
              <w:jc w:val="center"/>
            </w:pPr>
            <w:r w:rsidRPr="00A16C9B">
              <w:t>n/a</w:t>
            </w:r>
          </w:p>
        </w:tc>
      </w:tr>
      <w:tr w:rsidR="000B266B" w:rsidRPr="00A16C9B" w14:paraId="5639EC4B" w14:textId="77777777" w:rsidTr="00B678E8">
        <w:trPr>
          <w:jc w:val="center"/>
        </w:trPr>
        <w:tc>
          <w:tcPr>
            <w:tcW w:w="1271" w:type="dxa"/>
            <w:vMerge/>
          </w:tcPr>
          <w:p w14:paraId="51AAF982" w14:textId="77777777" w:rsidR="000B266B" w:rsidRPr="00A16C9B" w:rsidRDefault="000B266B" w:rsidP="0041700E">
            <w:pPr>
              <w:pStyle w:val="TableText"/>
              <w:keepNext w:val="0"/>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32BF77" w14:textId="77777777" w:rsidR="000B266B" w:rsidRPr="00A16C9B" w:rsidRDefault="000B266B" w:rsidP="0041700E">
            <w:pPr>
              <w:pStyle w:val="TableText"/>
              <w:keepNext w:val="0"/>
            </w:pPr>
            <w:r w:rsidRPr="00A16C9B">
              <w:t>Least square means (95% CI)</w:t>
            </w:r>
          </w:p>
        </w:tc>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tcPr>
          <w:p w14:paraId="60E8021C" w14:textId="77777777" w:rsidR="000B266B" w:rsidRPr="00A16C9B" w:rsidRDefault="000B266B" w:rsidP="0041700E">
            <w:pPr>
              <w:pStyle w:val="TableText"/>
              <w:keepNext w:val="0"/>
              <w:jc w:val="center"/>
            </w:pPr>
            <w:r w:rsidRPr="00A16C9B">
              <w:t>-4.3 (-5.5, -3.1)</w:t>
            </w:r>
          </w:p>
        </w:tc>
        <w:tc>
          <w:tcPr>
            <w:tcW w:w="236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A5C9C2" w14:textId="77777777" w:rsidR="000B266B" w:rsidRPr="00A16C9B" w:rsidRDefault="000B266B" w:rsidP="0041700E">
            <w:pPr>
              <w:pStyle w:val="TableText"/>
              <w:keepNext w:val="0"/>
              <w:jc w:val="center"/>
            </w:pPr>
            <w:r w:rsidRPr="00A16C9B">
              <w:t>n/a</w:t>
            </w:r>
          </w:p>
        </w:tc>
      </w:tr>
      <w:tr w:rsidR="000B266B" w:rsidRPr="00A16C9B" w14:paraId="1EA03C99" w14:textId="77777777" w:rsidTr="00B678E8">
        <w:trPr>
          <w:jc w:val="center"/>
        </w:trPr>
        <w:tc>
          <w:tcPr>
            <w:tcW w:w="1271" w:type="dxa"/>
            <w:vMerge/>
          </w:tcPr>
          <w:p w14:paraId="072AEAC4" w14:textId="77777777" w:rsidR="000B266B" w:rsidRPr="00A16C9B" w:rsidRDefault="000B266B" w:rsidP="0041700E">
            <w:pPr>
              <w:pStyle w:val="TableText"/>
              <w:keepNext w:val="0"/>
            </w:pPr>
          </w:p>
        </w:tc>
        <w:tc>
          <w:tcPr>
            <w:tcW w:w="7609" w:type="dxa"/>
            <w:gridSpan w:val="3"/>
            <w:tcBorders>
              <w:top w:val="single" w:sz="4" w:space="0" w:color="auto"/>
              <w:left w:val="single" w:sz="4" w:space="0" w:color="auto"/>
              <w:bottom w:val="single" w:sz="4" w:space="0" w:color="auto"/>
              <w:right w:val="single" w:sz="4" w:space="0" w:color="auto"/>
            </w:tcBorders>
          </w:tcPr>
          <w:p w14:paraId="147D1BCD" w14:textId="77777777" w:rsidR="000B266B" w:rsidRPr="00A16C9B" w:rsidRDefault="000B266B" w:rsidP="0041700E">
            <w:pPr>
              <w:pStyle w:val="TableText"/>
              <w:keepNext w:val="0"/>
              <w:jc w:val="center"/>
              <w:rPr>
                <w:vertAlign w:val="superscript"/>
              </w:rPr>
            </w:pPr>
            <w:r w:rsidRPr="4904BCD2">
              <w:t>Week 144 (secondary endpoint)</w:t>
            </w:r>
            <w:r w:rsidRPr="4904BCD2">
              <w:rPr>
                <w:vertAlign w:val="superscript"/>
              </w:rPr>
              <w:t>d</w:t>
            </w:r>
          </w:p>
        </w:tc>
      </w:tr>
      <w:tr w:rsidR="000B266B" w:rsidRPr="00A16C9B" w14:paraId="5FF0BBE9" w14:textId="77777777" w:rsidTr="00B678E8">
        <w:trPr>
          <w:jc w:val="center"/>
        </w:trPr>
        <w:tc>
          <w:tcPr>
            <w:tcW w:w="1271" w:type="dxa"/>
            <w:vMerge/>
          </w:tcPr>
          <w:p w14:paraId="04418B1C" w14:textId="77777777" w:rsidR="000B266B" w:rsidRPr="00A16C9B" w:rsidRDefault="000B266B" w:rsidP="0041700E">
            <w:pPr>
              <w:pStyle w:val="TableText"/>
              <w:keepNext w:val="0"/>
            </w:pPr>
          </w:p>
        </w:tc>
        <w:tc>
          <w:tcPr>
            <w:tcW w:w="3124" w:type="dxa"/>
          </w:tcPr>
          <w:p w14:paraId="61825642" w14:textId="77777777" w:rsidR="000B266B" w:rsidRPr="00A16C9B" w:rsidRDefault="000B266B" w:rsidP="0041700E">
            <w:pPr>
              <w:pStyle w:val="TableText"/>
              <w:keepNext w:val="0"/>
            </w:pPr>
            <w:r w:rsidRPr="00A16C9B">
              <w:rPr>
                <w:rFonts w:eastAsia="Calibri" w:cstheme="minorHAnsi"/>
                <w:snapToGrid w:val="0"/>
                <w:szCs w:val="20"/>
              </w:rPr>
              <w:t xml:space="preserve">Number of participants in analysis </w:t>
            </w:r>
          </w:p>
        </w:tc>
        <w:tc>
          <w:tcPr>
            <w:tcW w:w="2121" w:type="dxa"/>
          </w:tcPr>
          <w:p w14:paraId="60341ECE" w14:textId="77777777" w:rsidR="000B266B" w:rsidRPr="00A16C9B" w:rsidRDefault="000B266B" w:rsidP="0041700E">
            <w:pPr>
              <w:pStyle w:val="TableText"/>
              <w:keepNext w:val="0"/>
              <w:jc w:val="center"/>
            </w:pPr>
            <w:r w:rsidRPr="00A16C9B">
              <w:rPr>
                <w:rFonts w:eastAsia="Calibri" w:cstheme="minorHAnsi"/>
                <w:snapToGrid w:val="0"/>
                <w:szCs w:val="20"/>
              </w:rPr>
              <w:t>45</w:t>
            </w:r>
          </w:p>
        </w:tc>
        <w:tc>
          <w:tcPr>
            <w:tcW w:w="2364" w:type="dxa"/>
          </w:tcPr>
          <w:p w14:paraId="4A8EB634" w14:textId="77777777" w:rsidR="000B266B" w:rsidRPr="00A16C9B" w:rsidRDefault="000B266B" w:rsidP="0041700E">
            <w:pPr>
              <w:pStyle w:val="TableText"/>
              <w:keepNext w:val="0"/>
              <w:jc w:val="center"/>
            </w:pPr>
            <w:r w:rsidRPr="00A16C9B">
              <w:rPr>
                <w:rFonts w:eastAsia="Calibri" w:cstheme="minorHAnsi"/>
                <w:snapToGrid w:val="0"/>
                <w:szCs w:val="20"/>
              </w:rPr>
              <w:t>n/a</w:t>
            </w:r>
          </w:p>
        </w:tc>
      </w:tr>
      <w:tr w:rsidR="000B266B" w:rsidRPr="00A16C9B" w14:paraId="1801C7A4" w14:textId="77777777" w:rsidTr="00B678E8">
        <w:trPr>
          <w:jc w:val="center"/>
        </w:trPr>
        <w:tc>
          <w:tcPr>
            <w:tcW w:w="1271" w:type="dxa"/>
            <w:vMerge/>
          </w:tcPr>
          <w:p w14:paraId="3165BD60" w14:textId="77777777" w:rsidR="000B266B" w:rsidRPr="00A16C9B" w:rsidRDefault="000B266B" w:rsidP="0041700E">
            <w:pPr>
              <w:pStyle w:val="TableText"/>
              <w:keepNext w:val="0"/>
            </w:pPr>
          </w:p>
        </w:tc>
        <w:tc>
          <w:tcPr>
            <w:tcW w:w="3124" w:type="dxa"/>
          </w:tcPr>
          <w:p w14:paraId="271EDCA6" w14:textId="77777777" w:rsidR="000B266B" w:rsidRPr="00A16C9B" w:rsidRDefault="000B266B" w:rsidP="0041700E">
            <w:pPr>
              <w:pStyle w:val="TableText"/>
              <w:keepNext w:val="0"/>
            </w:pPr>
            <w:r w:rsidRPr="00A16C9B">
              <w:rPr>
                <w:rFonts w:eastAsia="Calibri" w:cstheme="minorHAnsi"/>
                <w:snapToGrid w:val="0"/>
                <w:szCs w:val="20"/>
              </w:rPr>
              <w:t>LS mean (95% CI)</w:t>
            </w:r>
          </w:p>
        </w:tc>
        <w:tc>
          <w:tcPr>
            <w:tcW w:w="2121" w:type="dxa"/>
          </w:tcPr>
          <w:p w14:paraId="66039ECC" w14:textId="77777777" w:rsidR="000B266B" w:rsidRPr="00A16C9B" w:rsidRDefault="000B266B" w:rsidP="0041700E">
            <w:pPr>
              <w:pStyle w:val="TableText"/>
              <w:keepNext w:val="0"/>
              <w:jc w:val="center"/>
            </w:pPr>
            <w:r w:rsidRPr="00A16C9B">
              <w:rPr>
                <w:rFonts w:eastAsia="Calibri" w:cstheme="minorHAnsi"/>
                <w:snapToGrid w:val="0"/>
                <w:szCs w:val="20"/>
              </w:rPr>
              <w:t>-5.22 (-6.8, -3.6)</w:t>
            </w:r>
          </w:p>
        </w:tc>
        <w:tc>
          <w:tcPr>
            <w:tcW w:w="2364" w:type="dxa"/>
          </w:tcPr>
          <w:p w14:paraId="33EFF7CA" w14:textId="77777777" w:rsidR="000B266B" w:rsidRPr="00A16C9B" w:rsidRDefault="000B266B" w:rsidP="0041700E">
            <w:pPr>
              <w:pStyle w:val="TableText"/>
              <w:keepNext w:val="0"/>
              <w:jc w:val="center"/>
            </w:pPr>
            <w:r w:rsidRPr="00A16C9B">
              <w:rPr>
                <w:rFonts w:eastAsia="Calibri" w:cstheme="minorHAnsi"/>
                <w:snapToGrid w:val="0"/>
                <w:szCs w:val="20"/>
              </w:rPr>
              <w:t>n/a</w:t>
            </w:r>
          </w:p>
        </w:tc>
      </w:tr>
    </w:tbl>
    <w:bookmarkEnd w:id="31"/>
    <w:p w14:paraId="1754AE74" w14:textId="77777777" w:rsidR="000B266B" w:rsidRPr="00A16C9B" w:rsidRDefault="000B266B" w:rsidP="0041700E">
      <w:pPr>
        <w:pStyle w:val="TableFooter"/>
        <w:widowControl/>
      </w:pPr>
      <w:r w:rsidRPr="00A16C9B">
        <w:t xml:space="preserve">Source: developed during the evaluation based on pp88-108 of the Interim Week 144 Clinical Study Report of the MYR301 trial </w:t>
      </w:r>
    </w:p>
    <w:p w14:paraId="26B563BF" w14:textId="77777777" w:rsidR="000B266B" w:rsidRPr="00A16C9B" w:rsidRDefault="000B266B" w:rsidP="0041700E">
      <w:pPr>
        <w:pStyle w:val="TableFooter"/>
        <w:widowControl/>
      </w:pPr>
      <w:r w:rsidRPr="00A16C9B">
        <w:t xml:space="preserve">ALT = alanine aminotransferase; BSC = best supportive care; CI = confidence interval; </w:t>
      </w:r>
      <w:r w:rsidRPr="00A16C9B">
        <w:rPr>
          <w:rStyle w:val="TableTextChar"/>
        </w:rPr>
        <w:t>N</w:t>
      </w:r>
      <w:r w:rsidRPr="00A16C9B">
        <w:t xml:space="preserve"> = total participants in group; n/a = not applicable</w:t>
      </w:r>
    </w:p>
    <w:p w14:paraId="17C0546E" w14:textId="77777777" w:rsidR="000B266B" w:rsidRPr="00A16C9B" w:rsidRDefault="000B266B" w:rsidP="0041700E">
      <w:pPr>
        <w:pStyle w:val="TableFooter"/>
        <w:widowControl/>
      </w:pPr>
      <w:r w:rsidRPr="4904BCD2">
        <w:rPr>
          <w:vertAlign w:val="superscript"/>
        </w:rPr>
        <w:t>a</w:t>
      </w:r>
      <w:r w:rsidRPr="4904BCD2">
        <w:t xml:space="preserve"> Defined as undetectable HDV RNA (HDV RNA &lt; lower limit of detection (LLoD)) or decrease in HDV RNA by ≥ 2 log</w:t>
      </w:r>
      <w:r w:rsidRPr="4904BCD2">
        <w:rPr>
          <w:vertAlign w:val="subscript"/>
        </w:rPr>
        <w:t>10</w:t>
      </w:r>
      <w:r w:rsidRPr="4904BCD2">
        <w:t xml:space="preserve"> IU/ml from baseline and ALT normalisation (i.e., below the central laboratory defined upper limit of normal (ULN))</w:t>
      </w:r>
    </w:p>
    <w:p w14:paraId="4873C2B9" w14:textId="77777777" w:rsidR="000B266B" w:rsidRPr="00A16C9B" w:rsidRDefault="000B266B" w:rsidP="0041700E">
      <w:pPr>
        <w:pStyle w:val="TableFooter"/>
        <w:widowControl/>
      </w:pPr>
      <w:r w:rsidRPr="00A16C9B">
        <w:rPr>
          <w:vertAlign w:val="superscript"/>
        </w:rPr>
        <w:t>b</w:t>
      </w:r>
      <w:r w:rsidRPr="00A16C9B">
        <w:t xml:space="preserve"> Defined as undetectable HDV RNA or decrease in HDV RNA by ≥ 2 log</w:t>
      </w:r>
      <w:r w:rsidRPr="00A16C9B">
        <w:rPr>
          <w:vertAlign w:val="subscript"/>
        </w:rPr>
        <w:t>10</w:t>
      </w:r>
      <w:r w:rsidRPr="00A16C9B">
        <w:t xml:space="preserve"> IU/ml from baseline</w:t>
      </w:r>
    </w:p>
    <w:p w14:paraId="1C0206FB" w14:textId="77777777" w:rsidR="000B266B" w:rsidRPr="00A16C9B" w:rsidRDefault="000B266B" w:rsidP="0041700E">
      <w:pPr>
        <w:pStyle w:val="TableFooter"/>
        <w:widowControl/>
      </w:pPr>
      <w:r w:rsidRPr="00A16C9B">
        <w:rPr>
          <w:vertAlign w:val="superscript"/>
        </w:rPr>
        <w:t>c</w:t>
      </w:r>
      <w:r w:rsidRPr="00A16C9B">
        <w:t xml:space="preserve"> ALT normalisation: ≤31 U/L for females and ≤41 U/L for males (Russian sites); ≤34 U/L for females and ≤49 U/L for males (all other sites)</w:t>
      </w:r>
    </w:p>
    <w:p w14:paraId="14D28182" w14:textId="77777777" w:rsidR="000B266B" w:rsidRPr="00A16C9B" w:rsidRDefault="000B266B" w:rsidP="0041700E">
      <w:pPr>
        <w:pStyle w:val="TableFooter"/>
        <w:widowControl/>
      </w:pPr>
      <w:r w:rsidRPr="37C20EEE">
        <w:rPr>
          <w:sz w:val="20"/>
          <w:vertAlign w:val="superscript"/>
        </w:rPr>
        <w:t>d</w:t>
      </w:r>
      <w:r w:rsidRPr="37C20EEE">
        <w:rPr>
          <w:sz w:val="20"/>
        </w:rPr>
        <w:t xml:space="preserve"> </w:t>
      </w:r>
      <w:r w:rsidRPr="37C20EEE">
        <w:t>Patients in the delayed treatment arm were switched to bulevirtide 10 mg at Week 48. Data for this arm is not included in the Week 96 and Week 144 presentation nor are the differences between the delayed treatment arm and the 2 mg arm at these timepoints.</w:t>
      </w:r>
    </w:p>
    <w:p w14:paraId="6ABF2626" w14:textId="77777777" w:rsidR="000B266B" w:rsidRPr="00A16C9B" w:rsidRDefault="000B266B" w:rsidP="0041700E">
      <w:pPr>
        <w:pStyle w:val="TableFooter"/>
        <w:widowControl/>
      </w:pPr>
      <w:r w:rsidRPr="00A16C9B">
        <w:rPr>
          <w:vertAlign w:val="superscript"/>
        </w:rPr>
        <w:t xml:space="preserve">e </w:t>
      </w:r>
      <w:r w:rsidRPr="00A16C9B">
        <w:t>There was a statistically significant difference at Week 48 if P &lt; 0.04.</w:t>
      </w:r>
    </w:p>
    <w:p w14:paraId="42277C69" w14:textId="77777777" w:rsidR="000B266B" w:rsidRPr="00A16C9B" w:rsidRDefault="000B266B" w:rsidP="0041700E">
      <w:pPr>
        <w:pStyle w:val="TableFooter"/>
        <w:widowControl/>
      </w:pPr>
      <w:r w:rsidRPr="4904BCD2">
        <w:t>Note: for the result of least square means of the change in liver stiffness from baseline in the bulevirtide 2 mg arm at Week 96, the figures presented in the previous submission were different (in the previous submission, LS means was presented as -4.0, and the 95% CI was presented as -5.6, -2.5)</w:t>
      </w:r>
    </w:p>
    <w:p w14:paraId="7FDCA49A" w14:textId="77777777" w:rsidR="000B266B" w:rsidRPr="00A16C9B" w:rsidRDefault="000B266B" w:rsidP="0041700E">
      <w:pPr>
        <w:pStyle w:val="TableFooter"/>
        <w:widowControl/>
        <w:spacing w:after="120"/>
      </w:pPr>
      <w:r w:rsidRPr="4904BCD2">
        <w:t xml:space="preserve">Note: </w:t>
      </w:r>
      <w:r w:rsidRPr="4904BCD2">
        <w:rPr>
          <w:shd w:val="clear" w:color="auto" w:fill="BDD6EE" w:themeFill="accent1" w:themeFillTint="66"/>
        </w:rPr>
        <w:t>Blue</w:t>
      </w:r>
      <w:r w:rsidRPr="4904BCD2">
        <w:t xml:space="preserve"> shading denotes endpoints and results presented in the previous submission</w:t>
      </w:r>
    </w:p>
    <w:p w14:paraId="4EA3ADB1" w14:textId="77777777" w:rsidR="000B266B" w:rsidRPr="00A16C9B" w:rsidRDefault="000B266B" w:rsidP="0041700E">
      <w:pPr>
        <w:pStyle w:val="3-BodyText"/>
        <w:spacing w:before="120" w:after="120"/>
      </w:pPr>
      <w:bookmarkStart w:id="32" w:name="_Ref190961082"/>
      <w:r w:rsidRPr="4904BCD2">
        <w:t>The primary combined response (achieving both virological response and ALT normalisation) at Week 48 occurred in 22 of the 49 patients (44.9%; 95% confidence interval (CI): 30.7%, 59.8%) who received bulevirtide 2 mg once daily treatment, and in one of the 51 patients (2.0%; 95% CI: 0.0%, 10.4%) who were in the delayed treatment arm and received BSC/no active treatment for the first 48 weeks in the trial. The difference between the two arms was statistically significant (difference: 42.9%; 96% CI: 27.0%, 58.5%; p &lt; 0.0001). The number of responders in the bulevirtide 2</w:t>
      </w:r>
      <w:r>
        <w:t> </w:t>
      </w:r>
      <w:r w:rsidRPr="4904BCD2">
        <w:t>mg treatment arm increased from 22 (44.9%) at Week 48 to 27 (55.1%; 95% CI: 40.2%, 69.3%) at Week 96. At Week 144, one additional patient (57.1%; 95% CI: 42.2%, 71.2%) achieved a combined response. After Week 48, patients in the delayed treatment arm started to receive bulevirtide 10 mg once daily. Therefore, there was no comparative data on bulevirtide 2 mg once daily versus BSC after Week 48.</w:t>
      </w:r>
      <w:bookmarkEnd w:id="32"/>
      <w:r w:rsidRPr="4904BCD2">
        <w:t xml:space="preserve"> </w:t>
      </w:r>
    </w:p>
    <w:p w14:paraId="784B41FA" w14:textId="7AEAC820" w:rsidR="000B266B" w:rsidRPr="00A16C9B" w:rsidRDefault="000B266B" w:rsidP="0041700E">
      <w:pPr>
        <w:pStyle w:val="3-BodyText"/>
        <w:spacing w:before="120" w:after="120"/>
      </w:pPr>
      <w:r w:rsidRPr="37C20EEE">
        <w:t>At Week 48, virological response (defined as HDV RNA decrease by ≥</w:t>
      </w:r>
      <w:r>
        <w:t> </w:t>
      </w:r>
      <w:r w:rsidRPr="37C20EEE">
        <w:t>2</w:t>
      </w:r>
      <w:r>
        <w:t> </w:t>
      </w:r>
      <w:r w:rsidRPr="37C20EEE">
        <w:t>log</w:t>
      </w:r>
      <w:r w:rsidRPr="37C20EEE">
        <w:rPr>
          <w:vertAlign w:val="subscript"/>
        </w:rPr>
        <w:t>10</w:t>
      </w:r>
      <w:r>
        <w:t> </w:t>
      </w:r>
      <w:r w:rsidRPr="37C20EEE">
        <w:t xml:space="preserve">IU/mL from baseline or undetectable HDV RNA) was achieved by 36 patients in the bulevirtide 2 mg treatment arm (73.5%; 95% CI: 58.9%, 85.1%), compared with two patients in the delayed treatment arm (3.9%; 95% CI: 0.5%, 13.5%). The difference in virological response rate between the two arms was 69.5% (95% CI: 54.1%, 81.9%; </w:t>
      </w:r>
      <w:r w:rsidR="003D0255">
        <w:br/>
      </w:r>
      <w:r w:rsidRPr="37C20EEE">
        <w:t>p</w:t>
      </w:r>
      <w:r w:rsidR="003D0255">
        <w:t xml:space="preserve"> </w:t>
      </w:r>
      <w:r w:rsidRPr="37C20EEE">
        <w:t>&lt;</w:t>
      </w:r>
      <w:r w:rsidR="003D0255">
        <w:t xml:space="preserve"> </w:t>
      </w:r>
      <w:r w:rsidRPr="37C20EEE">
        <w:t>0.0001). From 48 weeks to 96 weeks, the proportion of responders in the bulevirtide 2 mg treatment arm increased by 2.0% to 75.5% (95% CI: 61.1%, 96.7%). However, at Week 144, the proportion decreased to 73.5% (95% CI: 58.9%, 85.1%).</w:t>
      </w:r>
    </w:p>
    <w:p w14:paraId="7A2F1C7C" w14:textId="77777777" w:rsidR="000B266B" w:rsidRPr="007F2B39" w:rsidRDefault="000B266B" w:rsidP="0041700E">
      <w:pPr>
        <w:pStyle w:val="3-BodyText"/>
        <w:spacing w:before="120" w:after="120"/>
      </w:pPr>
      <w:r w:rsidRPr="4904BCD2">
        <w:lastRenderedPageBreak/>
        <w:t>Six of the 49 patients (12.2%; 95% CI: 4.6%, 24.8%) in the bulevirtide 2 mg treatment arm had undetectable HDV RNA at Week 48, compared with no patient in the delayed treatment arm with undetectable HDV RNA at Week 48. Between Week 48 and Week</w:t>
      </w:r>
      <w:r>
        <w:t> </w:t>
      </w:r>
      <w:r w:rsidRPr="4904BCD2">
        <w:t xml:space="preserve">96, the proportion of patients with undetectable HDV RNA increased from 12.2% to 20.4% (95% CI: 10.2%, 34.3%) in the bulevirtide 2 mg arm. </w:t>
      </w:r>
      <w:r w:rsidRPr="007F2B39">
        <w:t>At Week 144, the proportion increased to 28.6% (95% CI: 16.6%, 43.3%). The PSCR presented additional analyses of HDV RNA response rates using different viral load cutoff levels using the pivotal MYR301 trial data at Week 144. The PSCR noted that the majority (32/49, 65.3%) of patients treated with bulevirtide in MYR301 had a viral load below 930</w:t>
      </w:r>
      <w:r>
        <w:t> </w:t>
      </w:r>
      <w:r w:rsidRPr="007F2B39">
        <w:t>IU/mL and would have been classified as having “undetectable” HDV RNA by the standards available at the time of the more modern HIDIT-I and HIDIT-II studies (in interferon for treatment of HDV) where improved clinical outcomes were observed for patients with undetectable HDV RNA. The PSCR argued that this supports the claim that HDV RNA decrease by ≥ 2 log</w:t>
      </w:r>
      <w:r w:rsidRPr="007F2B39">
        <w:rPr>
          <w:vertAlign w:val="subscript"/>
        </w:rPr>
        <w:t>10</w:t>
      </w:r>
      <w:r w:rsidRPr="007F2B39">
        <w:t xml:space="preserve"> IU/mL from baseline is a good proxy for responses that previously would have been defined as undetectable using less sensitive assays. The ESCs noted that this definition of virological response (viral load below 930</w:t>
      </w:r>
      <w:r>
        <w:t> </w:t>
      </w:r>
      <w:r w:rsidRPr="007F2B39">
        <w:t xml:space="preserve">IU/mL) would reduce the proportion of responders from 73.5% to 65.3%. </w:t>
      </w:r>
    </w:p>
    <w:p w14:paraId="7C64CD3C" w14:textId="371AEA7C" w:rsidR="000B266B" w:rsidRPr="007F2B39" w:rsidRDefault="000B266B" w:rsidP="0041700E">
      <w:pPr>
        <w:pStyle w:val="TableFigureHeading"/>
        <w:rPr>
          <w:i/>
        </w:rPr>
      </w:pPr>
      <w:bookmarkStart w:id="33" w:name="_Ref190947986"/>
      <w:r w:rsidRPr="007F2B39">
        <w:t xml:space="preserve">Table </w:t>
      </w:r>
      <w:r w:rsidRPr="007F2B39">
        <w:rPr>
          <w:i/>
        </w:rPr>
        <w:fldChar w:fldCharType="begin"/>
      </w:r>
      <w:r w:rsidRPr="007F2B39">
        <w:instrText xml:space="preserve"> SEQ Table_PBAC. \* ARABIC </w:instrText>
      </w:r>
      <w:r w:rsidRPr="007F2B39">
        <w:rPr>
          <w:i/>
        </w:rPr>
        <w:fldChar w:fldCharType="separate"/>
      </w:r>
      <w:r w:rsidR="007848CD">
        <w:rPr>
          <w:noProof/>
        </w:rPr>
        <w:t>8</w:t>
      </w:r>
      <w:r w:rsidRPr="007F2B39">
        <w:rPr>
          <w:i/>
        </w:rPr>
        <w:fldChar w:fldCharType="end"/>
      </w:r>
      <w:bookmarkEnd w:id="33"/>
      <w:r w:rsidRPr="007F2B39">
        <w:t>: HDV RNA Response Rate at Week 144 by Different Cutoff for HEPCLUDEX 2mg</w:t>
      </w:r>
    </w:p>
    <w:tbl>
      <w:tblPr>
        <w:tblStyle w:val="TableGrid"/>
        <w:tblW w:w="5000" w:type="pct"/>
        <w:tblCellMar>
          <w:left w:w="115" w:type="dxa"/>
          <w:right w:w="115" w:type="dxa"/>
        </w:tblCellMar>
        <w:tblLook w:val="04A0" w:firstRow="1" w:lastRow="0" w:firstColumn="1" w:lastColumn="0" w:noHBand="0" w:noVBand="1"/>
        <w:tblCaption w:val="Table 8: HDV RNA Response Rate at Week 144 by Different Cutoff for HEPCLUDEX 2mg"/>
      </w:tblPr>
      <w:tblGrid>
        <w:gridCol w:w="4930"/>
        <w:gridCol w:w="4086"/>
      </w:tblGrid>
      <w:tr w:rsidR="000B266B" w:rsidRPr="007F2B39" w14:paraId="40DA6C0E" w14:textId="77777777" w:rsidTr="00B678E8">
        <w:trPr>
          <w:trHeight w:val="285"/>
          <w:tblHeader/>
        </w:trPr>
        <w:tc>
          <w:tcPr>
            <w:tcW w:w="2734" w:type="pct"/>
            <w:shd w:val="clear" w:color="auto" w:fill="D9D9D9" w:themeFill="background1" w:themeFillShade="D9"/>
          </w:tcPr>
          <w:p w14:paraId="4222714E" w14:textId="77777777" w:rsidR="000B266B" w:rsidRPr="007F2B39" w:rsidRDefault="000B266B" w:rsidP="0041700E">
            <w:pPr>
              <w:pStyle w:val="In-tableHeading"/>
            </w:pPr>
            <w:r w:rsidRPr="007F2B39">
              <w:t>Proportion responders, n (%); 95% CI</w:t>
            </w:r>
          </w:p>
        </w:tc>
        <w:tc>
          <w:tcPr>
            <w:tcW w:w="2266" w:type="pct"/>
            <w:shd w:val="clear" w:color="auto" w:fill="D9D9D9" w:themeFill="background1" w:themeFillShade="D9"/>
          </w:tcPr>
          <w:p w14:paraId="3E619693" w14:textId="77777777" w:rsidR="000B266B" w:rsidRPr="007F2B39" w:rsidRDefault="000B266B" w:rsidP="0041700E">
            <w:pPr>
              <w:pStyle w:val="In-tableHeading"/>
              <w:jc w:val="center"/>
            </w:pPr>
            <w:r w:rsidRPr="007F2B39">
              <w:t>HEPCLUDEX 2mg (N=49)</w:t>
            </w:r>
          </w:p>
        </w:tc>
      </w:tr>
      <w:tr w:rsidR="000B266B" w:rsidRPr="007F2B39" w14:paraId="50ED1A7C" w14:textId="77777777" w:rsidTr="00B678E8">
        <w:tc>
          <w:tcPr>
            <w:tcW w:w="2734" w:type="pct"/>
          </w:tcPr>
          <w:p w14:paraId="16702915" w14:textId="77777777" w:rsidR="000B266B" w:rsidRPr="007F2B39" w:rsidRDefault="000B266B" w:rsidP="0041700E">
            <w:pPr>
              <w:pStyle w:val="TableText"/>
              <w:snapToGrid w:val="0"/>
              <w:jc w:val="both"/>
              <w:rPr>
                <w:szCs w:val="20"/>
              </w:rPr>
            </w:pPr>
            <w:r w:rsidRPr="007F2B39">
              <w:rPr>
                <w:szCs w:val="20"/>
              </w:rPr>
              <w:t>Cutoff level = 50 IU/mL</w:t>
            </w:r>
          </w:p>
        </w:tc>
        <w:tc>
          <w:tcPr>
            <w:tcW w:w="2266" w:type="pct"/>
          </w:tcPr>
          <w:p w14:paraId="67E4D5DB" w14:textId="77777777" w:rsidR="000B266B" w:rsidRPr="007F2B39" w:rsidRDefault="000B266B" w:rsidP="0041700E">
            <w:pPr>
              <w:pStyle w:val="TableText"/>
              <w:snapToGrid w:val="0"/>
              <w:ind w:left="57"/>
              <w:jc w:val="center"/>
              <w:rPr>
                <w:szCs w:val="20"/>
              </w:rPr>
            </w:pPr>
            <w:r w:rsidRPr="007F2B39">
              <w:rPr>
                <w:szCs w:val="20"/>
              </w:rPr>
              <w:t>25 (</w:t>
            </w:r>
            <w:r w:rsidRPr="007F2B39">
              <w:rPr>
                <w:b/>
                <w:szCs w:val="20"/>
              </w:rPr>
              <w:t>51%</w:t>
            </w:r>
            <w:r w:rsidRPr="007F2B39">
              <w:rPr>
                <w:szCs w:val="20"/>
              </w:rPr>
              <w:t>); 36.3%, 65.6%</w:t>
            </w:r>
          </w:p>
        </w:tc>
      </w:tr>
      <w:tr w:rsidR="000B266B" w:rsidRPr="007F2B39" w14:paraId="089B0FB7" w14:textId="77777777" w:rsidTr="00B678E8">
        <w:tc>
          <w:tcPr>
            <w:tcW w:w="2734" w:type="pct"/>
          </w:tcPr>
          <w:p w14:paraId="331DDE6A" w14:textId="77777777" w:rsidR="000B266B" w:rsidRPr="007F2B39" w:rsidRDefault="000B266B" w:rsidP="0041700E">
            <w:pPr>
              <w:pStyle w:val="TableText"/>
              <w:snapToGrid w:val="0"/>
              <w:jc w:val="both"/>
              <w:rPr>
                <w:szCs w:val="20"/>
              </w:rPr>
            </w:pPr>
            <w:r w:rsidRPr="007F2B39">
              <w:rPr>
                <w:szCs w:val="20"/>
              </w:rPr>
              <w:t>Cutoff level = 100 IU/mL</w:t>
            </w:r>
          </w:p>
        </w:tc>
        <w:tc>
          <w:tcPr>
            <w:tcW w:w="2266" w:type="pct"/>
          </w:tcPr>
          <w:p w14:paraId="1BEA5A68" w14:textId="77777777" w:rsidR="000B266B" w:rsidRPr="007F2B39" w:rsidRDefault="000B266B" w:rsidP="0041700E">
            <w:pPr>
              <w:pStyle w:val="TableText"/>
              <w:snapToGrid w:val="0"/>
              <w:ind w:left="57"/>
              <w:jc w:val="center"/>
              <w:rPr>
                <w:szCs w:val="20"/>
              </w:rPr>
            </w:pPr>
            <w:r w:rsidRPr="007F2B39">
              <w:rPr>
                <w:szCs w:val="20"/>
              </w:rPr>
              <w:t>26 (</w:t>
            </w:r>
            <w:r w:rsidRPr="007F2B39">
              <w:rPr>
                <w:b/>
                <w:szCs w:val="20"/>
              </w:rPr>
              <w:t>53.1%</w:t>
            </w:r>
            <w:r w:rsidRPr="007F2B39">
              <w:rPr>
                <w:szCs w:val="20"/>
              </w:rPr>
              <w:t>); 38.3%, 67.5%</w:t>
            </w:r>
          </w:p>
        </w:tc>
      </w:tr>
      <w:tr w:rsidR="000B266B" w:rsidRPr="007F2B39" w14:paraId="49473B3F" w14:textId="77777777" w:rsidTr="00B678E8">
        <w:tc>
          <w:tcPr>
            <w:tcW w:w="2734" w:type="pct"/>
          </w:tcPr>
          <w:p w14:paraId="3FB6A158" w14:textId="77777777" w:rsidR="000B266B" w:rsidRPr="007F2B39" w:rsidRDefault="000B266B" w:rsidP="0041700E">
            <w:pPr>
              <w:pStyle w:val="TableText"/>
              <w:snapToGrid w:val="0"/>
              <w:jc w:val="both"/>
              <w:rPr>
                <w:szCs w:val="20"/>
              </w:rPr>
            </w:pPr>
            <w:r w:rsidRPr="007F2B39">
              <w:rPr>
                <w:szCs w:val="20"/>
              </w:rPr>
              <w:t>Cutoff level = 930 IU/mL</w:t>
            </w:r>
          </w:p>
        </w:tc>
        <w:tc>
          <w:tcPr>
            <w:tcW w:w="2266" w:type="pct"/>
          </w:tcPr>
          <w:p w14:paraId="5C5879D8" w14:textId="77777777" w:rsidR="000B266B" w:rsidRPr="007F2B39" w:rsidRDefault="000B266B" w:rsidP="0041700E">
            <w:pPr>
              <w:pStyle w:val="TableText"/>
              <w:snapToGrid w:val="0"/>
              <w:ind w:left="57"/>
              <w:jc w:val="center"/>
              <w:rPr>
                <w:szCs w:val="20"/>
              </w:rPr>
            </w:pPr>
            <w:r w:rsidRPr="007F2B39">
              <w:rPr>
                <w:szCs w:val="20"/>
              </w:rPr>
              <w:t>32 (</w:t>
            </w:r>
            <w:r w:rsidRPr="007F2B39">
              <w:rPr>
                <w:b/>
                <w:szCs w:val="20"/>
              </w:rPr>
              <w:t>65.3%</w:t>
            </w:r>
            <w:r w:rsidRPr="007F2B39">
              <w:rPr>
                <w:szCs w:val="20"/>
              </w:rPr>
              <w:t>); 50.4%, 78.3%</w:t>
            </w:r>
          </w:p>
        </w:tc>
      </w:tr>
    </w:tbl>
    <w:p w14:paraId="4CB8A951" w14:textId="77777777" w:rsidR="000B266B" w:rsidRPr="007F2B39" w:rsidRDefault="000B266B" w:rsidP="0041700E">
      <w:pPr>
        <w:pStyle w:val="TableFooter"/>
        <w:widowControl/>
        <w:spacing w:after="120"/>
      </w:pPr>
      <w:r w:rsidRPr="007F2B39">
        <w:t>Source: Provided in PSCR</w:t>
      </w:r>
    </w:p>
    <w:p w14:paraId="63446290" w14:textId="22DBB3C0" w:rsidR="000B266B" w:rsidRPr="00A16C9B" w:rsidRDefault="000B266B" w:rsidP="0041700E">
      <w:pPr>
        <w:pStyle w:val="3-BodyText"/>
        <w:spacing w:before="120" w:after="120"/>
      </w:pPr>
      <w:r w:rsidRPr="37C20EEE">
        <w:t>Normalisation of ALT at Week 48 occurred in 51.0% (95% CI: 36.3%, 65.6%) of patients in the bulevirtide 2 mg arm and in 11.8% (95% CI: 4.4%, 23.9%) of patients in the delayed treatment arm, with a statistically significant difference between the two arms (difference: 39.3%; 95% CI: 19.9%, 55.8%; p</w:t>
      </w:r>
      <w:r w:rsidR="003D0255">
        <w:t xml:space="preserve"> </w:t>
      </w:r>
      <w:r w:rsidRPr="37C20EEE">
        <w:t>&lt;</w:t>
      </w:r>
      <w:r w:rsidR="003D0255">
        <w:t xml:space="preserve"> </w:t>
      </w:r>
      <w:r w:rsidRPr="37C20EEE">
        <w:t>0.0001). In the bulevirtide 2</w:t>
      </w:r>
      <w:r>
        <w:t> </w:t>
      </w:r>
      <w:r w:rsidRPr="37C20EEE">
        <w:t>mg treatment arm, the proportion of patients achieving ALT normalisation increased from 51.0% at Week 48 to 63.3% (95% CI: 48.3%, 76.6%) at Week 96. However, at Week</w:t>
      </w:r>
      <w:r>
        <w:t> </w:t>
      </w:r>
      <w:r w:rsidRPr="37C20EEE">
        <w:t>144, the proportion decreased to 59.2% (95% CI: 42.2%, 73.0%)</w:t>
      </w:r>
    </w:p>
    <w:p w14:paraId="51861BDB" w14:textId="77777777" w:rsidR="000B266B" w:rsidRPr="00A16C9B" w:rsidRDefault="000B266B" w:rsidP="0041700E">
      <w:pPr>
        <w:pStyle w:val="3-BodyText"/>
        <w:spacing w:before="120" w:after="120"/>
      </w:pPr>
      <w:r w:rsidRPr="4904BCD2">
        <w:t>Bulevirtide also resulted in improvements in liver stiffness in the bulevirtide 2</w:t>
      </w:r>
      <w:r>
        <w:t> </w:t>
      </w:r>
      <w:r w:rsidRPr="4904BCD2">
        <w:t xml:space="preserve">mg treatment arm. A least square mean decrease (improvement) of liver stiffness from baseline by -3.08 kPa (95% CI: -4.70 to -1.46) in treated patients at Week 48 of treatment was observed, while patients receiving no treatment had an increase (worsening) of liver stiffness from baseline by 0.88 kPa (95% CI: -0.80 to 2.56). The difference in the least square means between the two arms was statistically significant (−3.96 kPa; 95% CI: −6.28 to −1.64; p=0.0010). Liver stiffness continued to improve in patients receiving bulevirtide 2 mg from Week 48 to Week 96. During this </w:t>
      </w:r>
      <w:proofErr w:type="gramStart"/>
      <w:r w:rsidRPr="4904BCD2">
        <w:t>time period</w:t>
      </w:r>
      <w:proofErr w:type="gramEnd"/>
      <w:r w:rsidRPr="4904BCD2">
        <w:t>, the least square mean change from baseline in this treatment arm decreased further to -4.3 kPa (95% CI: -5.5%, to -3.1%). At Week 144, the least square mean change from baseline decreased further to -5.22 kPa (95% CI: -6.8%, -3.6%).</w:t>
      </w:r>
    </w:p>
    <w:p w14:paraId="20E78FD4" w14:textId="77777777" w:rsidR="000B266B" w:rsidRPr="00A16C9B" w:rsidRDefault="000B266B" w:rsidP="0041700E">
      <w:pPr>
        <w:pStyle w:val="3-BodyText"/>
        <w:spacing w:before="120" w:after="120"/>
      </w:pPr>
      <w:r w:rsidRPr="4904BCD2">
        <w:lastRenderedPageBreak/>
        <w:t>At Week 48, scores for the individual EuroQoL-5 Dimension-3 Level (EQ-5D-3L) domains, EuroQol visual analogue scale (EQ-VAS), Fatigue Severity Scale (FSS), and Hepatitis Quality of Life Questionnaire (HQLQ) were generally similar between the bulevirtide 2 mg treatment arm and the comparator arm, with the exception of the EQ-VAS and some components of the HQLQ (such as role physical, hepatitis-specific limitations and hepatitis-specific health stress), in which there was a significant improvement in the bulevirtide treatment arm compared with the delayed treatment arm. At Week 96, the results for quality-of-life questionnaires were generally consistent with the Week 48 results. From Week 96 to Week 144, further improvement in health-related quality of life measured by EQ-VAS and HQLQ in the bulevirtide 2 mg treatment arm was observed. The quality-of-life data should be interpreted with caution as multiple endpoints were tested, and the study was not sufficiently powered to test these exploratory endpoints. In addition, given the open-label design of the study, neither participants nor the study personnel who collected health-related quality of life data were blinded to the treatment allocation. These subjective patient-reported outcomes are therefore at risk of bias.</w:t>
      </w:r>
    </w:p>
    <w:p w14:paraId="6E8587BD" w14:textId="77777777" w:rsidR="000B266B" w:rsidRPr="00FD70DE" w:rsidRDefault="000B266B" w:rsidP="0041700E">
      <w:pPr>
        <w:pStyle w:val="4-SubsectionHeading"/>
        <w:rPr>
          <w:rFonts w:cstheme="minorHAnsi"/>
        </w:rPr>
      </w:pPr>
      <w:bookmarkStart w:id="34" w:name="_Toc188360798"/>
      <w:bookmarkEnd w:id="29"/>
      <w:bookmarkEnd w:id="30"/>
      <w:r w:rsidRPr="00F50184">
        <w:t>Comparative harms</w:t>
      </w:r>
      <w:bookmarkEnd w:id="34"/>
    </w:p>
    <w:p w14:paraId="13B541B1" w14:textId="68695A71" w:rsidR="000B266B" w:rsidRPr="00A16C9B" w:rsidRDefault="000B266B" w:rsidP="0041700E">
      <w:pPr>
        <w:pStyle w:val="3-BodyText"/>
        <w:spacing w:before="120" w:after="120"/>
      </w:pPr>
      <w:r w:rsidRPr="00A16C9B">
        <w:fldChar w:fldCharType="begin"/>
      </w:r>
      <w:r w:rsidRPr="00A16C9B">
        <w:instrText xml:space="preserve"> REF _Ref184383343 \h  \* MERGEFORMAT </w:instrText>
      </w:r>
      <w:r w:rsidRPr="00A16C9B">
        <w:fldChar w:fldCharType="separate"/>
      </w:r>
      <w:r w:rsidR="007848CD" w:rsidRPr="009D2673">
        <w:t xml:space="preserve">Table </w:t>
      </w:r>
      <w:r w:rsidR="007848CD">
        <w:t>9</w:t>
      </w:r>
      <w:r w:rsidRPr="00A16C9B">
        <w:fldChar w:fldCharType="end"/>
      </w:r>
      <w:r w:rsidRPr="37C20EEE">
        <w:t xml:space="preserve"> below summarises the overall TEAEs in the bulevirtide 2 mg treatment arm at Week 48, Week 96, and Week 144, as well as in the delayed treatment arm (i.e., BSC) at Week 48 in the MYR301 trial.</w:t>
      </w:r>
    </w:p>
    <w:p w14:paraId="2BA5E9A9" w14:textId="09AEF77A" w:rsidR="000B266B" w:rsidRPr="009D2673" w:rsidRDefault="000B266B" w:rsidP="0041700E">
      <w:pPr>
        <w:pStyle w:val="TableFigureHeading"/>
        <w:rPr>
          <w:rStyle w:val="CommentReference"/>
          <w:sz w:val="20"/>
          <w:szCs w:val="24"/>
        </w:rPr>
      </w:pPr>
      <w:bookmarkStart w:id="35" w:name="_Ref184383343"/>
      <w:r w:rsidRPr="009D2673">
        <w:t xml:space="preserve">Table </w:t>
      </w:r>
      <w:r w:rsidRPr="009D2673">
        <w:fldChar w:fldCharType="begin"/>
      </w:r>
      <w:r w:rsidRPr="009D2673">
        <w:instrText xml:space="preserve"> SEQ Table_PBAC. \* ARABIC </w:instrText>
      </w:r>
      <w:r w:rsidRPr="009D2673">
        <w:fldChar w:fldCharType="separate"/>
      </w:r>
      <w:r w:rsidR="007848CD">
        <w:rPr>
          <w:noProof/>
        </w:rPr>
        <w:t>9</w:t>
      </w:r>
      <w:r w:rsidRPr="009D2673">
        <w:fldChar w:fldCharType="end"/>
      </w:r>
      <w:bookmarkEnd w:id="35"/>
      <w:r w:rsidRPr="009D2673">
        <w:t xml:space="preserve">: </w:t>
      </w:r>
      <w:r w:rsidRPr="009D2673">
        <w:rPr>
          <w:rStyle w:val="CommentReference"/>
          <w:sz w:val="20"/>
          <w:szCs w:val="24"/>
        </w:rPr>
        <w:t>Summary of overall TEAEs in the MYR301 trial</w:t>
      </w:r>
    </w:p>
    <w:tbl>
      <w:tblPr>
        <w:tblStyle w:val="TableGrid"/>
        <w:tblW w:w="5070" w:type="pct"/>
        <w:tblCellMar>
          <w:left w:w="115" w:type="dxa"/>
          <w:right w:w="115" w:type="dxa"/>
        </w:tblCellMar>
        <w:tblLook w:val="04A0" w:firstRow="1" w:lastRow="0" w:firstColumn="1" w:lastColumn="0" w:noHBand="0" w:noVBand="1"/>
        <w:tblCaption w:val="Table 9: Summary of overall TEAEs in the MYR301 trial"/>
      </w:tblPr>
      <w:tblGrid>
        <w:gridCol w:w="2349"/>
        <w:gridCol w:w="1702"/>
        <w:gridCol w:w="1697"/>
        <w:gridCol w:w="1697"/>
        <w:gridCol w:w="1697"/>
      </w:tblGrid>
      <w:tr w:rsidR="000B266B" w:rsidRPr="00A16C9B" w14:paraId="66D6B926" w14:textId="77777777" w:rsidTr="00B678E8">
        <w:trPr>
          <w:trHeight w:val="388"/>
        </w:trPr>
        <w:tc>
          <w:tcPr>
            <w:tcW w:w="1285" w:type="pct"/>
          </w:tcPr>
          <w:p w14:paraId="1701C161" w14:textId="77777777" w:rsidR="000B266B" w:rsidRPr="00A16C9B" w:rsidRDefault="000B266B" w:rsidP="0041700E">
            <w:pPr>
              <w:keepNext/>
              <w:jc w:val="left"/>
              <w:rPr>
                <w:rFonts w:ascii="Arial Narrow" w:hAnsi="Arial Narrow"/>
                <w:b/>
                <w:sz w:val="20"/>
              </w:rPr>
            </w:pPr>
          </w:p>
        </w:tc>
        <w:tc>
          <w:tcPr>
            <w:tcW w:w="2787" w:type="pct"/>
            <w:gridSpan w:val="3"/>
            <w:shd w:val="clear" w:color="auto" w:fill="FFFFFF" w:themeFill="background1"/>
            <w:vAlign w:val="center"/>
          </w:tcPr>
          <w:p w14:paraId="39645691" w14:textId="77777777" w:rsidR="000B266B" w:rsidRPr="00A16C9B" w:rsidRDefault="000B266B" w:rsidP="0041700E">
            <w:pPr>
              <w:pStyle w:val="In-tableHeading"/>
              <w:jc w:val="center"/>
            </w:pPr>
            <w:r w:rsidRPr="00A16C9B">
              <w:t>Bulevirtide 2 mg (N=49)</w:t>
            </w:r>
          </w:p>
        </w:tc>
        <w:tc>
          <w:tcPr>
            <w:tcW w:w="928" w:type="pct"/>
            <w:shd w:val="clear" w:color="auto" w:fill="FFFFFF" w:themeFill="background1"/>
          </w:tcPr>
          <w:p w14:paraId="5959D895" w14:textId="77777777" w:rsidR="000B266B" w:rsidRPr="00A16C9B" w:rsidRDefault="000B266B" w:rsidP="0041700E">
            <w:pPr>
              <w:pStyle w:val="In-tableHeading"/>
              <w:jc w:val="center"/>
            </w:pPr>
            <w:r w:rsidRPr="00A16C9B">
              <w:t>Delayed treatment (N=51)</w:t>
            </w:r>
          </w:p>
        </w:tc>
      </w:tr>
      <w:tr w:rsidR="000B266B" w:rsidRPr="00A16C9B" w14:paraId="0C3AE502" w14:textId="77777777" w:rsidTr="00B678E8">
        <w:trPr>
          <w:trHeight w:val="181"/>
        </w:trPr>
        <w:tc>
          <w:tcPr>
            <w:tcW w:w="1285" w:type="pct"/>
          </w:tcPr>
          <w:p w14:paraId="5689CBA8" w14:textId="77777777" w:rsidR="000B266B" w:rsidRPr="00A16C9B" w:rsidRDefault="000B266B" w:rsidP="0041700E">
            <w:pPr>
              <w:pStyle w:val="TableText"/>
            </w:pPr>
            <w:r w:rsidRPr="00A16C9B">
              <w:t>Data cut-off</w:t>
            </w:r>
          </w:p>
        </w:tc>
        <w:tc>
          <w:tcPr>
            <w:tcW w:w="931" w:type="pct"/>
            <w:shd w:val="clear" w:color="auto" w:fill="BDD6EE" w:themeFill="accent1" w:themeFillTint="66"/>
          </w:tcPr>
          <w:p w14:paraId="7F56D899" w14:textId="77777777" w:rsidR="000B266B" w:rsidRPr="00A16C9B" w:rsidRDefault="000B266B" w:rsidP="0041700E">
            <w:pPr>
              <w:pStyle w:val="TableText"/>
            </w:pPr>
            <w:r w:rsidRPr="00A16C9B">
              <w:t>Week 48</w:t>
            </w:r>
          </w:p>
        </w:tc>
        <w:tc>
          <w:tcPr>
            <w:tcW w:w="928" w:type="pct"/>
            <w:shd w:val="clear" w:color="auto" w:fill="BDD6EE" w:themeFill="accent1" w:themeFillTint="66"/>
          </w:tcPr>
          <w:p w14:paraId="41C06D5A" w14:textId="77777777" w:rsidR="000B266B" w:rsidRPr="00A16C9B" w:rsidRDefault="000B266B" w:rsidP="0041700E">
            <w:pPr>
              <w:pStyle w:val="TableText"/>
            </w:pPr>
            <w:r w:rsidRPr="00A16C9B">
              <w:t>Week 96</w:t>
            </w:r>
          </w:p>
        </w:tc>
        <w:tc>
          <w:tcPr>
            <w:tcW w:w="928" w:type="pct"/>
            <w:shd w:val="clear" w:color="auto" w:fill="FFFFFF" w:themeFill="background1"/>
          </w:tcPr>
          <w:p w14:paraId="0E2FF4A2" w14:textId="77777777" w:rsidR="000B266B" w:rsidRPr="00A16C9B" w:rsidRDefault="000B266B" w:rsidP="0041700E">
            <w:pPr>
              <w:pStyle w:val="TableText"/>
            </w:pPr>
            <w:r w:rsidRPr="00A16C9B">
              <w:t>Week 144</w:t>
            </w:r>
          </w:p>
        </w:tc>
        <w:tc>
          <w:tcPr>
            <w:tcW w:w="928" w:type="pct"/>
            <w:shd w:val="clear" w:color="auto" w:fill="BDD6EE" w:themeFill="accent1" w:themeFillTint="66"/>
          </w:tcPr>
          <w:p w14:paraId="60C8A3A5" w14:textId="77777777" w:rsidR="000B266B" w:rsidRPr="00A16C9B" w:rsidRDefault="000B266B" w:rsidP="0041700E">
            <w:pPr>
              <w:pStyle w:val="TableText"/>
            </w:pPr>
            <w:r w:rsidRPr="00A16C9B">
              <w:t>Week 48</w:t>
            </w:r>
          </w:p>
        </w:tc>
      </w:tr>
      <w:tr w:rsidR="000B266B" w:rsidRPr="00A16C9B" w14:paraId="229A0BD7" w14:textId="77777777" w:rsidTr="00B678E8">
        <w:trPr>
          <w:trHeight w:val="64"/>
        </w:trPr>
        <w:tc>
          <w:tcPr>
            <w:tcW w:w="1285" w:type="pct"/>
            <w:vAlign w:val="bottom"/>
          </w:tcPr>
          <w:p w14:paraId="4A703F10" w14:textId="77777777" w:rsidR="000B266B" w:rsidRPr="00A16C9B" w:rsidRDefault="000B266B" w:rsidP="0041700E">
            <w:pPr>
              <w:pStyle w:val="TableText"/>
            </w:pPr>
            <w:r w:rsidRPr="00A16C9B">
              <w:t>TEAE</w:t>
            </w:r>
          </w:p>
        </w:tc>
        <w:tc>
          <w:tcPr>
            <w:tcW w:w="931" w:type="pct"/>
            <w:shd w:val="clear" w:color="auto" w:fill="BDD6EE" w:themeFill="accent1" w:themeFillTint="66"/>
            <w:vAlign w:val="center"/>
          </w:tcPr>
          <w:p w14:paraId="4F3031A3" w14:textId="77777777" w:rsidR="000B266B" w:rsidRPr="00A16C9B" w:rsidRDefault="000B266B" w:rsidP="0041700E">
            <w:pPr>
              <w:pStyle w:val="TableText"/>
            </w:pPr>
            <w:r w:rsidRPr="00A16C9B">
              <w:t>41 (83.7%)</w:t>
            </w:r>
          </w:p>
        </w:tc>
        <w:tc>
          <w:tcPr>
            <w:tcW w:w="928" w:type="pct"/>
            <w:shd w:val="clear" w:color="auto" w:fill="BDD6EE" w:themeFill="accent1" w:themeFillTint="66"/>
            <w:vAlign w:val="center"/>
          </w:tcPr>
          <w:p w14:paraId="06ED187A" w14:textId="77777777" w:rsidR="000B266B" w:rsidRPr="00A16C9B" w:rsidRDefault="000B266B" w:rsidP="0041700E">
            <w:pPr>
              <w:pStyle w:val="TableText"/>
            </w:pPr>
            <w:r w:rsidRPr="00A16C9B">
              <w:t>47 (95.9%)</w:t>
            </w:r>
          </w:p>
        </w:tc>
        <w:tc>
          <w:tcPr>
            <w:tcW w:w="928" w:type="pct"/>
            <w:shd w:val="clear" w:color="auto" w:fill="FFFFFF" w:themeFill="background1"/>
          </w:tcPr>
          <w:p w14:paraId="50D0C720" w14:textId="77777777" w:rsidR="000B266B" w:rsidRPr="00A16C9B" w:rsidRDefault="000B266B" w:rsidP="0041700E">
            <w:pPr>
              <w:pStyle w:val="TableText"/>
            </w:pPr>
            <w:r w:rsidRPr="00A16C9B">
              <w:t>48 (98.0%)</w:t>
            </w:r>
          </w:p>
        </w:tc>
        <w:tc>
          <w:tcPr>
            <w:tcW w:w="928" w:type="pct"/>
            <w:shd w:val="clear" w:color="auto" w:fill="BDD6EE" w:themeFill="accent1" w:themeFillTint="66"/>
            <w:vAlign w:val="center"/>
          </w:tcPr>
          <w:p w14:paraId="7474096A" w14:textId="77777777" w:rsidR="000B266B" w:rsidRPr="00A16C9B" w:rsidRDefault="000B266B" w:rsidP="0041700E">
            <w:pPr>
              <w:pStyle w:val="TableText"/>
            </w:pPr>
            <w:r w:rsidRPr="00A16C9B">
              <w:t>39 (76.5%)</w:t>
            </w:r>
          </w:p>
        </w:tc>
      </w:tr>
      <w:tr w:rsidR="000B266B" w:rsidRPr="00A16C9B" w14:paraId="64F1D277" w14:textId="77777777" w:rsidTr="00B678E8">
        <w:tc>
          <w:tcPr>
            <w:tcW w:w="1285" w:type="pct"/>
            <w:vAlign w:val="bottom"/>
          </w:tcPr>
          <w:p w14:paraId="0AC4F2FA" w14:textId="77777777" w:rsidR="000B266B" w:rsidRPr="00A16C9B" w:rsidRDefault="000B266B" w:rsidP="0041700E">
            <w:pPr>
              <w:pStyle w:val="TableText"/>
            </w:pPr>
            <w:r w:rsidRPr="00A16C9B">
              <w:t>TEAE with Grade 3 or higher</w:t>
            </w:r>
          </w:p>
        </w:tc>
        <w:tc>
          <w:tcPr>
            <w:tcW w:w="931" w:type="pct"/>
            <w:shd w:val="clear" w:color="auto" w:fill="BDD6EE" w:themeFill="accent1" w:themeFillTint="66"/>
            <w:vAlign w:val="center"/>
          </w:tcPr>
          <w:p w14:paraId="40AA1951" w14:textId="77777777" w:rsidR="000B266B" w:rsidRPr="00A16C9B" w:rsidRDefault="000B266B" w:rsidP="0041700E">
            <w:pPr>
              <w:pStyle w:val="TableText"/>
            </w:pPr>
            <w:r w:rsidRPr="00A16C9B">
              <w:t>5 (10.2%)</w:t>
            </w:r>
          </w:p>
        </w:tc>
        <w:tc>
          <w:tcPr>
            <w:tcW w:w="928" w:type="pct"/>
            <w:shd w:val="clear" w:color="auto" w:fill="BDD6EE" w:themeFill="accent1" w:themeFillTint="66"/>
            <w:vAlign w:val="center"/>
          </w:tcPr>
          <w:p w14:paraId="589A109D" w14:textId="77777777" w:rsidR="000B266B" w:rsidRPr="00A16C9B" w:rsidRDefault="000B266B" w:rsidP="0041700E">
            <w:pPr>
              <w:pStyle w:val="TableText"/>
            </w:pPr>
            <w:r w:rsidRPr="00A16C9B">
              <w:t>9 (18.4%)</w:t>
            </w:r>
          </w:p>
        </w:tc>
        <w:tc>
          <w:tcPr>
            <w:tcW w:w="928" w:type="pct"/>
            <w:shd w:val="clear" w:color="auto" w:fill="FFFFFF" w:themeFill="background1"/>
          </w:tcPr>
          <w:p w14:paraId="297C4F39" w14:textId="77777777" w:rsidR="000B266B" w:rsidRPr="00A16C9B" w:rsidRDefault="000B266B" w:rsidP="0041700E">
            <w:pPr>
              <w:pStyle w:val="TableText"/>
            </w:pPr>
            <w:r w:rsidRPr="00A16C9B">
              <w:t>12 (24.5%)</w:t>
            </w:r>
          </w:p>
        </w:tc>
        <w:tc>
          <w:tcPr>
            <w:tcW w:w="928" w:type="pct"/>
            <w:shd w:val="clear" w:color="auto" w:fill="BDD6EE" w:themeFill="accent1" w:themeFillTint="66"/>
            <w:vAlign w:val="center"/>
          </w:tcPr>
          <w:p w14:paraId="20F7FEAC" w14:textId="77777777" w:rsidR="000B266B" w:rsidRPr="00A16C9B" w:rsidRDefault="000B266B" w:rsidP="0041700E">
            <w:pPr>
              <w:pStyle w:val="TableText"/>
            </w:pPr>
            <w:r w:rsidRPr="00A16C9B">
              <w:t>4 (7.8%)</w:t>
            </w:r>
          </w:p>
        </w:tc>
      </w:tr>
      <w:tr w:rsidR="000B266B" w:rsidRPr="00A16C9B" w14:paraId="6580774F" w14:textId="77777777" w:rsidTr="00B678E8">
        <w:tc>
          <w:tcPr>
            <w:tcW w:w="1285" w:type="pct"/>
            <w:vAlign w:val="center"/>
          </w:tcPr>
          <w:p w14:paraId="2C241219" w14:textId="77777777" w:rsidR="000B266B" w:rsidRPr="00A16C9B" w:rsidRDefault="000B266B" w:rsidP="0041700E">
            <w:pPr>
              <w:pStyle w:val="TableText"/>
            </w:pPr>
            <w:r w:rsidRPr="00A16C9B">
              <w:t>TEAE related to study drug</w:t>
            </w:r>
          </w:p>
        </w:tc>
        <w:tc>
          <w:tcPr>
            <w:tcW w:w="931" w:type="pct"/>
            <w:shd w:val="clear" w:color="auto" w:fill="BDD6EE" w:themeFill="accent1" w:themeFillTint="66"/>
            <w:vAlign w:val="center"/>
          </w:tcPr>
          <w:p w14:paraId="7ED70E03" w14:textId="77777777" w:rsidR="000B266B" w:rsidRPr="00A16C9B" w:rsidRDefault="000B266B" w:rsidP="0041700E">
            <w:pPr>
              <w:pStyle w:val="TableText"/>
            </w:pPr>
            <w:r w:rsidRPr="00A16C9B">
              <w:t>24 (49.0%)</w:t>
            </w:r>
          </w:p>
        </w:tc>
        <w:tc>
          <w:tcPr>
            <w:tcW w:w="928" w:type="pct"/>
            <w:shd w:val="clear" w:color="auto" w:fill="BDD6EE" w:themeFill="accent1" w:themeFillTint="66"/>
            <w:vAlign w:val="center"/>
          </w:tcPr>
          <w:p w14:paraId="1B418D7E" w14:textId="77777777" w:rsidR="000B266B" w:rsidRPr="00A16C9B" w:rsidRDefault="000B266B" w:rsidP="0041700E">
            <w:pPr>
              <w:pStyle w:val="TableText"/>
            </w:pPr>
            <w:r w:rsidRPr="00A16C9B">
              <w:t>25 (51.0%)</w:t>
            </w:r>
          </w:p>
        </w:tc>
        <w:tc>
          <w:tcPr>
            <w:tcW w:w="928" w:type="pct"/>
            <w:shd w:val="clear" w:color="auto" w:fill="FFFFFF" w:themeFill="background1"/>
          </w:tcPr>
          <w:p w14:paraId="3CDDCCC0" w14:textId="77777777" w:rsidR="000B266B" w:rsidRPr="00A16C9B" w:rsidRDefault="000B266B" w:rsidP="0041700E">
            <w:pPr>
              <w:pStyle w:val="TableText"/>
            </w:pPr>
            <w:r w:rsidRPr="00A16C9B">
              <w:t>27 (55.1%)</w:t>
            </w:r>
          </w:p>
        </w:tc>
        <w:tc>
          <w:tcPr>
            <w:tcW w:w="928" w:type="pct"/>
            <w:shd w:val="clear" w:color="auto" w:fill="BDD6EE" w:themeFill="accent1" w:themeFillTint="66"/>
            <w:vAlign w:val="center"/>
          </w:tcPr>
          <w:p w14:paraId="2404C183" w14:textId="77777777" w:rsidR="000B266B" w:rsidRPr="00A16C9B" w:rsidRDefault="000B266B" w:rsidP="0041700E">
            <w:pPr>
              <w:pStyle w:val="TableText"/>
            </w:pPr>
            <w:r w:rsidRPr="00A16C9B">
              <w:t>0</w:t>
            </w:r>
          </w:p>
        </w:tc>
      </w:tr>
      <w:tr w:rsidR="000B266B" w:rsidRPr="00A16C9B" w14:paraId="451A5A80" w14:textId="77777777" w:rsidTr="00B678E8">
        <w:tc>
          <w:tcPr>
            <w:tcW w:w="1285" w:type="pct"/>
            <w:vAlign w:val="center"/>
          </w:tcPr>
          <w:p w14:paraId="0C6DFECC" w14:textId="77777777" w:rsidR="000B266B" w:rsidRPr="00A16C9B" w:rsidRDefault="000B266B" w:rsidP="0041700E">
            <w:pPr>
              <w:pStyle w:val="TableText"/>
            </w:pPr>
            <w:r w:rsidRPr="00A16C9B">
              <w:t>TEAE related to study drug with Grade 3 or higher</w:t>
            </w:r>
          </w:p>
        </w:tc>
        <w:tc>
          <w:tcPr>
            <w:tcW w:w="931" w:type="pct"/>
            <w:shd w:val="clear" w:color="auto" w:fill="BDD6EE" w:themeFill="accent1" w:themeFillTint="66"/>
            <w:vAlign w:val="center"/>
          </w:tcPr>
          <w:p w14:paraId="72D49D91" w14:textId="77777777" w:rsidR="000B266B" w:rsidRPr="00A16C9B" w:rsidRDefault="000B266B" w:rsidP="0041700E">
            <w:pPr>
              <w:pStyle w:val="TableText"/>
            </w:pPr>
            <w:r w:rsidRPr="00A16C9B">
              <w:t>1 (2.0%)</w:t>
            </w:r>
          </w:p>
        </w:tc>
        <w:tc>
          <w:tcPr>
            <w:tcW w:w="928" w:type="pct"/>
            <w:shd w:val="clear" w:color="auto" w:fill="BDD6EE" w:themeFill="accent1" w:themeFillTint="66"/>
            <w:vAlign w:val="center"/>
          </w:tcPr>
          <w:p w14:paraId="61ADAC20" w14:textId="77777777" w:rsidR="000B266B" w:rsidRPr="00A16C9B" w:rsidRDefault="000B266B" w:rsidP="0041700E">
            <w:pPr>
              <w:pStyle w:val="TableText"/>
            </w:pPr>
            <w:r w:rsidRPr="00A16C9B">
              <w:t>4 (8.2%)</w:t>
            </w:r>
          </w:p>
        </w:tc>
        <w:tc>
          <w:tcPr>
            <w:tcW w:w="928" w:type="pct"/>
            <w:shd w:val="clear" w:color="auto" w:fill="FFFFFF" w:themeFill="background1"/>
            <w:vAlign w:val="center"/>
          </w:tcPr>
          <w:p w14:paraId="5EB1298E" w14:textId="77777777" w:rsidR="000B266B" w:rsidRPr="00A16C9B" w:rsidRDefault="000B266B" w:rsidP="0041700E">
            <w:pPr>
              <w:pStyle w:val="TableText"/>
            </w:pPr>
            <w:r w:rsidRPr="00A16C9B">
              <w:t>4 (8.2%)</w:t>
            </w:r>
          </w:p>
        </w:tc>
        <w:tc>
          <w:tcPr>
            <w:tcW w:w="928" w:type="pct"/>
            <w:shd w:val="clear" w:color="auto" w:fill="BDD6EE" w:themeFill="accent1" w:themeFillTint="66"/>
            <w:vAlign w:val="center"/>
          </w:tcPr>
          <w:p w14:paraId="4D9415EF" w14:textId="77777777" w:rsidR="000B266B" w:rsidRPr="00A16C9B" w:rsidRDefault="000B266B" w:rsidP="0041700E">
            <w:pPr>
              <w:pStyle w:val="TableText"/>
            </w:pPr>
            <w:r w:rsidRPr="00A16C9B">
              <w:t>0</w:t>
            </w:r>
          </w:p>
        </w:tc>
      </w:tr>
      <w:tr w:rsidR="000B266B" w:rsidRPr="00A16C9B" w14:paraId="423D2A6E" w14:textId="77777777" w:rsidTr="00B678E8">
        <w:tc>
          <w:tcPr>
            <w:tcW w:w="1285" w:type="pct"/>
            <w:vAlign w:val="center"/>
          </w:tcPr>
          <w:p w14:paraId="1F0EB0D3" w14:textId="77777777" w:rsidR="000B266B" w:rsidRPr="00A16C9B" w:rsidRDefault="000B266B" w:rsidP="0041700E">
            <w:pPr>
              <w:pStyle w:val="TableText"/>
            </w:pPr>
            <w:r w:rsidRPr="00A16C9B">
              <w:t>TE serious AE</w:t>
            </w:r>
          </w:p>
        </w:tc>
        <w:tc>
          <w:tcPr>
            <w:tcW w:w="931" w:type="pct"/>
            <w:shd w:val="clear" w:color="auto" w:fill="BDD6EE" w:themeFill="accent1" w:themeFillTint="66"/>
            <w:vAlign w:val="center"/>
          </w:tcPr>
          <w:p w14:paraId="11A25DB4" w14:textId="77777777" w:rsidR="000B266B" w:rsidRPr="00A16C9B" w:rsidRDefault="000B266B" w:rsidP="0041700E">
            <w:pPr>
              <w:pStyle w:val="TableText"/>
            </w:pPr>
            <w:r w:rsidRPr="00A16C9B">
              <w:t>2 (4.1%)</w:t>
            </w:r>
          </w:p>
        </w:tc>
        <w:tc>
          <w:tcPr>
            <w:tcW w:w="928" w:type="pct"/>
            <w:shd w:val="clear" w:color="auto" w:fill="BDD6EE" w:themeFill="accent1" w:themeFillTint="66"/>
            <w:vAlign w:val="center"/>
          </w:tcPr>
          <w:p w14:paraId="1CF18E12" w14:textId="77777777" w:rsidR="000B266B" w:rsidRPr="00A16C9B" w:rsidRDefault="000B266B" w:rsidP="0041700E">
            <w:pPr>
              <w:pStyle w:val="TableText"/>
            </w:pPr>
            <w:r w:rsidRPr="00A16C9B">
              <w:t>2 (4.1%)</w:t>
            </w:r>
          </w:p>
        </w:tc>
        <w:tc>
          <w:tcPr>
            <w:tcW w:w="928" w:type="pct"/>
            <w:shd w:val="clear" w:color="auto" w:fill="FFFFFF" w:themeFill="background1"/>
          </w:tcPr>
          <w:p w14:paraId="79E40D8B" w14:textId="77777777" w:rsidR="000B266B" w:rsidRPr="00A16C9B" w:rsidRDefault="000B266B" w:rsidP="0041700E">
            <w:pPr>
              <w:pStyle w:val="TableText"/>
            </w:pPr>
            <w:r w:rsidRPr="00A16C9B">
              <w:t>2 (4.1%)</w:t>
            </w:r>
          </w:p>
        </w:tc>
        <w:tc>
          <w:tcPr>
            <w:tcW w:w="928" w:type="pct"/>
            <w:shd w:val="clear" w:color="auto" w:fill="BDD6EE" w:themeFill="accent1" w:themeFillTint="66"/>
            <w:vAlign w:val="center"/>
          </w:tcPr>
          <w:p w14:paraId="3CE898DD" w14:textId="77777777" w:rsidR="000B266B" w:rsidRPr="00A16C9B" w:rsidRDefault="000B266B" w:rsidP="0041700E">
            <w:pPr>
              <w:pStyle w:val="TableText"/>
            </w:pPr>
            <w:r w:rsidRPr="00A16C9B">
              <w:t>1 (2.0%)</w:t>
            </w:r>
          </w:p>
        </w:tc>
      </w:tr>
      <w:tr w:rsidR="000B266B" w:rsidRPr="00A16C9B" w14:paraId="515DAFC8" w14:textId="77777777" w:rsidTr="00B678E8">
        <w:tc>
          <w:tcPr>
            <w:tcW w:w="1285" w:type="pct"/>
            <w:vAlign w:val="center"/>
          </w:tcPr>
          <w:p w14:paraId="3F919720" w14:textId="77777777" w:rsidR="000B266B" w:rsidRPr="00A16C9B" w:rsidRDefault="000B266B" w:rsidP="0041700E">
            <w:pPr>
              <w:pStyle w:val="TableText"/>
            </w:pPr>
            <w:r w:rsidRPr="00A16C9B">
              <w:t>TE serious AE related to study drug</w:t>
            </w:r>
          </w:p>
        </w:tc>
        <w:tc>
          <w:tcPr>
            <w:tcW w:w="931" w:type="pct"/>
            <w:shd w:val="clear" w:color="auto" w:fill="BDD6EE" w:themeFill="accent1" w:themeFillTint="66"/>
            <w:vAlign w:val="center"/>
          </w:tcPr>
          <w:p w14:paraId="4F5F864F" w14:textId="77777777" w:rsidR="000B266B" w:rsidRPr="00A16C9B" w:rsidRDefault="000B266B" w:rsidP="0041700E">
            <w:pPr>
              <w:pStyle w:val="TableText"/>
            </w:pPr>
            <w:r w:rsidRPr="00A16C9B">
              <w:t>0</w:t>
            </w:r>
          </w:p>
        </w:tc>
        <w:tc>
          <w:tcPr>
            <w:tcW w:w="928" w:type="pct"/>
            <w:shd w:val="clear" w:color="auto" w:fill="BDD6EE" w:themeFill="accent1" w:themeFillTint="66"/>
            <w:vAlign w:val="center"/>
          </w:tcPr>
          <w:p w14:paraId="1EB05CD1" w14:textId="77777777" w:rsidR="000B266B" w:rsidRPr="00A16C9B" w:rsidRDefault="000B266B" w:rsidP="0041700E">
            <w:pPr>
              <w:pStyle w:val="TableText"/>
            </w:pPr>
            <w:r w:rsidRPr="00A16C9B">
              <w:t>0</w:t>
            </w:r>
          </w:p>
        </w:tc>
        <w:tc>
          <w:tcPr>
            <w:tcW w:w="928" w:type="pct"/>
            <w:shd w:val="clear" w:color="auto" w:fill="FFFFFF" w:themeFill="background1"/>
            <w:vAlign w:val="center"/>
          </w:tcPr>
          <w:p w14:paraId="6EE588C7" w14:textId="77777777" w:rsidR="000B266B" w:rsidRPr="00A16C9B" w:rsidRDefault="000B266B" w:rsidP="0041700E">
            <w:pPr>
              <w:pStyle w:val="TableText"/>
            </w:pPr>
            <w:r w:rsidRPr="00A16C9B">
              <w:t>0</w:t>
            </w:r>
          </w:p>
        </w:tc>
        <w:tc>
          <w:tcPr>
            <w:tcW w:w="928" w:type="pct"/>
            <w:shd w:val="clear" w:color="auto" w:fill="BDD6EE" w:themeFill="accent1" w:themeFillTint="66"/>
            <w:vAlign w:val="center"/>
          </w:tcPr>
          <w:p w14:paraId="76BD25BD" w14:textId="77777777" w:rsidR="000B266B" w:rsidRPr="00A16C9B" w:rsidRDefault="000B266B" w:rsidP="0041700E">
            <w:pPr>
              <w:pStyle w:val="TableText"/>
            </w:pPr>
            <w:r w:rsidRPr="00A16C9B">
              <w:t>0</w:t>
            </w:r>
          </w:p>
        </w:tc>
      </w:tr>
      <w:tr w:rsidR="000B266B" w:rsidRPr="00A16C9B" w14:paraId="07E61C2E" w14:textId="77777777" w:rsidTr="00B678E8">
        <w:tc>
          <w:tcPr>
            <w:tcW w:w="1285" w:type="pct"/>
            <w:vAlign w:val="center"/>
          </w:tcPr>
          <w:p w14:paraId="122D69B2" w14:textId="77777777" w:rsidR="000B266B" w:rsidRPr="00A16C9B" w:rsidRDefault="000B266B" w:rsidP="0041700E">
            <w:pPr>
              <w:pStyle w:val="TableText"/>
            </w:pPr>
            <w:r w:rsidRPr="00A16C9B">
              <w:t>TEAE leading to premature discontinuation of study drug</w:t>
            </w:r>
          </w:p>
        </w:tc>
        <w:tc>
          <w:tcPr>
            <w:tcW w:w="931" w:type="pct"/>
            <w:shd w:val="clear" w:color="auto" w:fill="BDD6EE" w:themeFill="accent1" w:themeFillTint="66"/>
            <w:vAlign w:val="center"/>
          </w:tcPr>
          <w:p w14:paraId="733C8390" w14:textId="77777777" w:rsidR="000B266B" w:rsidRPr="00A16C9B" w:rsidRDefault="000B266B" w:rsidP="0041700E">
            <w:pPr>
              <w:pStyle w:val="TableText"/>
            </w:pPr>
            <w:r w:rsidRPr="00A16C9B">
              <w:t>0</w:t>
            </w:r>
          </w:p>
        </w:tc>
        <w:tc>
          <w:tcPr>
            <w:tcW w:w="928" w:type="pct"/>
            <w:shd w:val="clear" w:color="auto" w:fill="BDD6EE" w:themeFill="accent1" w:themeFillTint="66"/>
            <w:vAlign w:val="center"/>
          </w:tcPr>
          <w:p w14:paraId="73902A77" w14:textId="77777777" w:rsidR="000B266B" w:rsidRPr="00A16C9B" w:rsidRDefault="000B266B" w:rsidP="0041700E">
            <w:pPr>
              <w:pStyle w:val="TableText"/>
            </w:pPr>
            <w:r w:rsidRPr="00A16C9B">
              <w:t>0</w:t>
            </w:r>
          </w:p>
        </w:tc>
        <w:tc>
          <w:tcPr>
            <w:tcW w:w="928" w:type="pct"/>
            <w:shd w:val="clear" w:color="auto" w:fill="FFFFFF" w:themeFill="background1"/>
            <w:vAlign w:val="center"/>
          </w:tcPr>
          <w:p w14:paraId="7CB9FA82" w14:textId="77777777" w:rsidR="000B266B" w:rsidRPr="00A16C9B" w:rsidRDefault="000B266B" w:rsidP="0041700E">
            <w:pPr>
              <w:pStyle w:val="TableText"/>
            </w:pPr>
            <w:r w:rsidRPr="00A16C9B">
              <w:t>0</w:t>
            </w:r>
          </w:p>
        </w:tc>
        <w:tc>
          <w:tcPr>
            <w:tcW w:w="928" w:type="pct"/>
            <w:shd w:val="clear" w:color="auto" w:fill="BDD6EE" w:themeFill="accent1" w:themeFillTint="66"/>
            <w:vAlign w:val="center"/>
          </w:tcPr>
          <w:p w14:paraId="05CC40FF" w14:textId="77777777" w:rsidR="000B266B" w:rsidRPr="00A16C9B" w:rsidRDefault="000B266B" w:rsidP="0041700E">
            <w:pPr>
              <w:pStyle w:val="TableText"/>
            </w:pPr>
            <w:r w:rsidRPr="00A16C9B">
              <w:t>0</w:t>
            </w:r>
          </w:p>
        </w:tc>
      </w:tr>
      <w:tr w:rsidR="000B266B" w:rsidRPr="00A16C9B" w14:paraId="0384F839" w14:textId="77777777" w:rsidTr="00B678E8">
        <w:tc>
          <w:tcPr>
            <w:tcW w:w="1285" w:type="pct"/>
            <w:vAlign w:val="center"/>
          </w:tcPr>
          <w:p w14:paraId="21D3C444" w14:textId="77777777" w:rsidR="000B266B" w:rsidRPr="00A16C9B" w:rsidRDefault="000B266B" w:rsidP="0041700E">
            <w:pPr>
              <w:pStyle w:val="TableText"/>
            </w:pPr>
            <w:r w:rsidRPr="00A16C9B">
              <w:t>Death</w:t>
            </w:r>
          </w:p>
        </w:tc>
        <w:tc>
          <w:tcPr>
            <w:tcW w:w="931" w:type="pct"/>
            <w:shd w:val="clear" w:color="auto" w:fill="BDD6EE" w:themeFill="accent1" w:themeFillTint="66"/>
            <w:vAlign w:val="center"/>
          </w:tcPr>
          <w:p w14:paraId="541D16FB" w14:textId="77777777" w:rsidR="000B266B" w:rsidRPr="00A16C9B" w:rsidRDefault="000B266B" w:rsidP="0041700E">
            <w:pPr>
              <w:pStyle w:val="TableText"/>
            </w:pPr>
            <w:r w:rsidRPr="00A16C9B">
              <w:t>0</w:t>
            </w:r>
          </w:p>
        </w:tc>
        <w:tc>
          <w:tcPr>
            <w:tcW w:w="928" w:type="pct"/>
            <w:shd w:val="clear" w:color="auto" w:fill="BDD6EE" w:themeFill="accent1" w:themeFillTint="66"/>
            <w:vAlign w:val="center"/>
          </w:tcPr>
          <w:p w14:paraId="7B077073" w14:textId="77777777" w:rsidR="000B266B" w:rsidRPr="00A16C9B" w:rsidRDefault="000B266B" w:rsidP="0041700E">
            <w:pPr>
              <w:pStyle w:val="TableText"/>
            </w:pPr>
            <w:r w:rsidRPr="00A16C9B">
              <w:t>0</w:t>
            </w:r>
          </w:p>
        </w:tc>
        <w:tc>
          <w:tcPr>
            <w:tcW w:w="928" w:type="pct"/>
            <w:shd w:val="clear" w:color="auto" w:fill="FFFFFF" w:themeFill="background1"/>
            <w:vAlign w:val="center"/>
          </w:tcPr>
          <w:p w14:paraId="6771E0BD" w14:textId="77777777" w:rsidR="000B266B" w:rsidRPr="00A16C9B" w:rsidRDefault="000B266B" w:rsidP="0041700E">
            <w:pPr>
              <w:pStyle w:val="TableText"/>
            </w:pPr>
            <w:r w:rsidRPr="00A16C9B">
              <w:t>0</w:t>
            </w:r>
          </w:p>
        </w:tc>
        <w:tc>
          <w:tcPr>
            <w:tcW w:w="928" w:type="pct"/>
            <w:shd w:val="clear" w:color="auto" w:fill="BDD6EE" w:themeFill="accent1" w:themeFillTint="66"/>
            <w:vAlign w:val="center"/>
          </w:tcPr>
          <w:p w14:paraId="16C7A155" w14:textId="77777777" w:rsidR="000B266B" w:rsidRPr="00A16C9B" w:rsidRDefault="000B266B" w:rsidP="0041700E">
            <w:pPr>
              <w:pStyle w:val="TableText"/>
            </w:pPr>
            <w:r w:rsidRPr="00A16C9B">
              <w:t>0</w:t>
            </w:r>
          </w:p>
        </w:tc>
      </w:tr>
    </w:tbl>
    <w:p w14:paraId="1F335AFB" w14:textId="77777777" w:rsidR="000B266B" w:rsidRPr="00A16C9B" w:rsidRDefault="000B266B" w:rsidP="0041700E">
      <w:pPr>
        <w:pStyle w:val="TableFigureFooter"/>
      </w:pPr>
      <w:r w:rsidRPr="00A16C9B">
        <w:t>Source: Table 2.9-7, p82 of the resubmission</w:t>
      </w:r>
    </w:p>
    <w:p w14:paraId="10361279" w14:textId="77777777" w:rsidR="000B266B" w:rsidRPr="00A16C9B" w:rsidRDefault="000B266B" w:rsidP="0041700E">
      <w:pPr>
        <w:pStyle w:val="TableFigureFooter"/>
      </w:pPr>
      <w:r w:rsidRPr="00A16C9B">
        <w:t>AE = adverse event; SAS = safety analysis set; TE = treatment-emergent; TEAE = treatment-emergent adverse event</w:t>
      </w:r>
    </w:p>
    <w:p w14:paraId="056F63C8" w14:textId="77777777" w:rsidR="000B266B" w:rsidRPr="00A16C9B" w:rsidRDefault="000B266B" w:rsidP="0041700E">
      <w:pPr>
        <w:pStyle w:val="TableFigureFooter"/>
      </w:pPr>
      <w:r w:rsidRPr="4904BCD2">
        <w:t xml:space="preserve">Note: </w:t>
      </w:r>
      <w:r w:rsidRPr="4904BCD2">
        <w:rPr>
          <w:shd w:val="clear" w:color="auto" w:fill="BDD6EE" w:themeFill="accent1" w:themeFillTint="66"/>
        </w:rPr>
        <w:t>Blue</w:t>
      </w:r>
      <w:r w:rsidRPr="4904BCD2">
        <w:t xml:space="preserve"> shading denotes results presented in the previous submission</w:t>
      </w:r>
    </w:p>
    <w:p w14:paraId="1D53AF7F" w14:textId="77777777" w:rsidR="000B266B" w:rsidRPr="00A16C9B" w:rsidRDefault="000B266B" w:rsidP="0041700E">
      <w:pPr>
        <w:pStyle w:val="3-BodyText"/>
        <w:spacing w:before="120" w:after="120"/>
      </w:pPr>
      <w:r w:rsidRPr="4904BCD2">
        <w:t>The incidence of drug-related TEAEs was significantly higher in patients treated with bulevirtide 2 mg once daily than in the comparator arm (49.0% vs. 0%) during the first 48 weeks. Continued exposure to the study drug resulted in higher proportions of treated patients experiencing any TEAEs, Grade 3 TEAEs, and drug-related ≥ Grade 3 TEAEs.</w:t>
      </w:r>
    </w:p>
    <w:p w14:paraId="2E806BB0" w14:textId="77777777" w:rsidR="000B266B" w:rsidRPr="00A16C9B" w:rsidRDefault="000B266B" w:rsidP="0041700E">
      <w:pPr>
        <w:pStyle w:val="3-BodyText"/>
        <w:spacing w:before="120" w:after="120"/>
      </w:pPr>
      <w:r w:rsidRPr="4904BCD2">
        <w:lastRenderedPageBreak/>
        <w:t>The AEs reported in MYR301 in the entire 144 weeks of treatment were mostly Grade 1 (mild) or 2 (moderate) in severity. The incidence of serious TEAEs was low across treatment arms throughout the 144-week treatment period, none of which were considered related to bulevirtide. No cases of premature discontinuation of bulevirtide treatment due to TEAEs, nor deaths were observed in either treatment arm.</w:t>
      </w:r>
    </w:p>
    <w:p w14:paraId="0FAFFC88" w14:textId="423E4629" w:rsidR="000B266B" w:rsidRPr="00A16C9B" w:rsidRDefault="000B266B" w:rsidP="0041700E">
      <w:pPr>
        <w:pStyle w:val="3-BodyText"/>
        <w:spacing w:before="120" w:after="120"/>
      </w:pPr>
      <w:r w:rsidRPr="4904BCD2">
        <w:t xml:space="preserve">The </w:t>
      </w:r>
      <w:proofErr w:type="gramStart"/>
      <w:r w:rsidRPr="4904BCD2">
        <w:t>most commonly reported</w:t>
      </w:r>
      <w:proofErr w:type="gramEnd"/>
      <w:r w:rsidRPr="4904BCD2">
        <w:t xml:space="preserve"> (&gt;</w:t>
      </w:r>
      <w:r w:rsidR="003D0255">
        <w:t xml:space="preserve"> </w:t>
      </w:r>
      <w:r w:rsidRPr="4904BCD2">
        <w:t>10%) AEs in the bulevirtide 2 mg treatment arm were headache, leukopenia, vitamin D deficiency, pruritus, thrombocytopenia, eosinophilia, and fatigue during the 48 week treatment period. With extended duration of treatment, between Week 96 and Week 144, vitamin D deficiency became the most common AE (44.9%, 22 patients at Week 144 vs. 12.2%, 6 patients at Week</w:t>
      </w:r>
      <w:r>
        <w:t> </w:t>
      </w:r>
      <w:r w:rsidRPr="4904BCD2">
        <w:t>48). Headache, leukopenia, and thrombocytopenia were experienced by 20.4%, 10</w:t>
      </w:r>
      <w:r>
        <w:t> </w:t>
      </w:r>
      <w:r w:rsidRPr="4904BCD2">
        <w:t>patients each. Lymphopenia and neutropenia were experienced by 16.3%, 8</w:t>
      </w:r>
      <w:r>
        <w:t> </w:t>
      </w:r>
      <w:r w:rsidRPr="4904BCD2">
        <w:t>patients each. Arthralgia and fatigue were experienced by 14.3%, 7 patients each. The proportion of patients experiencing pruritus and eosinophilia remained the same at Week 144 compared to Week 48. Increased ALT and anaemia were not commonly reported TEAEs at Week 48. However, at Week 144, these two TEAEs were each experienced by 5 patients (10.2%) in the bulevirtide 2 mg treatment arm. It is noted that there w</w:t>
      </w:r>
      <w:r>
        <w:t>as a</w:t>
      </w:r>
      <w:r w:rsidRPr="4904BCD2">
        <w:t xml:space="preserve"> </w:t>
      </w:r>
      <w:r>
        <w:t>&gt;</w:t>
      </w:r>
      <w:r w:rsidR="003D0255">
        <w:t xml:space="preserve"> </w:t>
      </w:r>
      <w:r w:rsidRPr="4904BCD2">
        <w:t>3-fold increase in the frequency of vitamin D deficiency at Week</w:t>
      </w:r>
      <w:r>
        <w:t> </w:t>
      </w:r>
      <w:r w:rsidRPr="4904BCD2">
        <w:t>144 compared to Week 48 (44.9%, 22 patients vs. 14.3%, 7 patients). The frequency of neutropenia also increased more than 3 times at Week 144 compared to Week</w:t>
      </w:r>
      <w:r>
        <w:t> </w:t>
      </w:r>
      <w:r w:rsidRPr="4904BCD2">
        <w:t xml:space="preserve">48 (16.3%, 8 patients vs. 4.1%, 2 patients). In general, </w:t>
      </w:r>
      <w:r>
        <w:t xml:space="preserve">the </w:t>
      </w:r>
      <w:r w:rsidRPr="4904BCD2">
        <w:t>frequency of disorders in the blood and lymphatic system increased significantly with continued bulevirtide 2</w:t>
      </w:r>
      <w:r>
        <w:t> </w:t>
      </w:r>
      <w:r w:rsidRPr="4904BCD2">
        <w:t xml:space="preserve">mg treatment compared to disorders in other systems. </w:t>
      </w:r>
    </w:p>
    <w:p w14:paraId="6D77ACB8" w14:textId="77777777" w:rsidR="000B266B" w:rsidRPr="009D2673" w:rsidRDefault="000B266B" w:rsidP="0041700E">
      <w:pPr>
        <w:pStyle w:val="3-BodyText"/>
        <w:spacing w:before="120" w:after="120"/>
      </w:pPr>
      <w:r w:rsidRPr="009D2673">
        <w:t xml:space="preserve">At Week 48, </w:t>
      </w:r>
      <w:r w:rsidRPr="009D2673">
        <w:rPr>
          <w:rStyle w:val="CommentReference"/>
          <w:sz w:val="24"/>
          <w:szCs w:val="22"/>
        </w:rPr>
        <w:t>the most frequently reported bulevirtide-related AEs were pruritus (10.2%, 5 patients), eosinophilia (8.2%, 4 patients), nausea and injection site reaction (6.1%, 3 patients each). O</w:t>
      </w:r>
      <w:r w:rsidRPr="009D2673">
        <w:t xml:space="preserve">ne patient experienced </w:t>
      </w:r>
      <w:r>
        <w:t xml:space="preserve">a </w:t>
      </w:r>
      <w:r w:rsidRPr="009D2673">
        <w:t>Grade 3 bulevirtide-related AE, which was a decrease in neutrophil count. By Week 144, the number of patients experiencing AEs related to bulevirtide treatment were basically unchanged compared to those reported at Week 48. Three additional patients among the 49 treated patients in the bulevirtide arm experienced ≥ Grade 3 bulevirtide related AEs at Week 96 and Week 144.</w:t>
      </w:r>
    </w:p>
    <w:p w14:paraId="2329FB58" w14:textId="77777777" w:rsidR="000B266B" w:rsidRPr="00A16C9B" w:rsidRDefault="000B266B" w:rsidP="0041700E">
      <w:pPr>
        <w:pStyle w:val="3-BodyText"/>
        <w:spacing w:before="120" w:after="120"/>
      </w:pPr>
      <w:r w:rsidRPr="00A16C9B">
        <w:t>AEs of special interest (AESIs) in the trial include hepatic flares (presented as increases in ALT, aspartate aminotransferase (AST) and/or blood bilirubin, increased gamma-glutamyl transferase (GGT), hyperbilirubinemia and hepatic pain), eosinophilia and increased eosinophil count, injection site reactions (presented as erythema, haematoma, pain, pruritus or swelling), hypersensitivity or anaphylactoid reactions, skin and subcutaneous disorders (presented as alopecia, angioedema, macular rash, pruritus or night sweats), and increases in bile salt. All AESIs observed in the trial were Grade 1 or 2 in severity and none resulted in discontinuation of treatment.</w:t>
      </w:r>
    </w:p>
    <w:p w14:paraId="1C9C130C" w14:textId="6E5F23FC" w:rsidR="000B266B" w:rsidRPr="009D2673" w:rsidRDefault="000B266B" w:rsidP="0041700E">
      <w:pPr>
        <w:pStyle w:val="TableFigureHeading"/>
        <w:rPr>
          <w:rStyle w:val="CommentReference"/>
          <w:sz w:val="20"/>
          <w:szCs w:val="24"/>
        </w:rPr>
      </w:pPr>
      <w:r w:rsidRPr="009D2673">
        <w:lastRenderedPageBreak/>
        <w:t xml:space="preserve">Table </w:t>
      </w:r>
      <w:r w:rsidRPr="009D2673">
        <w:fldChar w:fldCharType="begin"/>
      </w:r>
      <w:r w:rsidRPr="009D2673">
        <w:instrText xml:space="preserve"> SEQ Table_PBAC. \* ARABIC </w:instrText>
      </w:r>
      <w:r w:rsidRPr="009D2673">
        <w:fldChar w:fldCharType="separate"/>
      </w:r>
      <w:r w:rsidR="007848CD">
        <w:rPr>
          <w:noProof/>
        </w:rPr>
        <w:t>10</w:t>
      </w:r>
      <w:r w:rsidRPr="009D2673">
        <w:fldChar w:fldCharType="end"/>
      </w:r>
      <w:r w:rsidRPr="009D2673">
        <w:t xml:space="preserve">: </w:t>
      </w:r>
      <w:r w:rsidRPr="009D2673">
        <w:rPr>
          <w:rStyle w:val="CommentReference"/>
          <w:sz w:val="20"/>
          <w:szCs w:val="24"/>
        </w:rPr>
        <w:t>Summary of results of AESIs of the MYR301 trial</w:t>
      </w:r>
    </w:p>
    <w:tbl>
      <w:tblPr>
        <w:tblStyle w:val="TableGrid"/>
        <w:tblW w:w="5000" w:type="pct"/>
        <w:tblLayout w:type="fixed"/>
        <w:tblCellMar>
          <w:left w:w="115" w:type="dxa"/>
          <w:right w:w="115" w:type="dxa"/>
        </w:tblCellMar>
        <w:tblLook w:val="04A0" w:firstRow="1" w:lastRow="0" w:firstColumn="1" w:lastColumn="0" w:noHBand="0" w:noVBand="1"/>
        <w:tblCaption w:val="Table 10: Summary of results of AESIs of the MYR301 trial"/>
      </w:tblPr>
      <w:tblGrid>
        <w:gridCol w:w="2405"/>
        <w:gridCol w:w="1558"/>
        <w:gridCol w:w="1560"/>
        <w:gridCol w:w="1560"/>
        <w:gridCol w:w="1933"/>
      </w:tblGrid>
      <w:tr w:rsidR="000B266B" w:rsidRPr="00A16C9B" w14:paraId="3612D7DF" w14:textId="77777777" w:rsidTr="00B678E8">
        <w:trPr>
          <w:trHeight w:val="253"/>
        </w:trPr>
        <w:tc>
          <w:tcPr>
            <w:tcW w:w="1334" w:type="pct"/>
          </w:tcPr>
          <w:p w14:paraId="2A93700E" w14:textId="77777777" w:rsidR="000B266B" w:rsidRPr="00A16C9B" w:rsidRDefault="000B266B" w:rsidP="0041700E">
            <w:pPr>
              <w:keepNext/>
              <w:jc w:val="left"/>
              <w:rPr>
                <w:rFonts w:ascii="Arial Narrow" w:hAnsi="Arial Narrow"/>
                <w:b/>
                <w:sz w:val="20"/>
              </w:rPr>
            </w:pPr>
          </w:p>
        </w:tc>
        <w:tc>
          <w:tcPr>
            <w:tcW w:w="2594" w:type="pct"/>
            <w:gridSpan w:val="3"/>
          </w:tcPr>
          <w:p w14:paraId="753E8181" w14:textId="77777777" w:rsidR="000B266B" w:rsidRPr="00A16C9B" w:rsidRDefault="000B266B" w:rsidP="0041700E">
            <w:pPr>
              <w:pStyle w:val="In-tableHeading"/>
              <w:jc w:val="center"/>
            </w:pPr>
            <w:r w:rsidRPr="00A16C9B">
              <w:t>Bulevirtide 2 mg</w:t>
            </w:r>
          </w:p>
          <w:p w14:paraId="79FB2972" w14:textId="77777777" w:rsidR="000B266B" w:rsidRPr="00A16C9B" w:rsidRDefault="000B266B" w:rsidP="0041700E">
            <w:pPr>
              <w:pStyle w:val="In-tableHeading"/>
              <w:jc w:val="center"/>
            </w:pPr>
            <w:r w:rsidRPr="00A16C9B">
              <w:t>(N=49)</w:t>
            </w:r>
          </w:p>
        </w:tc>
        <w:tc>
          <w:tcPr>
            <w:tcW w:w="1072" w:type="pct"/>
            <w:shd w:val="clear" w:color="auto" w:fill="FFFFFF" w:themeFill="background1"/>
          </w:tcPr>
          <w:p w14:paraId="3371F6B9" w14:textId="77777777" w:rsidR="000B266B" w:rsidRPr="00A16C9B" w:rsidRDefault="000B266B" w:rsidP="0041700E">
            <w:pPr>
              <w:pStyle w:val="In-tableHeading"/>
              <w:jc w:val="center"/>
            </w:pPr>
            <w:r w:rsidRPr="00A16C9B">
              <w:t>Delayed treatment (N=51)</w:t>
            </w:r>
          </w:p>
        </w:tc>
      </w:tr>
      <w:tr w:rsidR="000B266B" w:rsidRPr="00A16C9B" w14:paraId="17861EAC" w14:textId="77777777" w:rsidTr="00B678E8">
        <w:trPr>
          <w:trHeight w:val="253"/>
        </w:trPr>
        <w:tc>
          <w:tcPr>
            <w:tcW w:w="1334" w:type="pct"/>
          </w:tcPr>
          <w:p w14:paraId="0BF0567D" w14:textId="77777777" w:rsidR="000B266B" w:rsidRPr="00A16C9B" w:rsidRDefault="000B266B" w:rsidP="0041700E">
            <w:pPr>
              <w:pStyle w:val="TableText"/>
            </w:pPr>
          </w:p>
        </w:tc>
        <w:tc>
          <w:tcPr>
            <w:tcW w:w="864" w:type="pct"/>
            <w:shd w:val="clear" w:color="auto" w:fill="BDD6EE" w:themeFill="accent1" w:themeFillTint="66"/>
          </w:tcPr>
          <w:p w14:paraId="1E32B009" w14:textId="77777777" w:rsidR="000B266B" w:rsidRPr="00A16C9B" w:rsidRDefault="000B266B" w:rsidP="0041700E">
            <w:pPr>
              <w:pStyle w:val="TableText"/>
              <w:jc w:val="center"/>
            </w:pPr>
            <w:r w:rsidRPr="00A16C9B">
              <w:t>Week 48</w:t>
            </w:r>
          </w:p>
        </w:tc>
        <w:tc>
          <w:tcPr>
            <w:tcW w:w="865" w:type="pct"/>
            <w:shd w:val="clear" w:color="auto" w:fill="BDD6EE" w:themeFill="accent1" w:themeFillTint="66"/>
          </w:tcPr>
          <w:p w14:paraId="19980CB5" w14:textId="77777777" w:rsidR="000B266B" w:rsidRPr="00A16C9B" w:rsidRDefault="000B266B" w:rsidP="0041700E">
            <w:pPr>
              <w:pStyle w:val="TableText"/>
              <w:jc w:val="center"/>
            </w:pPr>
            <w:r w:rsidRPr="00A16C9B">
              <w:t>Week 96</w:t>
            </w:r>
          </w:p>
        </w:tc>
        <w:tc>
          <w:tcPr>
            <w:tcW w:w="865" w:type="pct"/>
            <w:shd w:val="clear" w:color="auto" w:fill="FFFFFF" w:themeFill="background1"/>
          </w:tcPr>
          <w:p w14:paraId="792C4182" w14:textId="77777777" w:rsidR="000B266B" w:rsidRPr="00A16C9B" w:rsidRDefault="000B266B" w:rsidP="0041700E">
            <w:pPr>
              <w:pStyle w:val="TableText"/>
              <w:jc w:val="center"/>
            </w:pPr>
            <w:r w:rsidRPr="00A16C9B">
              <w:t>Week 144</w:t>
            </w:r>
          </w:p>
        </w:tc>
        <w:tc>
          <w:tcPr>
            <w:tcW w:w="1072" w:type="pct"/>
            <w:shd w:val="clear" w:color="auto" w:fill="BDD6EE" w:themeFill="accent1" w:themeFillTint="66"/>
          </w:tcPr>
          <w:p w14:paraId="31DA1C8D" w14:textId="77777777" w:rsidR="000B266B" w:rsidRPr="00A16C9B" w:rsidRDefault="000B266B" w:rsidP="0041700E">
            <w:pPr>
              <w:pStyle w:val="TableText"/>
              <w:jc w:val="center"/>
            </w:pPr>
            <w:r w:rsidRPr="00A16C9B">
              <w:t>Week 48</w:t>
            </w:r>
          </w:p>
        </w:tc>
      </w:tr>
      <w:tr w:rsidR="000B266B" w:rsidRPr="00A16C9B" w14:paraId="29E5C783" w14:textId="77777777" w:rsidTr="00B678E8">
        <w:trPr>
          <w:trHeight w:val="44"/>
        </w:trPr>
        <w:tc>
          <w:tcPr>
            <w:tcW w:w="1334" w:type="pct"/>
            <w:vAlign w:val="bottom"/>
          </w:tcPr>
          <w:p w14:paraId="0F5370F9" w14:textId="77777777" w:rsidR="000B266B" w:rsidRPr="00A16C9B" w:rsidRDefault="000B266B" w:rsidP="0041700E">
            <w:pPr>
              <w:pStyle w:val="TableText"/>
            </w:pPr>
            <w:r w:rsidRPr="00A16C9B">
              <w:t xml:space="preserve">Hepatic flares </w:t>
            </w:r>
          </w:p>
        </w:tc>
        <w:tc>
          <w:tcPr>
            <w:tcW w:w="864" w:type="pct"/>
            <w:shd w:val="clear" w:color="auto" w:fill="BDD6EE" w:themeFill="accent1" w:themeFillTint="66"/>
            <w:vAlign w:val="center"/>
          </w:tcPr>
          <w:p w14:paraId="0F21B4AF" w14:textId="77777777" w:rsidR="000B266B" w:rsidRPr="00A16C9B" w:rsidRDefault="000B266B" w:rsidP="0041700E">
            <w:pPr>
              <w:pStyle w:val="TableText"/>
              <w:jc w:val="center"/>
            </w:pPr>
            <w:r w:rsidRPr="00A16C9B">
              <w:t>7 (14.3%)</w:t>
            </w:r>
            <w:r w:rsidRPr="00A16C9B">
              <w:rPr>
                <w:vertAlign w:val="superscript"/>
              </w:rPr>
              <w:t>a</w:t>
            </w:r>
          </w:p>
        </w:tc>
        <w:tc>
          <w:tcPr>
            <w:tcW w:w="865" w:type="pct"/>
            <w:shd w:val="clear" w:color="auto" w:fill="BDD6EE" w:themeFill="accent1" w:themeFillTint="66"/>
            <w:vAlign w:val="center"/>
          </w:tcPr>
          <w:p w14:paraId="1B1D6835" w14:textId="77777777" w:rsidR="000B266B" w:rsidRPr="00A16C9B" w:rsidRDefault="000B266B" w:rsidP="0041700E">
            <w:pPr>
              <w:pStyle w:val="TableText"/>
              <w:jc w:val="center"/>
            </w:pPr>
            <w:r w:rsidRPr="00A16C9B">
              <w:t>7 (14.3%)</w:t>
            </w:r>
            <w:r w:rsidRPr="00A16C9B">
              <w:rPr>
                <w:vertAlign w:val="superscript"/>
              </w:rPr>
              <w:t>a</w:t>
            </w:r>
          </w:p>
        </w:tc>
        <w:tc>
          <w:tcPr>
            <w:tcW w:w="865" w:type="pct"/>
            <w:vAlign w:val="center"/>
          </w:tcPr>
          <w:p w14:paraId="5233696F" w14:textId="77777777" w:rsidR="000B266B" w:rsidRPr="00A16C9B" w:rsidRDefault="000B266B" w:rsidP="0041700E">
            <w:pPr>
              <w:pStyle w:val="TableText"/>
              <w:jc w:val="center"/>
            </w:pPr>
            <w:r w:rsidRPr="00A16C9B">
              <w:t>14 (28.6%)</w:t>
            </w:r>
            <w:r w:rsidRPr="00A16C9B">
              <w:rPr>
                <w:vertAlign w:val="superscript"/>
              </w:rPr>
              <w:t>b</w:t>
            </w:r>
          </w:p>
        </w:tc>
        <w:tc>
          <w:tcPr>
            <w:tcW w:w="1072" w:type="pct"/>
            <w:shd w:val="clear" w:color="auto" w:fill="BDD6EE" w:themeFill="accent1" w:themeFillTint="66"/>
            <w:vAlign w:val="center"/>
          </w:tcPr>
          <w:p w14:paraId="1960994C" w14:textId="77777777" w:rsidR="000B266B" w:rsidRPr="00A16C9B" w:rsidRDefault="000B266B" w:rsidP="0041700E">
            <w:pPr>
              <w:pStyle w:val="TableText"/>
              <w:jc w:val="center"/>
            </w:pPr>
            <w:r w:rsidRPr="00A16C9B">
              <w:t>4 (7.8%)</w:t>
            </w:r>
            <w:r w:rsidRPr="00A16C9B">
              <w:rPr>
                <w:vertAlign w:val="superscript"/>
              </w:rPr>
              <w:t>c</w:t>
            </w:r>
          </w:p>
        </w:tc>
      </w:tr>
      <w:tr w:rsidR="000B266B" w:rsidRPr="00A16C9B" w14:paraId="4977BF21" w14:textId="77777777" w:rsidTr="00B678E8">
        <w:tblPrEx>
          <w:tblCellMar>
            <w:left w:w="108" w:type="dxa"/>
            <w:right w:w="108" w:type="dxa"/>
          </w:tblCellMar>
        </w:tblPrEx>
        <w:tc>
          <w:tcPr>
            <w:tcW w:w="1334" w:type="pct"/>
            <w:vAlign w:val="bottom"/>
          </w:tcPr>
          <w:p w14:paraId="6F23AA54" w14:textId="77777777" w:rsidR="000B266B" w:rsidRPr="00A16C9B" w:rsidRDefault="000B266B" w:rsidP="0041700E">
            <w:pPr>
              <w:pStyle w:val="TableText"/>
            </w:pPr>
            <w:r w:rsidRPr="00A16C9B">
              <w:t>Eosinophilia and Eosinophil count increased</w:t>
            </w:r>
          </w:p>
        </w:tc>
        <w:tc>
          <w:tcPr>
            <w:tcW w:w="864" w:type="pct"/>
            <w:shd w:val="clear" w:color="auto" w:fill="BDD6EE" w:themeFill="accent1" w:themeFillTint="66"/>
            <w:vAlign w:val="center"/>
          </w:tcPr>
          <w:p w14:paraId="464A4C21" w14:textId="77777777" w:rsidR="000B266B" w:rsidRPr="00A16C9B" w:rsidRDefault="000B266B" w:rsidP="0041700E">
            <w:pPr>
              <w:pStyle w:val="TableText"/>
              <w:jc w:val="center"/>
            </w:pPr>
            <w:r w:rsidRPr="00A16C9B">
              <w:t>5 (10.2%)</w:t>
            </w:r>
          </w:p>
        </w:tc>
        <w:tc>
          <w:tcPr>
            <w:tcW w:w="865" w:type="pct"/>
            <w:shd w:val="clear" w:color="auto" w:fill="BDD6EE" w:themeFill="accent1" w:themeFillTint="66"/>
            <w:vAlign w:val="center"/>
          </w:tcPr>
          <w:p w14:paraId="2B577252" w14:textId="77777777" w:rsidR="000B266B" w:rsidRPr="00A16C9B" w:rsidRDefault="000B266B" w:rsidP="0041700E">
            <w:pPr>
              <w:pStyle w:val="TableText"/>
              <w:jc w:val="center"/>
            </w:pPr>
            <w:r w:rsidRPr="00A16C9B">
              <w:t>5 (10.2%)</w:t>
            </w:r>
          </w:p>
        </w:tc>
        <w:tc>
          <w:tcPr>
            <w:tcW w:w="865" w:type="pct"/>
            <w:vAlign w:val="center"/>
          </w:tcPr>
          <w:p w14:paraId="54C96F95" w14:textId="77777777" w:rsidR="000B266B" w:rsidRPr="00A16C9B" w:rsidRDefault="000B266B" w:rsidP="0041700E">
            <w:pPr>
              <w:pStyle w:val="TableText"/>
              <w:jc w:val="center"/>
            </w:pPr>
            <w:r w:rsidRPr="00A16C9B">
              <w:t>5 (10.2%)</w:t>
            </w:r>
          </w:p>
        </w:tc>
        <w:tc>
          <w:tcPr>
            <w:tcW w:w="1072" w:type="pct"/>
            <w:shd w:val="clear" w:color="auto" w:fill="BDD6EE" w:themeFill="accent1" w:themeFillTint="66"/>
            <w:vAlign w:val="center"/>
          </w:tcPr>
          <w:p w14:paraId="4ECA7F05" w14:textId="77777777" w:rsidR="000B266B" w:rsidRPr="00A16C9B" w:rsidRDefault="000B266B" w:rsidP="0041700E">
            <w:pPr>
              <w:pStyle w:val="TableText"/>
              <w:jc w:val="center"/>
            </w:pPr>
            <w:r w:rsidRPr="00A16C9B">
              <w:t>1 (2.0%)</w:t>
            </w:r>
          </w:p>
        </w:tc>
      </w:tr>
      <w:tr w:rsidR="000B266B" w:rsidRPr="00A16C9B" w14:paraId="62C1B9BF" w14:textId="77777777" w:rsidTr="00B678E8">
        <w:tblPrEx>
          <w:tblCellMar>
            <w:left w:w="108" w:type="dxa"/>
            <w:right w:w="108" w:type="dxa"/>
          </w:tblCellMar>
        </w:tblPrEx>
        <w:tc>
          <w:tcPr>
            <w:tcW w:w="1334" w:type="pct"/>
            <w:vAlign w:val="bottom"/>
          </w:tcPr>
          <w:p w14:paraId="11EC2670" w14:textId="77777777" w:rsidR="000B266B" w:rsidRPr="00A16C9B" w:rsidRDefault="000B266B" w:rsidP="0041700E">
            <w:pPr>
              <w:pStyle w:val="TableText"/>
            </w:pPr>
            <w:r w:rsidRPr="00A16C9B">
              <w:t xml:space="preserve">Injection site reactions </w:t>
            </w:r>
          </w:p>
        </w:tc>
        <w:tc>
          <w:tcPr>
            <w:tcW w:w="864" w:type="pct"/>
            <w:shd w:val="clear" w:color="auto" w:fill="BDD6EE" w:themeFill="accent1" w:themeFillTint="66"/>
            <w:vAlign w:val="center"/>
          </w:tcPr>
          <w:p w14:paraId="2B8B5B2C" w14:textId="77777777" w:rsidR="000B266B" w:rsidRPr="00A16C9B" w:rsidRDefault="000B266B" w:rsidP="0041700E">
            <w:pPr>
              <w:pStyle w:val="TableText"/>
              <w:jc w:val="center"/>
            </w:pPr>
            <w:r w:rsidRPr="00A16C9B">
              <w:t>12 (24.5%)</w:t>
            </w:r>
            <w:r w:rsidRPr="00A16C9B">
              <w:rPr>
                <w:vertAlign w:val="superscript"/>
              </w:rPr>
              <w:t>d</w:t>
            </w:r>
          </w:p>
        </w:tc>
        <w:tc>
          <w:tcPr>
            <w:tcW w:w="865" w:type="pct"/>
            <w:shd w:val="clear" w:color="auto" w:fill="BDD6EE" w:themeFill="accent1" w:themeFillTint="66"/>
            <w:vAlign w:val="center"/>
          </w:tcPr>
          <w:p w14:paraId="1C358193" w14:textId="77777777" w:rsidR="000B266B" w:rsidRPr="00A16C9B" w:rsidRDefault="000B266B" w:rsidP="0041700E">
            <w:pPr>
              <w:pStyle w:val="TableText"/>
              <w:jc w:val="center"/>
            </w:pPr>
            <w:r w:rsidRPr="00A16C9B">
              <w:t>8 (16.3%)</w:t>
            </w:r>
            <w:r w:rsidRPr="00A16C9B">
              <w:rPr>
                <w:vertAlign w:val="superscript"/>
              </w:rPr>
              <w:t>d</w:t>
            </w:r>
          </w:p>
        </w:tc>
        <w:tc>
          <w:tcPr>
            <w:tcW w:w="865" w:type="pct"/>
            <w:vAlign w:val="center"/>
          </w:tcPr>
          <w:p w14:paraId="4BB8AF08" w14:textId="77777777" w:rsidR="000B266B" w:rsidRPr="00A16C9B" w:rsidRDefault="000B266B" w:rsidP="0041700E">
            <w:pPr>
              <w:pStyle w:val="TableText"/>
              <w:jc w:val="center"/>
            </w:pPr>
            <w:r w:rsidRPr="00A16C9B">
              <w:t>14 (28.6%)</w:t>
            </w:r>
            <w:r w:rsidRPr="00A16C9B">
              <w:rPr>
                <w:vertAlign w:val="superscript"/>
              </w:rPr>
              <w:t>d</w:t>
            </w:r>
          </w:p>
        </w:tc>
        <w:tc>
          <w:tcPr>
            <w:tcW w:w="1072" w:type="pct"/>
            <w:shd w:val="clear" w:color="auto" w:fill="BDD6EE" w:themeFill="accent1" w:themeFillTint="66"/>
            <w:vAlign w:val="center"/>
          </w:tcPr>
          <w:p w14:paraId="071F9C74" w14:textId="77777777" w:rsidR="000B266B" w:rsidRPr="00A16C9B" w:rsidRDefault="000B266B" w:rsidP="0041700E">
            <w:pPr>
              <w:pStyle w:val="TableText"/>
              <w:jc w:val="center"/>
            </w:pPr>
            <w:r w:rsidRPr="00A16C9B">
              <w:t>0 (0.0%)</w:t>
            </w:r>
          </w:p>
        </w:tc>
      </w:tr>
      <w:tr w:rsidR="000B266B" w:rsidRPr="00A16C9B" w14:paraId="41A28075" w14:textId="77777777" w:rsidTr="00B678E8">
        <w:tblPrEx>
          <w:tblCellMar>
            <w:left w:w="108" w:type="dxa"/>
            <w:right w:w="108" w:type="dxa"/>
          </w:tblCellMar>
        </w:tblPrEx>
        <w:tc>
          <w:tcPr>
            <w:tcW w:w="1334" w:type="pct"/>
            <w:vAlign w:val="center"/>
          </w:tcPr>
          <w:p w14:paraId="3CFFC9A6" w14:textId="77777777" w:rsidR="000B266B" w:rsidRPr="00A16C9B" w:rsidRDefault="000B266B" w:rsidP="0041700E">
            <w:pPr>
              <w:pStyle w:val="TableText"/>
            </w:pPr>
            <w:r w:rsidRPr="00A16C9B">
              <w:t>Hypersensitivity/Angioedema/ Anaphylactic/Anaphylactoid</w:t>
            </w:r>
          </w:p>
        </w:tc>
        <w:tc>
          <w:tcPr>
            <w:tcW w:w="864" w:type="pct"/>
            <w:shd w:val="clear" w:color="auto" w:fill="BDD6EE" w:themeFill="accent1" w:themeFillTint="66"/>
            <w:vAlign w:val="center"/>
          </w:tcPr>
          <w:p w14:paraId="3BE7C969" w14:textId="77777777" w:rsidR="000B266B" w:rsidRPr="00A16C9B" w:rsidRDefault="000B266B" w:rsidP="0041700E">
            <w:pPr>
              <w:pStyle w:val="TableText"/>
              <w:jc w:val="center"/>
            </w:pPr>
            <w:r w:rsidRPr="00A16C9B">
              <w:t>3 (6.1%)</w:t>
            </w:r>
            <w:r w:rsidRPr="00A16C9B">
              <w:rPr>
                <w:vertAlign w:val="superscript"/>
              </w:rPr>
              <w:t>e</w:t>
            </w:r>
          </w:p>
        </w:tc>
        <w:tc>
          <w:tcPr>
            <w:tcW w:w="865" w:type="pct"/>
            <w:shd w:val="clear" w:color="auto" w:fill="BDD6EE" w:themeFill="accent1" w:themeFillTint="66"/>
            <w:vAlign w:val="center"/>
          </w:tcPr>
          <w:p w14:paraId="46268E65" w14:textId="77777777" w:rsidR="000B266B" w:rsidRPr="00A16C9B" w:rsidRDefault="000B266B" w:rsidP="0041700E">
            <w:pPr>
              <w:pStyle w:val="TableText"/>
              <w:jc w:val="center"/>
            </w:pPr>
            <w:r w:rsidRPr="00A16C9B">
              <w:t>1 (2.0%)</w:t>
            </w:r>
          </w:p>
        </w:tc>
        <w:tc>
          <w:tcPr>
            <w:tcW w:w="865" w:type="pct"/>
            <w:vAlign w:val="center"/>
          </w:tcPr>
          <w:p w14:paraId="50319CF2" w14:textId="77777777" w:rsidR="000B266B" w:rsidRPr="00A16C9B" w:rsidRDefault="000B266B" w:rsidP="0041700E">
            <w:pPr>
              <w:pStyle w:val="TableText"/>
              <w:jc w:val="center"/>
            </w:pPr>
            <w:r w:rsidRPr="00A16C9B">
              <w:t>5 (10.2%)</w:t>
            </w:r>
            <w:r w:rsidRPr="00A16C9B">
              <w:rPr>
                <w:vertAlign w:val="superscript"/>
              </w:rPr>
              <w:t>f</w:t>
            </w:r>
          </w:p>
        </w:tc>
        <w:tc>
          <w:tcPr>
            <w:tcW w:w="1072" w:type="pct"/>
            <w:shd w:val="clear" w:color="auto" w:fill="BDD6EE" w:themeFill="accent1" w:themeFillTint="66"/>
            <w:vAlign w:val="center"/>
          </w:tcPr>
          <w:p w14:paraId="1A5ECB1B" w14:textId="77777777" w:rsidR="000B266B" w:rsidRPr="00A16C9B" w:rsidRDefault="000B266B" w:rsidP="0041700E">
            <w:pPr>
              <w:pStyle w:val="TableText"/>
              <w:jc w:val="center"/>
            </w:pPr>
            <w:r w:rsidRPr="00A16C9B">
              <w:t>0 (0.0%)</w:t>
            </w:r>
          </w:p>
        </w:tc>
      </w:tr>
      <w:tr w:rsidR="000B266B" w:rsidRPr="00A16C9B" w14:paraId="42DCBB9D" w14:textId="77777777" w:rsidTr="00B678E8">
        <w:tblPrEx>
          <w:tblCellMar>
            <w:left w:w="108" w:type="dxa"/>
            <w:right w:w="108" w:type="dxa"/>
          </w:tblCellMar>
        </w:tblPrEx>
        <w:tc>
          <w:tcPr>
            <w:tcW w:w="1334" w:type="pct"/>
            <w:vAlign w:val="center"/>
          </w:tcPr>
          <w:p w14:paraId="1226E472" w14:textId="77777777" w:rsidR="000B266B" w:rsidRPr="00A16C9B" w:rsidRDefault="000B266B" w:rsidP="0041700E">
            <w:pPr>
              <w:pStyle w:val="TableText"/>
            </w:pPr>
            <w:r w:rsidRPr="00A16C9B">
              <w:t xml:space="preserve">Skin and subcutaneous disorders </w:t>
            </w:r>
          </w:p>
        </w:tc>
        <w:tc>
          <w:tcPr>
            <w:tcW w:w="864" w:type="pct"/>
            <w:shd w:val="clear" w:color="auto" w:fill="BDD6EE" w:themeFill="accent1" w:themeFillTint="66"/>
            <w:vAlign w:val="center"/>
          </w:tcPr>
          <w:p w14:paraId="79169804" w14:textId="77777777" w:rsidR="000B266B" w:rsidRPr="00A16C9B" w:rsidRDefault="000B266B" w:rsidP="0041700E">
            <w:pPr>
              <w:pStyle w:val="TableText"/>
              <w:jc w:val="center"/>
            </w:pPr>
            <w:r w:rsidRPr="00A16C9B">
              <w:t>9 (18.4%)</w:t>
            </w:r>
            <w:r w:rsidRPr="00A16C9B">
              <w:rPr>
                <w:vertAlign w:val="superscript"/>
              </w:rPr>
              <w:t>h</w:t>
            </w:r>
          </w:p>
        </w:tc>
        <w:tc>
          <w:tcPr>
            <w:tcW w:w="865" w:type="pct"/>
            <w:shd w:val="clear" w:color="auto" w:fill="BDD6EE" w:themeFill="accent1" w:themeFillTint="66"/>
            <w:vAlign w:val="center"/>
          </w:tcPr>
          <w:p w14:paraId="72D2D0E7" w14:textId="77777777" w:rsidR="000B266B" w:rsidRPr="00A16C9B" w:rsidRDefault="000B266B" w:rsidP="0041700E">
            <w:pPr>
              <w:pStyle w:val="TableText"/>
              <w:jc w:val="center"/>
            </w:pPr>
            <w:r w:rsidRPr="00A16C9B">
              <w:t>9 (18.4%)</w:t>
            </w:r>
            <w:r w:rsidRPr="00A16C9B">
              <w:rPr>
                <w:vertAlign w:val="superscript"/>
              </w:rPr>
              <w:t>g</w:t>
            </w:r>
          </w:p>
        </w:tc>
        <w:tc>
          <w:tcPr>
            <w:tcW w:w="865" w:type="pct"/>
            <w:vAlign w:val="center"/>
          </w:tcPr>
          <w:p w14:paraId="1CA52D13" w14:textId="77777777" w:rsidR="000B266B" w:rsidRPr="00A16C9B" w:rsidRDefault="000B266B" w:rsidP="0041700E">
            <w:pPr>
              <w:pStyle w:val="TableText"/>
              <w:jc w:val="center"/>
            </w:pPr>
            <w:r w:rsidRPr="00A16C9B">
              <w:t>13 (26.5%)</w:t>
            </w:r>
            <w:r w:rsidRPr="00A16C9B">
              <w:rPr>
                <w:vertAlign w:val="superscript"/>
              </w:rPr>
              <w:t>i</w:t>
            </w:r>
          </w:p>
        </w:tc>
        <w:tc>
          <w:tcPr>
            <w:tcW w:w="1072" w:type="pct"/>
            <w:shd w:val="clear" w:color="auto" w:fill="BDD6EE" w:themeFill="accent1" w:themeFillTint="66"/>
            <w:vAlign w:val="center"/>
          </w:tcPr>
          <w:p w14:paraId="07BEEED3" w14:textId="77777777" w:rsidR="000B266B" w:rsidRPr="00A16C9B" w:rsidRDefault="000B266B" w:rsidP="0041700E">
            <w:pPr>
              <w:pStyle w:val="TableText"/>
              <w:jc w:val="center"/>
            </w:pPr>
            <w:r w:rsidRPr="00A16C9B">
              <w:t>1 (2.0%)</w:t>
            </w:r>
            <w:r w:rsidRPr="00A16C9B">
              <w:rPr>
                <w:vertAlign w:val="superscript"/>
              </w:rPr>
              <w:t>g</w:t>
            </w:r>
          </w:p>
        </w:tc>
      </w:tr>
      <w:tr w:rsidR="000B266B" w:rsidRPr="00A16C9B" w14:paraId="109909AD" w14:textId="77777777" w:rsidTr="00B678E8">
        <w:trPr>
          <w:trHeight w:val="221"/>
        </w:trPr>
        <w:tc>
          <w:tcPr>
            <w:tcW w:w="1334" w:type="pct"/>
            <w:vAlign w:val="center"/>
          </w:tcPr>
          <w:p w14:paraId="29166142" w14:textId="77777777" w:rsidR="000B266B" w:rsidRPr="00A16C9B" w:rsidRDefault="000B266B" w:rsidP="0041700E">
            <w:pPr>
              <w:pStyle w:val="TableText"/>
            </w:pPr>
            <w:r w:rsidRPr="00A16C9B">
              <w:t xml:space="preserve">Increases in bile salt </w:t>
            </w:r>
          </w:p>
        </w:tc>
        <w:tc>
          <w:tcPr>
            <w:tcW w:w="864" w:type="pct"/>
            <w:shd w:val="clear" w:color="auto" w:fill="BDD6EE" w:themeFill="accent1" w:themeFillTint="66"/>
            <w:vAlign w:val="center"/>
          </w:tcPr>
          <w:p w14:paraId="5A9DF80B" w14:textId="77777777" w:rsidR="000B266B" w:rsidRPr="00A16C9B" w:rsidRDefault="000B266B" w:rsidP="0041700E">
            <w:pPr>
              <w:pStyle w:val="TableText"/>
              <w:jc w:val="center"/>
            </w:pPr>
            <w:r w:rsidRPr="00A16C9B">
              <w:t>1 (2.0%)</w:t>
            </w:r>
          </w:p>
        </w:tc>
        <w:tc>
          <w:tcPr>
            <w:tcW w:w="865" w:type="pct"/>
            <w:shd w:val="clear" w:color="auto" w:fill="BDD6EE" w:themeFill="accent1" w:themeFillTint="66"/>
            <w:vAlign w:val="center"/>
          </w:tcPr>
          <w:p w14:paraId="79419A61" w14:textId="77777777" w:rsidR="000B266B" w:rsidRPr="00A16C9B" w:rsidRDefault="000B266B" w:rsidP="0041700E">
            <w:pPr>
              <w:pStyle w:val="TableText"/>
              <w:jc w:val="center"/>
            </w:pPr>
            <w:r w:rsidRPr="00A16C9B">
              <w:t>1 (2.0%)</w:t>
            </w:r>
          </w:p>
        </w:tc>
        <w:tc>
          <w:tcPr>
            <w:tcW w:w="865" w:type="pct"/>
            <w:vAlign w:val="center"/>
          </w:tcPr>
          <w:p w14:paraId="64CC7A04" w14:textId="77777777" w:rsidR="000B266B" w:rsidRPr="00A16C9B" w:rsidRDefault="000B266B" w:rsidP="0041700E">
            <w:pPr>
              <w:pStyle w:val="TableText"/>
              <w:jc w:val="center"/>
            </w:pPr>
            <w:r w:rsidRPr="00A16C9B">
              <w:t>1 (2.0%)</w:t>
            </w:r>
          </w:p>
        </w:tc>
        <w:tc>
          <w:tcPr>
            <w:tcW w:w="1072" w:type="pct"/>
            <w:shd w:val="clear" w:color="auto" w:fill="BDD6EE" w:themeFill="accent1" w:themeFillTint="66"/>
            <w:vAlign w:val="center"/>
          </w:tcPr>
          <w:p w14:paraId="1371D22F" w14:textId="77777777" w:rsidR="000B266B" w:rsidRPr="00A16C9B" w:rsidRDefault="000B266B" w:rsidP="0041700E">
            <w:pPr>
              <w:pStyle w:val="TableText"/>
              <w:jc w:val="center"/>
            </w:pPr>
            <w:r w:rsidRPr="00A16C9B">
              <w:t>0 (0.0%)</w:t>
            </w:r>
          </w:p>
        </w:tc>
      </w:tr>
    </w:tbl>
    <w:p w14:paraId="5A14F8F4" w14:textId="77777777" w:rsidR="000B266B" w:rsidRPr="00A16C9B" w:rsidRDefault="000B266B" w:rsidP="0041700E">
      <w:pPr>
        <w:pStyle w:val="TableFigureFooter"/>
      </w:pPr>
      <w:r w:rsidRPr="00A16C9B">
        <w:t>Source: Table 2.9-10, p87 of the resubmission</w:t>
      </w:r>
    </w:p>
    <w:p w14:paraId="719F90F0" w14:textId="77777777" w:rsidR="000B266B" w:rsidRPr="00A16C9B" w:rsidRDefault="000B266B" w:rsidP="0041700E">
      <w:pPr>
        <w:pStyle w:val="TableFigureFooter"/>
      </w:pPr>
      <w:r w:rsidRPr="00A16C9B">
        <w:t>ALT = alanine aminotransferase; AST = aspartate aminotransferase; GGT = gamma-glutamyl transferase; INR = international normalised ratio</w:t>
      </w:r>
    </w:p>
    <w:p w14:paraId="11884166" w14:textId="77777777" w:rsidR="000B266B" w:rsidRPr="00A16C9B" w:rsidRDefault="000B266B" w:rsidP="0041700E">
      <w:pPr>
        <w:pStyle w:val="TableFigureFooter"/>
        <w:rPr>
          <w:szCs w:val="18"/>
        </w:rPr>
      </w:pPr>
      <w:r w:rsidRPr="4904BCD2">
        <w:rPr>
          <w:szCs w:val="18"/>
          <w:vertAlign w:val="superscript"/>
        </w:rPr>
        <w:t xml:space="preserve">a </w:t>
      </w:r>
      <w:r w:rsidRPr="4904BCD2">
        <w:rPr>
          <w:szCs w:val="18"/>
        </w:rPr>
        <w:t>Increases in ALT, AST and/or blood bilirubin, hyperbilirubinemia, hepatic pain</w:t>
      </w:r>
    </w:p>
    <w:p w14:paraId="3341A36C" w14:textId="77777777" w:rsidR="000B266B" w:rsidRPr="00A16C9B" w:rsidRDefault="000B266B" w:rsidP="0041700E">
      <w:pPr>
        <w:pStyle w:val="TableFigureFooter"/>
      </w:pPr>
      <w:r w:rsidRPr="00A16C9B">
        <w:rPr>
          <w:vertAlign w:val="superscript"/>
        </w:rPr>
        <w:t>b</w:t>
      </w:r>
      <w:r w:rsidRPr="00A16C9B">
        <w:t xml:space="preserve"> Increases in ALT, AST, GGT, hyperbilirubinemia, increase in INR and urine bilirubin </w:t>
      </w:r>
    </w:p>
    <w:p w14:paraId="78273701" w14:textId="77777777" w:rsidR="000B266B" w:rsidRPr="00A16C9B" w:rsidRDefault="000B266B" w:rsidP="0041700E">
      <w:pPr>
        <w:pStyle w:val="TableFigureFooter"/>
      </w:pPr>
      <w:r w:rsidRPr="00A16C9B">
        <w:rPr>
          <w:vertAlign w:val="superscript"/>
        </w:rPr>
        <w:t>c</w:t>
      </w:r>
      <w:r w:rsidRPr="00A16C9B">
        <w:t xml:space="preserve"> Increases in ALT, AST and GGT</w:t>
      </w:r>
    </w:p>
    <w:p w14:paraId="13761A3A" w14:textId="77777777" w:rsidR="000B266B" w:rsidRPr="00A16C9B" w:rsidRDefault="000B266B" w:rsidP="0041700E">
      <w:pPr>
        <w:pStyle w:val="TableFigureFooter"/>
      </w:pPr>
      <w:r w:rsidRPr="00A16C9B">
        <w:rPr>
          <w:vertAlign w:val="superscript"/>
        </w:rPr>
        <w:t xml:space="preserve">d </w:t>
      </w:r>
      <w:r w:rsidRPr="00A16C9B">
        <w:t>Injection sit erythema/ haematoma/ pain/pruritus/reaction/swelling/rash</w:t>
      </w:r>
    </w:p>
    <w:p w14:paraId="34D8D619" w14:textId="77777777" w:rsidR="000B266B" w:rsidRPr="00A16C9B" w:rsidRDefault="000B266B" w:rsidP="0041700E">
      <w:pPr>
        <w:pStyle w:val="TableFigureFooter"/>
      </w:pPr>
      <w:r w:rsidRPr="00A16C9B">
        <w:rPr>
          <w:vertAlign w:val="superscript"/>
        </w:rPr>
        <w:t>e</w:t>
      </w:r>
      <w:r w:rsidRPr="00A16C9B">
        <w:t xml:space="preserve"> Angioedema, injection site rash, rash macular</w:t>
      </w:r>
    </w:p>
    <w:p w14:paraId="7D9A4B4E" w14:textId="77777777" w:rsidR="000B266B" w:rsidRPr="00A16C9B" w:rsidRDefault="000B266B" w:rsidP="0041700E">
      <w:pPr>
        <w:pStyle w:val="TableFigureFooter"/>
      </w:pPr>
      <w:r w:rsidRPr="00A16C9B">
        <w:rPr>
          <w:vertAlign w:val="superscript"/>
        </w:rPr>
        <w:t>f</w:t>
      </w:r>
      <w:r w:rsidRPr="00A16C9B">
        <w:t xml:space="preserve"> Eczema, angioedema, injection site rash, rash macular, rash</w:t>
      </w:r>
    </w:p>
    <w:p w14:paraId="2347E174" w14:textId="77777777" w:rsidR="000B266B" w:rsidRPr="00A16C9B" w:rsidRDefault="000B266B" w:rsidP="0041700E">
      <w:pPr>
        <w:pStyle w:val="TableFigureFooter"/>
      </w:pPr>
      <w:r w:rsidRPr="00A16C9B">
        <w:rPr>
          <w:vertAlign w:val="superscript"/>
        </w:rPr>
        <w:t>g</w:t>
      </w:r>
      <w:r w:rsidRPr="00A16C9B">
        <w:t xml:space="preserve"> Night sweats</w:t>
      </w:r>
    </w:p>
    <w:p w14:paraId="17A0EB32" w14:textId="77777777" w:rsidR="000B266B" w:rsidRPr="00A16C9B" w:rsidRDefault="000B266B" w:rsidP="0041700E">
      <w:pPr>
        <w:pStyle w:val="TableFigureFooter"/>
      </w:pPr>
      <w:r w:rsidRPr="00A16C9B">
        <w:rPr>
          <w:vertAlign w:val="superscript"/>
        </w:rPr>
        <w:t xml:space="preserve">h </w:t>
      </w:r>
      <w:r w:rsidRPr="00A16C9B">
        <w:t>Alopecia, angioedema, rash macular, pruritus</w:t>
      </w:r>
    </w:p>
    <w:p w14:paraId="136B9EA8" w14:textId="77777777" w:rsidR="000B266B" w:rsidRPr="00A16C9B" w:rsidRDefault="000B266B" w:rsidP="0041700E">
      <w:pPr>
        <w:pStyle w:val="TableFigureFooter"/>
        <w:rPr>
          <w:szCs w:val="18"/>
        </w:rPr>
      </w:pPr>
      <w:r w:rsidRPr="4904BCD2">
        <w:rPr>
          <w:szCs w:val="18"/>
          <w:vertAlign w:val="superscript"/>
        </w:rPr>
        <w:t>i</w:t>
      </w:r>
      <w:r w:rsidRPr="4904BCD2">
        <w:rPr>
          <w:szCs w:val="18"/>
        </w:rPr>
        <w:t xml:space="preserve"> Alopecia, eczema, erythema, night sweats, pruritus, rash, rash macular</w:t>
      </w:r>
    </w:p>
    <w:p w14:paraId="22B23D11" w14:textId="77777777" w:rsidR="000B266B" w:rsidRPr="00A16C9B" w:rsidRDefault="000B266B" w:rsidP="0041700E">
      <w:pPr>
        <w:pStyle w:val="TableFigureFooter"/>
      </w:pPr>
      <w:r w:rsidRPr="4904BCD2">
        <w:t xml:space="preserve">Note: </w:t>
      </w:r>
      <w:r w:rsidRPr="4904BCD2">
        <w:rPr>
          <w:shd w:val="clear" w:color="auto" w:fill="BDD6EE" w:themeFill="accent1" w:themeFillTint="66"/>
        </w:rPr>
        <w:t>Blue</w:t>
      </w:r>
      <w:r w:rsidRPr="4904BCD2">
        <w:t xml:space="preserve"> shading denotes results presented in the previous submission</w:t>
      </w:r>
    </w:p>
    <w:p w14:paraId="2ADD8B32" w14:textId="77777777" w:rsidR="000B266B" w:rsidRPr="009D2673" w:rsidRDefault="000B266B" w:rsidP="0041700E">
      <w:pPr>
        <w:pStyle w:val="3-BodyText"/>
        <w:spacing w:before="120" w:after="120"/>
        <w:rPr>
          <w:rStyle w:val="CommentReference"/>
          <w:sz w:val="24"/>
          <w:szCs w:val="22"/>
        </w:rPr>
      </w:pPr>
      <w:r w:rsidRPr="009D2673">
        <w:t>A very low incidence of increased bile salt was reported in the entire 144 weeks of bulevirtide treatment in the trial. This was because isolated and asymptomatic increases in total bile salts, above the ULN considered clinically insignificant by the investigator, was not reported as an AE as per the study protocol. In the bulevirtide 2</w:t>
      </w:r>
      <w:r>
        <w:t> </w:t>
      </w:r>
      <w:r w:rsidRPr="009D2673">
        <w:t xml:space="preserve">mg treatment arm, at Week 144, the reported proportion of patients experiencing renal and urinary AEs was 10.2% (5 patients), and proteinuria occurred in 4 of these 5 patients (8.2%), compared to 3 patients (6.1%) in Week 48. </w:t>
      </w:r>
      <w:r w:rsidRPr="009D2673">
        <w:rPr>
          <w:rStyle w:val="CommentReference"/>
          <w:sz w:val="24"/>
          <w:szCs w:val="22"/>
        </w:rPr>
        <w:t xml:space="preserve">As stated in the approved PI of bulevirtide, one of the very common adverse effects of the drug is increased level of bile salts, which </w:t>
      </w:r>
      <w:r>
        <w:rPr>
          <w:rStyle w:val="CommentReference"/>
          <w:sz w:val="24"/>
          <w:szCs w:val="22"/>
        </w:rPr>
        <w:t>are</w:t>
      </w:r>
      <w:r w:rsidRPr="009D2673">
        <w:rPr>
          <w:rStyle w:val="CommentReference"/>
          <w:sz w:val="24"/>
          <w:szCs w:val="22"/>
        </w:rPr>
        <w:t xml:space="preserve"> renally excreted.</w:t>
      </w:r>
    </w:p>
    <w:p w14:paraId="1031C4B9" w14:textId="77777777" w:rsidR="000B266B" w:rsidRPr="009D2673" w:rsidRDefault="000B266B" w:rsidP="0041700E">
      <w:pPr>
        <w:pStyle w:val="3-BodyText"/>
        <w:spacing w:before="120" w:after="120"/>
      </w:pPr>
      <w:r w:rsidRPr="009D2673">
        <w:rPr>
          <w:rStyle w:val="CommentReference"/>
          <w:sz w:val="24"/>
          <w:szCs w:val="22"/>
        </w:rPr>
        <w:t>At the March 2024 PBAC meeting, the PBAC considered that the safety data provided in the previous submission was limited due to the small size of the key trial, as well as the limited follow-up period. The PBAC considered that longer-term safety data would be informative to further support the claim that bulevirtide has a manageable safety profile compared to BSC (para</w:t>
      </w:r>
      <w:r>
        <w:rPr>
          <w:rStyle w:val="CommentReference"/>
          <w:sz w:val="24"/>
          <w:szCs w:val="22"/>
        </w:rPr>
        <w:t>graph</w:t>
      </w:r>
      <w:r w:rsidRPr="009D2673">
        <w:rPr>
          <w:rStyle w:val="CommentReference"/>
          <w:sz w:val="24"/>
          <w:szCs w:val="22"/>
        </w:rPr>
        <w:t xml:space="preserve"> 7.11, bulevirtide PSD, March 2024 PBAC meeting). Although the resubmission provided safety data from the key trial covering an additional 48 weeks of treatment, the trial duration (144 weeks) is insufficient to represent the ongoing treatment of bulevirtide that will occur in clinical practice (modelled treatment duration in the economic evaluation: 12.3 years). Furthermore, patients with moderate or severe renal impairment (creatinine clearance &lt;</w:t>
      </w:r>
      <w:r>
        <w:rPr>
          <w:rStyle w:val="CommentReference"/>
          <w:sz w:val="24"/>
          <w:szCs w:val="22"/>
        </w:rPr>
        <w:t> </w:t>
      </w:r>
      <w:r w:rsidRPr="009D2673">
        <w:rPr>
          <w:rStyle w:val="CommentReference"/>
          <w:sz w:val="24"/>
          <w:szCs w:val="22"/>
        </w:rPr>
        <w:t>60</w:t>
      </w:r>
      <w:r>
        <w:rPr>
          <w:rStyle w:val="CommentReference"/>
          <w:sz w:val="24"/>
          <w:szCs w:val="22"/>
        </w:rPr>
        <w:t> </w:t>
      </w:r>
      <w:r w:rsidRPr="009D2673">
        <w:rPr>
          <w:rStyle w:val="CommentReference"/>
          <w:sz w:val="24"/>
          <w:szCs w:val="22"/>
        </w:rPr>
        <w:t xml:space="preserve">mL/min) were excluded from the trial. However, the proposed PBS restriction for bulevirtide treatment does not restrict by patient’s renal function. </w:t>
      </w:r>
    </w:p>
    <w:p w14:paraId="6054B297" w14:textId="77777777" w:rsidR="000B266B" w:rsidRPr="00F50184" w:rsidRDefault="000B266B" w:rsidP="0041700E">
      <w:pPr>
        <w:pStyle w:val="4-SubsectionHeading"/>
      </w:pPr>
      <w:bookmarkStart w:id="36" w:name="_Toc188360799"/>
      <w:bookmarkStart w:id="37" w:name="_Toc413139281"/>
      <w:r w:rsidRPr="00F50184">
        <w:lastRenderedPageBreak/>
        <w:t>Benefits/ harms</w:t>
      </w:r>
      <w:bookmarkEnd w:id="36"/>
    </w:p>
    <w:p w14:paraId="2C542C57" w14:textId="77777777" w:rsidR="000B266B" w:rsidRPr="00A16C9B" w:rsidRDefault="000B266B" w:rsidP="0041700E">
      <w:pPr>
        <w:pStyle w:val="3-BodyText"/>
        <w:spacing w:before="120" w:after="120"/>
      </w:pPr>
      <w:r w:rsidRPr="37C20EEE">
        <w:t>A summary of the comparative benefits and harms for bulevirtide versus BSC in the MYR301 trial is presented in the table below.</w:t>
      </w:r>
    </w:p>
    <w:p w14:paraId="3435C525" w14:textId="62741837" w:rsidR="000B266B" w:rsidRPr="009D2673" w:rsidRDefault="000B266B" w:rsidP="0041700E">
      <w:pPr>
        <w:pStyle w:val="TableFigureHeading"/>
        <w:keepNext w:val="0"/>
      </w:pPr>
      <w:r w:rsidRPr="009D2673">
        <w:t xml:space="preserve">Table </w:t>
      </w:r>
      <w:r w:rsidRPr="009D2673">
        <w:fldChar w:fldCharType="begin"/>
      </w:r>
      <w:r w:rsidRPr="009D2673">
        <w:instrText xml:space="preserve"> SEQ Table_PBAC. \* ARABIC </w:instrText>
      </w:r>
      <w:r w:rsidRPr="009D2673">
        <w:fldChar w:fldCharType="separate"/>
      </w:r>
      <w:r w:rsidR="007848CD">
        <w:rPr>
          <w:noProof/>
        </w:rPr>
        <w:t>11</w:t>
      </w:r>
      <w:r w:rsidRPr="009D2673">
        <w:fldChar w:fldCharType="end"/>
      </w:r>
      <w:r w:rsidRPr="009D2673">
        <w:t xml:space="preserve">: </w:t>
      </w:r>
      <w:r w:rsidRPr="009D2673">
        <w:rPr>
          <w:rStyle w:val="CommentReference"/>
          <w:sz w:val="20"/>
          <w:szCs w:val="24"/>
        </w:rPr>
        <w:t xml:space="preserve">Summary of </w:t>
      </w:r>
      <w:r w:rsidRPr="009D2673">
        <w:t>comparative benefits and harms for bulevirtide 2 mg and BSC in the MYR301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1: Summary of comparative benefits and harms for bulevirtide 2 mg and BSC in the MYR301 trial"/>
      </w:tblPr>
      <w:tblGrid>
        <w:gridCol w:w="1128"/>
        <w:gridCol w:w="981"/>
        <w:gridCol w:w="707"/>
        <w:gridCol w:w="673"/>
        <w:gridCol w:w="310"/>
        <w:gridCol w:w="1003"/>
        <w:gridCol w:w="833"/>
        <w:gridCol w:w="555"/>
        <w:gridCol w:w="123"/>
        <w:gridCol w:w="305"/>
        <w:gridCol w:w="1033"/>
        <w:gridCol w:w="1365"/>
      </w:tblGrid>
      <w:tr w:rsidR="000B266B" w:rsidRPr="00A16C9B" w14:paraId="4DB76815" w14:textId="77777777" w:rsidTr="00B678E8">
        <w:trPr>
          <w:trHeight w:val="150"/>
          <w:tblHeader/>
        </w:trPr>
        <w:tc>
          <w:tcPr>
            <w:tcW w:w="1170" w:type="pct"/>
            <w:gridSpan w:val="2"/>
            <w:vMerge w:val="restart"/>
            <w:vAlign w:val="bottom"/>
          </w:tcPr>
          <w:p w14:paraId="0DD8F77C" w14:textId="77777777" w:rsidR="000B266B" w:rsidRPr="00A16C9B" w:rsidRDefault="000B266B" w:rsidP="0041700E">
            <w:pPr>
              <w:pStyle w:val="In-tableHeading"/>
              <w:keepNext w:val="0"/>
              <w:rPr>
                <w:lang w:val="en-AU"/>
              </w:rPr>
            </w:pPr>
            <w:r w:rsidRPr="00A16C9B">
              <w:rPr>
                <w:lang w:val="en-AU"/>
              </w:rPr>
              <w:t>Outcome</w:t>
            </w:r>
          </w:p>
        </w:tc>
        <w:tc>
          <w:tcPr>
            <w:tcW w:w="765" w:type="pct"/>
            <w:gridSpan w:val="2"/>
            <w:vMerge w:val="restart"/>
            <w:vAlign w:val="bottom"/>
          </w:tcPr>
          <w:p w14:paraId="579AF7C2" w14:textId="77777777" w:rsidR="000B266B" w:rsidRPr="00A16C9B" w:rsidRDefault="000B266B" w:rsidP="0041700E">
            <w:pPr>
              <w:pStyle w:val="In-tableHeading"/>
              <w:keepNext w:val="0"/>
              <w:jc w:val="center"/>
              <w:rPr>
                <w:lang w:val="en-AU"/>
              </w:rPr>
            </w:pPr>
            <w:r w:rsidRPr="00A16C9B">
              <w:rPr>
                <w:lang w:val="en-AU"/>
              </w:rPr>
              <w:t>Bulevirtide 2 mg n/N</w:t>
            </w:r>
          </w:p>
        </w:tc>
        <w:tc>
          <w:tcPr>
            <w:tcW w:w="728" w:type="pct"/>
            <w:gridSpan w:val="2"/>
            <w:vMerge w:val="restart"/>
            <w:vAlign w:val="bottom"/>
          </w:tcPr>
          <w:p w14:paraId="6F1FB1A7" w14:textId="77777777" w:rsidR="000B266B" w:rsidRPr="00A16C9B" w:rsidRDefault="000B266B" w:rsidP="0041700E">
            <w:pPr>
              <w:pStyle w:val="In-tableHeading"/>
              <w:keepNext w:val="0"/>
              <w:jc w:val="center"/>
              <w:rPr>
                <w:lang w:val="en-AU"/>
              </w:rPr>
            </w:pPr>
            <w:r w:rsidRPr="00A16C9B">
              <w:rPr>
                <w:lang w:val="en-AU"/>
              </w:rPr>
              <w:t>BSC</w:t>
            </w:r>
          </w:p>
          <w:p w14:paraId="2DEF4E41" w14:textId="77777777" w:rsidR="000B266B" w:rsidRPr="00A16C9B" w:rsidRDefault="000B266B" w:rsidP="0041700E">
            <w:pPr>
              <w:pStyle w:val="In-tableHeading"/>
              <w:keepNext w:val="0"/>
              <w:jc w:val="center"/>
              <w:rPr>
                <w:lang w:val="en-AU"/>
              </w:rPr>
            </w:pPr>
            <w:r w:rsidRPr="00A16C9B">
              <w:rPr>
                <w:lang w:val="en-AU"/>
              </w:rPr>
              <w:t>n/N</w:t>
            </w:r>
          </w:p>
        </w:tc>
        <w:tc>
          <w:tcPr>
            <w:tcW w:w="1580" w:type="pct"/>
            <w:gridSpan w:val="5"/>
            <w:vAlign w:val="bottom"/>
          </w:tcPr>
          <w:p w14:paraId="5099CD62" w14:textId="77777777" w:rsidR="000B266B" w:rsidRPr="00A16C9B" w:rsidRDefault="000B266B" w:rsidP="0041700E">
            <w:pPr>
              <w:pStyle w:val="In-tableHeading"/>
              <w:keepNext w:val="0"/>
              <w:jc w:val="center"/>
              <w:rPr>
                <w:lang w:val="en-AU"/>
              </w:rPr>
            </w:pPr>
            <w:r w:rsidRPr="00A16C9B">
              <w:rPr>
                <w:lang w:val="en-AU"/>
              </w:rPr>
              <w:t>Event rate/100 patients</w:t>
            </w:r>
          </w:p>
        </w:tc>
        <w:tc>
          <w:tcPr>
            <w:tcW w:w="757" w:type="pct"/>
            <w:vMerge w:val="restart"/>
            <w:vAlign w:val="bottom"/>
          </w:tcPr>
          <w:p w14:paraId="3769042A" w14:textId="77777777" w:rsidR="000B266B" w:rsidRPr="00A16C9B" w:rsidRDefault="000B266B" w:rsidP="0041700E">
            <w:pPr>
              <w:pStyle w:val="In-tableHeading"/>
              <w:keepNext w:val="0"/>
              <w:jc w:val="center"/>
              <w:rPr>
                <w:lang w:val="en-AU"/>
              </w:rPr>
            </w:pPr>
            <w:r w:rsidRPr="00A16C9B">
              <w:rPr>
                <w:lang w:val="en-AU"/>
              </w:rPr>
              <w:t>RD</w:t>
            </w:r>
          </w:p>
          <w:p w14:paraId="52D197BF" w14:textId="77777777" w:rsidR="000B266B" w:rsidRPr="00A16C9B" w:rsidRDefault="000B266B" w:rsidP="0041700E">
            <w:pPr>
              <w:pStyle w:val="In-tableHeading"/>
              <w:keepNext w:val="0"/>
              <w:jc w:val="center"/>
              <w:rPr>
                <w:lang w:val="en-AU"/>
              </w:rPr>
            </w:pPr>
            <w:r w:rsidRPr="00A16C9B">
              <w:rPr>
                <w:lang w:val="en-AU"/>
              </w:rPr>
              <w:t>(95% CI)</w:t>
            </w:r>
          </w:p>
        </w:tc>
      </w:tr>
      <w:tr w:rsidR="000B266B" w:rsidRPr="00A16C9B" w14:paraId="6731FCC9" w14:textId="77777777" w:rsidTr="00B678E8">
        <w:trPr>
          <w:trHeight w:val="210"/>
        </w:trPr>
        <w:tc>
          <w:tcPr>
            <w:tcW w:w="1170" w:type="pct"/>
            <w:gridSpan w:val="2"/>
            <w:vMerge/>
            <w:vAlign w:val="center"/>
          </w:tcPr>
          <w:p w14:paraId="1020C479" w14:textId="77777777" w:rsidR="000B266B" w:rsidRPr="00A16C9B" w:rsidRDefault="000B266B" w:rsidP="0041700E">
            <w:pPr>
              <w:pStyle w:val="In-tableHeading"/>
              <w:keepNext w:val="0"/>
              <w:jc w:val="center"/>
              <w:rPr>
                <w:lang w:val="en-AU"/>
              </w:rPr>
            </w:pPr>
          </w:p>
        </w:tc>
        <w:tc>
          <w:tcPr>
            <w:tcW w:w="765" w:type="pct"/>
            <w:gridSpan w:val="2"/>
            <w:vMerge/>
            <w:vAlign w:val="center"/>
          </w:tcPr>
          <w:p w14:paraId="541E1D70" w14:textId="77777777" w:rsidR="000B266B" w:rsidRPr="00A16C9B" w:rsidRDefault="000B266B" w:rsidP="0041700E">
            <w:pPr>
              <w:pStyle w:val="In-tableHeading"/>
              <w:keepNext w:val="0"/>
              <w:jc w:val="center"/>
              <w:rPr>
                <w:lang w:val="en-AU"/>
              </w:rPr>
            </w:pPr>
          </w:p>
        </w:tc>
        <w:tc>
          <w:tcPr>
            <w:tcW w:w="728" w:type="pct"/>
            <w:gridSpan w:val="2"/>
            <w:vMerge/>
            <w:vAlign w:val="center"/>
          </w:tcPr>
          <w:p w14:paraId="225C3678" w14:textId="77777777" w:rsidR="000B266B" w:rsidRPr="00A16C9B" w:rsidRDefault="000B266B" w:rsidP="0041700E">
            <w:pPr>
              <w:pStyle w:val="In-tableHeading"/>
              <w:keepNext w:val="0"/>
              <w:jc w:val="center"/>
              <w:rPr>
                <w:lang w:val="en-AU"/>
              </w:rPr>
            </w:pPr>
          </w:p>
        </w:tc>
        <w:tc>
          <w:tcPr>
            <w:tcW w:w="838" w:type="pct"/>
            <w:gridSpan w:val="3"/>
            <w:vAlign w:val="bottom"/>
          </w:tcPr>
          <w:p w14:paraId="46A258D5" w14:textId="77777777" w:rsidR="000B266B" w:rsidRPr="00A16C9B" w:rsidRDefault="000B266B" w:rsidP="0041700E">
            <w:pPr>
              <w:pStyle w:val="In-tableHeading"/>
              <w:keepNext w:val="0"/>
              <w:jc w:val="center"/>
              <w:rPr>
                <w:lang w:val="en-AU"/>
              </w:rPr>
            </w:pPr>
            <w:r w:rsidRPr="00A16C9B">
              <w:rPr>
                <w:lang w:val="en-AU"/>
              </w:rPr>
              <w:t>Bulevirtide 2 mg</w:t>
            </w:r>
          </w:p>
        </w:tc>
        <w:tc>
          <w:tcPr>
            <w:tcW w:w="742" w:type="pct"/>
            <w:gridSpan w:val="2"/>
            <w:vAlign w:val="bottom"/>
          </w:tcPr>
          <w:p w14:paraId="5D36C8E8" w14:textId="77777777" w:rsidR="000B266B" w:rsidRPr="00A16C9B" w:rsidRDefault="000B266B" w:rsidP="0041700E">
            <w:pPr>
              <w:pStyle w:val="In-tableHeading"/>
              <w:keepNext w:val="0"/>
              <w:jc w:val="center"/>
              <w:rPr>
                <w:lang w:val="en-AU"/>
              </w:rPr>
            </w:pPr>
            <w:r w:rsidRPr="00A16C9B">
              <w:rPr>
                <w:lang w:val="en-AU"/>
              </w:rPr>
              <w:t>BSC</w:t>
            </w:r>
          </w:p>
        </w:tc>
        <w:tc>
          <w:tcPr>
            <w:tcW w:w="757" w:type="pct"/>
            <w:vMerge/>
            <w:vAlign w:val="center"/>
          </w:tcPr>
          <w:p w14:paraId="19C64AD8" w14:textId="77777777" w:rsidR="000B266B" w:rsidRPr="00A16C9B" w:rsidRDefault="000B266B" w:rsidP="0041700E">
            <w:pPr>
              <w:pStyle w:val="In-tableHeading"/>
              <w:keepNext w:val="0"/>
              <w:jc w:val="center"/>
              <w:rPr>
                <w:lang w:val="en-AU"/>
              </w:rPr>
            </w:pPr>
          </w:p>
        </w:tc>
      </w:tr>
      <w:tr w:rsidR="000B266B" w:rsidRPr="00A16C9B" w14:paraId="4D298EFB" w14:textId="77777777" w:rsidTr="00B678E8">
        <w:tc>
          <w:tcPr>
            <w:tcW w:w="5000" w:type="pct"/>
            <w:gridSpan w:val="12"/>
            <w:vAlign w:val="center"/>
          </w:tcPr>
          <w:p w14:paraId="03BB8D54" w14:textId="77777777" w:rsidR="000B266B" w:rsidRPr="00A16C9B" w:rsidRDefault="000B266B" w:rsidP="0041700E">
            <w:pPr>
              <w:pStyle w:val="In-tableHeading"/>
              <w:keepNext w:val="0"/>
              <w:rPr>
                <w:lang w:val="en-AU"/>
              </w:rPr>
            </w:pPr>
            <w:r w:rsidRPr="00A16C9B">
              <w:rPr>
                <w:lang w:val="en-AU"/>
              </w:rPr>
              <w:t>Benefits</w:t>
            </w:r>
          </w:p>
        </w:tc>
      </w:tr>
      <w:tr w:rsidR="000B266B" w:rsidRPr="00A16C9B" w14:paraId="2EA61AD0" w14:textId="77777777" w:rsidTr="00B678E8">
        <w:tc>
          <w:tcPr>
            <w:tcW w:w="5000" w:type="pct"/>
            <w:gridSpan w:val="12"/>
            <w:vAlign w:val="center"/>
          </w:tcPr>
          <w:p w14:paraId="4E5F0741" w14:textId="77777777" w:rsidR="000B266B" w:rsidRPr="00A16C9B" w:rsidRDefault="000B266B" w:rsidP="0041700E">
            <w:pPr>
              <w:pStyle w:val="In-tableHeading"/>
              <w:keepNext w:val="0"/>
              <w:rPr>
                <w:lang w:val="en-AU"/>
              </w:rPr>
            </w:pPr>
            <w:r w:rsidRPr="00A16C9B">
              <w:rPr>
                <w:lang w:val="en-AU"/>
              </w:rPr>
              <w:t>Dichotomous outcomes</w:t>
            </w:r>
          </w:p>
        </w:tc>
      </w:tr>
      <w:tr w:rsidR="000B266B" w:rsidRPr="00A16C9B" w14:paraId="42E8C000" w14:textId="77777777" w:rsidTr="00B678E8">
        <w:tc>
          <w:tcPr>
            <w:tcW w:w="626" w:type="pct"/>
            <w:vMerge w:val="restart"/>
            <w:vAlign w:val="center"/>
          </w:tcPr>
          <w:p w14:paraId="355F5B01" w14:textId="77777777" w:rsidR="000B266B" w:rsidRPr="00A16C9B" w:rsidRDefault="000B266B" w:rsidP="0041700E">
            <w:pPr>
              <w:pStyle w:val="TableText"/>
              <w:keepNext w:val="0"/>
            </w:pPr>
            <w:r w:rsidRPr="4904BCD2">
              <w:t>Combined response</w:t>
            </w:r>
            <w:r w:rsidRPr="4904BCD2">
              <w:rPr>
                <w:vertAlign w:val="superscript"/>
              </w:rPr>
              <w:t>a</w:t>
            </w:r>
            <w:r w:rsidRPr="4904BCD2">
              <w:t xml:space="preserve"> </w:t>
            </w:r>
          </w:p>
        </w:tc>
        <w:tc>
          <w:tcPr>
            <w:tcW w:w="544" w:type="pct"/>
            <w:shd w:val="clear" w:color="auto" w:fill="BDD6EE" w:themeFill="accent1" w:themeFillTint="66"/>
            <w:vAlign w:val="center"/>
          </w:tcPr>
          <w:p w14:paraId="26330D1B" w14:textId="77777777" w:rsidR="000B266B" w:rsidRPr="00A16C9B" w:rsidRDefault="000B266B" w:rsidP="0041700E">
            <w:pPr>
              <w:pStyle w:val="TableText"/>
              <w:keepNext w:val="0"/>
            </w:pPr>
            <w:r w:rsidRPr="00A16C9B">
              <w:t>Week 48</w:t>
            </w:r>
          </w:p>
        </w:tc>
        <w:tc>
          <w:tcPr>
            <w:tcW w:w="765" w:type="pct"/>
            <w:gridSpan w:val="2"/>
            <w:shd w:val="clear" w:color="auto" w:fill="BDD6EE" w:themeFill="accent1" w:themeFillTint="66"/>
          </w:tcPr>
          <w:p w14:paraId="0F8A9330" w14:textId="77777777" w:rsidR="000B266B" w:rsidRPr="00A16C9B" w:rsidRDefault="000B266B" w:rsidP="0041700E">
            <w:pPr>
              <w:pStyle w:val="TableText"/>
              <w:keepNext w:val="0"/>
              <w:jc w:val="center"/>
            </w:pPr>
            <w:r w:rsidRPr="00A16C9B">
              <w:t>22/49</w:t>
            </w:r>
          </w:p>
        </w:tc>
        <w:tc>
          <w:tcPr>
            <w:tcW w:w="728" w:type="pct"/>
            <w:gridSpan w:val="2"/>
            <w:shd w:val="clear" w:color="auto" w:fill="BDD6EE" w:themeFill="accent1" w:themeFillTint="66"/>
          </w:tcPr>
          <w:p w14:paraId="523D4BC3" w14:textId="77777777" w:rsidR="000B266B" w:rsidRPr="00A16C9B" w:rsidRDefault="000B266B" w:rsidP="0041700E">
            <w:pPr>
              <w:pStyle w:val="TableText"/>
              <w:keepNext w:val="0"/>
              <w:jc w:val="center"/>
            </w:pPr>
            <w:r w:rsidRPr="00A16C9B">
              <w:t>1/51</w:t>
            </w:r>
          </w:p>
        </w:tc>
        <w:tc>
          <w:tcPr>
            <w:tcW w:w="838" w:type="pct"/>
            <w:gridSpan w:val="3"/>
            <w:shd w:val="clear" w:color="auto" w:fill="BDD6EE" w:themeFill="accent1" w:themeFillTint="66"/>
          </w:tcPr>
          <w:p w14:paraId="149061F1" w14:textId="77777777" w:rsidR="000B266B" w:rsidRPr="00A16C9B" w:rsidRDefault="000B266B" w:rsidP="0041700E">
            <w:pPr>
              <w:pStyle w:val="TableText"/>
              <w:keepNext w:val="0"/>
              <w:jc w:val="center"/>
            </w:pPr>
            <w:r w:rsidRPr="00A16C9B">
              <w:t>44.9</w:t>
            </w:r>
          </w:p>
        </w:tc>
        <w:tc>
          <w:tcPr>
            <w:tcW w:w="742" w:type="pct"/>
            <w:gridSpan w:val="2"/>
            <w:shd w:val="clear" w:color="auto" w:fill="BDD6EE" w:themeFill="accent1" w:themeFillTint="66"/>
          </w:tcPr>
          <w:p w14:paraId="020A15D3" w14:textId="77777777" w:rsidR="000B266B" w:rsidRPr="00A16C9B" w:rsidRDefault="000B266B" w:rsidP="0041700E">
            <w:pPr>
              <w:pStyle w:val="TableText"/>
              <w:keepNext w:val="0"/>
              <w:jc w:val="center"/>
            </w:pPr>
            <w:r w:rsidRPr="00A16C9B">
              <w:t>2.0</w:t>
            </w:r>
          </w:p>
        </w:tc>
        <w:tc>
          <w:tcPr>
            <w:tcW w:w="757" w:type="pct"/>
            <w:shd w:val="clear" w:color="auto" w:fill="BDD6EE" w:themeFill="accent1" w:themeFillTint="66"/>
          </w:tcPr>
          <w:p w14:paraId="57F3E6C4" w14:textId="77777777" w:rsidR="000B266B" w:rsidRPr="00A16C9B" w:rsidRDefault="000B266B" w:rsidP="0041700E">
            <w:pPr>
              <w:pStyle w:val="TableText"/>
              <w:keepNext w:val="0"/>
              <w:jc w:val="center"/>
              <w:rPr>
                <w:vertAlign w:val="superscript"/>
              </w:rPr>
            </w:pPr>
            <w:r w:rsidRPr="4904BCD2">
              <w:t>42.9 (27.0, 58.5)</w:t>
            </w:r>
            <w:r w:rsidRPr="4904BCD2">
              <w:rPr>
                <w:vertAlign w:val="superscript"/>
              </w:rPr>
              <w:t>d</w:t>
            </w:r>
          </w:p>
        </w:tc>
      </w:tr>
      <w:tr w:rsidR="000B266B" w:rsidRPr="00A16C9B" w14:paraId="1B5195EC" w14:textId="77777777" w:rsidTr="00B678E8">
        <w:tc>
          <w:tcPr>
            <w:tcW w:w="626" w:type="pct"/>
            <w:vMerge/>
            <w:vAlign w:val="center"/>
          </w:tcPr>
          <w:p w14:paraId="761AA5D3" w14:textId="77777777" w:rsidR="000B266B" w:rsidRPr="00A16C9B" w:rsidRDefault="000B266B" w:rsidP="0041700E">
            <w:pPr>
              <w:pStyle w:val="TableText"/>
              <w:keepNext w:val="0"/>
            </w:pPr>
          </w:p>
        </w:tc>
        <w:tc>
          <w:tcPr>
            <w:tcW w:w="544" w:type="pct"/>
            <w:shd w:val="clear" w:color="auto" w:fill="BDD6EE" w:themeFill="accent1" w:themeFillTint="66"/>
            <w:vAlign w:val="center"/>
          </w:tcPr>
          <w:p w14:paraId="77588A15" w14:textId="77777777" w:rsidR="000B266B" w:rsidRPr="00A16C9B" w:rsidRDefault="000B266B" w:rsidP="0041700E">
            <w:pPr>
              <w:pStyle w:val="TableText"/>
              <w:keepNext w:val="0"/>
            </w:pPr>
            <w:r w:rsidRPr="00A16C9B">
              <w:t>Week 96</w:t>
            </w:r>
          </w:p>
        </w:tc>
        <w:tc>
          <w:tcPr>
            <w:tcW w:w="765" w:type="pct"/>
            <w:gridSpan w:val="2"/>
            <w:shd w:val="clear" w:color="auto" w:fill="BDD6EE" w:themeFill="accent1" w:themeFillTint="66"/>
          </w:tcPr>
          <w:p w14:paraId="1AB64057" w14:textId="77777777" w:rsidR="000B266B" w:rsidRPr="00A16C9B" w:rsidRDefault="000B266B" w:rsidP="0041700E">
            <w:pPr>
              <w:pStyle w:val="TableText"/>
              <w:keepNext w:val="0"/>
              <w:jc w:val="center"/>
            </w:pPr>
            <w:r w:rsidRPr="00A16C9B">
              <w:t>27/49</w:t>
            </w:r>
          </w:p>
        </w:tc>
        <w:tc>
          <w:tcPr>
            <w:tcW w:w="728" w:type="pct"/>
            <w:gridSpan w:val="2"/>
            <w:vMerge w:val="restart"/>
            <w:shd w:val="clear" w:color="auto" w:fill="BDD6EE" w:themeFill="accent1" w:themeFillTint="66"/>
            <w:vAlign w:val="center"/>
          </w:tcPr>
          <w:p w14:paraId="5CCF150F" w14:textId="77777777" w:rsidR="000B266B" w:rsidRPr="00A16C9B" w:rsidRDefault="000B266B" w:rsidP="0041700E">
            <w:pPr>
              <w:pStyle w:val="TableText"/>
              <w:keepNext w:val="0"/>
              <w:jc w:val="center"/>
            </w:pPr>
            <w:r w:rsidRPr="00A16C9B">
              <w:t>n/a</w:t>
            </w:r>
          </w:p>
        </w:tc>
        <w:tc>
          <w:tcPr>
            <w:tcW w:w="838" w:type="pct"/>
            <w:gridSpan w:val="3"/>
            <w:shd w:val="clear" w:color="auto" w:fill="BDD6EE" w:themeFill="accent1" w:themeFillTint="66"/>
          </w:tcPr>
          <w:p w14:paraId="0F67B6EB" w14:textId="77777777" w:rsidR="000B266B" w:rsidRPr="00A16C9B" w:rsidRDefault="000B266B" w:rsidP="0041700E">
            <w:pPr>
              <w:pStyle w:val="TableText"/>
              <w:keepNext w:val="0"/>
              <w:jc w:val="center"/>
            </w:pPr>
            <w:r w:rsidRPr="00A16C9B">
              <w:t>55.1</w:t>
            </w:r>
          </w:p>
        </w:tc>
        <w:tc>
          <w:tcPr>
            <w:tcW w:w="742" w:type="pct"/>
            <w:gridSpan w:val="2"/>
            <w:vMerge w:val="restart"/>
            <w:shd w:val="clear" w:color="auto" w:fill="BDD6EE" w:themeFill="accent1" w:themeFillTint="66"/>
            <w:vAlign w:val="center"/>
          </w:tcPr>
          <w:p w14:paraId="18E12061" w14:textId="77777777" w:rsidR="000B266B" w:rsidRPr="00A16C9B" w:rsidRDefault="000B266B" w:rsidP="0041700E">
            <w:pPr>
              <w:pStyle w:val="TableText"/>
              <w:keepNext w:val="0"/>
              <w:jc w:val="center"/>
            </w:pPr>
            <w:r w:rsidRPr="00A16C9B">
              <w:t>n/a</w:t>
            </w:r>
          </w:p>
        </w:tc>
        <w:tc>
          <w:tcPr>
            <w:tcW w:w="757" w:type="pct"/>
            <w:vMerge w:val="restart"/>
            <w:shd w:val="clear" w:color="auto" w:fill="BDD6EE" w:themeFill="accent1" w:themeFillTint="66"/>
            <w:vAlign w:val="center"/>
          </w:tcPr>
          <w:p w14:paraId="0FA3D5E6" w14:textId="77777777" w:rsidR="000B266B" w:rsidRPr="00A16C9B" w:rsidRDefault="000B266B" w:rsidP="0041700E">
            <w:pPr>
              <w:pStyle w:val="TableText"/>
              <w:keepNext w:val="0"/>
              <w:jc w:val="center"/>
            </w:pPr>
            <w:r w:rsidRPr="00A16C9B">
              <w:t>n/a</w:t>
            </w:r>
          </w:p>
        </w:tc>
      </w:tr>
      <w:tr w:rsidR="000B266B" w:rsidRPr="00A16C9B" w14:paraId="7DB5E68C" w14:textId="77777777" w:rsidTr="00B678E8">
        <w:tc>
          <w:tcPr>
            <w:tcW w:w="626" w:type="pct"/>
            <w:vMerge/>
            <w:vAlign w:val="center"/>
          </w:tcPr>
          <w:p w14:paraId="23F14F82" w14:textId="77777777" w:rsidR="000B266B" w:rsidRPr="00A16C9B" w:rsidRDefault="000B266B" w:rsidP="0041700E">
            <w:pPr>
              <w:pStyle w:val="TableText"/>
              <w:keepNext w:val="0"/>
            </w:pPr>
          </w:p>
        </w:tc>
        <w:tc>
          <w:tcPr>
            <w:tcW w:w="544" w:type="pct"/>
            <w:vAlign w:val="center"/>
          </w:tcPr>
          <w:p w14:paraId="7B8400B8" w14:textId="77777777" w:rsidR="000B266B" w:rsidRPr="00A16C9B" w:rsidRDefault="000B266B" w:rsidP="0041700E">
            <w:pPr>
              <w:pStyle w:val="TableText"/>
              <w:keepNext w:val="0"/>
            </w:pPr>
            <w:r w:rsidRPr="00A16C9B">
              <w:t>Week 144</w:t>
            </w:r>
          </w:p>
        </w:tc>
        <w:tc>
          <w:tcPr>
            <w:tcW w:w="765" w:type="pct"/>
            <w:gridSpan w:val="2"/>
          </w:tcPr>
          <w:p w14:paraId="121C9286" w14:textId="77777777" w:rsidR="000B266B" w:rsidRPr="00A16C9B" w:rsidRDefault="000B266B" w:rsidP="0041700E">
            <w:pPr>
              <w:pStyle w:val="TableText"/>
              <w:keepNext w:val="0"/>
              <w:jc w:val="center"/>
            </w:pPr>
            <w:r w:rsidRPr="00A16C9B">
              <w:t>28/49</w:t>
            </w:r>
          </w:p>
        </w:tc>
        <w:tc>
          <w:tcPr>
            <w:tcW w:w="728" w:type="pct"/>
            <w:gridSpan w:val="2"/>
            <w:vMerge/>
          </w:tcPr>
          <w:p w14:paraId="6D2DE5EF" w14:textId="77777777" w:rsidR="000B266B" w:rsidRPr="00A16C9B" w:rsidRDefault="000B266B" w:rsidP="0041700E">
            <w:pPr>
              <w:pStyle w:val="TableText"/>
              <w:keepNext w:val="0"/>
              <w:jc w:val="center"/>
            </w:pPr>
          </w:p>
        </w:tc>
        <w:tc>
          <w:tcPr>
            <w:tcW w:w="838" w:type="pct"/>
            <w:gridSpan w:val="3"/>
          </w:tcPr>
          <w:p w14:paraId="14DAF810" w14:textId="77777777" w:rsidR="000B266B" w:rsidRPr="00A16C9B" w:rsidRDefault="000B266B" w:rsidP="0041700E">
            <w:pPr>
              <w:pStyle w:val="TableText"/>
              <w:keepNext w:val="0"/>
              <w:jc w:val="center"/>
            </w:pPr>
            <w:r w:rsidRPr="00A16C9B">
              <w:t>57.1</w:t>
            </w:r>
          </w:p>
        </w:tc>
        <w:tc>
          <w:tcPr>
            <w:tcW w:w="742" w:type="pct"/>
            <w:gridSpan w:val="2"/>
            <w:vMerge/>
          </w:tcPr>
          <w:p w14:paraId="2F6B4991" w14:textId="77777777" w:rsidR="000B266B" w:rsidRPr="00A16C9B" w:rsidRDefault="000B266B" w:rsidP="0041700E">
            <w:pPr>
              <w:pStyle w:val="TableText"/>
              <w:keepNext w:val="0"/>
              <w:jc w:val="center"/>
            </w:pPr>
          </w:p>
        </w:tc>
        <w:tc>
          <w:tcPr>
            <w:tcW w:w="757" w:type="pct"/>
            <w:vMerge/>
          </w:tcPr>
          <w:p w14:paraId="41F20BA7" w14:textId="77777777" w:rsidR="000B266B" w:rsidRPr="00A16C9B" w:rsidRDefault="000B266B" w:rsidP="0041700E">
            <w:pPr>
              <w:pStyle w:val="TableText"/>
              <w:keepNext w:val="0"/>
              <w:jc w:val="center"/>
            </w:pPr>
          </w:p>
        </w:tc>
      </w:tr>
      <w:tr w:rsidR="000B266B" w:rsidRPr="00A16C9B" w14:paraId="5650662D" w14:textId="77777777" w:rsidTr="00B678E8">
        <w:tc>
          <w:tcPr>
            <w:tcW w:w="626" w:type="pct"/>
            <w:vMerge w:val="restart"/>
            <w:vAlign w:val="center"/>
          </w:tcPr>
          <w:p w14:paraId="465A83BE" w14:textId="77777777" w:rsidR="000B266B" w:rsidRPr="00A16C9B" w:rsidRDefault="000B266B" w:rsidP="0041700E">
            <w:pPr>
              <w:pStyle w:val="TableText"/>
              <w:keepNext w:val="0"/>
            </w:pPr>
            <w:r w:rsidRPr="4904BCD2">
              <w:t>Virological response</w:t>
            </w:r>
            <w:r w:rsidRPr="4904BCD2">
              <w:rPr>
                <w:vertAlign w:val="superscript"/>
              </w:rPr>
              <w:t>b</w:t>
            </w:r>
            <w:r w:rsidRPr="4904BCD2">
              <w:t xml:space="preserve"> </w:t>
            </w:r>
          </w:p>
        </w:tc>
        <w:tc>
          <w:tcPr>
            <w:tcW w:w="544" w:type="pct"/>
            <w:shd w:val="clear" w:color="auto" w:fill="BDD6EE" w:themeFill="accent1" w:themeFillTint="66"/>
            <w:vAlign w:val="center"/>
          </w:tcPr>
          <w:p w14:paraId="197CE5AB" w14:textId="77777777" w:rsidR="000B266B" w:rsidRPr="00A16C9B" w:rsidRDefault="000B266B" w:rsidP="0041700E">
            <w:pPr>
              <w:pStyle w:val="TableText"/>
              <w:keepNext w:val="0"/>
            </w:pPr>
            <w:r w:rsidRPr="00A16C9B">
              <w:t>Week 48</w:t>
            </w:r>
          </w:p>
        </w:tc>
        <w:tc>
          <w:tcPr>
            <w:tcW w:w="765" w:type="pct"/>
            <w:gridSpan w:val="2"/>
            <w:shd w:val="clear" w:color="auto" w:fill="BDD6EE" w:themeFill="accent1" w:themeFillTint="66"/>
          </w:tcPr>
          <w:p w14:paraId="67839C32" w14:textId="77777777" w:rsidR="000B266B" w:rsidRPr="00A16C9B" w:rsidRDefault="000B266B" w:rsidP="0041700E">
            <w:pPr>
              <w:pStyle w:val="TableText"/>
              <w:keepNext w:val="0"/>
              <w:jc w:val="center"/>
            </w:pPr>
            <w:r w:rsidRPr="00A16C9B">
              <w:t>36/49</w:t>
            </w:r>
          </w:p>
        </w:tc>
        <w:tc>
          <w:tcPr>
            <w:tcW w:w="728" w:type="pct"/>
            <w:gridSpan w:val="2"/>
            <w:shd w:val="clear" w:color="auto" w:fill="BDD6EE" w:themeFill="accent1" w:themeFillTint="66"/>
          </w:tcPr>
          <w:p w14:paraId="3F0C2A84" w14:textId="77777777" w:rsidR="000B266B" w:rsidRPr="00A16C9B" w:rsidRDefault="000B266B" w:rsidP="0041700E">
            <w:pPr>
              <w:pStyle w:val="TableText"/>
              <w:keepNext w:val="0"/>
              <w:jc w:val="center"/>
            </w:pPr>
            <w:r w:rsidRPr="00A16C9B">
              <w:t>2/51</w:t>
            </w:r>
          </w:p>
        </w:tc>
        <w:tc>
          <w:tcPr>
            <w:tcW w:w="838" w:type="pct"/>
            <w:gridSpan w:val="3"/>
            <w:shd w:val="clear" w:color="auto" w:fill="BDD6EE" w:themeFill="accent1" w:themeFillTint="66"/>
          </w:tcPr>
          <w:p w14:paraId="50C7E990" w14:textId="77777777" w:rsidR="000B266B" w:rsidRPr="00A16C9B" w:rsidRDefault="000B266B" w:rsidP="0041700E">
            <w:pPr>
              <w:pStyle w:val="TableText"/>
              <w:keepNext w:val="0"/>
              <w:jc w:val="center"/>
            </w:pPr>
            <w:r w:rsidRPr="00A16C9B">
              <w:t>73.5</w:t>
            </w:r>
          </w:p>
        </w:tc>
        <w:tc>
          <w:tcPr>
            <w:tcW w:w="742" w:type="pct"/>
            <w:gridSpan w:val="2"/>
            <w:shd w:val="clear" w:color="auto" w:fill="BDD6EE" w:themeFill="accent1" w:themeFillTint="66"/>
          </w:tcPr>
          <w:p w14:paraId="20580A76" w14:textId="77777777" w:rsidR="000B266B" w:rsidRPr="00A16C9B" w:rsidRDefault="000B266B" w:rsidP="0041700E">
            <w:pPr>
              <w:pStyle w:val="TableText"/>
              <w:keepNext w:val="0"/>
              <w:jc w:val="center"/>
            </w:pPr>
            <w:r w:rsidRPr="00A16C9B">
              <w:t>3.9</w:t>
            </w:r>
          </w:p>
        </w:tc>
        <w:tc>
          <w:tcPr>
            <w:tcW w:w="757" w:type="pct"/>
            <w:shd w:val="clear" w:color="auto" w:fill="BDD6EE" w:themeFill="accent1" w:themeFillTint="66"/>
          </w:tcPr>
          <w:p w14:paraId="6C961FD7" w14:textId="77777777" w:rsidR="000B266B" w:rsidRPr="00A16C9B" w:rsidRDefault="000B266B" w:rsidP="0041700E">
            <w:pPr>
              <w:pStyle w:val="TableText"/>
              <w:keepNext w:val="0"/>
              <w:jc w:val="center"/>
            </w:pPr>
            <w:r w:rsidRPr="00A16C9B">
              <w:t>69.5 (54.1, 81.9)</w:t>
            </w:r>
          </w:p>
        </w:tc>
      </w:tr>
      <w:tr w:rsidR="000B266B" w:rsidRPr="00A16C9B" w14:paraId="02E4830C" w14:textId="77777777" w:rsidTr="00B678E8">
        <w:tc>
          <w:tcPr>
            <w:tcW w:w="626" w:type="pct"/>
            <w:vMerge/>
            <w:vAlign w:val="center"/>
          </w:tcPr>
          <w:p w14:paraId="656CBBEA" w14:textId="77777777" w:rsidR="000B266B" w:rsidRPr="00A16C9B" w:rsidRDefault="000B266B" w:rsidP="0041700E">
            <w:pPr>
              <w:pStyle w:val="TableText"/>
              <w:keepNext w:val="0"/>
            </w:pPr>
          </w:p>
        </w:tc>
        <w:tc>
          <w:tcPr>
            <w:tcW w:w="544" w:type="pct"/>
            <w:shd w:val="clear" w:color="auto" w:fill="BDD6EE" w:themeFill="accent1" w:themeFillTint="66"/>
            <w:vAlign w:val="center"/>
          </w:tcPr>
          <w:p w14:paraId="1771EB9C" w14:textId="77777777" w:rsidR="000B266B" w:rsidRPr="00A16C9B" w:rsidRDefault="000B266B" w:rsidP="0041700E">
            <w:pPr>
              <w:pStyle w:val="TableText"/>
              <w:keepNext w:val="0"/>
            </w:pPr>
            <w:r w:rsidRPr="00A16C9B">
              <w:t>Week 96</w:t>
            </w:r>
          </w:p>
        </w:tc>
        <w:tc>
          <w:tcPr>
            <w:tcW w:w="765" w:type="pct"/>
            <w:gridSpan w:val="2"/>
            <w:shd w:val="clear" w:color="auto" w:fill="BDD6EE" w:themeFill="accent1" w:themeFillTint="66"/>
          </w:tcPr>
          <w:p w14:paraId="08686CDB" w14:textId="77777777" w:rsidR="000B266B" w:rsidRPr="00A16C9B" w:rsidRDefault="000B266B" w:rsidP="0041700E">
            <w:pPr>
              <w:pStyle w:val="TableText"/>
              <w:keepNext w:val="0"/>
              <w:jc w:val="center"/>
            </w:pPr>
            <w:r w:rsidRPr="00A16C9B">
              <w:t>37/49</w:t>
            </w:r>
          </w:p>
        </w:tc>
        <w:tc>
          <w:tcPr>
            <w:tcW w:w="728" w:type="pct"/>
            <w:gridSpan w:val="2"/>
            <w:vMerge w:val="restart"/>
            <w:shd w:val="clear" w:color="auto" w:fill="BDD6EE" w:themeFill="accent1" w:themeFillTint="66"/>
            <w:vAlign w:val="center"/>
          </w:tcPr>
          <w:p w14:paraId="2924D557" w14:textId="77777777" w:rsidR="000B266B" w:rsidRPr="00A16C9B" w:rsidRDefault="000B266B" w:rsidP="0041700E">
            <w:pPr>
              <w:pStyle w:val="TableText"/>
              <w:keepNext w:val="0"/>
              <w:jc w:val="center"/>
            </w:pPr>
            <w:r w:rsidRPr="00A16C9B">
              <w:t>n/a</w:t>
            </w:r>
          </w:p>
        </w:tc>
        <w:tc>
          <w:tcPr>
            <w:tcW w:w="838" w:type="pct"/>
            <w:gridSpan w:val="3"/>
            <w:shd w:val="clear" w:color="auto" w:fill="BDD6EE" w:themeFill="accent1" w:themeFillTint="66"/>
          </w:tcPr>
          <w:p w14:paraId="051944E6" w14:textId="77777777" w:rsidR="000B266B" w:rsidRPr="00A16C9B" w:rsidRDefault="000B266B" w:rsidP="0041700E">
            <w:pPr>
              <w:pStyle w:val="TableText"/>
              <w:keepNext w:val="0"/>
              <w:jc w:val="center"/>
            </w:pPr>
            <w:r w:rsidRPr="00A16C9B">
              <w:t>75.5</w:t>
            </w:r>
          </w:p>
        </w:tc>
        <w:tc>
          <w:tcPr>
            <w:tcW w:w="742" w:type="pct"/>
            <w:gridSpan w:val="2"/>
            <w:vMerge w:val="restart"/>
            <w:shd w:val="clear" w:color="auto" w:fill="BDD6EE" w:themeFill="accent1" w:themeFillTint="66"/>
            <w:vAlign w:val="center"/>
          </w:tcPr>
          <w:p w14:paraId="3574DA50" w14:textId="77777777" w:rsidR="000B266B" w:rsidRPr="00A16C9B" w:rsidRDefault="000B266B" w:rsidP="0041700E">
            <w:pPr>
              <w:pStyle w:val="TableText"/>
              <w:keepNext w:val="0"/>
              <w:jc w:val="center"/>
            </w:pPr>
            <w:r w:rsidRPr="00A16C9B">
              <w:t>n/a</w:t>
            </w:r>
          </w:p>
        </w:tc>
        <w:tc>
          <w:tcPr>
            <w:tcW w:w="757" w:type="pct"/>
            <w:vMerge w:val="restart"/>
            <w:shd w:val="clear" w:color="auto" w:fill="BDD6EE" w:themeFill="accent1" w:themeFillTint="66"/>
            <w:vAlign w:val="center"/>
          </w:tcPr>
          <w:p w14:paraId="5EE7EFB9" w14:textId="77777777" w:rsidR="000B266B" w:rsidRPr="00A16C9B" w:rsidRDefault="000B266B" w:rsidP="0041700E">
            <w:pPr>
              <w:pStyle w:val="TableText"/>
              <w:keepNext w:val="0"/>
              <w:jc w:val="center"/>
            </w:pPr>
            <w:r w:rsidRPr="00A16C9B">
              <w:t>n/a</w:t>
            </w:r>
          </w:p>
        </w:tc>
      </w:tr>
      <w:tr w:rsidR="000B266B" w:rsidRPr="00A16C9B" w14:paraId="0E530237" w14:textId="77777777" w:rsidTr="00B678E8">
        <w:tc>
          <w:tcPr>
            <w:tcW w:w="626" w:type="pct"/>
            <w:vMerge/>
            <w:vAlign w:val="center"/>
          </w:tcPr>
          <w:p w14:paraId="138419FC" w14:textId="77777777" w:rsidR="000B266B" w:rsidRPr="00A16C9B" w:rsidRDefault="000B266B" w:rsidP="0041700E">
            <w:pPr>
              <w:pStyle w:val="TableText"/>
              <w:keepNext w:val="0"/>
            </w:pPr>
          </w:p>
        </w:tc>
        <w:tc>
          <w:tcPr>
            <w:tcW w:w="544" w:type="pct"/>
            <w:vAlign w:val="center"/>
          </w:tcPr>
          <w:p w14:paraId="4DE59BFC" w14:textId="77777777" w:rsidR="000B266B" w:rsidRPr="00A16C9B" w:rsidRDefault="000B266B" w:rsidP="0041700E">
            <w:pPr>
              <w:pStyle w:val="TableText"/>
              <w:keepNext w:val="0"/>
            </w:pPr>
            <w:r w:rsidRPr="00A16C9B">
              <w:t>Week 144</w:t>
            </w:r>
          </w:p>
        </w:tc>
        <w:tc>
          <w:tcPr>
            <w:tcW w:w="765" w:type="pct"/>
            <w:gridSpan w:val="2"/>
          </w:tcPr>
          <w:p w14:paraId="7C9DEF4E" w14:textId="77777777" w:rsidR="000B266B" w:rsidRPr="00A16C9B" w:rsidRDefault="000B266B" w:rsidP="0041700E">
            <w:pPr>
              <w:pStyle w:val="TableText"/>
              <w:keepNext w:val="0"/>
              <w:jc w:val="center"/>
            </w:pPr>
            <w:r w:rsidRPr="00A16C9B">
              <w:t>36/49</w:t>
            </w:r>
          </w:p>
        </w:tc>
        <w:tc>
          <w:tcPr>
            <w:tcW w:w="728" w:type="pct"/>
            <w:gridSpan w:val="2"/>
            <w:vMerge/>
          </w:tcPr>
          <w:p w14:paraId="51F27E98" w14:textId="77777777" w:rsidR="000B266B" w:rsidRPr="00A16C9B" w:rsidRDefault="000B266B" w:rsidP="0041700E">
            <w:pPr>
              <w:pStyle w:val="TableText"/>
              <w:keepNext w:val="0"/>
              <w:jc w:val="center"/>
            </w:pPr>
          </w:p>
        </w:tc>
        <w:tc>
          <w:tcPr>
            <w:tcW w:w="838" w:type="pct"/>
            <w:gridSpan w:val="3"/>
          </w:tcPr>
          <w:p w14:paraId="5EEF5F6A" w14:textId="77777777" w:rsidR="000B266B" w:rsidRPr="00A16C9B" w:rsidRDefault="000B266B" w:rsidP="0041700E">
            <w:pPr>
              <w:pStyle w:val="TableText"/>
              <w:keepNext w:val="0"/>
              <w:jc w:val="center"/>
            </w:pPr>
            <w:r w:rsidRPr="00A16C9B">
              <w:t>73.5</w:t>
            </w:r>
          </w:p>
        </w:tc>
        <w:tc>
          <w:tcPr>
            <w:tcW w:w="742" w:type="pct"/>
            <w:gridSpan w:val="2"/>
            <w:vMerge/>
          </w:tcPr>
          <w:p w14:paraId="202C4951" w14:textId="77777777" w:rsidR="000B266B" w:rsidRPr="00A16C9B" w:rsidRDefault="000B266B" w:rsidP="0041700E">
            <w:pPr>
              <w:pStyle w:val="TableText"/>
              <w:keepNext w:val="0"/>
              <w:jc w:val="center"/>
            </w:pPr>
          </w:p>
        </w:tc>
        <w:tc>
          <w:tcPr>
            <w:tcW w:w="757" w:type="pct"/>
            <w:vMerge/>
          </w:tcPr>
          <w:p w14:paraId="5E0559CD" w14:textId="77777777" w:rsidR="000B266B" w:rsidRPr="00A16C9B" w:rsidRDefault="000B266B" w:rsidP="0041700E">
            <w:pPr>
              <w:pStyle w:val="TableText"/>
              <w:keepNext w:val="0"/>
              <w:jc w:val="center"/>
            </w:pPr>
          </w:p>
        </w:tc>
      </w:tr>
      <w:tr w:rsidR="000B266B" w:rsidRPr="00A16C9B" w14:paraId="286FFF3C" w14:textId="77777777" w:rsidTr="00B678E8">
        <w:tc>
          <w:tcPr>
            <w:tcW w:w="626" w:type="pct"/>
            <w:vMerge w:val="restart"/>
            <w:vAlign w:val="center"/>
          </w:tcPr>
          <w:p w14:paraId="2188AB4F" w14:textId="77777777" w:rsidR="000B266B" w:rsidRPr="00A16C9B" w:rsidRDefault="000B266B" w:rsidP="0041700E">
            <w:pPr>
              <w:pStyle w:val="TableText"/>
              <w:keepNext w:val="0"/>
            </w:pPr>
            <w:r w:rsidRPr="00A16C9B">
              <w:t xml:space="preserve">Undetectable HDV RNA </w:t>
            </w:r>
          </w:p>
        </w:tc>
        <w:tc>
          <w:tcPr>
            <w:tcW w:w="544" w:type="pct"/>
            <w:shd w:val="clear" w:color="auto" w:fill="BDD6EE" w:themeFill="accent1" w:themeFillTint="66"/>
            <w:vAlign w:val="center"/>
          </w:tcPr>
          <w:p w14:paraId="1320B970" w14:textId="77777777" w:rsidR="000B266B" w:rsidRPr="00A16C9B" w:rsidRDefault="000B266B" w:rsidP="0041700E">
            <w:pPr>
              <w:pStyle w:val="TableText"/>
              <w:keepNext w:val="0"/>
            </w:pPr>
            <w:r w:rsidRPr="00A16C9B">
              <w:t>Week 48</w:t>
            </w:r>
          </w:p>
        </w:tc>
        <w:tc>
          <w:tcPr>
            <w:tcW w:w="765" w:type="pct"/>
            <w:gridSpan w:val="2"/>
            <w:shd w:val="clear" w:color="auto" w:fill="BDD6EE" w:themeFill="accent1" w:themeFillTint="66"/>
          </w:tcPr>
          <w:p w14:paraId="6976B8F4" w14:textId="77777777" w:rsidR="000B266B" w:rsidRPr="00A16C9B" w:rsidRDefault="000B266B" w:rsidP="0041700E">
            <w:pPr>
              <w:pStyle w:val="TableText"/>
              <w:keepNext w:val="0"/>
              <w:jc w:val="center"/>
            </w:pPr>
            <w:r w:rsidRPr="00A16C9B">
              <w:t>6/49</w:t>
            </w:r>
          </w:p>
        </w:tc>
        <w:tc>
          <w:tcPr>
            <w:tcW w:w="728" w:type="pct"/>
            <w:gridSpan w:val="2"/>
            <w:shd w:val="clear" w:color="auto" w:fill="BDD6EE" w:themeFill="accent1" w:themeFillTint="66"/>
          </w:tcPr>
          <w:p w14:paraId="0AA25C7C" w14:textId="77777777" w:rsidR="000B266B" w:rsidRPr="00A16C9B" w:rsidRDefault="000B266B" w:rsidP="0041700E">
            <w:pPr>
              <w:pStyle w:val="TableText"/>
              <w:keepNext w:val="0"/>
              <w:jc w:val="center"/>
            </w:pPr>
            <w:r w:rsidRPr="00A16C9B">
              <w:t>0/51</w:t>
            </w:r>
          </w:p>
        </w:tc>
        <w:tc>
          <w:tcPr>
            <w:tcW w:w="838" w:type="pct"/>
            <w:gridSpan w:val="3"/>
            <w:shd w:val="clear" w:color="auto" w:fill="BDD6EE" w:themeFill="accent1" w:themeFillTint="66"/>
          </w:tcPr>
          <w:p w14:paraId="11C2AD7C" w14:textId="77777777" w:rsidR="000B266B" w:rsidRPr="00A16C9B" w:rsidRDefault="000B266B" w:rsidP="0041700E">
            <w:pPr>
              <w:pStyle w:val="TableText"/>
              <w:keepNext w:val="0"/>
              <w:jc w:val="center"/>
            </w:pPr>
            <w:r w:rsidRPr="00A16C9B">
              <w:t>12.2</w:t>
            </w:r>
          </w:p>
        </w:tc>
        <w:tc>
          <w:tcPr>
            <w:tcW w:w="742" w:type="pct"/>
            <w:gridSpan w:val="2"/>
            <w:shd w:val="clear" w:color="auto" w:fill="BDD6EE" w:themeFill="accent1" w:themeFillTint="66"/>
          </w:tcPr>
          <w:p w14:paraId="74861681" w14:textId="77777777" w:rsidR="000B266B" w:rsidRPr="00A16C9B" w:rsidRDefault="000B266B" w:rsidP="0041700E">
            <w:pPr>
              <w:pStyle w:val="TableText"/>
              <w:keepNext w:val="0"/>
              <w:jc w:val="center"/>
            </w:pPr>
            <w:r w:rsidRPr="00A16C9B">
              <w:t>0</w:t>
            </w:r>
          </w:p>
        </w:tc>
        <w:tc>
          <w:tcPr>
            <w:tcW w:w="757" w:type="pct"/>
            <w:shd w:val="clear" w:color="auto" w:fill="BDD6EE" w:themeFill="accent1" w:themeFillTint="66"/>
          </w:tcPr>
          <w:p w14:paraId="571A565D" w14:textId="77777777" w:rsidR="000B266B" w:rsidRPr="00A16C9B" w:rsidRDefault="000B266B" w:rsidP="0041700E">
            <w:pPr>
              <w:pStyle w:val="TableText"/>
              <w:keepNext w:val="0"/>
              <w:jc w:val="center"/>
            </w:pPr>
            <w:r w:rsidRPr="00A16C9B">
              <w:t>12.2 (3.7, 24.8)</w:t>
            </w:r>
          </w:p>
        </w:tc>
      </w:tr>
      <w:tr w:rsidR="000B266B" w:rsidRPr="00A16C9B" w14:paraId="0950499A" w14:textId="77777777" w:rsidTr="00B678E8">
        <w:tc>
          <w:tcPr>
            <w:tcW w:w="626" w:type="pct"/>
            <w:vMerge/>
            <w:vAlign w:val="center"/>
          </w:tcPr>
          <w:p w14:paraId="6B9F6547" w14:textId="77777777" w:rsidR="000B266B" w:rsidRPr="00A16C9B" w:rsidRDefault="000B266B" w:rsidP="0041700E">
            <w:pPr>
              <w:pStyle w:val="TableText"/>
              <w:keepNext w:val="0"/>
            </w:pPr>
          </w:p>
        </w:tc>
        <w:tc>
          <w:tcPr>
            <w:tcW w:w="544" w:type="pct"/>
            <w:shd w:val="clear" w:color="auto" w:fill="BDD6EE" w:themeFill="accent1" w:themeFillTint="66"/>
            <w:vAlign w:val="center"/>
          </w:tcPr>
          <w:p w14:paraId="5CFD55BE" w14:textId="77777777" w:rsidR="000B266B" w:rsidRPr="00A16C9B" w:rsidRDefault="000B266B" w:rsidP="0041700E">
            <w:pPr>
              <w:pStyle w:val="TableText"/>
              <w:keepNext w:val="0"/>
            </w:pPr>
            <w:r w:rsidRPr="00A16C9B">
              <w:t>Week 96</w:t>
            </w:r>
          </w:p>
        </w:tc>
        <w:tc>
          <w:tcPr>
            <w:tcW w:w="765" w:type="pct"/>
            <w:gridSpan w:val="2"/>
            <w:shd w:val="clear" w:color="auto" w:fill="BDD6EE" w:themeFill="accent1" w:themeFillTint="66"/>
          </w:tcPr>
          <w:p w14:paraId="7DCF4B16" w14:textId="77777777" w:rsidR="000B266B" w:rsidRPr="00A16C9B" w:rsidRDefault="000B266B" w:rsidP="0041700E">
            <w:pPr>
              <w:pStyle w:val="TableText"/>
              <w:keepNext w:val="0"/>
              <w:jc w:val="center"/>
            </w:pPr>
            <w:r w:rsidRPr="00A16C9B">
              <w:t>10/49</w:t>
            </w:r>
          </w:p>
        </w:tc>
        <w:tc>
          <w:tcPr>
            <w:tcW w:w="728" w:type="pct"/>
            <w:gridSpan w:val="2"/>
            <w:vMerge w:val="restart"/>
            <w:shd w:val="clear" w:color="auto" w:fill="BDD6EE" w:themeFill="accent1" w:themeFillTint="66"/>
            <w:vAlign w:val="center"/>
          </w:tcPr>
          <w:p w14:paraId="14808EDE" w14:textId="77777777" w:rsidR="000B266B" w:rsidRPr="00A16C9B" w:rsidRDefault="000B266B" w:rsidP="0041700E">
            <w:pPr>
              <w:pStyle w:val="TableText"/>
              <w:keepNext w:val="0"/>
              <w:jc w:val="center"/>
            </w:pPr>
            <w:r w:rsidRPr="00A16C9B">
              <w:t>n/a</w:t>
            </w:r>
          </w:p>
        </w:tc>
        <w:tc>
          <w:tcPr>
            <w:tcW w:w="838" w:type="pct"/>
            <w:gridSpan w:val="3"/>
            <w:shd w:val="clear" w:color="auto" w:fill="BDD6EE" w:themeFill="accent1" w:themeFillTint="66"/>
          </w:tcPr>
          <w:p w14:paraId="22F5A880" w14:textId="77777777" w:rsidR="000B266B" w:rsidRPr="00A16C9B" w:rsidRDefault="000B266B" w:rsidP="0041700E">
            <w:pPr>
              <w:pStyle w:val="TableText"/>
              <w:keepNext w:val="0"/>
              <w:jc w:val="center"/>
            </w:pPr>
            <w:r w:rsidRPr="00A16C9B">
              <w:t>20.4</w:t>
            </w:r>
          </w:p>
        </w:tc>
        <w:tc>
          <w:tcPr>
            <w:tcW w:w="742" w:type="pct"/>
            <w:gridSpan w:val="2"/>
            <w:vMerge w:val="restart"/>
            <w:shd w:val="clear" w:color="auto" w:fill="BDD6EE" w:themeFill="accent1" w:themeFillTint="66"/>
            <w:vAlign w:val="center"/>
          </w:tcPr>
          <w:p w14:paraId="454E05C6" w14:textId="77777777" w:rsidR="000B266B" w:rsidRPr="00A16C9B" w:rsidRDefault="000B266B" w:rsidP="0041700E">
            <w:pPr>
              <w:pStyle w:val="TableText"/>
              <w:keepNext w:val="0"/>
              <w:jc w:val="center"/>
            </w:pPr>
            <w:r w:rsidRPr="00A16C9B">
              <w:t>n/a</w:t>
            </w:r>
          </w:p>
        </w:tc>
        <w:tc>
          <w:tcPr>
            <w:tcW w:w="757" w:type="pct"/>
            <w:vMerge w:val="restart"/>
            <w:shd w:val="clear" w:color="auto" w:fill="BDD6EE" w:themeFill="accent1" w:themeFillTint="66"/>
            <w:vAlign w:val="center"/>
          </w:tcPr>
          <w:p w14:paraId="5D405D83" w14:textId="77777777" w:rsidR="000B266B" w:rsidRPr="00A16C9B" w:rsidRDefault="000B266B" w:rsidP="0041700E">
            <w:pPr>
              <w:pStyle w:val="TableText"/>
              <w:keepNext w:val="0"/>
              <w:jc w:val="center"/>
            </w:pPr>
            <w:r w:rsidRPr="00A16C9B">
              <w:t>n/a</w:t>
            </w:r>
          </w:p>
        </w:tc>
      </w:tr>
      <w:tr w:rsidR="000B266B" w:rsidRPr="00A16C9B" w14:paraId="308A8DA8" w14:textId="77777777" w:rsidTr="00B678E8">
        <w:tc>
          <w:tcPr>
            <w:tcW w:w="626" w:type="pct"/>
            <w:vMerge/>
            <w:vAlign w:val="center"/>
          </w:tcPr>
          <w:p w14:paraId="682458B5" w14:textId="77777777" w:rsidR="000B266B" w:rsidRPr="00A16C9B" w:rsidRDefault="000B266B" w:rsidP="0041700E">
            <w:pPr>
              <w:pStyle w:val="TableText"/>
              <w:keepNext w:val="0"/>
            </w:pPr>
          </w:p>
        </w:tc>
        <w:tc>
          <w:tcPr>
            <w:tcW w:w="544" w:type="pct"/>
            <w:vAlign w:val="center"/>
          </w:tcPr>
          <w:p w14:paraId="556C07B2" w14:textId="77777777" w:rsidR="000B266B" w:rsidRPr="00A16C9B" w:rsidRDefault="000B266B" w:rsidP="0041700E">
            <w:pPr>
              <w:pStyle w:val="TableText"/>
              <w:keepNext w:val="0"/>
            </w:pPr>
            <w:r w:rsidRPr="00A16C9B">
              <w:t>Week 144</w:t>
            </w:r>
          </w:p>
        </w:tc>
        <w:tc>
          <w:tcPr>
            <w:tcW w:w="765" w:type="pct"/>
            <w:gridSpan w:val="2"/>
          </w:tcPr>
          <w:p w14:paraId="2C701FBE" w14:textId="77777777" w:rsidR="000B266B" w:rsidRPr="00A16C9B" w:rsidRDefault="000B266B" w:rsidP="0041700E">
            <w:pPr>
              <w:pStyle w:val="TableText"/>
              <w:keepNext w:val="0"/>
              <w:jc w:val="center"/>
            </w:pPr>
            <w:r w:rsidRPr="00A16C9B">
              <w:t>14/49</w:t>
            </w:r>
          </w:p>
        </w:tc>
        <w:tc>
          <w:tcPr>
            <w:tcW w:w="728" w:type="pct"/>
            <w:gridSpan w:val="2"/>
            <w:vMerge/>
          </w:tcPr>
          <w:p w14:paraId="647E7AF6" w14:textId="77777777" w:rsidR="000B266B" w:rsidRPr="00A16C9B" w:rsidRDefault="000B266B" w:rsidP="0041700E">
            <w:pPr>
              <w:pStyle w:val="TableText"/>
              <w:keepNext w:val="0"/>
              <w:jc w:val="center"/>
            </w:pPr>
          </w:p>
        </w:tc>
        <w:tc>
          <w:tcPr>
            <w:tcW w:w="838" w:type="pct"/>
            <w:gridSpan w:val="3"/>
          </w:tcPr>
          <w:p w14:paraId="63401F62" w14:textId="77777777" w:rsidR="000B266B" w:rsidRPr="00A16C9B" w:rsidRDefault="000B266B" w:rsidP="0041700E">
            <w:pPr>
              <w:pStyle w:val="TableText"/>
              <w:keepNext w:val="0"/>
              <w:jc w:val="center"/>
            </w:pPr>
            <w:r w:rsidRPr="00A16C9B">
              <w:t>28.6</w:t>
            </w:r>
          </w:p>
        </w:tc>
        <w:tc>
          <w:tcPr>
            <w:tcW w:w="742" w:type="pct"/>
            <w:gridSpan w:val="2"/>
            <w:vMerge/>
          </w:tcPr>
          <w:p w14:paraId="2E00E1A6" w14:textId="77777777" w:rsidR="000B266B" w:rsidRPr="00A16C9B" w:rsidRDefault="000B266B" w:rsidP="0041700E">
            <w:pPr>
              <w:pStyle w:val="TableText"/>
              <w:keepNext w:val="0"/>
              <w:jc w:val="center"/>
            </w:pPr>
          </w:p>
        </w:tc>
        <w:tc>
          <w:tcPr>
            <w:tcW w:w="757" w:type="pct"/>
            <w:vMerge/>
          </w:tcPr>
          <w:p w14:paraId="72DD581F" w14:textId="77777777" w:rsidR="000B266B" w:rsidRPr="00A16C9B" w:rsidRDefault="000B266B" w:rsidP="0041700E">
            <w:pPr>
              <w:pStyle w:val="TableText"/>
              <w:keepNext w:val="0"/>
              <w:jc w:val="center"/>
            </w:pPr>
          </w:p>
        </w:tc>
      </w:tr>
      <w:tr w:rsidR="000B266B" w:rsidRPr="00A16C9B" w14:paraId="7CE1CCEB" w14:textId="77777777" w:rsidTr="00B678E8">
        <w:tc>
          <w:tcPr>
            <w:tcW w:w="626" w:type="pct"/>
            <w:vMerge w:val="restart"/>
            <w:vAlign w:val="center"/>
          </w:tcPr>
          <w:p w14:paraId="4E692B31" w14:textId="77777777" w:rsidR="000B266B" w:rsidRPr="00A16C9B" w:rsidRDefault="000B266B" w:rsidP="0041700E">
            <w:pPr>
              <w:pStyle w:val="TableText"/>
              <w:keepNext w:val="0"/>
            </w:pPr>
            <w:r w:rsidRPr="4904BCD2">
              <w:t>ALT normalisation</w:t>
            </w:r>
            <w:r w:rsidRPr="4904BCD2">
              <w:rPr>
                <w:vertAlign w:val="superscript"/>
              </w:rPr>
              <w:t>c</w:t>
            </w:r>
            <w:r w:rsidRPr="4904BCD2">
              <w:t xml:space="preserve"> </w:t>
            </w:r>
          </w:p>
        </w:tc>
        <w:tc>
          <w:tcPr>
            <w:tcW w:w="544" w:type="pct"/>
            <w:shd w:val="clear" w:color="auto" w:fill="BDD6EE" w:themeFill="accent1" w:themeFillTint="66"/>
            <w:vAlign w:val="center"/>
          </w:tcPr>
          <w:p w14:paraId="33AAC361" w14:textId="77777777" w:rsidR="000B266B" w:rsidRPr="00A16C9B" w:rsidRDefault="000B266B" w:rsidP="0041700E">
            <w:pPr>
              <w:pStyle w:val="TableText"/>
              <w:keepNext w:val="0"/>
            </w:pPr>
            <w:r w:rsidRPr="00A16C9B">
              <w:t>Week 48</w:t>
            </w:r>
          </w:p>
        </w:tc>
        <w:tc>
          <w:tcPr>
            <w:tcW w:w="765" w:type="pct"/>
            <w:gridSpan w:val="2"/>
            <w:shd w:val="clear" w:color="auto" w:fill="BDD6EE" w:themeFill="accent1" w:themeFillTint="66"/>
          </w:tcPr>
          <w:p w14:paraId="39162C24" w14:textId="77777777" w:rsidR="000B266B" w:rsidRPr="00A16C9B" w:rsidRDefault="000B266B" w:rsidP="0041700E">
            <w:pPr>
              <w:pStyle w:val="TableText"/>
              <w:keepNext w:val="0"/>
              <w:jc w:val="center"/>
            </w:pPr>
            <w:r w:rsidRPr="00A16C9B">
              <w:t>25/49</w:t>
            </w:r>
          </w:p>
        </w:tc>
        <w:tc>
          <w:tcPr>
            <w:tcW w:w="728" w:type="pct"/>
            <w:gridSpan w:val="2"/>
            <w:shd w:val="clear" w:color="auto" w:fill="BDD6EE" w:themeFill="accent1" w:themeFillTint="66"/>
          </w:tcPr>
          <w:p w14:paraId="22A83AFF" w14:textId="77777777" w:rsidR="000B266B" w:rsidRPr="00A16C9B" w:rsidRDefault="000B266B" w:rsidP="0041700E">
            <w:pPr>
              <w:pStyle w:val="TableText"/>
              <w:keepNext w:val="0"/>
              <w:jc w:val="center"/>
            </w:pPr>
            <w:r w:rsidRPr="00A16C9B">
              <w:t>6/51</w:t>
            </w:r>
          </w:p>
        </w:tc>
        <w:tc>
          <w:tcPr>
            <w:tcW w:w="838" w:type="pct"/>
            <w:gridSpan w:val="3"/>
            <w:shd w:val="clear" w:color="auto" w:fill="BDD6EE" w:themeFill="accent1" w:themeFillTint="66"/>
          </w:tcPr>
          <w:p w14:paraId="2AEBFAEA" w14:textId="77777777" w:rsidR="000B266B" w:rsidRPr="00A16C9B" w:rsidRDefault="000B266B" w:rsidP="0041700E">
            <w:pPr>
              <w:pStyle w:val="TableText"/>
              <w:keepNext w:val="0"/>
              <w:jc w:val="center"/>
            </w:pPr>
            <w:r w:rsidRPr="00A16C9B">
              <w:t>51.0</w:t>
            </w:r>
          </w:p>
        </w:tc>
        <w:tc>
          <w:tcPr>
            <w:tcW w:w="742" w:type="pct"/>
            <w:gridSpan w:val="2"/>
            <w:shd w:val="clear" w:color="auto" w:fill="BDD6EE" w:themeFill="accent1" w:themeFillTint="66"/>
          </w:tcPr>
          <w:p w14:paraId="3A05B847" w14:textId="77777777" w:rsidR="000B266B" w:rsidRPr="00A16C9B" w:rsidRDefault="000B266B" w:rsidP="0041700E">
            <w:pPr>
              <w:pStyle w:val="TableText"/>
              <w:keepNext w:val="0"/>
              <w:jc w:val="center"/>
            </w:pPr>
            <w:r w:rsidRPr="00A16C9B">
              <w:t>11.8</w:t>
            </w:r>
          </w:p>
        </w:tc>
        <w:tc>
          <w:tcPr>
            <w:tcW w:w="757" w:type="pct"/>
            <w:shd w:val="clear" w:color="auto" w:fill="BDD6EE" w:themeFill="accent1" w:themeFillTint="66"/>
          </w:tcPr>
          <w:p w14:paraId="087B4A65" w14:textId="77777777" w:rsidR="000B266B" w:rsidRPr="00A16C9B" w:rsidRDefault="000B266B" w:rsidP="0041700E">
            <w:pPr>
              <w:pStyle w:val="TableText"/>
              <w:keepNext w:val="0"/>
              <w:jc w:val="center"/>
            </w:pPr>
            <w:r w:rsidRPr="00A16C9B">
              <w:t>39.3 (19.9, 55.8)</w:t>
            </w:r>
          </w:p>
        </w:tc>
      </w:tr>
      <w:tr w:rsidR="000B266B" w:rsidRPr="00A16C9B" w14:paraId="4DEF2902" w14:textId="77777777" w:rsidTr="00B678E8">
        <w:tc>
          <w:tcPr>
            <w:tcW w:w="626" w:type="pct"/>
            <w:vMerge/>
            <w:vAlign w:val="center"/>
          </w:tcPr>
          <w:p w14:paraId="7D7F5777" w14:textId="77777777" w:rsidR="000B266B" w:rsidRPr="00A16C9B" w:rsidRDefault="000B266B" w:rsidP="0041700E">
            <w:pPr>
              <w:pStyle w:val="TableText"/>
              <w:keepNext w:val="0"/>
            </w:pPr>
          </w:p>
        </w:tc>
        <w:tc>
          <w:tcPr>
            <w:tcW w:w="544" w:type="pct"/>
            <w:shd w:val="clear" w:color="auto" w:fill="BDD6EE" w:themeFill="accent1" w:themeFillTint="66"/>
            <w:vAlign w:val="center"/>
          </w:tcPr>
          <w:p w14:paraId="194B796D" w14:textId="77777777" w:rsidR="000B266B" w:rsidRPr="00A16C9B" w:rsidRDefault="000B266B" w:rsidP="0041700E">
            <w:pPr>
              <w:pStyle w:val="TableText"/>
              <w:keepNext w:val="0"/>
            </w:pPr>
            <w:r w:rsidRPr="00A16C9B">
              <w:t>Week 96</w:t>
            </w:r>
          </w:p>
        </w:tc>
        <w:tc>
          <w:tcPr>
            <w:tcW w:w="765" w:type="pct"/>
            <w:gridSpan w:val="2"/>
            <w:shd w:val="clear" w:color="auto" w:fill="BDD6EE" w:themeFill="accent1" w:themeFillTint="66"/>
          </w:tcPr>
          <w:p w14:paraId="7F7E148C" w14:textId="77777777" w:rsidR="000B266B" w:rsidRPr="00A16C9B" w:rsidRDefault="000B266B" w:rsidP="0041700E">
            <w:pPr>
              <w:pStyle w:val="TableText"/>
              <w:keepNext w:val="0"/>
              <w:jc w:val="center"/>
            </w:pPr>
            <w:r w:rsidRPr="00A16C9B">
              <w:t>31/49</w:t>
            </w:r>
          </w:p>
        </w:tc>
        <w:tc>
          <w:tcPr>
            <w:tcW w:w="728" w:type="pct"/>
            <w:gridSpan w:val="2"/>
            <w:vMerge w:val="restart"/>
            <w:shd w:val="clear" w:color="auto" w:fill="BDD6EE" w:themeFill="accent1" w:themeFillTint="66"/>
            <w:vAlign w:val="center"/>
          </w:tcPr>
          <w:p w14:paraId="22E749C7" w14:textId="77777777" w:rsidR="000B266B" w:rsidRPr="00A16C9B" w:rsidRDefault="000B266B" w:rsidP="0041700E">
            <w:pPr>
              <w:pStyle w:val="TableText"/>
              <w:keepNext w:val="0"/>
              <w:jc w:val="center"/>
            </w:pPr>
            <w:r w:rsidRPr="00A16C9B">
              <w:t>n/a</w:t>
            </w:r>
          </w:p>
        </w:tc>
        <w:tc>
          <w:tcPr>
            <w:tcW w:w="838" w:type="pct"/>
            <w:gridSpan w:val="3"/>
            <w:shd w:val="clear" w:color="auto" w:fill="BDD6EE" w:themeFill="accent1" w:themeFillTint="66"/>
          </w:tcPr>
          <w:p w14:paraId="1E062825" w14:textId="77777777" w:rsidR="000B266B" w:rsidRPr="00A16C9B" w:rsidRDefault="000B266B" w:rsidP="0041700E">
            <w:pPr>
              <w:pStyle w:val="TableText"/>
              <w:keepNext w:val="0"/>
              <w:jc w:val="center"/>
            </w:pPr>
            <w:r w:rsidRPr="00A16C9B">
              <w:t>63.3</w:t>
            </w:r>
          </w:p>
        </w:tc>
        <w:tc>
          <w:tcPr>
            <w:tcW w:w="742" w:type="pct"/>
            <w:gridSpan w:val="2"/>
            <w:vMerge w:val="restart"/>
            <w:shd w:val="clear" w:color="auto" w:fill="BDD6EE" w:themeFill="accent1" w:themeFillTint="66"/>
            <w:vAlign w:val="center"/>
          </w:tcPr>
          <w:p w14:paraId="6D3EC68A" w14:textId="77777777" w:rsidR="000B266B" w:rsidRPr="00A16C9B" w:rsidRDefault="000B266B" w:rsidP="0041700E">
            <w:pPr>
              <w:pStyle w:val="TableText"/>
              <w:keepNext w:val="0"/>
              <w:jc w:val="center"/>
            </w:pPr>
            <w:r w:rsidRPr="00A16C9B">
              <w:t>n/a</w:t>
            </w:r>
          </w:p>
        </w:tc>
        <w:tc>
          <w:tcPr>
            <w:tcW w:w="757" w:type="pct"/>
            <w:vMerge w:val="restart"/>
            <w:shd w:val="clear" w:color="auto" w:fill="BDD6EE" w:themeFill="accent1" w:themeFillTint="66"/>
            <w:vAlign w:val="center"/>
          </w:tcPr>
          <w:p w14:paraId="1C5397B1" w14:textId="77777777" w:rsidR="000B266B" w:rsidRPr="00A16C9B" w:rsidRDefault="000B266B" w:rsidP="0041700E">
            <w:pPr>
              <w:pStyle w:val="TableText"/>
              <w:keepNext w:val="0"/>
              <w:jc w:val="center"/>
            </w:pPr>
            <w:r w:rsidRPr="00A16C9B">
              <w:t>n/a</w:t>
            </w:r>
          </w:p>
        </w:tc>
      </w:tr>
      <w:tr w:rsidR="000B266B" w:rsidRPr="00A16C9B" w14:paraId="777E5DE5" w14:textId="77777777" w:rsidTr="00B678E8">
        <w:tc>
          <w:tcPr>
            <w:tcW w:w="626" w:type="pct"/>
            <w:vMerge/>
            <w:vAlign w:val="center"/>
          </w:tcPr>
          <w:p w14:paraId="6B05050B" w14:textId="77777777" w:rsidR="000B266B" w:rsidRPr="00A16C9B" w:rsidRDefault="000B266B" w:rsidP="0041700E">
            <w:pPr>
              <w:pStyle w:val="TableText"/>
              <w:keepNext w:val="0"/>
            </w:pPr>
          </w:p>
        </w:tc>
        <w:tc>
          <w:tcPr>
            <w:tcW w:w="544" w:type="pct"/>
            <w:vAlign w:val="center"/>
          </w:tcPr>
          <w:p w14:paraId="3A9F769A" w14:textId="77777777" w:rsidR="000B266B" w:rsidRPr="00A16C9B" w:rsidRDefault="000B266B" w:rsidP="0041700E">
            <w:pPr>
              <w:pStyle w:val="TableText"/>
              <w:keepNext w:val="0"/>
            </w:pPr>
            <w:r w:rsidRPr="00A16C9B">
              <w:t>Week 144</w:t>
            </w:r>
          </w:p>
        </w:tc>
        <w:tc>
          <w:tcPr>
            <w:tcW w:w="765" w:type="pct"/>
            <w:gridSpan w:val="2"/>
          </w:tcPr>
          <w:p w14:paraId="1295B250" w14:textId="77777777" w:rsidR="000B266B" w:rsidRPr="00A16C9B" w:rsidRDefault="000B266B" w:rsidP="0041700E">
            <w:pPr>
              <w:pStyle w:val="TableText"/>
              <w:keepNext w:val="0"/>
              <w:jc w:val="center"/>
            </w:pPr>
            <w:r w:rsidRPr="00A16C9B">
              <w:t>29/49</w:t>
            </w:r>
          </w:p>
        </w:tc>
        <w:tc>
          <w:tcPr>
            <w:tcW w:w="728" w:type="pct"/>
            <w:gridSpan w:val="2"/>
            <w:vMerge/>
          </w:tcPr>
          <w:p w14:paraId="13E65BAA" w14:textId="77777777" w:rsidR="000B266B" w:rsidRPr="00A16C9B" w:rsidRDefault="000B266B" w:rsidP="0041700E">
            <w:pPr>
              <w:pStyle w:val="TableText"/>
              <w:keepNext w:val="0"/>
              <w:jc w:val="center"/>
            </w:pPr>
          </w:p>
        </w:tc>
        <w:tc>
          <w:tcPr>
            <w:tcW w:w="838" w:type="pct"/>
            <w:gridSpan w:val="3"/>
          </w:tcPr>
          <w:p w14:paraId="07574FDE" w14:textId="77777777" w:rsidR="000B266B" w:rsidRPr="00A16C9B" w:rsidRDefault="000B266B" w:rsidP="0041700E">
            <w:pPr>
              <w:pStyle w:val="TableText"/>
              <w:keepNext w:val="0"/>
              <w:jc w:val="center"/>
            </w:pPr>
            <w:r w:rsidRPr="00A16C9B">
              <w:t>59.2</w:t>
            </w:r>
          </w:p>
        </w:tc>
        <w:tc>
          <w:tcPr>
            <w:tcW w:w="742" w:type="pct"/>
            <w:gridSpan w:val="2"/>
            <w:vMerge/>
          </w:tcPr>
          <w:p w14:paraId="3B9FB996" w14:textId="77777777" w:rsidR="000B266B" w:rsidRPr="00A16C9B" w:rsidRDefault="000B266B" w:rsidP="0041700E">
            <w:pPr>
              <w:pStyle w:val="TableText"/>
              <w:keepNext w:val="0"/>
              <w:jc w:val="center"/>
            </w:pPr>
          </w:p>
        </w:tc>
        <w:tc>
          <w:tcPr>
            <w:tcW w:w="757" w:type="pct"/>
            <w:vMerge/>
          </w:tcPr>
          <w:p w14:paraId="799F8355" w14:textId="77777777" w:rsidR="000B266B" w:rsidRPr="00A16C9B" w:rsidRDefault="000B266B" w:rsidP="0041700E">
            <w:pPr>
              <w:pStyle w:val="TableText"/>
              <w:keepNext w:val="0"/>
              <w:jc w:val="center"/>
            </w:pPr>
          </w:p>
        </w:tc>
      </w:tr>
      <w:tr w:rsidR="000B266B" w:rsidRPr="00A16C9B" w14:paraId="7ED101DA" w14:textId="77777777" w:rsidTr="00B678E8">
        <w:tc>
          <w:tcPr>
            <w:tcW w:w="5000" w:type="pct"/>
            <w:gridSpan w:val="12"/>
            <w:vAlign w:val="center"/>
          </w:tcPr>
          <w:p w14:paraId="45E50A82" w14:textId="77777777" w:rsidR="000B266B" w:rsidRPr="00A16C9B" w:rsidRDefault="000B266B" w:rsidP="0041700E">
            <w:pPr>
              <w:pStyle w:val="In-tableHeading"/>
              <w:keepNext w:val="0"/>
              <w:rPr>
                <w:lang w:val="en-AU"/>
              </w:rPr>
            </w:pPr>
            <w:r w:rsidRPr="00A16C9B">
              <w:rPr>
                <w:lang w:val="en-AU"/>
              </w:rPr>
              <w:t>Continuous outcome</w:t>
            </w:r>
          </w:p>
        </w:tc>
      </w:tr>
      <w:tr w:rsidR="000B266B" w:rsidRPr="00A16C9B" w14:paraId="48707B8A" w14:textId="77777777" w:rsidTr="00B678E8">
        <w:trPr>
          <w:trHeight w:val="225"/>
        </w:trPr>
        <w:tc>
          <w:tcPr>
            <w:tcW w:w="1170" w:type="pct"/>
            <w:gridSpan w:val="2"/>
            <w:vMerge w:val="restart"/>
            <w:vAlign w:val="center"/>
          </w:tcPr>
          <w:p w14:paraId="3341063A" w14:textId="77777777" w:rsidR="000B266B" w:rsidRPr="00A16C9B" w:rsidRDefault="000B266B" w:rsidP="0041700E">
            <w:pPr>
              <w:pStyle w:val="TableText"/>
              <w:keepNext w:val="0"/>
            </w:pPr>
          </w:p>
        </w:tc>
        <w:tc>
          <w:tcPr>
            <w:tcW w:w="1493" w:type="pct"/>
            <w:gridSpan w:val="4"/>
            <w:vAlign w:val="center"/>
          </w:tcPr>
          <w:p w14:paraId="6098A6A0" w14:textId="77777777" w:rsidR="000B266B" w:rsidRPr="00A16C9B" w:rsidRDefault="000B266B" w:rsidP="0041700E">
            <w:pPr>
              <w:pStyle w:val="In-tableHeading"/>
              <w:keepNext w:val="0"/>
              <w:jc w:val="center"/>
              <w:rPr>
                <w:lang w:val="en-AU"/>
              </w:rPr>
            </w:pPr>
            <w:r w:rsidRPr="00A16C9B">
              <w:rPr>
                <w:lang w:val="en-AU"/>
              </w:rPr>
              <w:t>Bulevirtide 2 mg</w:t>
            </w:r>
          </w:p>
        </w:tc>
        <w:tc>
          <w:tcPr>
            <w:tcW w:w="1580" w:type="pct"/>
            <w:gridSpan w:val="5"/>
            <w:vAlign w:val="center"/>
          </w:tcPr>
          <w:p w14:paraId="5B3D33DF" w14:textId="77777777" w:rsidR="000B266B" w:rsidRPr="00A16C9B" w:rsidRDefault="000B266B" w:rsidP="0041700E">
            <w:pPr>
              <w:pStyle w:val="In-tableHeading"/>
              <w:keepNext w:val="0"/>
              <w:jc w:val="center"/>
              <w:rPr>
                <w:lang w:val="en-AU"/>
              </w:rPr>
            </w:pPr>
            <w:r w:rsidRPr="00A16C9B">
              <w:rPr>
                <w:lang w:val="en-AU"/>
              </w:rPr>
              <w:t>BSC</w:t>
            </w:r>
          </w:p>
        </w:tc>
        <w:tc>
          <w:tcPr>
            <w:tcW w:w="757" w:type="pct"/>
            <w:vMerge w:val="restart"/>
            <w:vAlign w:val="center"/>
          </w:tcPr>
          <w:p w14:paraId="55FBD37E" w14:textId="77777777" w:rsidR="000B266B" w:rsidRPr="00A16C9B" w:rsidRDefault="000B266B" w:rsidP="0041700E">
            <w:pPr>
              <w:pStyle w:val="In-tableHeading"/>
              <w:keepNext w:val="0"/>
              <w:jc w:val="center"/>
              <w:rPr>
                <w:lang w:val="en-AU"/>
              </w:rPr>
            </w:pPr>
            <w:r w:rsidRPr="00A16C9B">
              <w:rPr>
                <w:lang w:val="en-AU"/>
              </w:rPr>
              <w:t>Mean difference:</w:t>
            </w:r>
          </w:p>
          <w:p w14:paraId="38ED6EAD" w14:textId="77777777" w:rsidR="000B266B" w:rsidRPr="00A16C9B" w:rsidRDefault="000B266B" w:rsidP="0041700E">
            <w:pPr>
              <w:pStyle w:val="In-tableHeading"/>
              <w:keepNext w:val="0"/>
              <w:jc w:val="center"/>
              <w:rPr>
                <w:szCs w:val="18"/>
                <w:lang w:val="en-AU"/>
              </w:rPr>
            </w:pPr>
            <w:r w:rsidRPr="00A16C9B">
              <w:rPr>
                <w:szCs w:val="18"/>
                <w:lang w:val="en-AU"/>
              </w:rPr>
              <w:t>Bulevirtide 2 mg vs. BSC</w:t>
            </w:r>
          </w:p>
          <w:p w14:paraId="07BBBDE4" w14:textId="77777777" w:rsidR="000B266B" w:rsidRPr="00A16C9B" w:rsidRDefault="000B266B" w:rsidP="0041700E">
            <w:pPr>
              <w:pStyle w:val="In-tableHeading"/>
              <w:keepNext w:val="0"/>
              <w:jc w:val="center"/>
              <w:rPr>
                <w:szCs w:val="18"/>
                <w:lang w:val="en-AU"/>
              </w:rPr>
            </w:pPr>
            <w:r w:rsidRPr="00A16C9B">
              <w:rPr>
                <w:szCs w:val="18"/>
                <w:lang w:val="en-AU"/>
              </w:rPr>
              <w:t>(95% CI)</w:t>
            </w:r>
          </w:p>
        </w:tc>
      </w:tr>
      <w:tr w:rsidR="000B266B" w:rsidRPr="00A16C9B" w14:paraId="710C3DF0" w14:textId="77777777" w:rsidTr="00B678E8">
        <w:trPr>
          <w:trHeight w:val="225"/>
        </w:trPr>
        <w:tc>
          <w:tcPr>
            <w:tcW w:w="1170" w:type="pct"/>
            <w:gridSpan w:val="2"/>
            <w:vMerge/>
            <w:vAlign w:val="center"/>
          </w:tcPr>
          <w:p w14:paraId="1E404150" w14:textId="77777777" w:rsidR="000B266B" w:rsidRPr="00A16C9B" w:rsidRDefault="000B266B" w:rsidP="0041700E">
            <w:pPr>
              <w:rPr>
                <w:rFonts w:ascii="Arial Narrow" w:hAnsi="Arial Narrow"/>
                <w:sz w:val="20"/>
                <w:szCs w:val="18"/>
              </w:rPr>
            </w:pPr>
          </w:p>
        </w:tc>
        <w:tc>
          <w:tcPr>
            <w:tcW w:w="392" w:type="pct"/>
            <w:vAlign w:val="center"/>
          </w:tcPr>
          <w:p w14:paraId="22166E49" w14:textId="77777777" w:rsidR="000B266B" w:rsidRPr="00A16C9B" w:rsidRDefault="000B266B" w:rsidP="0041700E">
            <w:pPr>
              <w:pStyle w:val="In-tableHeading"/>
              <w:keepNext w:val="0"/>
              <w:jc w:val="center"/>
              <w:rPr>
                <w:lang w:val="en-AU"/>
              </w:rPr>
            </w:pPr>
            <w:r w:rsidRPr="00A16C9B">
              <w:rPr>
                <w:lang w:val="en-AU"/>
              </w:rPr>
              <w:t>n/N</w:t>
            </w:r>
          </w:p>
        </w:tc>
        <w:tc>
          <w:tcPr>
            <w:tcW w:w="545" w:type="pct"/>
            <w:gridSpan w:val="2"/>
            <w:vAlign w:val="center"/>
          </w:tcPr>
          <w:p w14:paraId="5191A04A" w14:textId="77777777" w:rsidR="000B266B" w:rsidRPr="00A16C9B" w:rsidRDefault="000B266B" w:rsidP="0041700E">
            <w:pPr>
              <w:pStyle w:val="In-tableHeading"/>
              <w:keepNext w:val="0"/>
              <w:jc w:val="center"/>
              <w:rPr>
                <w:lang w:val="en-AU"/>
              </w:rPr>
            </w:pPr>
            <w:r w:rsidRPr="00A16C9B">
              <w:rPr>
                <w:lang w:val="en-AU"/>
              </w:rPr>
              <w:t xml:space="preserve">Mean ∆ baseline </w:t>
            </w:r>
          </w:p>
          <w:p w14:paraId="5ABF1272" w14:textId="77777777" w:rsidR="000B266B" w:rsidRPr="00A16C9B" w:rsidRDefault="000B266B" w:rsidP="0041700E">
            <w:pPr>
              <w:pStyle w:val="In-tableHeading"/>
              <w:keepNext w:val="0"/>
              <w:jc w:val="center"/>
              <w:rPr>
                <w:lang w:val="en-AU"/>
              </w:rPr>
            </w:pPr>
            <w:r w:rsidRPr="00A16C9B">
              <w:rPr>
                <w:lang w:val="en-AU"/>
              </w:rPr>
              <w:t>(kPa)</w:t>
            </w:r>
          </w:p>
        </w:tc>
        <w:tc>
          <w:tcPr>
            <w:tcW w:w="556" w:type="pct"/>
            <w:vAlign w:val="center"/>
          </w:tcPr>
          <w:p w14:paraId="6F3377E7" w14:textId="77777777" w:rsidR="000B266B" w:rsidRPr="00A16C9B" w:rsidRDefault="000B266B" w:rsidP="0041700E">
            <w:pPr>
              <w:pStyle w:val="In-tableHeading"/>
              <w:keepNext w:val="0"/>
              <w:jc w:val="center"/>
              <w:rPr>
                <w:lang w:val="en-AU"/>
              </w:rPr>
            </w:pPr>
            <w:r w:rsidRPr="00A16C9B">
              <w:rPr>
                <w:lang w:val="en-AU"/>
              </w:rPr>
              <w:t>95% CI</w:t>
            </w:r>
          </w:p>
        </w:tc>
        <w:tc>
          <w:tcPr>
            <w:tcW w:w="462" w:type="pct"/>
            <w:vAlign w:val="center"/>
          </w:tcPr>
          <w:p w14:paraId="248BC69D" w14:textId="77777777" w:rsidR="000B266B" w:rsidRPr="00A16C9B" w:rsidRDefault="000B266B" w:rsidP="0041700E">
            <w:pPr>
              <w:pStyle w:val="In-tableHeading"/>
              <w:keepNext w:val="0"/>
              <w:jc w:val="center"/>
              <w:rPr>
                <w:lang w:val="en-AU"/>
              </w:rPr>
            </w:pPr>
            <w:r w:rsidRPr="00A16C9B">
              <w:rPr>
                <w:lang w:val="en-AU"/>
              </w:rPr>
              <w:t>n/N</w:t>
            </w:r>
          </w:p>
        </w:tc>
        <w:tc>
          <w:tcPr>
            <w:tcW w:w="545" w:type="pct"/>
            <w:gridSpan w:val="3"/>
            <w:vAlign w:val="center"/>
          </w:tcPr>
          <w:p w14:paraId="214F4BE1" w14:textId="77777777" w:rsidR="000B266B" w:rsidRPr="00A16C9B" w:rsidRDefault="000B266B" w:rsidP="0041700E">
            <w:pPr>
              <w:pStyle w:val="In-tableHeading"/>
              <w:keepNext w:val="0"/>
              <w:jc w:val="center"/>
              <w:rPr>
                <w:lang w:val="en-AU"/>
              </w:rPr>
            </w:pPr>
            <w:r w:rsidRPr="00A16C9B">
              <w:rPr>
                <w:lang w:val="en-AU"/>
              </w:rPr>
              <w:t>Mean ∆ baseline (kPa)</w:t>
            </w:r>
          </w:p>
        </w:tc>
        <w:tc>
          <w:tcPr>
            <w:tcW w:w="573" w:type="pct"/>
            <w:vAlign w:val="center"/>
          </w:tcPr>
          <w:p w14:paraId="7A1EBE37" w14:textId="77777777" w:rsidR="000B266B" w:rsidRPr="00A16C9B" w:rsidRDefault="000B266B" w:rsidP="0041700E">
            <w:pPr>
              <w:pStyle w:val="In-tableHeading"/>
              <w:keepNext w:val="0"/>
              <w:jc w:val="center"/>
              <w:rPr>
                <w:lang w:val="en-AU"/>
              </w:rPr>
            </w:pPr>
            <w:r w:rsidRPr="00A16C9B">
              <w:rPr>
                <w:lang w:val="en-AU"/>
              </w:rPr>
              <w:t>95% CI</w:t>
            </w:r>
          </w:p>
        </w:tc>
        <w:tc>
          <w:tcPr>
            <w:tcW w:w="757" w:type="pct"/>
            <w:vMerge/>
            <w:vAlign w:val="center"/>
          </w:tcPr>
          <w:p w14:paraId="08744F20" w14:textId="77777777" w:rsidR="000B266B" w:rsidRPr="00A16C9B" w:rsidRDefault="000B266B" w:rsidP="0041700E">
            <w:pPr>
              <w:jc w:val="center"/>
              <w:rPr>
                <w:rFonts w:ascii="Arial Narrow" w:hAnsi="Arial Narrow"/>
                <w:b/>
                <w:sz w:val="20"/>
                <w:szCs w:val="18"/>
              </w:rPr>
            </w:pPr>
          </w:p>
        </w:tc>
      </w:tr>
      <w:tr w:rsidR="000B266B" w:rsidRPr="00A16C9B" w14:paraId="2068E123" w14:textId="77777777" w:rsidTr="00B678E8">
        <w:tc>
          <w:tcPr>
            <w:tcW w:w="626" w:type="pct"/>
            <w:vMerge w:val="restart"/>
            <w:vAlign w:val="center"/>
          </w:tcPr>
          <w:p w14:paraId="7DB10CAE" w14:textId="77777777" w:rsidR="000B266B" w:rsidRPr="00A16C9B" w:rsidRDefault="000B266B" w:rsidP="0041700E">
            <w:pPr>
              <w:pStyle w:val="TableText"/>
              <w:keepNext w:val="0"/>
            </w:pPr>
            <w:r w:rsidRPr="00A16C9B">
              <w:t xml:space="preserve">Liver stiffness, change from baseline (kPa) </w:t>
            </w:r>
          </w:p>
        </w:tc>
        <w:tc>
          <w:tcPr>
            <w:tcW w:w="544" w:type="pct"/>
            <w:shd w:val="clear" w:color="auto" w:fill="BDD6EE" w:themeFill="accent1" w:themeFillTint="66"/>
            <w:vAlign w:val="center"/>
          </w:tcPr>
          <w:p w14:paraId="0C407004" w14:textId="77777777" w:rsidR="000B266B" w:rsidRPr="00A16C9B" w:rsidRDefault="000B266B" w:rsidP="0041700E">
            <w:pPr>
              <w:pStyle w:val="TableText"/>
              <w:keepNext w:val="0"/>
            </w:pPr>
            <w:r w:rsidRPr="00A16C9B">
              <w:t>Week 48</w:t>
            </w:r>
          </w:p>
        </w:tc>
        <w:tc>
          <w:tcPr>
            <w:tcW w:w="392" w:type="pct"/>
            <w:shd w:val="clear" w:color="auto" w:fill="BDD6EE" w:themeFill="accent1" w:themeFillTint="66"/>
          </w:tcPr>
          <w:p w14:paraId="1F160639" w14:textId="77777777" w:rsidR="000B266B" w:rsidRPr="00A16C9B" w:rsidRDefault="000B266B" w:rsidP="0041700E">
            <w:pPr>
              <w:pStyle w:val="TableText"/>
              <w:keepNext w:val="0"/>
              <w:jc w:val="center"/>
              <w:rPr>
                <w:vertAlign w:val="superscript"/>
              </w:rPr>
            </w:pPr>
            <w:r w:rsidRPr="00A16C9B">
              <w:t>48/49</w:t>
            </w:r>
          </w:p>
        </w:tc>
        <w:tc>
          <w:tcPr>
            <w:tcW w:w="545" w:type="pct"/>
            <w:gridSpan w:val="2"/>
            <w:shd w:val="clear" w:color="auto" w:fill="BDD6EE" w:themeFill="accent1" w:themeFillTint="66"/>
          </w:tcPr>
          <w:p w14:paraId="2AF97819" w14:textId="77777777" w:rsidR="000B266B" w:rsidRPr="00A16C9B" w:rsidRDefault="000B266B" w:rsidP="0041700E">
            <w:pPr>
              <w:pStyle w:val="TableText"/>
              <w:keepNext w:val="0"/>
              <w:jc w:val="center"/>
            </w:pPr>
            <w:r w:rsidRPr="00A16C9B">
              <w:t>-3.1</w:t>
            </w:r>
          </w:p>
        </w:tc>
        <w:tc>
          <w:tcPr>
            <w:tcW w:w="556" w:type="pct"/>
            <w:shd w:val="clear" w:color="auto" w:fill="BDD6EE" w:themeFill="accent1" w:themeFillTint="66"/>
          </w:tcPr>
          <w:p w14:paraId="3F81242F" w14:textId="77777777" w:rsidR="000B266B" w:rsidRPr="00A16C9B" w:rsidRDefault="000B266B" w:rsidP="0041700E">
            <w:pPr>
              <w:pStyle w:val="TableText"/>
              <w:keepNext w:val="0"/>
              <w:jc w:val="center"/>
            </w:pPr>
            <w:r w:rsidRPr="00A16C9B">
              <w:t>(-4.7, -1.5%)</w:t>
            </w:r>
          </w:p>
        </w:tc>
        <w:tc>
          <w:tcPr>
            <w:tcW w:w="462" w:type="pct"/>
            <w:shd w:val="clear" w:color="auto" w:fill="BDD6EE" w:themeFill="accent1" w:themeFillTint="66"/>
          </w:tcPr>
          <w:p w14:paraId="5855F564" w14:textId="77777777" w:rsidR="000B266B" w:rsidRPr="00A16C9B" w:rsidRDefault="000B266B" w:rsidP="0041700E">
            <w:pPr>
              <w:pStyle w:val="TableText"/>
              <w:keepNext w:val="0"/>
              <w:jc w:val="center"/>
              <w:rPr>
                <w:vertAlign w:val="superscript"/>
              </w:rPr>
            </w:pPr>
            <w:r w:rsidRPr="00A16C9B">
              <w:t>45/51</w:t>
            </w:r>
          </w:p>
        </w:tc>
        <w:tc>
          <w:tcPr>
            <w:tcW w:w="545" w:type="pct"/>
            <w:gridSpan w:val="3"/>
            <w:shd w:val="clear" w:color="auto" w:fill="BDD6EE" w:themeFill="accent1" w:themeFillTint="66"/>
          </w:tcPr>
          <w:p w14:paraId="74B3E0C1" w14:textId="77777777" w:rsidR="000B266B" w:rsidRPr="00A16C9B" w:rsidRDefault="000B266B" w:rsidP="0041700E">
            <w:pPr>
              <w:pStyle w:val="TableText"/>
              <w:keepNext w:val="0"/>
              <w:jc w:val="center"/>
            </w:pPr>
            <w:r w:rsidRPr="00A16C9B">
              <w:t>0.9</w:t>
            </w:r>
          </w:p>
        </w:tc>
        <w:tc>
          <w:tcPr>
            <w:tcW w:w="573" w:type="pct"/>
            <w:shd w:val="clear" w:color="auto" w:fill="BDD6EE" w:themeFill="accent1" w:themeFillTint="66"/>
          </w:tcPr>
          <w:p w14:paraId="33C24DBE" w14:textId="77777777" w:rsidR="000B266B" w:rsidRPr="00A16C9B" w:rsidRDefault="000B266B" w:rsidP="0041700E">
            <w:pPr>
              <w:pStyle w:val="TableText"/>
              <w:keepNext w:val="0"/>
              <w:jc w:val="center"/>
            </w:pPr>
            <w:r w:rsidRPr="00A16C9B">
              <w:t>(-0.8, 2.6%)</w:t>
            </w:r>
          </w:p>
        </w:tc>
        <w:tc>
          <w:tcPr>
            <w:tcW w:w="757" w:type="pct"/>
            <w:shd w:val="clear" w:color="auto" w:fill="BDD6EE" w:themeFill="accent1" w:themeFillTint="66"/>
          </w:tcPr>
          <w:p w14:paraId="402D2ECA" w14:textId="77777777" w:rsidR="000B266B" w:rsidRPr="00A16C9B" w:rsidRDefault="000B266B" w:rsidP="0041700E">
            <w:pPr>
              <w:pStyle w:val="TableText"/>
              <w:keepNext w:val="0"/>
              <w:jc w:val="center"/>
            </w:pPr>
            <w:r w:rsidRPr="00A16C9B">
              <w:t>-4.0 (-6.3, -1.6%)</w:t>
            </w:r>
          </w:p>
        </w:tc>
      </w:tr>
      <w:tr w:rsidR="000B266B" w:rsidRPr="00A16C9B" w14:paraId="5BAB1904" w14:textId="77777777" w:rsidTr="00B678E8">
        <w:tc>
          <w:tcPr>
            <w:tcW w:w="626" w:type="pct"/>
            <w:vMerge/>
            <w:vAlign w:val="center"/>
          </w:tcPr>
          <w:p w14:paraId="7291C8D0" w14:textId="77777777" w:rsidR="000B266B" w:rsidRPr="00A16C9B" w:rsidRDefault="000B266B" w:rsidP="0041700E">
            <w:pPr>
              <w:pStyle w:val="TableText"/>
              <w:keepNext w:val="0"/>
            </w:pPr>
          </w:p>
        </w:tc>
        <w:tc>
          <w:tcPr>
            <w:tcW w:w="544" w:type="pct"/>
            <w:shd w:val="clear" w:color="auto" w:fill="BDD6EE" w:themeFill="accent1" w:themeFillTint="66"/>
            <w:vAlign w:val="center"/>
          </w:tcPr>
          <w:p w14:paraId="5DD1D03E" w14:textId="77777777" w:rsidR="000B266B" w:rsidRPr="00A16C9B" w:rsidRDefault="000B266B" w:rsidP="0041700E">
            <w:pPr>
              <w:pStyle w:val="TableText"/>
              <w:keepNext w:val="0"/>
            </w:pPr>
            <w:r w:rsidRPr="00A16C9B">
              <w:t>Week 96</w:t>
            </w:r>
          </w:p>
        </w:tc>
        <w:tc>
          <w:tcPr>
            <w:tcW w:w="392" w:type="pct"/>
            <w:shd w:val="clear" w:color="auto" w:fill="BDD6EE" w:themeFill="accent1" w:themeFillTint="66"/>
          </w:tcPr>
          <w:p w14:paraId="552EBDF4" w14:textId="77777777" w:rsidR="000B266B" w:rsidRPr="00A16C9B" w:rsidRDefault="000B266B" w:rsidP="0041700E">
            <w:pPr>
              <w:pStyle w:val="TableText"/>
              <w:keepNext w:val="0"/>
              <w:jc w:val="center"/>
            </w:pPr>
            <w:r w:rsidRPr="00A16C9B">
              <w:t>48/49</w:t>
            </w:r>
          </w:p>
        </w:tc>
        <w:tc>
          <w:tcPr>
            <w:tcW w:w="545" w:type="pct"/>
            <w:gridSpan w:val="2"/>
            <w:shd w:val="clear" w:color="auto" w:fill="BDD6EE" w:themeFill="accent1" w:themeFillTint="66"/>
          </w:tcPr>
          <w:p w14:paraId="7D3A14E6" w14:textId="77777777" w:rsidR="000B266B" w:rsidRPr="00A16C9B" w:rsidRDefault="000B266B" w:rsidP="0041700E">
            <w:pPr>
              <w:pStyle w:val="TableText"/>
              <w:keepNext w:val="0"/>
              <w:jc w:val="center"/>
            </w:pPr>
            <w:r w:rsidRPr="00A16C9B">
              <w:t xml:space="preserve">-4.3 </w:t>
            </w:r>
          </w:p>
        </w:tc>
        <w:tc>
          <w:tcPr>
            <w:tcW w:w="556" w:type="pct"/>
            <w:shd w:val="clear" w:color="auto" w:fill="BDD6EE" w:themeFill="accent1" w:themeFillTint="66"/>
          </w:tcPr>
          <w:p w14:paraId="3840C4E6" w14:textId="77777777" w:rsidR="000B266B" w:rsidRPr="00A16C9B" w:rsidRDefault="000B266B" w:rsidP="0041700E">
            <w:pPr>
              <w:pStyle w:val="TableText"/>
              <w:keepNext w:val="0"/>
              <w:jc w:val="center"/>
            </w:pPr>
            <w:r w:rsidRPr="00A16C9B">
              <w:t>(-5.5, -3.1%)</w:t>
            </w:r>
          </w:p>
        </w:tc>
        <w:tc>
          <w:tcPr>
            <w:tcW w:w="1580" w:type="pct"/>
            <w:gridSpan w:val="5"/>
            <w:vMerge w:val="restart"/>
            <w:shd w:val="clear" w:color="auto" w:fill="BDD6EE" w:themeFill="accent1" w:themeFillTint="66"/>
            <w:vAlign w:val="center"/>
          </w:tcPr>
          <w:p w14:paraId="27CE8373" w14:textId="77777777" w:rsidR="000B266B" w:rsidRPr="00A16C9B" w:rsidRDefault="000B266B" w:rsidP="0041700E">
            <w:pPr>
              <w:pStyle w:val="TableText"/>
              <w:keepNext w:val="0"/>
              <w:jc w:val="center"/>
            </w:pPr>
            <w:r w:rsidRPr="00A16C9B">
              <w:t>n/a</w:t>
            </w:r>
          </w:p>
        </w:tc>
        <w:tc>
          <w:tcPr>
            <w:tcW w:w="757" w:type="pct"/>
            <w:vMerge w:val="restart"/>
            <w:shd w:val="clear" w:color="auto" w:fill="BDD6EE" w:themeFill="accent1" w:themeFillTint="66"/>
            <w:vAlign w:val="center"/>
          </w:tcPr>
          <w:p w14:paraId="389588BA" w14:textId="77777777" w:rsidR="000B266B" w:rsidRPr="00A16C9B" w:rsidRDefault="000B266B" w:rsidP="0041700E">
            <w:pPr>
              <w:pStyle w:val="TableText"/>
              <w:keepNext w:val="0"/>
              <w:jc w:val="center"/>
            </w:pPr>
            <w:r w:rsidRPr="00A16C9B">
              <w:t>n/a</w:t>
            </w:r>
          </w:p>
        </w:tc>
      </w:tr>
      <w:tr w:rsidR="000B266B" w:rsidRPr="00A16C9B" w14:paraId="24B7D61B" w14:textId="77777777" w:rsidTr="00B678E8">
        <w:tc>
          <w:tcPr>
            <w:tcW w:w="626" w:type="pct"/>
            <w:vMerge/>
            <w:vAlign w:val="center"/>
          </w:tcPr>
          <w:p w14:paraId="4DEB994D" w14:textId="77777777" w:rsidR="000B266B" w:rsidRPr="00A16C9B" w:rsidRDefault="000B266B" w:rsidP="0041700E">
            <w:pPr>
              <w:pStyle w:val="TableText"/>
              <w:keepNext w:val="0"/>
            </w:pPr>
          </w:p>
        </w:tc>
        <w:tc>
          <w:tcPr>
            <w:tcW w:w="544" w:type="pct"/>
            <w:vAlign w:val="center"/>
          </w:tcPr>
          <w:p w14:paraId="6264F98F" w14:textId="77777777" w:rsidR="000B266B" w:rsidRPr="00A16C9B" w:rsidRDefault="000B266B" w:rsidP="0041700E">
            <w:pPr>
              <w:pStyle w:val="TableText"/>
              <w:keepNext w:val="0"/>
            </w:pPr>
            <w:r w:rsidRPr="00A16C9B">
              <w:t>Week 144</w:t>
            </w:r>
          </w:p>
        </w:tc>
        <w:tc>
          <w:tcPr>
            <w:tcW w:w="392" w:type="pct"/>
          </w:tcPr>
          <w:p w14:paraId="56C6D3F1" w14:textId="77777777" w:rsidR="000B266B" w:rsidRPr="00A16C9B" w:rsidRDefault="000B266B" w:rsidP="0041700E">
            <w:pPr>
              <w:pStyle w:val="TableText"/>
              <w:keepNext w:val="0"/>
              <w:jc w:val="center"/>
            </w:pPr>
            <w:r w:rsidRPr="00A16C9B">
              <w:t>45/49</w:t>
            </w:r>
          </w:p>
        </w:tc>
        <w:tc>
          <w:tcPr>
            <w:tcW w:w="545" w:type="pct"/>
            <w:gridSpan w:val="2"/>
          </w:tcPr>
          <w:p w14:paraId="24BD9B18" w14:textId="77777777" w:rsidR="000B266B" w:rsidRPr="00A16C9B" w:rsidRDefault="000B266B" w:rsidP="0041700E">
            <w:pPr>
              <w:pStyle w:val="TableText"/>
              <w:keepNext w:val="0"/>
              <w:jc w:val="center"/>
            </w:pPr>
            <w:r w:rsidRPr="00A16C9B">
              <w:t>-5.2</w:t>
            </w:r>
          </w:p>
        </w:tc>
        <w:tc>
          <w:tcPr>
            <w:tcW w:w="556" w:type="pct"/>
          </w:tcPr>
          <w:p w14:paraId="18F3B9B1" w14:textId="77777777" w:rsidR="000B266B" w:rsidRPr="00A16C9B" w:rsidRDefault="000B266B" w:rsidP="0041700E">
            <w:pPr>
              <w:pStyle w:val="TableText"/>
              <w:keepNext w:val="0"/>
              <w:jc w:val="center"/>
            </w:pPr>
            <w:r w:rsidRPr="00A16C9B">
              <w:t>(-6.8, -3.6%)</w:t>
            </w:r>
          </w:p>
        </w:tc>
        <w:tc>
          <w:tcPr>
            <w:tcW w:w="1580" w:type="pct"/>
            <w:gridSpan w:val="5"/>
            <w:vMerge/>
          </w:tcPr>
          <w:p w14:paraId="59278A33" w14:textId="77777777" w:rsidR="000B266B" w:rsidRPr="00A16C9B" w:rsidRDefault="000B266B" w:rsidP="0041700E">
            <w:pPr>
              <w:pStyle w:val="TableText"/>
              <w:keepNext w:val="0"/>
              <w:jc w:val="center"/>
            </w:pPr>
          </w:p>
        </w:tc>
        <w:tc>
          <w:tcPr>
            <w:tcW w:w="757" w:type="pct"/>
            <w:vMerge/>
          </w:tcPr>
          <w:p w14:paraId="5CEDAAA1" w14:textId="77777777" w:rsidR="000B266B" w:rsidRPr="00A16C9B" w:rsidRDefault="000B266B" w:rsidP="0041700E">
            <w:pPr>
              <w:pStyle w:val="TableText"/>
              <w:keepNext w:val="0"/>
              <w:jc w:val="center"/>
            </w:pPr>
          </w:p>
        </w:tc>
      </w:tr>
      <w:tr w:rsidR="000B266B" w:rsidRPr="00A16C9B" w14:paraId="256BB938" w14:textId="77777777" w:rsidTr="00B678E8">
        <w:tc>
          <w:tcPr>
            <w:tcW w:w="5000" w:type="pct"/>
            <w:gridSpan w:val="12"/>
            <w:vAlign w:val="center"/>
          </w:tcPr>
          <w:p w14:paraId="3B9D87B3" w14:textId="77777777" w:rsidR="000B266B" w:rsidRPr="00A16C9B" w:rsidRDefault="000B266B" w:rsidP="0041700E">
            <w:pPr>
              <w:pStyle w:val="In-tableHeading"/>
              <w:keepNext w:val="0"/>
              <w:rPr>
                <w:lang w:val="en-AU"/>
              </w:rPr>
            </w:pPr>
            <w:r w:rsidRPr="00A16C9B">
              <w:rPr>
                <w:lang w:val="en-AU"/>
              </w:rPr>
              <w:t xml:space="preserve">Harms </w:t>
            </w:r>
          </w:p>
        </w:tc>
      </w:tr>
      <w:tr w:rsidR="000B266B" w:rsidRPr="00A16C9B" w14:paraId="5EA2DF8D" w14:textId="77777777" w:rsidTr="00B678E8">
        <w:trPr>
          <w:trHeight w:val="57"/>
        </w:trPr>
        <w:tc>
          <w:tcPr>
            <w:tcW w:w="1170" w:type="pct"/>
            <w:gridSpan w:val="2"/>
            <w:vMerge w:val="restart"/>
            <w:vAlign w:val="center"/>
          </w:tcPr>
          <w:p w14:paraId="30AD4EFE" w14:textId="77777777" w:rsidR="000B266B" w:rsidRPr="00A16C9B" w:rsidRDefault="000B266B" w:rsidP="0041700E">
            <w:pPr>
              <w:pStyle w:val="In-tableHeading"/>
              <w:keepNext w:val="0"/>
              <w:rPr>
                <w:lang w:val="en-AU"/>
              </w:rPr>
            </w:pPr>
          </w:p>
        </w:tc>
        <w:tc>
          <w:tcPr>
            <w:tcW w:w="765" w:type="pct"/>
            <w:gridSpan w:val="2"/>
            <w:vMerge w:val="restart"/>
            <w:vAlign w:val="center"/>
          </w:tcPr>
          <w:p w14:paraId="03BC4237" w14:textId="77777777" w:rsidR="000B266B" w:rsidRPr="00A16C9B" w:rsidRDefault="000B266B" w:rsidP="0041700E">
            <w:pPr>
              <w:pStyle w:val="In-tableHeading"/>
              <w:keepNext w:val="0"/>
              <w:jc w:val="center"/>
              <w:rPr>
                <w:lang w:val="en-AU"/>
              </w:rPr>
            </w:pPr>
            <w:r w:rsidRPr="00A16C9B">
              <w:rPr>
                <w:lang w:val="en-AU"/>
              </w:rPr>
              <w:t>Bulevirtide 2 mg</w:t>
            </w:r>
          </w:p>
          <w:p w14:paraId="6844E695" w14:textId="77777777" w:rsidR="000B266B" w:rsidRPr="00A16C9B" w:rsidRDefault="000B266B" w:rsidP="0041700E">
            <w:pPr>
              <w:pStyle w:val="In-tableHeading"/>
              <w:keepNext w:val="0"/>
              <w:jc w:val="center"/>
              <w:rPr>
                <w:lang w:val="en-AU"/>
              </w:rPr>
            </w:pPr>
            <w:r w:rsidRPr="00A16C9B">
              <w:rPr>
                <w:lang w:val="en-AU"/>
              </w:rPr>
              <w:t>n/N</w:t>
            </w:r>
          </w:p>
        </w:tc>
        <w:tc>
          <w:tcPr>
            <w:tcW w:w="728" w:type="pct"/>
            <w:gridSpan w:val="2"/>
            <w:vMerge w:val="restart"/>
            <w:vAlign w:val="center"/>
          </w:tcPr>
          <w:p w14:paraId="364EE195" w14:textId="77777777" w:rsidR="000B266B" w:rsidRPr="00A16C9B" w:rsidRDefault="000B266B" w:rsidP="0041700E">
            <w:pPr>
              <w:pStyle w:val="In-tableHeading"/>
              <w:keepNext w:val="0"/>
              <w:jc w:val="center"/>
              <w:rPr>
                <w:lang w:val="en-AU"/>
              </w:rPr>
            </w:pPr>
            <w:r w:rsidRPr="00A16C9B">
              <w:rPr>
                <w:lang w:val="en-AU"/>
              </w:rPr>
              <w:t>BSC</w:t>
            </w:r>
          </w:p>
          <w:p w14:paraId="0B30E9D9" w14:textId="77777777" w:rsidR="000B266B" w:rsidRPr="00A16C9B" w:rsidRDefault="000B266B" w:rsidP="0041700E">
            <w:pPr>
              <w:pStyle w:val="In-tableHeading"/>
              <w:keepNext w:val="0"/>
              <w:jc w:val="center"/>
              <w:rPr>
                <w:lang w:val="en-AU"/>
              </w:rPr>
            </w:pPr>
            <w:r w:rsidRPr="00A16C9B">
              <w:rPr>
                <w:lang w:val="en-AU"/>
              </w:rPr>
              <w:t>n/N</w:t>
            </w:r>
          </w:p>
        </w:tc>
        <w:tc>
          <w:tcPr>
            <w:tcW w:w="1580" w:type="pct"/>
            <w:gridSpan w:val="5"/>
            <w:vAlign w:val="center"/>
          </w:tcPr>
          <w:p w14:paraId="6E87DFB4" w14:textId="77777777" w:rsidR="000B266B" w:rsidRPr="00A16C9B" w:rsidRDefault="000B266B" w:rsidP="0041700E">
            <w:pPr>
              <w:pStyle w:val="In-tableHeading"/>
              <w:keepNext w:val="0"/>
              <w:jc w:val="center"/>
              <w:rPr>
                <w:lang w:val="en-AU"/>
              </w:rPr>
            </w:pPr>
            <w:r w:rsidRPr="00A16C9B">
              <w:rPr>
                <w:lang w:val="en-AU"/>
              </w:rPr>
              <w:t>Event rate/100 patients</w:t>
            </w:r>
          </w:p>
        </w:tc>
        <w:tc>
          <w:tcPr>
            <w:tcW w:w="757" w:type="pct"/>
            <w:vMerge w:val="restart"/>
            <w:vAlign w:val="bottom"/>
          </w:tcPr>
          <w:p w14:paraId="6D9DED3B" w14:textId="77777777" w:rsidR="000B266B" w:rsidRPr="00A16C9B" w:rsidRDefault="000B266B" w:rsidP="0041700E">
            <w:pPr>
              <w:pStyle w:val="In-tableHeading"/>
              <w:keepNext w:val="0"/>
              <w:jc w:val="center"/>
              <w:rPr>
                <w:lang w:val="en-AU"/>
              </w:rPr>
            </w:pPr>
            <w:r w:rsidRPr="00A16C9B">
              <w:rPr>
                <w:lang w:val="en-AU"/>
              </w:rPr>
              <w:t>RD</w:t>
            </w:r>
          </w:p>
        </w:tc>
      </w:tr>
      <w:tr w:rsidR="000B266B" w:rsidRPr="00A16C9B" w14:paraId="64C1AF8E" w14:textId="77777777" w:rsidTr="00B678E8">
        <w:trPr>
          <w:trHeight w:val="107"/>
        </w:trPr>
        <w:tc>
          <w:tcPr>
            <w:tcW w:w="1170" w:type="pct"/>
            <w:gridSpan w:val="2"/>
            <w:vMerge/>
            <w:vAlign w:val="center"/>
          </w:tcPr>
          <w:p w14:paraId="29670C73" w14:textId="77777777" w:rsidR="000B266B" w:rsidRPr="00A16C9B" w:rsidRDefault="000B266B" w:rsidP="0041700E">
            <w:pPr>
              <w:pStyle w:val="In-tableHeading"/>
              <w:keepNext w:val="0"/>
              <w:rPr>
                <w:lang w:val="en-AU"/>
              </w:rPr>
            </w:pPr>
          </w:p>
        </w:tc>
        <w:tc>
          <w:tcPr>
            <w:tcW w:w="765" w:type="pct"/>
            <w:gridSpan w:val="2"/>
            <w:vMerge/>
            <w:vAlign w:val="center"/>
          </w:tcPr>
          <w:p w14:paraId="715564A7" w14:textId="77777777" w:rsidR="000B266B" w:rsidRPr="00A16C9B" w:rsidRDefault="000B266B" w:rsidP="0041700E">
            <w:pPr>
              <w:pStyle w:val="In-tableHeading"/>
              <w:keepNext w:val="0"/>
              <w:rPr>
                <w:lang w:val="en-AU"/>
              </w:rPr>
            </w:pPr>
          </w:p>
        </w:tc>
        <w:tc>
          <w:tcPr>
            <w:tcW w:w="728" w:type="pct"/>
            <w:gridSpan w:val="2"/>
            <w:vMerge/>
            <w:vAlign w:val="center"/>
          </w:tcPr>
          <w:p w14:paraId="74034271" w14:textId="77777777" w:rsidR="000B266B" w:rsidRPr="00A16C9B" w:rsidRDefault="000B266B" w:rsidP="0041700E">
            <w:pPr>
              <w:pStyle w:val="In-tableHeading"/>
              <w:keepNext w:val="0"/>
              <w:rPr>
                <w:lang w:val="en-AU"/>
              </w:rPr>
            </w:pPr>
          </w:p>
        </w:tc>
        <w:tc>
          <w:tcPr>
            <w:tcW w:w="770" w:type="pct"/>
            <w:gridSpan w:val="2"/>
            <w:vAlign w:val="center"/>
          </w:tcPr>
          <w:p w14:paraId="3C18D8EB" w14:textId="77777777" w:rsidR="000B266B" w:rsidRPr="00A16C9B" w:rsidRDefault="000B266B" w:rsidP="0041700E">
            <w:pPr>
              <w:pStyle w:val="In-tableHeading"/>
              <w:keepNext w:val="0"/>
              <w:jc w:val="center"/>
              <w:rPr>
                <w:lang w:val="en-AU"/>
              </w:rPr>
            </w:pPr>
            <w:r w:rsidRPr="00A16C9B">
              <w:rPr>
                <w:lang w:val="en-AU"/>
              </w:rPr>
              <w:t>Bulevirtide 2 mg</w:t>
            </w:r>
          </w:p>
        </w:tc>
        <w:tc>
          <w:tcPr>
            <w:tcW w:w="810" w:type="pct"/>
            <w:gridSpan w:val="3"/>
            <w:vAlign w:val="center"/>
          </w:tcPr>
          <w:p w14:paraId="2046908E" w14:textId="77777777" w:rsidR="000B266B" w:rsidRPr="00A16C9B" w:rsidRDefault="000B266B" w:rsidP="0041700E">
            <w:pPr>
              <w:pStyle w:val="In-tableHeading"/>
              <w:keepNext w:val="0"/>
              <w:jc w:val="center"/>
              <w:rPr>
                <w:lang w:val="en-AU"/>
              </w:rPr>
            </w:pPr>
            <w:r w:rsidRPr="00A16C9B">
              <w:rPr>
                <w:lang w:val="en-AU"/>
              </w:rPr>
              <w:t>BSC</w:t>
            </w:r>
          </w:p>
        </w:tc>
        <w:tc>
          <w:tcPr>
            <w:tcW w:w="757" w:type="pct"/>
            <w:vMerge/>
            <w:vAlign w:val="center"/>
          </w:tcPr>
          <w:p w14:paraId="4E24619D" w14:textId="77777777" w:rsidR="000B266B" w:rsidRPr="00A16C9B" w:rsidRDefault="000B266B" w:rsidP="0041700E">
            <w:pPr>
              <w:pStyle w:val="In-tableHeading"/>
              <w:keepNext w:val="0"/>
              <w:jc w:val="center"/>
              <w:rPr>
                <w:lang w:val="en-AU"/>
              </w:rPr>
            </w:pPr>
          </w:p>
        </w:tc>
      </w:tr>
      <w:tr w:rsidR="000B266B" w:rsidRPr="00A16C9B" w14:paraId="36717FF2" w14:textId="77777777" w:rsidTr="00B678E8">
        <w:tc>
          <w:tcPr>
            <w:tcW w:w="5000" w:type="pct"/>
            <w:gridSpan w:val="12"/>
            <w:vAlign w:val="center"/>
          </w:tcPr>
          <w:p w14:paraId="7578CD86" w14:textId="77777777" w:rsidR="000B266B" w:rsidRPr="00A16C9B" w:rsidRDefault="000B266B" w:rsidP="0041700E">
            <w:pPr>
              <w:pStyle w:val="In-tableHeading"/>
              <w:keepNext w:val="0"/>
              <w:jc w:val="both"/>
              <w:rPr>
                <w:lang w:val="en-AU"/>
              </w:rPr>
            </w:pPr>
            <w:r w:rsidRPr="00A16C9B">
              <w:rPr>
                <w:lang w:val="en-AU"/>
              </w:rPr>
              <w:t>Adverse event between baseline and Week 48</w:t>
            </w:r>
          </w:p>
        </w:tc>
      </w:tr>
      <w:tr w:rsidR="000B266B" w:rsidRPr="00A16C9B" w14:paraId="444E6616" w14:textId="77777777" w:rsidTr="00B678E8">
        <w:tc>
          <w:tcPr>
            <w:tcW w:w="626" w:type="pct"/>
            <w:vMerge w:val="restart"/>
            <w:vAlign w:val="center"/>
          </w:tcPr>
          <w:p w14:paraId="3B4640E7" w14:textId="77777777" w:rsidR="000B266B" w:rsidRPr="00A16C9B" w:rsidRDefault="000B266B" w:rsidP="0041700E">
            <w:pPr>
              <w:pStyle w:val="TableText"/>
              <w:keepNext w:val="0"/>
            </w:pPr>
            <w:r w:rsidRPr="00A16C9B">
              <w:t>TEAE related to study drug</w:t>
            </w:r>
          </w:p>
        </w:tc>
        <w:tc>
          <w:tcPr>
            <w:tcW w:w="543" w:type="pct"/>
            <w:vAlign w:val="center"/>
          </w:tcPr>
          <w:p w14:paraId="1134BD88" w14:textId="77777777" w:rsidR="000B266B" w:rsidRPr="00A16C9B" w:rsidRDefault="000B266B" w:rsidP="0041700E">
            <w:pPr>
              <w:pStyle w:val="TableText"/>
              <w:keepNext w:val="0"/>
            </w:pPr>
            <w:r w:rsidRPr="00A16C9B">
              <w:t>Week 48</w:t>
            </w:r>
          </w:p>
        </w:tc>
        <w:tc>
          <w:tcPr>
            <w:tcW w:w="765" w:type="pct"/>
            <w:gridSpan w:val="2"/>
            <w:shd w:val="clear" w:color="auto" w:fill="BDD6EE" w:themeFill="accent1" w:themeFillTint="66"/>
            <w:vAlign w:val="center"/>
          </w:tcPr>
          <w:p w14:paraId="2F57B531" w14:textId="77777777" w:rsidR="000B266B" w:rsidRPr="00A16C9B" w:rsidRDefault="000B266B" w:rsidP="0041700E">
            <w:pPr>
              <w:pStyle w:val="TableText"/>
              <w:keepNext w:val="0"/>
              <w:jc w:val="center"/>
            </w:pPr>
            <w:r w:rsidRPr="00A16C9B">
              <w:t>24/49</w:t>
            </w:r>
          </w:p>
        </w:tc>
        <w:tc>
          <w:tcPr>
            <w:tcW w:w="728" w:type="pct"/>
            <w:gridSpan w:val="2"/>
            <w:shd w:val="clear" w:color="auto" w:fill="BDD6EE" w:themeFill="accent1" w:themeFillTint="66"/>
            <w:vAlign w:val="center"/>
          </w:tcPr>
          <w:p w14:paraId="52CEE7C6" w14:textId="77777777" w:rsidR="000B266B" w:rsidRPr="00A16C9B" w:rsidRDefault="000B266B" w:rsidP="0041700E">
            <w:pPr>
              <w:pStyle w:val="TableText"/>
              <w:keepNext w:val="0"/>
              <w:jc w:val="center"/>
            </w:pPr>
            <w:r w:rsidRPr="00A16C9B">
              <w:t>0/51</w:t>
            </w:r>
          </w:p>
        </w:tc>
        <w:tc>
          <w:tcPr>
            <w:tcW w:w="770" w:type="pct"/>
            <w:gridSpan w:val="2"/>
            <w:shd w:val="clear" w:color="auto" w:fill="BDD6EE" w:themeFill="accent1" w:themeFillTint="66"/>
            <w:vAlign w:val="center"/>
          </w:tcPr>
          <w:p w14:paraId="669E8200" w14:textId="77777777" w:rsidR="000B266B" w:rsidRPr="00A16C9B" w:rsidRDefault="000B266B" w:rsidP="0041700E">
            <w:pPr>
              <w:pStyle w:val="TableText"/>
              <w:keepNext w:val="0"/>
              <w:jc w:val="center"/>
            </w:pPr>
            <w:r w:rsidRPr="00A16C9B">
              <w:t>49.0</w:t>
            </w:r>
          </w:p>
        </w:tc>
        <w:tc>
          <w:tcPr>
            <w:tcW w:w="810" w:type="pct"/>
            <w:gridSpan w:val="3"/>
            <w:shd w:val="clear" w:color="auto" w:fill="BDD6EE" w:themeFill="accent1" w:themeFillTint="66"/>
            <w:vAlign w:val="center"/>
          </w:tcPr>
          <w:p w14:paraId="69EE297E" w14:textId="77777777" w:rsidR="000B266B" w:rsidRPr="00A16C9B" w:rsidRDefault="000B266B" w:rsidP="0041700E">
            <w:pPr>
              <w:pStyle w:val="TableText"/>
              <w:keepNext w:val="0"/>
              <w:jc w:val="center"/>
            </w:pPr>
            <w:r w:rsidRPr="00A16C9B">
              <w:t>0</w:t>
            </w:r>
          </w:p>
        </w:tc>
        <w:tc>
          <w:tcPr>
            <w:tcW w:w="757" w:type="pct"/>
            <w:shd w:val="clear" w:color="auto" w:fill="BDD6EE" w:themeFill="accent1" w:themeFillTint="66"/>
            <w:vAlign w:val="center"/>
          </w:tcPr>
          <w:p w14:paraId="70BAAB66" w14:textId="77777777" w:rsidR="000B266B" w:rsidRPr="00A16C9B" w:rsidRDefault="000B266B" w:rsidP="0041700E">
            <w:pPr>
              <w:pStyle w:val="TableText"/>
              <w:keepNext w:val="0"/>
              <w:jc w:val="center"/>
            </w:pPr>
            <w:r w:rsidRPr="00A16C9B">
              <w:t>49.0</w:t>
            </w:r>
          </w:p>
        </w:tc>
      </w:tr>
      <w:tr w:rsidR="000B266B" w:rsidRPr="00A16C9B" w14:paraId="25CA7F37" w14:textId="77777777" w:rsidTr="00B678E8">
        <w:tc>
          <w:tcPr>
            <w:tcW w:w="626" w:type="pct"/>
            <w:vMerge/>
            <w:vAlign w:val="center"/>
          </w:tcPr>
          <w:p w14:paraId="0EAF218D" w14:textId="77777777" w:rsidR="000B266B" w:rsidRPr="00A16C9B" w:rsidRDefault="000B266B" w:rsidP="0041700E">
            <w:pPr>
              <w:pStyle w:val="TableText"/>
              <w:keepNext w:val="0"/>
            </w:pPr>
          </w:p>
        </w:tc>
        <w:tc>
          <w:tcPr>
            <w:tcW w:w="543" w:type="pct"/>
            <w:vAlign w:val="center"/>
          </w:tcPr>
          <w:p w14:paraId="6FA6E39B" w14:textId="77777777" w:rsidR="000B266B" w:rsidRPr="00A16C9B" w:rsidRDefault="000B266B" w:rsidP="0041700E">
            <w:pPr>
              <w:pStyle w:val="TableText"/>
              <w:keepNext w:val="0"/>
            </w:pPr>
            <w:r w:rsidRPr="00A16C9B">
              <w:t>Week 96</w:t>
            </w:r>
          </w:p>
        </w:tc>
        <w:tc>
          <w:tcPr>
            <w:tcW w:w="765" w:type="pct"/>
            <w:gridSpan w:val="2"/>
            <w:shd w:val="clear" w:color="auto" w:fill="BDD6EE" w:themeFill="accent1" w:themeFillTint="66"/>
            <w:vAlign w:val="center"/>
          </w:tcPr>
          <w:p w14:paraId="707692CA" w14:textId="77777777" w:rsidR="000B266B" w:rsidRPr="00A16C9B" w:rsidRDefault="000B266B" w:rsidP="0041700E">
            <w:pPr>
              <w:pStyle w:val="TableText"/>
              <w:keepNext w:val="0"/>
              <w:jc w:val="center"/>
            </w:pPr>
            <w:r w:rsidRPr="00A16C9B">
              <w:t>25/49</w:t>
            </w:r>
          </w:p>
        </w:tc>
        <w:tc>
          <w:tcPr>
            <w:tcW w:w="728" w:type="pct"/>
            <w:gridSpan w:val="2"/>
            <w:vMerge w:val="restart"/>
            <w:shd w:val="clear" w:color="auto" w:fill="BDD6EE" w:themeFill="accent1" w:themeFillTint="66"/>
            <w:vAlign w:val="center"/>
          </w:tcPr>
          <w:p w14:paraId="0FEA355D" w14:textId="77777777" w:rsidR="000B266B" w:rsidRPr="00A16C9B" w:rsidRDefault="000B266B" w:rsidP="0041700E">
            <w:pPr>
              <w:pStyle w:val="TableText"/>
              <w:keepNext w:val="0"/>
              <w:jc w:val="center"/>
            </w:pPr>
            <w:r w:rsidRPr="00A16C9B">
              <w:t>n/a</w:t>
            </w:r>
          </w:p>
        </w:tc>
        <w:tc>
          <w:tcPr>
            <w:tcW w:w="770" w:type="pct"/>
            <w:gridSpan w:val="2"/>
            <w:shd w:val="clear" w:color="auto" w:fill="BDD6EE" w:themeFill="accent1" w:themeFillTint="66"/>
            <w:vAlign w:val="center"/>
          </w:tcPr>
          <w:p w14:paraId="270DEC81" w14:textId="77777777" w:rsidR="000B266B" w:rsidRPr="00A16C9B" w:rsidRDefault="000B266B" w:rsidP="0041700E">
            <w:pPr>
              <w:pStyle w:val="TableText"/>
              <w:keepNext w:val="0"/>
              <w:jc w:val="center"/>
            </w:pPr>
            <w:r w:rsidRPr="00A16C9B">
              <w:t>51.0</w:t>
            </w:r>
          </w:p>
        </w:tc>
        <w:tc>
          <w:tcPr>
            <w:tcW w:w="810" w:type="pct"/>
            <w:gridSpan w:val="3"/>
            <w:vMerge w:val="restart"/>
            <w:shd w:val="clear" w:color="auto" w:fill="BDD6EE" w:themeFill="accent1" w:themeFillTint="66"/>
            <w:vAlign w:val="center"/>
          </w:tcPr>
          <w:p w14:paraId="5C36E1C9" w14:textId="77777777" w:rsidR="000B266B" w:rsidRPr="00A16C9B" w:rsidRDefault="000B266B" w:rsidP="0041700E">
            <w:pPr>
              <w:pStyle w:val="TableText"/>
              <w:keepNext w:val="0"/>
              <w:jc w:val="center"/>
            </w:pPr>
            <w:r w:rsidRPr="00A16C9B">
              <w:t>n/a</w:t>
            </w:r>
          </w:p>
        </w:tc>
        <w:tc>
          <w:tcPr>
            <w:tcW w:w="757" w:type="pct"/>
            <w:vMerge w:val="restart"/>
            <w:shd w:val="clear" w:color="auto" w:fill="BDD6EE" w:themeFill="accent1" w:themeFillTint="66"/>
            <w:vAlign w:val="center"/>
          </w:tcPr>
          <w:p w14:paraId="4080BC74" w14:textId="77777777" w:rsidR="000B266B" w:rsidRPr="00A16C9B" w:rsidRDefault="000B266B" w:rsidP="0041700E">
            <w:pPr>
              <w:pStyle w:val="TableText"/>
              <w:keepNext w:val="0"/>
              <w:jc w:val="center"/>
            </w:pPr>
            <w:r w:rsidRPr="00A16C9B">
              <w:t>n/a</w:t>
            </w:r>
          </w:p>
        </w:tc>
      </w:tr>
      <w:tr w:rsidR="000B266B" w:rsidRPr="00A16C9B" w14:paraId="0121B617" w14:textId="77777777" w:rsidTr="00B678E8">
        <w:tc>
          <w:tcPr>
            <w:tcW w:w="626" w:type="pct"/>
            <w:vMerge/>
            <w:vAlign w:val="center"/>
          </w:tcPr>
          <w:p w14:paraId="647F28FC" w14:textId="77777777" w:rsidR="000B266B" w:rsidRPr="00A16C9B" w:rsidRDefault="000B266B" w:rsidP="0041700E">
            <w:pPr>
              <w:pStyle w:val="TableText"/>
              <w:keepNext w:val="0"/>
            </w:pPr>
          </w:p>
        </w:tc>
        <w:tc>
          <w:tcPr>
            <w:tcW w:w="543" w:type="pct"/>
            <w:vAlign w:val="center"/>
          </w:tcPr>
          <w:p w14:paraId="7D543ABD" w14:textId="77777777" w:rsidR="000B266B" w:rsidRPr="00A16C9B" w:rsidRDefault="000B266B" w:rsidP="0041700E">
            <w:pPr>
              <w:pStyle w:val="TableText"/>
              <w:keepNext w:val="0"/>
            </w:pPr>
            <w:r w:rsidRPr="00A16C9B">
              <w:t>Week 144</w:t>
            </w:r>
          </w:p>
        </w:tc>
        <w:tc>
          <w:tcPr>
            <w:tcW w:w="765" w:type="pct"/>
            <w:gridSpan w:val="2"/>
            <w:shd w:val="clear" w:color="auto" w:fill="FFFFFF" w:themeFill="background1"/>
            <w:vAlign w:val="center"/>
          </w:tcPr>
          <w:p w14:paraId="235E53C8" w14:textId="77777777" w:rsidR="000B266B" w:rsidRPr="00A16C9B" w:rsidRDefault="000B266B" w:rsidP="0041700E">
            <w:pPr>
              <w:pStyle w:val="TableText"/>
              <w:keepNext w:val="0"/>
              <w:jc w:val="center"/>
            </w:pPr>
            <w:r w:rsidRPr="00A16C9B">
              <w:t>27/49</w:t>
            </w:r>
          </w:p>
        </w:tc>
        <w:tc>
          <w:tcPr>
            <w:tcW w:w="728" w:type="pct"/>
            <w:gridSpan w:val="2"/>
            <w:vMerge/>
            <w:vAlign w:val="center"/>
          </w:tcPr>
          <w:p w14:paraId="74C0E184" w14:textId="77777777" w:rsidR="000B266B" w:rsidRPr="00A16C9B" w:rsidRDefault="000B266B" w:rsidP="0041700E">
            <w:pPr>
              <w:pStyle w:val="TableText"/>
              <w:keepNext w:val="0"/>
              <w:jc w:val="center"/>
            </w:pPr>
          </w:p>
        </w:tc>
        <w:tc>
          <w:tcPr>
            <w:tcW w:w="770" w:type="pct"/>
            <w:gridSpan w:val="2"/>
            <w:shd w:val="clear" w:color="auto" w:fill="FFFFFF" w:themeFill="background1"/>
            <w:vAlign w:val="center"/>
          </w:tcPr>
          <w:p w14:paraId="26987832" w14:textId="77777777" w:rsidR="000B266B" w:rsidRPr="00A16C9B" w:rsidRDefault="000B266B" w:rsidP="0041700E">
            <w:pPr>
              <w:pStyle w:val="TableText"/>
              <w:keepNext w:val="0"/>
              <w:jc w:val="center"/>
            </w:pPr>
            <w:r w:rsidRPr="00A16C9B">
              <w:t>55.1</w:t>
            </w:r>
          </w:p>
        </w:tc>
        <w:tc>
          <w:tcPr>
            <w:tcW w:w="810" w:type="pct"/>
            <w:gridSpan w:val="3"/>
            <w:vMerge/>
            <w:vAlign w:val="center"/>
          </w:tcPr>
          <w:p w14:paraId="4247D7BA" w14:textId="77777777" w:rsidR="000B266B" w:rsidRPr="00A16C9B" w:rsidRDefault="000B266B" w:rsidP="0041700E">
            <w:pPr>
              <w:pStyle w:val="TableText"/>
              <w:keepNext w:val="0"/>
              <w:jc w:val="center"/>
            </w:pPr>
          </w:p>
        </w:tc>
        <w:tc>
          <w:tcPr>
            <w:tcW w:w="757" w:type="pct"/>
            <w:vMerge/>
            <w:vAlign w:val="center"/>
          </w:tcPr>
          <w:p w14:paraId="592BD1EF" w14:textId="77777777" w:rsidR="000B266B" w:rsidRPr="00A16C9B" w:rsidRDefault="000B266B" w:rsidP="0041700E">
            <w:pPr>
              <w:pStyle w:val="TableText"/>
              <w:keepNext w:val="0"/>
              <w:jc w:val="center"/>
            </w:pPr>
          </w:p>
        </w:tc>
      </w:tr>
      <w:tr w:rsidR="000B266B" w:rsidRPr="00A16C9B" w14:paraId="766E0583" w14:textId="77777777" w:rsidTr="00B678E8">
        <w:tc>
          <w:tcPr>
            <w:tcW w:w="626" w:type="pct"/>
            <w:vMerge w:val="restart"/>
            <w:vAlign w:val="center"/>
          </w:tcPr>
          <w:p w14:paraId="055331ED" w14:textId="77777777" w:rsidR="000B266B" w:rsidRPr="00A16C9B" w:rsidRDefault="000B266B" w:rsidP="0041700E">
            <w:pPr>
              <w:pStyle w:val="TableText"/>
              <w:keepNext w:val="0"/>
            </w:pPr>
            <w:r w:rsidRPr="00A16C9B">
              <w:t>≥ Grade 3 TEAEs</w:t>
            </w:r>
          </w:p>
        </w:tc>
        <w:tc>
          <w:tcPr>
            <w:tcW w:w="543" w:type="pct"/>
            <w:vAlign w:val="center"/>
          </w:tcPr>
          <w:p w14:paraId="63AF12F5" w14:textId="77777777" w:rsidR="000B266B" w:rsidRPr="00A16C9B" w:rsidRDefault="000B266B" w:rsidP="0041700E">
            <w:pPr>
              <w:pStyle w:val="TableText"/>
              <w:keepNext w:val="0"/>
            </w:pPr>
            <w:r w:rsidRPr="00A16C9B">
              <w:t>Week 48</w:t>
            </w:r>
          </w:p>
        </w:tc>
        <w:tc>
          <w:tcPr>
            <w:tcW w:w="765" w:type="pct"/>
            <w:gridSpan w:val="2"/>
            <w:shd w:val="clear" w:color="auto" w:fill="BDD6EE" w:themeFill="accent1" w:themeFillTint="66"/>
            <w:vAlign w:val="center"/>
          </w:tcPr>
          <w:p w14:paraId="4E773FBD" w14:textId="77777777" w:rsidR="000B266B" w:rsidRPr="00A16C9B" w:rsidRDefault="000B266B" w:rsidP="0041700E">
            <w:pPr>
              <w:pStyle w:val="TableText"/>
              <w:keepNext w:val="0"/>
              <w:jc w:val="center"/>
            </w:pPr>
            <w:r w:rsidRPr="00A16C9B">
              <w:t>5/49</w:t>
            </w:r>
          </w:p>
        </w:tc>
        <w:tc>
          <w:tcPr>
            <w:tcW w:w="728" w:type="pct"/>
            <w:gridSpan w:val="2"/>
            <w:shd w:val="clear" w:color="auto" w:fill="BDD6EE" w:themeFill="accent1" w:themeFillTint="66"/>
            <w:vAlign w:val="center"/>
          </w:tcPr>
          <w:p w14:paraId="4FD5247A" w14:textId="77777777" w:rsidR="000B266B" w:rsidRPr="00A16C9B" w:rsidRDefault="000B266B" w:rsidP="0041700E">
            <w:pPr>
              <w:pStyle w:val="TableText"/>
              <w:keepNext w:val="0"/>
              <w:jc w:val="center"/>
            </w:pPr>
            <w:r w:rsidRPr="00A16C9B">
              <w:t>4/51</w:t>
            </w:r>
          </w:p>
        </w:tc>
        <w:tc>
          <w:tcPr>
            <w:tcW w:w="770" w:type="pct"/>
            <w:gridSpan w:val="2"/>
            <w:shd w:val="clear" w:color="auto" w:fill="BDD6EE" w:themeFill="accent1" w:themeFillTint="66"/>
            <w:vAlign w:val="center"/>
          </w:tcPr>
          <w:p w14:paraId="3EE54EF6" w14:textId="77777777" w:rsidR="000B266B" w:rsidRPr="00A16C9B" w:rsidRDefault="000B266B" w:rsidP="0041700E">
            <w:pPr>
              <w:pStyle w:val="TableText"/>
              <w:keepNext w:val="0"/>
              <w:jc w:val="center"/>
            </w:pPr>
            <w:r w:rsidRPr="00A16C9B">
              <w:t>10.2</w:t>
            </w:r>
          </w:p>
        </w:tc>
        <w:tc>
          <w:tcPr>
            <w:tcW w:w="810" w:type="pct"/>
            <w:gridSpan w:val="3"/>
            <w:shd w:val="clear" w:color="auto" w:fill="BDD6EE" w:themeFill="accent1" w:themeFillTint="66"/>
            <w:vAlign w:val="center"/>
          </w:tcPr>
          <w:p w14:paraId="7E1309C2" w14:textId="77777777" w:rsidR="000B266B" w:rsidRPr="00A16C9B" w:rsidRDefault="000B266B" w:rsidP="0041700E">
            <w:pPr>
              <w:pStyle w:val="TableText"/>
              <w:keepNext w:val="0"/>
              <w:jc w:val="center"/>
            </w:pPr>
            <w:r w:rsidRPr="00A16C9B">
              <w:t>7.8</w:t>
            </w:r>
          </w:p>
        </w:tc>
        <w:tc>
          <w:tcPr>
            <w:tcW w:w="757" w:type="pct"/>
            <w:shd w:val="clear" w:color="auto" w:fill="BDD6EE" w:themeFill="accent1" w:themeFillTint="66"/>
            <w:vAlign w:val="center"/>
          </w:tcPr>
          <w:p w14:paraId="3B6A41E0" w14:textId="77777777" w:rsidR="000B266B" w:rsidRPr="00A16C9B" w:rsidRDefault="000B266B" w:rsidP="0041700E">
            <w:pPr>
              <w:pStyle w:val="TableText"/>
              <w:keepNext w:val="0"/>
              <w:jc w:val="center"/>
            </w:pPr>
            <w:r w:rsidRPr="00A16C9B">
              <w:t>2.4</w:t>
            </w:r>
          </w:p>
        </w:tc>
      </w:tr>
      <w:tr w:rsidR="000B266B" w:rsidRPr="00A16C9B" w14:paraId="1C6369FE" w14:textId="77777777" w:rsidTr="00B678E8">
        <w:tc>
          <w:tcPr>
            <w:tcW w:w="626" w:type="pct"/>
            <w:vMerge/>
            <w:vAlign w:val="center"/>
          </w:tcPr>
          <w:p w14:paraId="75D67C4E" w14:textId="77777777" w:rsidR="000B266B" w:rsidRPr="00A16C9B" w:rsidRDefault="000B266B" w:rsidP="0041700E">
            <w:pPr>
              <w:pStyle w:val="TableText"/>
              <w:keepNext w:val="0"/>
            </w:pPr>
          </w:p>
        </w:tc>
        <w:tc>
          <w:tcPr>
            <w:tcW w:w="543" w:type="pct"/>
            <w:vAlign w:val="center"/>
          </w:tcPr>
          <w:p w14:paraId="406BB725" w14:textId="77777777" w:rsidR="000B266B" w:rsidRPr="00A16C9B" w:rsidRDefault="000B266B" w:rsidP="0041700E">
            <w:pPr>
              <w:pStyle w:val="TableText"/>
              <w:keepNext w:val="0"/>
            </w:pPr>
            <w:r w:rsidRPr="00A16C9B">
              <w:t>Week 96</w:t>
            </w:r>
          </w:p>
        </w:tc>
        <w:tc>
          <w:tcPr>
            <w:tcW w:w="765" w:type="pct"/>
            <w:gridSpan w:val="2"/>
            <w:shd w:val="clear" w:color="auto" w:fill="BDD6EE" w:themeFill="accent1" w:themeFillTint="66"/>
            <w:vAlign w:val="center"/>
          </w:tcPr>
          <w:p w14:paraId="7F5DD530" w14:textId="77777777" w:rsidR="000B266B" w:rsidRPr="00A16C9B" w:rsidRDefault="000B266B" w:rsidP="0041700E">
            <w:pPr>
              <w:pStyle w:val="TableText"/>
              <w:keepNext w:val="0"/>
              <w:jc w:val="center"/>
            </w:pPr>
            <w:r w:rsidRPr="00A16C9B">
              <w:t>9/49</w:t>
            </w:r>
          </w:p>
        </w:tc>
        <w:tc>
          <w:tcPr>
            <w:tcW w:w="728" w:type="pct"/>
            <w:gridSpan w:val="2"/>
            <w:vMerge w:val="restart"/>
            <w:shd w:val="clear" w:color="auto" w:fill="BDD6EE" w:themeFill="accent1" w:themeFillTint="66"/>
            <w:vAlign w:val="center"/>
          </w:tcPr>
          <w:p w14:paraId="4DC88EF8" w14:textId="77777777" w:rsidR="000B266B" w:rsidRPr="00A16C9B" w:rsidRDefault="000B266B" w:rsidP="0041700E">
            <w:pPr>
              <w:pStyle w:val="TableText"/>
              <w:keepNext w:val="0"/>
              <w:jc w:val="center"/>
            </w:pPr>
            <w:r w:rsidRPr="00A16C9B">
              <w:t>n/a</w:t>
            </w:r>
          </w:p>
        </w:tc>
        <w:tc>
          <w:tcPr>
            <w:tcW w:w="770" w:type="pct"/>
            <w:gridSpan w:val="2"/>
            <w:shd w:val="clear" w:color="auto" w:fill="BDD6EE" w:themeFill="accent1" w:themeFillTint="66"/>
            <w:vAlign w:val="center"/>
          </w:tcPr>
          <w:p w14:paraId="222195BD" w14:textId="77777777" w:rsidR="000B266B" w:rsidRPr="00A16C9B" w:rsidRDefault="000B266B" w:rsidP="0041700E">
            <w:pPr>
              <w:pStyle w:val="TableText"/>
              <w:keepNext w:val="0"/>
              <w:jc w:val="center"/>
            </w:pPr>
            <w:r w:rsidRPr="00A16C9B">
              <w:t>18.4</w:t>
            </w:r>
          </w:p>
        </w:tc>
        <w:tc>
          <w:tcPr>
            <w:tcW w:w="810" w:type="pct"/>
            <w:gridSpan w:val="3"/>
            <w:vMerge w:val="restart"/>
            <w:shd w:val="clear" w:color="auto" w:fill="BDD6EE" w:themeFill="accent1" w:themeFillTint="66"/>
            <w:vAlign w:val="center"/>
          </w:tcPr>
          <w:p w14:paraId="7D7A3EBC" w14:textId="77777777" w:rsidR="000B266B" w:rsidRPr="00A16C9B" w:rsidRDefault="000B266B" w:rsidP="0041700E">
            <w:pPr>
              <w:pStyle w:val="TableText"/>
              <w:keepNext w:val="0"/>
              <w:jc w:val="center"/>
            </w:pPr>
            <w:r w:rsidRPr="00A16C9B">
              <w:t>n/a</w:t>
            </w:r>
          </w:p>
        </w:tc>
        <w:tc>
          <w:tcPr>
            <w:tcW w:w="757" w:type="pct"/>
            <w:vMerge w:val="restart"/>
            <w:shd w:val="clear" w:color="auto" w:fill="BDD6EE" w:themeFill="accent1" w:themeFillTint="66"/>
            <w:vAlign w:val="center"/>
          </w:tcPr>
          <w:p w14:paraId="55C5B2A6" w14:textId="77777777" w:rsidR="000B266B" w:rsidRPr="00A16C9B" w:rsidRDefault="000B266B" w:rsidP="0041700E">
            <w:pPr>
              <w:pStyle w:val="TableText"/>
              <w:keepNext w:val="0"/>
              <w:jc w:val="center"/>
            </w:pPr>
            <w:r w:rsidRPr="00A16C9B">
              <w:t>n/a</w:t>
            </w:r>
          </w:p>
        </w:tc>
      </w:tr>
      <w:tr w:rsidR="000B266B" w:rsidRPr="00A16C9B" w14:paraId="5D36FBEC" w14:textId="77777777" w:rsidTr="00B678E8">
        <w:tc>
          <w:tcPr>
            <w:tcW w:w="626" w:type="pct"/>
            <w:vMerge/>
            <w:vAlign w:val="center"/>
          </w:tcPr>
          <w:p w14:paraId="2CE5E707" w14:textId="77777777" w:rsidR="000B266B" w:rsidRPr="00A16C9B" w:rsidRDefault="000B266B" w:rsidP="0041700E">
            <w:pPr>
              <w:pStyle w:val="TableText"/>
              <w:keepNext w:val="0"/>
            </w:pPr>
          </w:p>
        </w:tc>
        <w:tc>
          <w:tcPr>
            <w:tcW w:w="543" w:type="pct"/>
            <w:vAlign w:val="center"/>
          </w:tcPr>
          <w:p w14:paraId="0ADCC266" w14:textId="77777777" w:rsidR="000B266B" w:rsidRPr="00A16C9B" w:rsidRDefault="000B266B" w:rsidP="0041700E">
            <w:pPr>
              <w:pStyle w:val="TableText"/>
              <w:keepNext w:val="0"/>
            </w:pPr>
            <w:r w:rsidRPr="00A16C9B">
              <w:t>Week 144</w:t>
            </w:r>
          </w:p>
        </w:tc>
        <w:tc>
          <w:tcPr>
            <w:tcW w:w="765" w:type="pct"/>
            <w:gridSpan w:val="2"/>
            <w:vAlign w:val="center"/>
          </w:tcPr>
          <w:p w14:paraId="521A8823" w14:textId="77777777" w:rsidR="000B266B" w:rsidRPr="00A16C9B" w:rsidRDefault="000B266B" w:rsidP="0041700E">
            <w:pPr>
              <w:pStyle w:val="TableText"/>
              <w:keepNext w:val="0"/>
              <w:jc w:val="center"/>
            </w:pPr>
            <w:r w:rsidRPr="00A16C9B">
              <w:t>12/49</w:t>
            </w:r>
          </w:p>
        </w:tc>
        <w:tc>
          <w:tcPr>
            <w:tcW w:w="728" w:type="pct"/>
            <w:gridSpan w:val="2"/>
            <w:vMerge/>
            <w:vAlign w:val="center"/>
          </w:tcPr>
          <w:p w14:paraId="5EE592AF" w14:textId="77777777" w:rsidR="000B266B" w:rsidRPr="00A16C9B" w:rsidRDefault="000B266B" w:rsidP="0041700E">
            <w:pPr>
              <w:pStyle w:val="TableText"/>
              <w:keepNext w:val="0"/>
              <w:jc w:val="center"/>
            </w:pPr>
          </w:p>
        </w:tc>
        <w:tc>
          <w:tcPr>
            <w:tcW w:w="770" w:type="pct"/>
            <w:gridSpan w:val="2"/>
            <w:vAlign w:val="center"/>
          </w:tcPr>
          <w:p w14:paraId="283939F6" w14:textId="77777777" w:rsidR="000B266B" w:rsidRPr="00A16C9B" w:rsidRDefault="000B266B" w:rsidP="0041700E">
            <w:pPr>
              <w:pStyle w:val="TableText"/>
              <w:keepNext w:val="0"/>
              <w:jc w:val="center"/>
            </w:pPr>
            <w:r w:rsidRPr="00A16C9B">
              <w:t>24.5</w:t>
            </w:r>
          </w:p>
        </w:tc>
        <w:tc>
          <w:tcPr>
            <w:tcW w:w="810" w:type="pct"/>
            <w:gridSpan w:val="3"/>
            <w:vMerge/>
            <w:vAlign w:val="center"/>
          </w:tcPr>
          <w:p w14:paraId="36716BE8" w14:textId="77777777" w:rsidR="000B266B" w:rsidRPr="00A16C9B" w:rsidRDefault="000B266B" w:rsidP="0041700E">
            <w:pPr>
              <w:pStyle w:val="TableText"/>
              <w:keepNext w:val="0"/>
              <w:jc w:val="center"/>
            </w:pPr>
          </w:p>
        </w:tc>
        <w:tc>
          <w:tcPr>
            <w:tcW w:w="757" w:type="pct"/>
            <w:vMerge/>
            <w:vAlign w:val="center"/>
          </w:tcPr>
          <w:p w14:paraId="38457F72" w14:textId="77777777" w:rsidR="000B266B" w:rsidRPr="00A16C9B" w:rsidRDefault="000B266B" w:rsidP="0041700E">
            <w:pPr>
              <w:pStyle w:val="TableText"/>
              <w:keepNext w:val="0"/>
              <w:jc w:val="center"/>
            </w:pPr>
          </w:p>
        </w:tc>
      </w:tr>
      <w:tr w:rsidR="000B266B" w:rsidRPr="00A16C9B" w14:paraId="63D5E7C0" w14:textId="77777777" w:rsidTr="00B678E8">
        <w:tc>
          <w:tcPr>
            <w:tcW w:w="626" w:type="pct"/>
            <w:vMerge w:val="restart"/>
            <w:vAlign w:val="center"/>
          </w:tcPr>
          <w:p w14:paraId="216B7FD4" w14:textId="77777777" w:rsidR="000B266B" w:rsidRPr="00A16C9B" w:rsidRDefault="000B266B" w:rsidP="0041700E">
            <w:pPr>
              <w:pStyle w:val="TableText"/>
              <w:keepNext w:val="0"/>
            </w:pPr>
            <w:r w:rsidRPr="00A16C9B">
              <w:t>Hepatic flares</w:t>
            </w:r>
          </w:p>
        </w:tc>
        <w:tc>
          <w:tcPr>
            <w:tcW w:w="543" w:type="pct"/>
            <w:vAlign w:val="center"/>
          </w:tcPr>
          <w:p w14:paraId="34139B7E" w14:textId="77777777" w:rsidR="000B266B" w:rsidRPr="00A16C9B" w:rsidRDefault="000B266B" w:rsidP="0041700E">
            <w:pPr>
              <w:pStyle w:val="TableText"/>
              <w:keepNext w:val="0"/>
            </w:pPr>
            <w:r w:rsidRPr="00A16C9B">
              <w:t>Week 48</w:t>
            </w:r>
          </w:p>
        </w:tc>
        <w:tc>
          <w:tcPr>
            <w:tcW w:w="765" w:type="pct"/>
            <w:gridSpan w:val="2"/>
            <w:shd w:val="clear" w:color="auto" w:fill="BDD6EE" w:themeFill="accent1" w:themeFillTint="66"/>
            <w:vAlign w:val="center"/>
          </w:tcPr>
          <w:p w14:paraId="6F410271" w14:textId="77777777" w:rsidR="000B266B" w:rsidRPr="00A16C9B" w:rsidRDefault="000B266B" w:rsidP="0041700E">
            <w:pPr>
              <w:pStyle w:val="TableText"/>
              <w:keepNext w:val="0"/>
              <w:jc w:val="center"/>
            </w:pPr>
            <w:r w:rsidRPr="00A16C9B">
              <w:t>7/49</w:t>
            </w:r>
          </w:p>
        </w:tc>
        <w:tc>
          <w:tcPr>
            <w:tcW w:w="728" w:type="pct"/>
            <w:gridSpan w:val="2"/>
            <w:shd w:val="clear" w:color="auto" w:fill="BDD6EE" w:themeFill="accent1" w:themeFillTint="66"/>
            <w:vAlign w:val="center"/>
          </w:tcPr>
          <w:p w14:paraId="2C07A8CE" w14:textId="77777777" w:rsidR="000B266B" w:rsidRPr="00A16C9B" w:rsidRDefault="000B266B" w:rsidP="0041700E">
            <w:pPr>
              <w:pStyle w:val="TableText"/>
              <w:keepNext w:val="0"/>
              <w:jc w:val="center"/>
            </w:pPr>
            <w:r w:rsidRPr="00A16C9B">
              <w:t>4/51</w:t>
            </w:r>
          </w:p>
        </w:tc>
        <w:tc>
          <w:tcPr>
            <w:tcW w:w="770" w:type="pct"/>
            <w:gridSpan w:val="2"/>
            <w:shd w:val="clear" w:color="auto" w:fill="BDD6EE" w:themeFill="accent1" w:themeFillTint="66"/>
            <w:vAlign w:val="center"/>
          </w:tcPr>
          <w:p w14:paraId="3CE3B523" w14:textId="77777777" w:rsidR="000B266B" w:rsidRPr="00A16C9B" w:rsidRDefault="000B266B" w:rsidP="0041700E">
            <w:pPr>
              <w:pStyle w:val="TableText"/>
              <w:keepNext w:val="0"/>
              <w:jc w:val="center"/>
            </w:pPr>
            <w:r w:rsidRPr="00A16C9B">
              <w:t>14.3</w:t>
            </w:r>
          </w:p>
        </w:tc>
        <w:tc>
          <w:tcPr>
            <w:tcW w:w="810" w:type="pct"/>
            <w:gridSpan w:val="3"/>
            <w:shd w:val="clear" w:color="auto" w:fill="BDD6EE" w:themeFill="accent1" w:themeFillTint="66"/>
            <w:vAlign w:val="center"/>
          </w:tcPr>
          <w:p w14:paraId="06A8D271" w14:textId="77777777" w:rsidR="000B266B" w:rsidRPr="00A16C9B" w:rsidRDefault="000B266B" w:rsidP="0041700E">
            <w:pPr>
              <w:pStyle w:val="TableText"/>
              <w:keepNext w:val="0"/>
              <w:jc w:val="center"/>
            </w:pPr>
            <w:r w:rsidRPr="00A16C9B">
              <w:t>7.8</w:t>
            </w:r>
          </w:p>
        </w:tc>
        <w:tc>
          <w:tcPr>
            <w:tcW w:w="757" w:type="pct"/>
            <w:shd w:val="clear" w:color="auto" w:fill="BDD6EE" w:themeFill="accent1" w:themeFillTint="66"/>
            <w:vAlign w:val="center"/>
          </w:tcPr>
          <w:p w14:paraId="159DDA8C" w14:textId="77777777" w:rsidR="000B266B" w:rsidRPr="00A16C9B" w:rsidRDefault="000B266B" w:rsidP="0041700E">
            <w:pPr>
              <w:pStyle w:val="TableText"/>
              <w:keepNext w:val="0"/>
              <w:jc w:val="center"/>
            </w:pPr>
            <w:r w:rsidRPr="00A16C9B">
              <w:t>6.4</w:t>
            </w:r>
          </w:p>
        </w:tc>
      </w:tr>
      <w:tr w:rsidR="000B266B" w:rsidRPr="00A16C9B" w14:paraId="00A84880" w14:textId="77777777" w:rsidTr="00B678E8">
        <w:tc>
          <w:tcPr>
            <w:tcW w:w="626" w:type="pct"/>
            <w:vMerge/>
            <w:vAlign w:val="center"/>
          </w:tcPr>
          <w:p w14:paraId="2028A81D" w14:textId="77777777" w:rsidR="000B266B" w:rsidRPr="00A16C9B" w:rsidRDefault="000B266B" w:rsidP="0041700E">
            <w:pPr>
              <w:pStyle w:val="TableText"/>
              <w:keepNext w:val="0"/>
            </w:pPr>
          </w:p>
        </w:tc>
        <w:tc>
          <w:tcPr>
            <w:tcW w:w="543" w:type="pct"/>
            <w:vAlign w:val="center"/>
          </w:tcPr>
          <w:p w14:paraId="52C62192" w14:textId="77777777" w:rsidR="000B266B" w:rsidRPr="00A16C9B" w:rsidRDefault="000B266B" w:rsidP="0041700E">
            <w:pPr>
              <w:pStyle w:val="TableText"/>
              <w:keepNext w:val="0"/>
            </w:pPr>
            <w:r w:rsidRPr="00A16C9B">
              <w:t>Week 96</w:t>
            </w:r>
          </w:p>
        </w:tc>
        <w:tc>
          <w:tcPr>
            <w:tcW w:w="765" w:type="pct"/>
            <w:gridSpan w:val="2"/>
            <w:shd w:val="clear" w:color="auto" w:fill="BDD6EE" w:themeFill="accent1" w:themeFillTint="66"/>
            <w:vAlign w:val="center"/>
          </w:tcPr>
          <w:p w14:paraId="1602D15B" w14:textId="77777777" w:rsidR="000B266B" w:rsidRPr="00A16C9B" w:rsidRDefault="000B266B" w:rsidP="0041700E">
            <w:pPr>
              <w:pStyle w:val="TableText"/>
              <w:keepNext w:val="0"/>
              <w:jc w:val="center"/>
            </w:pPr>
            <w:r w:rsidRPr="00A16C9B">
              <w:t>7/49</w:t>
            </w:r>
          </w:p>
        </w:tc>
        <w:tc>
          <w:tcPr>
            <w:tcW w:w="728" w:type="pct"/>
            <w:gridSpan w:val="2"/>
            <w:vMerge w:val="restart"/>
            <w:shd w:val="clear" w:color="auto" w:fill="BDD6EE" w:themeFill="accent1" w:themeFillTint="66"/>
            <w:vAlign w:val="center"/>
          </w:tcPr>
          <w:p w14:paraId="05265871" w14:textId="77777777" w:rsidR="000B266B" w:rsidRPr="00A16C9B" w:rsidRDefault="000B266B" w:rsidP="0041700E">
            <w:pPr>
              <w:pStyle w:val="TableText"/>
              <w:keepNext w:val="0"/>
              <w:jc w:val="center"/>
            </w:pPr>
            <w:r w:rsidRPr="00A16C9B">
              <w:t>n/a</w:t>
            </w:r>
          </w:p>
        </w:tc>
        <w:tc>
          <w:tcPr>
            <w:tcW w:w="770" w:type="pct"/>
            <w:gridSpan w:val="2"/>
            <w:shd w:val="clear" w:color="auto" w:fill="BDD6EE" w:themeFill="accent1" w:themeFillTint="66"/>
            <w:vAlign w:val="center"/>
          </w:tcPr>
          <w:p w14:paraId="2B1BAC5C" w14:textId="77777777" w:rsidR="000B266B" w:rsidRPr="00A16C9B" w:rsidRDefault="000B266B" w:rsidP="0041700E">
            <w:pPr>
              <w:pStyle w:val="TableText"/>
              <w:keepNext w:val="0"/>
              <w:jc w:val="center"/>
            </w:pPr>
            <w:r w:rsidRPr="00A16C9B">
              <w:t>14.3</w:t>
            </w:r>
          </w:p>
        </w:tc>
        <w:tc>
          <w:tcPr>
            <w:tcW w:w="810" w:type="pct"/>
            <w:gridSpan w:val="3"/>
            <w:vMerge w:val="restart"/>
            <w:shd w:val="clear" w:color="auto" w:fill="BDD6EE" w:themeFill="accent1" w:themeFillTint="66"/>
            <w:vAlign w:val="center"/>
          </w:tcPr>
          <w:p w14:paraId="5FB01FEF" w14:textId="77777777" w:rsidR="000B266B" w:rsidRPr="00A16C9B" w:rsidRDefault="000B266B" w:rsidP="0041700E">
            <w:pPr>
              <w:pStyle w:val="TableText"/>
              <w:keepNext w:val="0"/>
              <w:jc w:val="center"/>
            </w:pPr>
            <w:r w:rsidRPr="00A16C9B">
              <w:t>n/a</w:t>
            </w:r>
          </w:p>
        </w:tc>
        <w:tc>
          <w:tcPr>
            <w:tcW w:w="757" w:type="pct"/>
            <w:vMerge w:val="restart"/>
            <w:shd w:val="clear" w:color="auto" w:fill="BDD6EE" w:themeFill="accent1" w:themeFillTint="66"/>
            <w:vAlign w:val="center"/>
          </w:tcPr>
          <w:p w14:paraId="02C5FDDA" w14:textId="77777777" w:rsidR="000B266B" w:rsidRPr="00A16C9B" w:rsidRDefault="000B266B" w:rsidP="0041700E">
            <w:pPr>
              <w:pStyle w:val="TableText"/>
              <w:keepNext w:val="0"/>
              <w:jc w:val="center"/>
            </w:pPr>
            <w:r w:rsidRPr="00A16C9B">
              <w:t>n/a</w:t>
            </w:r>
          </w:p>
        </w:tc>
      </w:tr>
      <w:tr w:rsidR="000B266B" w:rsidRPr="00A16C9B" w14:paraId="4EA2D18D" w14:textId="77777777" w:rsidTr="00B678E8">
        <w:tc>
          <w:tcPr>
            <w:tcW w:w="626" w:type="pct"/>
            <w:vMerge/>
            <w:vAlign w:val="center"/>
          </w:tcPr>
          <w:p w14:paraId="52F201BC" w14:textId="77777777" w:rsidR="000B266B" w:rsidRPr="00A16C9B" w:rsidRDefault="000B266B" w:rsidP="0041700E">
            <w:pPr>
              <w:pStyle w:val="TableText"/>
              <w:keepNext w:val="0"/>
            </w:pPr>
          </w:p>
        </w:tc>
        <w:tc>
          <w:tcPr>
            <w:tcW w:w="543" w:type="pct"/>
            <w:vAlign w:val="center"/>
          </w:tcPr>
          <w:p w14:paraId="293972B8" w14:textId="77777777" w:rsidR="000B266B" w:rsidRPr="00A16C9B" w:rsidRDefault="000B266B" w:rsidP="0041700E">
            <w:pPr>
              <w:pStyle w:val="TableText"/>
              <w:keepNext w:val="0"/>
            </w:pPr>
            <w:r w:rsidRPr="00A16C9B">
              <w:t>Week 144</w:t>
            </w:r>
          </w:p>
        </w:tc>
        <w:tc>
          <w:tcPr>
            <w:tcW w:w="765" w:type="pct"/>
            <w:gridSpan w:val="2"/>
            <w:vAlign w:val="center"/>
          </w:tcPr>
          <w:p w14:paraId="1BF2B305" w14:textId="77777777" w:rsidR="000B266B" w:rsidRPr="00A16C9B" w:rsidRDefault="000B266B" w:rsidP="0041700E">
            <w:pPr>
              <w:pStyle w:val="TableText"/>
              <w:keepNext w:val="0"/>
              <w:jc w:val="center"/>
            </w:pPr>
            <w:r w:rsidRPr="00A16C9B">
              <w:t>14/49</w:t>
            </w:r>
          </w:p>
        </w:tc>
        <w:tc>
          <w:tcPr>
            <w:tcW w:w="728" w:type="pct"/>
            <w:gridSpan w:val="2"/>
            <w:vMerge/>
            <w:vAlign w:val="center"/>
          </w:tcPr>
          <w:p w14:paraId="48CA86CE" w14:textId="77777777" w:rsidR="000B266B" w:rsidRPr="00A16C9B" w:rsidRDefault="000B266B" w:rsidP="0041700E">
            <w:pPr>
              <w:pStyle w:val="TableText"/>
              <w:keepNext w:val="0"/>
              <w:jc w:val="center"/>
            </w:pPr>
          </w:p>
        </w:tc>
        <w:tc>
          <w:tcPr>
            <w:tcW w:w="770" w:type="pct"/>
            <w:gridSpan w:val="2"/>
            <w:vAlign w:val="center"/>
          </w:tcPr>
          <w:p w14:paraId="1CA26B53" w14:textId="77777777" w:rsidR="000B266B" w:rsidRPr="00A16C9B" w:rsidRDefault="000B266B" w:rsidP="0041700E">
            <w:pPr>
              <w:pStyle w:val="TableText"/>
              <w:keepNext w:val="0"/>
              <w:jc w:val="center"/>
            </w:pPr>
            <w:r w:rsidRPr="00A16C9B">
              <w:t>28.6</w:t>
            </w:r>
          </w:p>
        </w:tc>
        <w:tc>
          <w:tcPr>
            <w:tcW w:w="810" w:type="pct"/>
            <w:gridSpan w:val="3"/>
            <w:vMerge/>
            <w:vAlign w:val="center"/>
          </w:tcPr>
          <w:p w14:paraId="1DFC0481" w14:textId="77777777" w:rsidR="000B266B" w:rsidRPr="00A16C9B" w:rsidRDefault="000B266B" w:rsidP="0041700E">
            <w:pPr>
              <w:pStyle w:val="TableText"/>
              <w:keepNext w:val="0"/>
              <w:jc w:val="center"/>
            </w:pPr>
          </w:p>
        </w:tc>
        <w:tc>
          <w:tcPr>
            <w:tcW w:w="757" w:type="pct"/>
            <w:vMerge/>
            <w:vAlign w:val="center"/>
          </w:tcPr>
          <w:p w14:paraId="684588ED" w14:textId="77777777" w:rsidR="000B266B" w:rsidRPr="00A16C9B" w:rsidRDefault="000B266B" w:rsidP="0041700E">
            <w:pPr>
              <w:pStyle w:val="TableText"/>
              <w:keepNext w:val="0"/>
              <w:jc w:val="center"/>
            </w:pPr>
          </w:p>
        </w:tc>
      </w:tr>
      <w:tr w:rsidR="000B266B" w:rsidRPr="00A16C9B" w14:paraId="60B39A6F" w14:textId="77777777" w:rsidTr="00B678E8">
        <w:tc>
          <w:tcPr>
            <w:tcW w:w="626" w:type="pct"/>
            <w:vMerge w:val="restart"/>
            <w:vAlign w:val="center"/>
          </w:tcPr>
          <w:p w14:paraId="574DE5D0" w14:textId="77777777" w:rsidR="000B266B" w:rsidRPr="00A16C9B" w:rsidRDefault="000B266B" w:rsidP="0041700E">
            <w:pPr>
              <w:pStyle w:val="TableText"/>
              <w:keepNext w:val="0"/>
            </w:pPr>
            <w:r w:rsidRPr="00A16C9B">
              <w:t>Eosinophilia and eosinophil count increased</w:t>
            </w:r>
          </w:p>
        </w:tc>
        <w:tc>
          <w:tcPr>
            <w:tcW w:w="543" w:type="pct"/>
            <w:vAlign w:val="center"/>
          </w:tcPr>
          <w:p w14:paraId="6276435D" w14:textId="77777777" w:rsidR="000B266B" w:rsidRPr="00A16C9B" w:rsidRDefault="000B266B" w:rsidP="0041700E">
            <w:pPr>
              <w:pStyle w:val="TableText"/>
              <w:keepNext w:val="0"/>
            </w:pPr>
            <w:r w:rsidRPr="00A16C9B">
              <w:t>Week 48</w:t>
            </w:r>
          </w:p>
        </w:tc>
        <w:tc>
          <w:tcPr>
            <w:tcW w:w="765" w:type="pct"/>
            <w:gridSpan w:val="2"/>
            <w:shd w:val="clear" w:color="auto" w:fill="BDD6EE" w:themeFill="accent1" w:themeFillTint="66"/>
            <w:vAlign w:val="center"/>
          </w:tcPr>
          <w:p w14:paraId="6E0328B7" w14:textId="77777777" w:rsidR="000B266B" w:rsidRPr="00A16C9B" w:rsidRDefault="000B266B" w:rsidP="0041700E">
            <w:pPr>
              <w:pStyle w:val="TableText"/>
              <w:keepNext w:val="0"/>
              <w:jc w:val="center"/>
            </w:pPr>
            <w:r w:rsidRPr="00A16C9B">
              <w:t>5/49</w:t>
            </w:r>
          </w:p>
        </w:tc>
        <w:tc>
          <w:tcPr>
            <w:tcW w:w="728" w:type="pct"/>
            <w:gridSpan w:val="2"/>
            <w:shd w:val="clear" w:color="auto" w:fill="BDD6EE" w:themeFill="accent1" w:themeFillTint="66"/>
            <w:vAlign w:val="center"/>
          </w:tcPr>
          <w:p w14:paraId="0A3DDDD5" w14:textId="77777777" w:rsidR="000B266B" w:rsidRPr="00A16C9B" w:rsidRDefault="000B266B" w:rsidP="0041700E">
            <w:pPr>
              <w:pStyle w:val="TableText"/>
              <w:keepNext w:val="0"/>
              <w:jc w:val="center"/>
            </w:pPr>
            <w:r w:rsidRPr="00A16C9B">
              <w:t>1/51</w:t>
            </w:r>
          </w:p>
        </w:tc>
        <w:tc>
          <w:tcPr>
            <w:tcW w:w="770" w:type="pct"/>
            <w:gridSpan w:val="2"/>
            <w:shd w:val="clear" w:color="auto" w:fill="BDD6EE" w:themeFill="accent1" w:themeFillTint="66"/>
            <w:vAlign w:val="center"/>
          </w:tcPr>
          <w:p w14:paraId="0273F6D8" w14:textId="77777777" w:rsidR="000B266B" w:rsidRPr="00A16C9B" w:rsidRDefault="000B266B" w:rsidP="0041700E">
            <w:pPr>
              <w:pStyle w:val="TableText"/>
              <w:keepNext w:val="0"/>
              <w:jc w:val="center"/>
            </w:pPr>
            <w:r w:rsidRPr="00A16C9B">
              <w:t>10.2</w:t>
            </w:r>
          </w:p>
        </w:tc>
        <w:tc>
          <w:tcPr>
            <w:tcW w:w="810" w:type="pct"/>
            <w:gridSpan w:val="3"/>
            <w:shd w:val="clear" w:color="auto" w:fill="BDD6EE" w:themeFill="accent1" w:themeFillTint="66"/>
            <w:vAlign w:val="center"/>
          </w:tcPr>
          <w:p w14:paraId="35D1745E" w14:textId="77777777" w:rsidR="000B266B" w:rsidRPr="00A16C9B" w:rsidRDefault="000B266B" w:rsidP="0041700E">
            <w:pPr>
              <w:pStyle w:val="TableText"/>
              <w:keepNext w:val="0"/>
              <w:jc w:val="center"/>
            </w:pPr>
            <w:r w:rsidRPr="00A16C9B">
              <w:t>2.0</w:t>
            </w:r>
          </w:p>
        </w:tc>
        <w:tc>
          <w:tcPr>
            <w:tcW w:w="757" w:type="pct"/>
            <w:shd w:val="clear" w:color="auto" w:fill="BDD6EE" w:themeFill="accent1" w:themeFillTint="66"/>
            <w:vAlign w:val="center"/>
          </w:tcPr>
          <w:p w14:paraId="3F6A00F5" w14:textId="77777777" w:rsidR="000B266B" w:rsidRPr="00A16C9B" w:rsidRDefault="000B266B" w:rsidP="0041700E">
            <w:pPr>
              <w:pStyle w:val="TableText"/>
              <w:keepNext w:val="0"/>
              <w:jc w:val="center"/>
            </w:pPr>
            <w:r w:rsidRPr="00A16C9B">
              <w:t>8.2</w:t>
            </w:r>
          </w:p>
        </w:tc>
      </w:tr>
      <w:tr w:rsidR="000B266B" w:rsidRPr="00A16C9B" w14:paraId="72BA0263" w14:textId="77777777" w:rsidTr="00B678E8">
        <w:tc>
          <w:tcPr>
            <w:tcW w:w="626" w:type="pct"/>
            <w:vMerge/>
            <w:vAlign w:val="center"/>
          </w:tcPr>
          <w:p w14:paraId="65386F96" w14:textId="77777777" w:rsidR="000B266B" w:rsidRPr="00A16C9B" w:rsidRDefault="000B266B" w:rsidP="0041700E">
            <w:pPr>
              <w:pStyle w:val="TableText"/>
              <w:keepNext w:val="0"/>
            </w:pPr>
          </w:p>
        </w:tc>
        <w:tc>
          <w:tcPr>
            <w:tcW w:w="543" w:type="pct"/>
            <w:vAlign w:val="center"/>
          </w:tcPr>
          <w:p w14:paraId="411DB079" w14:textId="77777777" w:rsidR="000B266B" w:rsidRPr="00A16C9B" w:rsidRDefault="000B266B" w:rsidP="0041700E">
            <w:pPr>
              <w:pStyle w:val="TableText"/>
              <w:keepNext w:val="0"/>
            </w:pPr>
            <w:r w:rsidRPr="00A16C9B">
              <w:t>Week 96</w:t>
            </w:r>
          </w:p>
        </w:tc>
        <w:tc>
          <w:tcPr>
            <w:tcW w:w="765" w:type="pct"/>
            <w:gridSpan w:val="2"/>
            <w:shd w:val="clear" w:color="auto" w:fill="BDD6EE" w:themeFill="accent1" w:themeFillTint="66"/>
            <w:vAlign w:val="center"/>
          </w:tcPr>
          <w:p w14:paraId="2B07E9C6" w14:textId="77777777" w:rsidR="000B266B" w:rsidRPr="00A16C9B" w:rsidRDefault="000B266B" w:rsidP="0041700E">
            <w:pPr>
              <w:pStyle w:val="TableText"/>
              <w:keepNext w:val="0"/>
              <w:jc w:val="center"/>
            </w:pPr>
            <w:r w:rsidRPr="00A16C9B">
              <w:t>5/49</w:t>
            </w:r>
          </w:p>
        </w:tc>
        <w:tc>
          <w:tcPr>
            <w:tcW w:w="728" w:type="pct"/>
            <w:gridSpan w:val="2"/>
            <w:vMerge w:val="restart"/>
            <w:shd w:val="clear" w:color="auto" w:fill="BDD6EE" w:themeFill="accent1" w:themeFillTint="66"/>
            <w:vAlign w:val="center"/>
          </w:tcPr>
          <w:p w14:paraId="69A02645" w14:textId="77777777" w:rsidR="000B266B" w:rsidRPr="00A16C9B" w:rsidRDefault="000B266B" w:rsidP="0041700E">
            <w:pPr>
              <w:pStyle w:val="TableText"/>
              <w:keepNext w:val="0"/>
              <w:jc w:val="center"/>
            </w:pPr>
            <w:r w:rsidRPr="00A16C9B">
              <w:t>n/a</w:t>
            </w:r>
          </w:p>
        </w:tc>
        <w:tc>
          <w:tcPr>
            <w:tcW w:w="770" w:type="pct"/>
            <w:gridSpan w:val="2"/>
            <w:shd w:val="clear" w:color="auto" w:fill="BDD6EE" w:themeFill="accent1" w:themeFillTint="66"/>
            <w:vAlign w:val="center"/>
          </w:tcPr>
          <w:p w14:paraId="3FE92100" w14:textId="77777777" w:rsidR="000B266B" w:rsidRPr="00A16C9B" w:rsidRDefault="000B266B" w:rsidP="0041700E">
            <w:pPr>
              <w:pStyle w:val="TableText"/>
              <w:keepNext w:val="0"/>
              <w:jc w:val="center"/>
            </w:pPr>
            <w:r w:rsidRPr="00A16C9B">
              <w:t>10.2</w:t>
            </w:r>
          </w:p>
        </w:tc>
        <w:tc>
          <w:tcPr>
            <w:tcW w:w="810" w:type="pct"/>
            <w:gridSpan w:val="3"/>
            <w:vMerge w:val="restart"/>
            <w:shd w:val="clear" w:color="auto" w:fill="BDD6EE" w:themeFill="accent1" w:themeFillTint="66"/>
            <w:vAlign w:val="center"/>
          </w:tcPr>
          <w:p w14:paraId="6DA3C11B" w14:textId="77777777" w:rsidR="000B266B" w:rsidRPr="00A16C9B" w:rsidRDefault="000B266B" w:rsidP="0041700E">
            <w:pPr>
              <w:pStyle w:val="TableText"/>
              <w:keepNext w:val="0"/>
              <w:jc w:val="center"/>
            </w:pPr>
            <w:r w:rsidRPr="00A16C9B">
              <w:t>n/a</w:t>
            </w:r>
          </w:p>
        </w:tc>
        <w:tc>
          <w:tcPr>
            <w:tcW w:w="757" w:type="pct"/>
            <w:vMerge w:val="restart"/>
            <w:shd w:val="clear" w:color="auto" w:fill="BDD6EE" w:themeFill="accent1" w:themeFillTint="66"/>
            <w:vAlign w:val="center"/>
          </w:tcPr>
          <w:p w14:paraId="3E342D48" w14:textId="77777777" w:rsidR="000B266B" w:rsidRPr="00A16C9B" w:rsidRDefault="000B266B" w:rsidP="0041700E">
            <w:pPr>
              <w:pStyle w:val="TableText"/>
              <w:keepNext w:val="0"/>
              <w:jc w:val="center"/>
            </w:pPr>
            <w:r w:rsidRPr="00A16C9B">
              <w:t>n/a</w:t>
            </w:r>
          </w:p>
        </w:tc>
      </w:tr>
      <w:tr w:rsidR="000B266B" w:rsidRPr="00A16C9B" w14:paraId="35ACD949" w14:textId="77777777" w:rsidTr="00B678E8">
        <w:tc>
          <w:tcPr>
            <w:tcW w:w="626" w:type="pct"/>
            <w:vMerge/>
            <w:vAlign w:val="center"/>
          </w:tcPr>
          <w:p w14:paraId="64FA8AFF" w14:textId="77777777" w:rsidR="000B266B" w:rsidRPr="00A16C9B" w:rsidRDefault="000B266B" w:rsidP="0041700E">
            <w:pPr>
              <w:pStyle w:val="TableText"/>
              <w:keepNext w:val="0"/>
            </w:pPr>
          </w:p>
        </w:tc>
        <w:tc>
          <w:tcPr>
            <w:tcW w:w="543" w:type="pct"/>
            <w:vAlign w:val="center"/>
          </w:tcPr>
          <w:p w14:paraId="7AB33C5D" w14:textId="77777777" w:rsidR="000B266B" w:rsidRPr="00A16C9B" w:rsidRDefault="000B266B" w:rsidP="0041700E">
            <w:pPr>
              <w:pStyle w:val="TableText"/>
              <w:keepNext w:val="0"/>
            </w:pPr>
            <w:r w:rsidRPr="00A16C9B">
              <w:t>Week 144</w:t>
            </w:r>
          </w:p>
        </w:tc>
        <w:tc>
          <w:tcPr>
            <w:tcW w:w="765" w:type="pct"/>
            <w:gridSpan w:val="2"/>
            <w:vAlign w:val="center"/>
          </w:tcPr>
          <w:p w14:paraId="491FB2EC" w14:textId="77777777" w:rsidR="000B266B" w:rsidRPr="00A16C9B" w:rsidRDefault="000B266B" w:rsidP="0041700E">
            <w:pPr>
              <w:pStyle w:val="TableText"/>
              <w:keepNext w:val="0"/>
              <w:jc w:val="center"/>
            </w:pPr>
            <w:r w:rsidRPr="00A16C9B">
              <w:t>5/49</w:t>
            </w:r>
          </w:p>
        </w:tc>
        <w:tc>
          <w:tcPr>
            <w:tcW w:w="728" w:type="pct"/>
            <w:gridSpan w:val="2"/>
            <w:vMerge/>
            <w:vAlign w:val="center"/>
          </w:tcPr>
          <w:p w14:paraId="601FDA61" w14:textId="77777777" w:rsidR="000B266B" w:rsidRPr="00A16C9B" w:rsidRDefault="000B266B" w:rsidP="0041700E">
            <w:pPr>
              <w:pStyle w:val="TableText"/>
              <w:keepNext w:val="0"/>
              <w:jc w:val="center"/>
            </w:pPr>
          </w:p>
        </w:tc>
        <w:tc>
          <w:tcPr>
            <w:tcW w:w="770" w:type="pct"/>
            <w:gridSpan w:val="2"/>
            <w:vAlign w:val="center"/>
          </w:tcPr>
          <w:p w14:paraId="4109A27D" w14:textId="77777777" w:rsidR="000B266B" w:rsidRPr="00A16C9B" w:rsidRDefault="000B266B" w:rsidP="0041700E">
            <w:pPr>
              <w:pStyle w:val="TableText"/>
              <w:keepNext w:val="0"/>
              <w:jc w:val="center"/>
            </w:pPr>
            <w:r w:rsidRPr="00A16C9B">
              <w:t>10.2</w:t>
            </w:r>
          </w:p>
        </w:tc>
        <w:tc>
          <w:tcPr>
            <w:tcW w:w="810" w:type="pct"/>
            <w:gridSpan w:val="3"/>
            <w:vMerge/>
            <w:vAlign w:val="center"/>
          </w:tcPr>
          <w:p w14:paraId="29AB7ACA" w14:textId="77777777" w:rsidR="000B266B" w:rsidRPr="00A16C9B" w:rsidRDefault="000B266B" w:rsidP="0041700E">
            <w:pPr>
              <w:pStyle w:val="TableText"/>
              <w:keepNext w:val="0"/>
              <w:jc w:val="center"/>
            </w:pPr>
          </w:p>
        </w:tc>
        <w:tc>
          <w:tcPr>
            <w:tcW w:w="757" w:type="pct"/>
            <w:vMerge/>
            <w:vAlign w:val="center"/>
          </w:tcPr>
          <w:p w14:paraId="32926802" w14:textId="77777777" w:rsidR="000B266B" w:rsidRPr="00A16C9B" w:rsidRDefault="000B266B" w:rsidP="0041700E">
            <w:pPr>
              <w:pStyle w:val="TableText"/>
              <w:keepNext w:val="0"/>
              <w:jc w:val="center"/>
            </w:pPr>
          </w:p>
        </w:tc>
      </w:tr>
      <w:tr w:rsidR="000B266B" w:rsidRPr="00A16C9B" w14:paraId="11713709" w14:textId="77777777" w:rsidTr="00B678E8">
        <w:tc>
          <w:tcPr>
            <w:tcW w:w="626" w:type="pct"/>
            <w:vMerge w:val="restart"/>
            <w:vAlign w:val="center"/>
          </w:tcPr>
          <w:p w14:paraId="4318A714" w14:textId="77777777" w:rsidR="000B266B" w:rsidRPr="00A16C9B" w:rsidRDefault="000B266B" w:rsidP="0041700E">
            <w:pPr>
              <w:pStyle w:val="TableText"/>
              <w:keepNext w:val="0"/>
            </w:pPr>
            <w:r w:rsidRPr="00A16C9B">
              <w:t>Injection site reactions</w:t>
            </w:r>
          </w:p>
        </w:tc>
        <w:tc>
          <w:tcPr>
            <w:tcW w:w="543" w:type="pct"/>
            <w:vAlign w:val="center"/>
          </w:tcPr>
          <w:p w14:paraId="23CE70C6" w14:textId="77777777" w:rsidR="000B266B" w:rsidRPr="00A16C9B" w:rsidRDefault="000B266B" w:rsidP="0041700E">
            <w:pPr>
              <w:pStyle w:val="TableText"/>
              <w:keepNext w:val="0"/>
            </w:pPr>
            <w:r w:rsidRPr="00A16C9B">
              <w:t>Week 48</w:t>
            </w:r>
          </w:p>
        </w:tc>
        <w:tc>
          <w:tcPr>
            <w:tcW w:w="765" w:type="pct"/>
            <w:gridSpan w:val="2"/>
            <w:vAlign w:val="center"/>
          </w:tcPr>
          <w:p w14:paraId="41C932D9" w14:textId="77777777" w:rsidR="000B266B" w:rsidRPr="00A16C9B" w:rsidRDefault="000B266B" w:rsidP="0041700E">
            <w:pPr>
              <w:pStyle w:val="TableText"/>
              <w:keepNext w:val="0"/>
              <w:jc w:val="center"/>
            </w:pPr>
            <w:r w:rsidRPr="00A16C9B">
              <w:t>12/49</w:t>
            </w:r>
          </w:p>
        </w:tc>
        <w:tc>
          <w:tcPr>
            <w:tcW w:w="728" w:type="pct"/>
            <w:gridSpan w:val="2"/>
            <w:vAlign w:val="center"/>
          </w:tcPr>
          <w:p w14:paraId="5EB07D48" w14:textId="77777777" w:rsidR="000B266B" w:rsidRPr="00A16C9B" w:rsidRDefault="000B266B" w:rsidP="0041700E">
            <w:pPr>
              <w:pStyle w:val="TableText"/>
              <w:keepNext w:val="0"/>
              <w:jc w:val="center"/>
            </w:pPr>
            <w:r w:rsidRPr="00A16C9B">
              <w:t>0/51</w:t>
            </w:r>
          </w:p>
        </w:tc>
        <w:tc>
          <w:tcPr>
            <w:tcW w:w="770" w:type="pct"/>
            <w:gridSpan w:val="2"/>
            <w:vAlign w:val="center"/>
          </w:tcPr>
          <w:p w14:paraId="33C313D1" w14:textId="77777777" w:rsidR="000B266B" w:rsidRPr="00A16C9B" w:rsidRDefault="000B266B" w:rsidP="0041700E">
            <w:pPr>
              <w:pStyle w:val="TableText"/>
              <w:keepNext w:val="0"/>
              <w:jc w:val="center"/>
            </w:pPr>
            <w:r w:rsidRPr="00A16C9B">
              <w:t>24.5</w:t>
            </w:r>
          </w:p>
        </w:tc>
        <w:tc>
          <w:tcPr>
            <w:tcW w:w="810" w:type="pct"/>
            <w:gridSpan w:val="3"/>
            <w:vAlign w:val="center"/>
          </w:tcPr>
          <w:p w14:paraId="5DDBF88A" w14:textId="77777777" w:rsidR="000B266B" w:rsidRPr="00A16C9B" w:rsidRDefault="000B266B" w:rsidP="0041700E">
            <w:pPr>
              <w:pStyle w:val="TableText"/>
              <w:keepNext w:val="0"/>
              <w:jc w:val="center"/>
            </w:pPr>
            <w:r w:rsidRPr="00A16C9B">
              <w:t>0</w:t>
            </w:r>
          </w:p>
        </w:tc>
        <w:tc>
          <w:tcPr>
            <w:tcW w:w="757" w:type="pct"/>
            <w:vAlign w:val="center"/>
          </w:tcPr>
          <w:p w14:paraId="5ADAA823" w14:textId="77777777" w:rsidR="000B266B" w:rsidRPr="00A16C9B" w:rsidRDefault="000B266B" w:rsidP="0041700E">
            <w:pPr>
              <w:pStyle w:val="TableText"/>
              <w:keepNext w:val="0"/>
              <w:jc w:val="center"/>
            </w:pPr>
            <w:r w:rsidRPr="00A16C9B">
              <w:t>24.5</w:t>
            </w:r>
          </w:p>
        </w:tc>
      </w:tr>
      <w:tr w:rsidR="000B266B" w:rsidRPr="00A16C9B" w14:paraId="69E35913" w14:textId="77777777" w:rsidTr="00B678E8">
        <w:tc>
          <w:tcPr>
            <w:tcW w:w="626" w:type="pct"/>
            <w:vMerge/>
            <w:vAlign w:val="center"/>
          </w:tcPr>
          <w:p w14:paraId="3F591276" w14:textId="77777777" w:rsidR="000B266B" w:rsidRPr="00A16C9B" w:rsidRDefault="000B266B" w:rsidP="0041700E">
            <w:pPr>
              <w:pStyle w:val="TableText"/>
              <w:keepNext w:val="0"/>
            </w:pPr>
          </w:p>
        </w:tc>
        <w:tc>
          <w:tcPr>
            <w:tcW w:w="543" w:type="pct"/>
            <w:vAlign w:val="center"/>
          </w:tcPr>
          <w:p w14:paraId="57260990" w14:textId="77777777" w:rsidR="000B266B" w:rsidRPr="00A16C9B" w:rsidRDefault="000B266B" w:rsidP="0041700E">
            <w:pPr>
              <w:pStyle w:val="TableText"/>
              <w:keepNext w:val="0"/>
            </w:pPr>
            <w:r w:rsidRPr="00A16C9B">
              <w:t>Week 96</w:t>
            </w:r>
          </w:p>
        </w:tc>
        <w:tc>
          <w:tcPr>
            <w:tcW w:w="765" w:type="pct"/>
            <w:gridSpan w:val="2"/>
            <w:vAlign w:val="center"/>
          </w:tcPr>
          <w:p w14:paraId="6949CB34" w14:textId="77777777" w:rsidR="000B266B" w:rsidRPr="00A16C9B" w:rsidRDefault="000B266B" w:rsidP="0041700E">
            <w:pPr>
              <w:pStyle w:val="TableText"/>
              <w:keepNext w:val="0"/>
              <w:jc w:val="center"/>
            </w:pPr>
            <w:r w:rsidRPr="00A16C9B">
              <w:t>8/49</w:t>
            </w:r>
          </w:p>
        </w:tc>
        <w:tc>
          <w:tcPr>
            <w:tcW w:w="728" w:type="pct"/>
            <w:gridSpan w:val="2"/>
            <w:vMerge w:val="restart"/>
            <w:vAlign w:val="center"/>
          </w:tcPr>
          <w:p w14:paraId="4F056753" w14:textId="77777777" w:rsidR="000B266B" w:rsidRPr="00A16C9B" w:rsidRDefault="000B266B" w:rsidP="0041700E">
            <w:pPr>
              <w:pStyle w:val="TableText"/>
              <w:keepNext w:val="0"/>
              <w:jc w:val="center"/>
            </w:pPr>
            <w:r w:rsidRPr="00A16C9B">
              <w:t>n/a</w:t>
            </w:r>
          </w:p>
        </w:tc>
        <w:tc>
          <w:tcPr>
            <w:tcW w:w="770" w:type="pct"/>
            <w:gridSpan w:val="2"/>
            <w:vAlign w:val="center"/>
          </w:tcPr>
          <w:p w14:paraId="1D59C866" w14:textId="77777777" w:rsidR="000B266B" w:rsidRPr="00A16C9B" w:rsidRDefault="000B266B" w:rsidP="0041700E">
            <w:pPr>
              <w:pStyle w:val="TableText"/>
              <w:keepNext w:val="0"/>
              <w:jc w:val="center"/>
            </w:pPr>
            <w:r w:rsidRPr="00A16C9B">
              <w:t>16.3</w:t>
            </w:r>
          </w:p>
        </w:tc>
        <w:tc>
          <w:tcPr>
            <w:tcW w:w="810" w:type="pct"/>
            <w:gridSpan w:val="3"/>
            <w:vMerge w:val="restart"/>
            <w:vAlign w:val="center"/>
          </w:tcPr>
          <w:p w14:paraId="1869C474" w14:textId="77777777" w:rsidR="000B266B" w:rsidRPr="00A16C9B" w:rsidRDefault="000B266B" w:rsidP="0041700E">
            <w:pPr>
              <w:pStyle w:val="TableText"/>
              <w:keepNext w:val="0"/>
              <w:jc w:val="center"/>
            </w:pPr>
            <w:r w:rsidRPr="00A16C9B">
              <w:t>n/a</w:t>
            </w:r>
          </w:p>
        </w:tc>
        <w:tc>
          <w:tcPr>
            <w:tcW w:w="757" w:type="pct"/>
            <w:vMerge w:val="restart"/>
            <w:vAlign w:val="center"/>
          </w:tcPr>
          <w:p w14:paraId="2CA24FFD" w14:textId="77777777" w:rsidR="000B266B" w:rsidRPr="00A16C9B" w:rsidRDefault="000B266B" w:rsidP="0041700E">
            <w:pPr>
              <w:pStyle w:val="TableText"/>
              <w:keepNext w:val="0"/>
              <w:jc w:val="center"/>
            </w:pPr>
            <w:r w:rsidRPr="00A16C9B">
              <w:t>n/a</w:t>
            </w:r>
          </w:p>
        </w:tc>
      </w:tr>
      <w:tr w:rsidR="000B266B" w:rsidRPr="00A16C9B" w14:paraId="4B56FB3C" w14:textId="77777777" w:rsidTr="00B678E8">
        <w:tc>
          <w:tcPr>
            <w:tcW w:w="626" w:type="pct"/>
            <w:vMerge/>
            <w:vAlign w:val="center"/>
          </w:tcPr>
          <w:p w14:paraId="51DD28A2" w14:textId="77777777" w:rsidR="000B266B" w:rsidRPr="00A16C9B" w:rsidRDefault="000B266B" w:rsidP="0041700E">
            <w:pPr>
              <w:pStyle w:val="TableText"/>
              <w:keepNext w:val="0"/>
            </w:pPr>
          </w:p>
        </w:tc>
        <w:tc>
          <w:tcPr>
            <w:tcW w:w="543" w:type="pct"/>
            <w:vAlign w:val="center"/>
          </w:tcPr>
          <w:p w14:paraId="2C6CBCEC" w14:textId="77777777" w:rsidR="000B266B" w:rsidRPr="00A16C9B" w:rsidRDefault="000B266B" w:rsidP="0041700E">
            <w:pPr>
              <w:pStyle w:val="TableText"/>
              <w:keepNext w:val="0"/>
            </w:pPr>
            <w:r w:rsidRPr="00A16C9B">
              <w:t>Week 144</w:t>
            </w:r>
          </w:p>
        </w:tc>
        <w:tc>
          <w:tcPr>
            <w:tcW w:w="765" w:type="pct"/>
            <w:gridSpan w:val="2"/>
            <w:vAlign w:val="center"/>
          </w:tcPr>
          <w:p w14:paraId="62987D0E" w14:textId="77777777" w:rsidR="000B266B" w:rsidRPr="00A16C9B" w:rsidRDefault="000B266B" w:rsidP="0041700E">
            <w:pPr>
              <w:pStyle w:val="TableText"/>
              <w:keepNext w:val="0"/>
              <w:jc w:val="center"/>
            </w:pPr>
            <w:r w:rsidRPr="00A16C9B">
              <w:t>14/49</w:t>
            </w:r>
          </w:p>
        </w:tc>
        <w:tc>
          <w:tcPr>
            <w:tcW w:w="728" w:type="pct"/>
            <w:gridSpan w:val="2"/>
            <w:vMerge/>
            <w:vAlign w:val="center"/>
          </w:tcPr>
          <w:p w14:paraId="0F025B54" w14:textId="77777777" w:rsidR="000B266B" w:rsidRPr="00A16C9B" w:rsidRDefault="000B266B" w:rsidP="0041700E">
            <w:pPr>
              <w:pStyle w:val="TableText"/>
              <w:keepNext w:val="0"/>
              <w:jc w:val="center"/>
            </w:pPr>
          </w:p>
        </w:tc>
        <w:tc>
          <w:tcPr>
            <w:tcW w:w="770" w:type="pct"/>
            <w:gridSpan w:val="2"/>
            <w:vAlign w:val="center"/>
          </w:tcPr>
          <w:p w14:paraId="687665CD" w14:textId="77777777" w:rsidR="000B266B" w:rsidRPr="00A16C9B" w:rsidRDefault="000B266B" w:rsidP="0041700E">
            <w:pPr>
              <w:pStyle w:val="TableText"/>
              <w:keepNext w:val="0"/>
              <w:jc w:val="center"/>
            </w:pPr>
            <w:r w:rsidRPr="00A16C9B">
              <w:t>28.6</w:t>
            </w:r>
          </w:p>
        </w:tc>
        <w:tc>
          <w:tcPr>
            <w:tcW w:w="810" w:type="pct"/>
            <w:gridSpan w:val="3"/>
            <w:vMerge/>
            <w:vAlign w:val="center"/>
          </w:tcPr>
          <w:p w14:paraId="212C63D5" w14:textId="77777777" w:rsidR="000B266B" w:rsidRPr="00A16C9B" w:rsidRDefault="000B266B" w:rsidP="0041700E">
            <w:pPr>
              <w:pStyle w:val="TableText"/>
              <w:keepNext w:val="0"/>
              <w:jc w:val="center"/>
            </w:pPr>
          </w:p>
        </w:tc>
        <w:tc>
          <w:tcPr>
            <w:tcW w:w="757" w:type="pct"/>
            <w:vMerge/>
            <w:vAlign w:val="center"/>
          </w:tcPr>
          <w:p w14:paraId="3EFEAD9B" w14:textId="77777777" w:rsidR="000B266B" w:rsidRPr="00A16C9B" w:rsidRDefault="000B266B" w:rsidP="0041700E">
            <w:pPr>
              <w:pStyle w:val="TableText"/>
              <w:keepNext w:val="0"/>
              <w:jc w:val="center"/>
            </w:pPr>
          </w:p>
        </w:tc>
      </w:tr>
      <w:tr w:rsidR="000B266B" w:rsidRPr="00A16C9B" w14:paraId="183F9B30" w14:textId="77777777" w:rsidTr="00B678E8">
        <w:tc>
          <w:tcPr>
            <w:tcW w:w="626" w:type="pct"/>
            <w:vMerge w:val="restart"/>
            <w:vAlign w:val="center"/>
          </w:tcPr>
          <w:p w14:paraId="62F10429" w14:textId="77777777" w:rsidR="000B266B" w:rsidRPr="00A16C9B" w:rsidRDefault="000B266B" w:rsidP="0041700E">
            <w:pPr>
              <w:pStyle w:val="TableText"/>
              <w:keepNext w:val="0"/>
            </w:pPr>
            <w:r w:rsidRPr="00A16C9B">
              <w:t>Skin and subcutaneous disorders</w:t>
            </w:r>
          </w:p>
        </w:tc>
        <w:tc>
          <w:tcPr>
            <w:tcW w:w="543" w:type="pct"/>
            <w:vAlign w:val="center"/>
          </w:tcPr>
          <w:p w14:paraId="53399127" w14:textId="77777777" w:rsidR="000B266B" w:rsidRPr="00A16C9B" w:rsidRDefault="000B266B" w:rsidP="0041700E">
            <w:pPr>
              <w:pStyle w:val="TableText"/>
              <w:keepNext w:val="0"/>
            </w:pPr>
            <w:r w:rsidRPr="00A16C9B">
              <w:t>Week 48</w:t>
            </w:r>
          </w:p>
        </w:tc>
        <w:tc>
          <w:tcPr>
            <w:tcW w:w="765" w:type="pct"/>
            <w:gridSpan w:val="2"/>
            <w:shd w:val="clear" w:color="auto" w:fill="BDD6EE" w:themeFill="accent1" w:themeFillTint="66"/>
            <w:vAlign w:val="center"/>
          </w:tcPr>
          <w:p w14:paraId="62827376" w14:textId="77777777" w:rsidR="000B266B" w:rsidRPr="00A16C9B" w:rsidRDefault="000B266B" w:rsidP="0041700E">
            <w:pPr>
              <w:pStyle w:val="TableText"/>
              <w:keepNext w:val="0"/>
              <w:jc w:val="center"/>
            </w:pPr>
            <w:r w:rsidRPr="00A16C9B">
              <w:t>9/49</w:t>
            </w:r>
          </w:p>
        </w:tc>
        <w:tc>
          <w:tcPr>
            <w:tcW w:w="728" w:type="pct"/>
            <w:gridSpan w:val="2"/>
            <w:shd w:val="clear" w:color="auto" w:fill="BDD6EE" w:themeFill="accent1" w:themeFillTint="66"/>
            <w:vAlign w:val="center"/>
          </w:tcPr>
          <w:p w14:paraId="41945E18" w14:textId="77777777" w:rsidR="000B266B" w:rsidRPr="00A16C9B" w:rsidRDefault="000B266B" w:rsidP="0041700E">
            <w:pPr>
              <w:pStyle w:val="TableText"/>
              <w:keepNext w:val="0"/>
              <w:jc w:val="center"/>
            </w:pPr>
            <w:r w:rsidRPr="00A16C9B">
              <w:t>1/51</w:t>
            </w:r>
          </w:p>
        </w:tc>
        <w:tc>
          <w:tcPr>
            <w:tcW w:w="770" w:type="pct"/>
            <w:gridSpan w:val="2"/>
            <w:shd w:val="clear" w:color="auto" w:fill="BDD6EE" w:themeFill="accent1" w:themeFillTint="66"/>
            <w:vAlign w:val="center"/>
          </w:tcPr>
          <w:p w14:paraId="73EA8B98" w14:textId="77777777" w:rsidR="000B266B" w:rsidRPr="00A16C9B" w:rsidRDefault="000B266B" w:rsidP="0041700E">
            <w:pPr>
              <w:pStyle w:val="TableText"/>
              <w:keepNext w:val="0"/>
              <w:jc w:val="center"/>
            </w:pPr>
            <w:r w:rsidRPr="00A16C9B">
              <w:t>18.4</w:t>
            </w:r>
          </w:p>
        </w:tc>
        <w:tc>
          <w:tcPr>
            <w:tcW w:w="810" w:type="pct"/>
            <w:gridSpan w:val="3"/>
            <w:shd w:val="clear" w:color="auto" w:fill="BDD6EE" w:themeFill="accent1" w:themeFillTint="66"/>
            <w:vAlign w:val="center"/>
          </w:tcPr>
          <w:p w14:paraId="07FA2E00" w14:textId="77777777" w:rsidR="000B266B" w:rsidRPr="00A16C9B" w:rsidRDefault="000B266B" w:rsidP="0041700E">
            <w:pPr>
              <w:pStyle w:val="TableText"/>
              <w:keepNext w:val="0"/>
              <w:jc w:val="center"/>
            </w:pPr>
            <w:r w:rsidRPr="00A16C9B">
              <w:t>2.0</w:t>
            </w:r>
          </w:p>
        </w:tc>
        <w:tc>
          <w:tcPr>
            <w:tcW w:w="757" w:type="pct"/>
            <w:shd w:val="clear" w:color="auto" w:fill="BDD6EE" w:themeFill="accent1" w:themeFillTint="66"/>
            <w:vAlign w:val="center"/>
          </w:tcPr>
          <w:p w14:paraId="23C35925" w14:textId="77777777" w:rsidR="000B266B" w:rsidRPr="00A16C9B" w:rsidRDefault="000B266B" w:rsidP="0041700E">
            <w:pPr>
              <w:pStyle w:val="TableText"/>
              <w:keepNext w:val="0"/>
              <w:jc w:val="center"/>
            </w:pPr>
            <w:r w:rsidRPr="00A16C9B">
              <w:t>16.4</w:t>
            </w:r>
          </w:p>
        </w:tc>
      </w:tr>
      <w:tr w:rsidR="000B266B" w:rsidRPr="00A16C9B" w14:paraId="5E018FA5" w14:textId="77777777" w:rsidTr="00B678E8">
        <w:tc>
          <w:tcPr>
            <w:tcW w:w="626" w:type="pct"/>
            <w:vMerge/>
            <w:vAlign w:val="center"/>
          </w:tcPr>
          <w:p w14:paraId="5B31437F" w14:textId="77777777" w:rsidR="000B266B" w:rsidRPr="00A16C9B" w:rsidRDefault="000B266B" w:rsidP="0041700E">
            <w:pPr>
              <w:pStyle w:val="TableText"/>
              <w:keepNext w:val="0"/>
            </w:pPr>
          </w:p>
        </w:tc>
        <w:tc>
          <w:tcPr>
            <w:tcW w:w="543" w:type="pct"/>
            <w:vAlign w:val="center"/>
          </w:tcPr>
          <w:p w14:paraId="0BF74EC9" w14:textId="77777777" w:rsidR="000B266B" w:rsidRPr="00A16C9B" w:rsidRDefault="000B266B" w:rsidP="0041700E">
            <w:pPr>
              <w:pStyle w:val="TableText"/>
              <w:keepNext w:val="0"/>
            </w:pPr>
            <w:r w:rsidRPr="00A16C9B">
              <w:t>Week 96</w:t>
            </w:r>
          </w:p>
        </w:tc>
        <w:tc>
          <w:tcPr>
            <w:tcW w:w="765" w:type="pct"/>
            <w:gridSpan w:val="2"/>
            <w:shd w:val="clear" w:color="auto" w:fill="BDD6EE" w:themeFill="accent1" w:themeFillTint="66"/>
            <w:vAlign w:val="center"/>
          </w:tcPr>
          <w:p w14:paraId="29961ADC" w14:textId="77777777" w:rsidR="000B266B" w:rsidRPr="00A16C9B" w:rsidRDefault="000B266B" w:rsidP="0041700E">
            <w:pPr>
              <w:pStyle w:val="TableText"/>
              <w:keepNext w:val="0"/>
              <w:jc w:val="center"/>
            </w:pPr>
            <w:r w:rsidRPr="00A16C9B">
              <w:t>9/49</w:t>
            </w:r>
          </w:p>
        </w:tc>
        <w:tc>
          <w:tcPr>
            <w:tcW w:w="728" w:type="pct"/>
            <w:gridSpan w:val="2"/>
            <w:vMerge w:val="restart"/>
            <w:shd w:val="clear" w:color="auto" w:fill="BDD6EE" w:themeFill="accent1" w:themeFillTint="66"/>
            <w:vAlign w:val="center"/>
          </w:tcPr>
          <w:p w14:paraId="7E913958" w14:textId="77777777" w:rsidR="000B266B" w:rsidRPr="00A16C9B" w:rsidRDefault="000B266B" w:rsidP="0041700E">
            <w:pPr>
              <w:pStyle w:val="TableText"/>
              <w:keepNext w:val="0"/>
              <w:jc w:val="center"/>
            </w:pPr>
            <w:r w:rsidRPr="00A16C9B">
              <w:t>n/a</w:t>
            </w:r>
          </w:p>
        </w:tc>
        <w:tc>
          <w:tcPr>
            <w:tcW w:w="770" w:type="pct"/>
            <w:gridSpan w:val="2"/>
            <w:shd w:val="clear" w:color="auto" w:fill="BDD6EE" w:themeFill="accent1" w:themeFillTint="66"/>
            <w:vAlign w:val="center"/>
          </w:tcPr>
          <w:p w14:paraId="2451D37D" w14:textId="77777777" w:rsidR="000B266B" w:rsidRPr="00A16C9B" w:rsidRDefault="000B266B" w:rsidP="0041700E">
            <w:pPr>
              <w:pStyle w:val="TableText"/>
              <w:keepNext w:val="0"/>
              <w:jc w:val="center"/>
            </w:pPr>
            <w:r w:rsidRPr="00A16C9B">
              <w:t>18.4</w:t>
            </w:r>
          </w:p>
        </w:tc>
        <w:tc>
          <w:tcPr>
            <w:tcW w:w="810" w:type="pct"/>
            <w:gridSpan w:val="3"/>
            <w:vMerge w:val="restart"/>
            <w:shd w:val="clear" w:color="auto" w:fill="BDD6EE" w:themeFill="accent1" w:themeFillTint="66"/>
            <w:vAlign w:val="center"/>
          </w:tcPr>
          <w:p w14:paraId="722B3940" w14:textId="77777777" w:rsidR="000B266B" w:rsidRPr="00A16C9B" w:rsidRDefault="000B266B" w:rsidP="0041700E">
            <w:pPr>
              <w:pStyle w:val="TableText"/>
              <w:keepNext w:val="0"/>
              <w:jc w:val="center"/>
            </w:pPr>
            <w:r w:rsidRPr="00A16C9B">
              <w:t>n/a</w:t>
            </w:r>
          </w:p>
        </w:tc>
        <w:tc>
          <w:tcPr>
            <w:tcW w:w="757" w:type="pct"/>
            <w:vMerge w:val="restart"/>
            <w:shd w:val="clear" w:color="auto" w:fill="BDD6EE" w:themeFill="accent1" w:themeFillTint="66"/>
            <w:vAlign w:val="center"/>
          </w:tcPr>
          <w:p w14:paraId="7F403A17" w14:textId="77777777" w:rsidR="000B266B" w:rsidRPr="00A16C9B" w:rsidRDefault="000B266B" w:rsidP="0041700E">
            <w:pPr>
              <w:pStyle w:val="TableText"/>
              <w:keepNext w:val="0"/>
              <w:jc w:val="center"/>
            </w:pPr>
            <w:r w:rsidRPr="00A16C9B">
              <w:t>n/a</w:t>
            </w:r>
          </w:p>
        </w:tc>
      </w:tr>
      <w:tr w:rsidR="000B266B" w:rsidRPr="00A16C9B" w14:paraId="2D1FD72D" w14:textId="77777777" w:rsidTr="00B678E8">
        <w:tc>
          <w:tcPr>
            <w:tcW w:w="626" w:type="pct"/>
            <w:vMerge/>
            <w:vAlign w:val="center"/>
          </w:tcPr>
          <w:p w14:paraId="7CF0A08D" w14:textId="77777777" w:rsidR="000B266B" w:rsidRPr="00A16C9B" w:rsidRDefault="000B266B" w:rsidP="0041700E">
            <w:pPr>
              <w:pStyle w:val="TableText"/>
              <w:keepNext w:val="0"/>
            </w:pPr>
          </w:p>
        </w:tc>
        <w:tc>
          <w:tcPr>
            <w:tcW w:w="543" w:type="pct"/>
            <w:vAlign w:val="center"/>
          </w:tcPr>
          <w:p w14:paraId="364C4BD7" w14:textId="77777777" w:rsidR="000B266B" w:rsidRPr="00A16C9B" w:rsidRDefault="000B266B" w:rsidP="0041700E">
            <w:pPr>
              <w:pStyle w:val="TableText"/>
              <w:keepNext w:val="0"/>
            </w:pPr>
            <w:r w:rsidRPr="00A16C9B">
              <w:t>Week 144</w:t>
            </w:r>
          </w:p>
        </w:tc>
        <w:tc>
          <w:tcPr>
            <w:tcW w:w="765" w:type="pct"/>
            <w:gridSpan w:val="2"/>
            <w:vAlign w:val="center"/>
          </w:tcPr>
          <w:p w14:paraId="28065272" w14:textId="77777777" w:rsidR="000B266B" w:rsidRPr="00A16C9B" w:rsidRDefault="000B266B" w:rsidP="0041700E">
            <w:pPr>
              <w:pStyle w:val="TableText"/>
              <w:keepNext w:val="0"/>
              <w:jc w:val="center"/>
            </w:pPr>
            <w:r w:rsidRPr="00A16C9B">
              <w:t>13/26.5</w:t>
            </w:r>
          </w:p>
        </w:tc>
        <w:tc>
          <w:tcPr>
            <w:tcW w:w="728" w:type="pct"/>
            <w:gridSpan w:val="2"/>
            <w:vMerge/>
            <w:vAlign w:val="center"/>
          </w:tcPr>
          <w:p w14:paraId="1595A301" w14:textId="77777777" w:rsidR="000B266B" w:rsidRPr="00A16C9B" w:rsidRDefault="000B266B" w:rsidP="0041700E">
            <w:pPr>
              <w:pStyle w:val="TableText"/>
              <w:keepNext w:val="0"/>
              <w:jc w:val="center"/>
            </w:pPr>
          </w:p>
        </w:tc>
        <w:tc>
          <w:tcPr>
            <w:tcW w:w="770" w:type="pct"/>
            <w:gridSpan w:val="2"/>
            <w:vAlign w:val="center"/>
          </w:tcPr>
          <w:p w14:paraId="289B0AB2" w14:textId="77777777" w:rsidR="000B266B" w:rsidRPr="00A16C9B" w:rsidRDefault="000B266B" w:rsidP="0041700E">
            <w:pPr>
              <w:pStyle w:val="TableText"/>
              <w:keepNext w:val="0"/>
              <w:jc w:val="center"/>
            </w:pPr>
            <w:r w:rsidRPr="00A16C9B">
              <w:t>26.5</w:t>
            </w:r>
          </w:p>
        </w:tc>
        <w:tc>
          <w:tcPr>
            <w:tcW w:w="810" w:type="pct"/>
            <w:gridSpan w:val="3"/>
            <w:vMerge/>
            <w:vAlign w:val="center"/>
          </w:tcPr>
          <w:p w14:paraId="5EF62461" w14:textId="77777777" w:rsidR="000B266B" w:rsidRPr="00A16C9B" w:rsidRDefault="000B266B" w:rsidP="0041700E">
            <w:pPr>
              <w:pStyle w:val="TableText"/>
              <w:keepNext w:val="0"/>
              <w:jc w:val="center"/>
            </w:pPr>
          </w:p>
        </w:tc>
        <w:tc>
          <w:tcPr>
            <w:tcW w:w="757" w:type="pct"/>
            <w:vMerge/>
            <w:vAlign w:val="center"/>
          </w:tcPr>
          <w:p w14:paraId="23DE95A6" w14:textId="77777777" w:rsidR="000B266B" w:rsidRPr="00A16C9B" w:rsidRDefault="000B266B" w:rsidP="0041700E">
            <w:pPr>
              <w:pStyle w:val="TableText"/>
              <w:keepNext w:val="0"/>
              <w:jc w:val="center"/>
            </w:pPr>
          </w:p>
        </w:tc>
      </w:tr>
    </w:tbl>
    <w:p w14:paraId="398E92F8" w14:textId="77777777" w:rsidR="000B266B" w:rsidRPr="00A16C9B" w:rsidRDefault="000B266B" w:rsidP="0041700E">
      <w:pPr>
        <w:pStyle w:val="TableFooter"/>
        <w:widowControl/>
      </w:pPr>
      <w:r w:rsidRPr="00A16C9B">
        <w:t>Source: developed during evaluation</w:t>
      </w:r>
    </w:p>
    <w:p w14:paraId="2DA901B9" w14:textId="77777777" w:rsidR="000B266B" w:rsidRPr="00A16C9B" w:rsidRDefault="000B266B" w:rsidP="0041700E">
      <w:pPr>
        <w:pStyle w:val="TableFooter"/>
        <w:widowControl/>
      </w:pPr>
      <w:r w:rsidRPr="00A16C9B">
        <w:t>ALT = alanine aminotransferase; BSC = best supportive care; HDV = hepatitis D virus; n/a = not applicable; RNA = ribonucleic acid; TEAE = treatment-emergent adverse event</w:t>
      </w:r>
    </w:p>
    <w:p w14:paraId="47B3D093" w14:textId="77777777" w:rsidR="000B266B" w:rsidRPr="00A16C9B" w:rsidRDefault="000B266B" w:rsidP="0041700E">
      <w:pPr>
        <w:pStyle w:val="TableFooter"/>
        <w:widowControl/>
      </w:pPr>
      <w:r w:rsidRPr="4904BCD2">
        <w:rPr>
          <w:vertAlign w:val="superscript"/>
        </w:rPr>
        <w:t>a</w:t>
      </w:r>
      <w:r w:rsidRPr="4904BCD2">
        <w:t xml:space="preserve"> Defined as undetectable HDV RNA (HDV RNA &lt; lower limit of detection (LLoD)) or decrease in HDV RNA by ≥ 2 log</w:t>
      </w:r>
      <w:r w:rsidRPr="4904BCD2">
        <w:rPr>
          <w:vertAlign w:val="subscript"/>
        </w:rPr>
        <w:t>10</w:t>
      </w:r>
      <w:r w:rsidRPr="4904BCD2">
        <w:t xml:space="preserve"> IU/ml from baseline and ALT normalisation (i.e., below the central laboratory defined upper limit of normal (ULN))</w:t>
      </w:r>
    </w:p>
    <w:p w14:paraId="58558459" w14:textId="77777777" w:rsidR="000B266B" w:rsidRPr="00A16C9B" w:rsidRDefault="000B266B" w:rsidP="0041700E">
      <w:pPr>
        <w:pStyle w:val="TableFooter"/>
        <w:widowControl/>
      </w:pPr>
      <w:r w:rsidRPr="00A16C9B">
        <w:rPr>
          <w:vertAlign w:val="superscript"/>
        </w:rPr>
        <w:t>b</w:t>
      </w:r>
      <w:r w:rsidRPr="00A16C9B">
        <w:t xml:space="preserve"> Defined as undetectable HDV RNA or decrease in HDV RNA by ≥ 2 log</w:t>
      </w:r>
      <w:r w:rsidRPr="00A16C9B">
        <w:rPr>
          <w:vertAlign w:val="subscript"/>
        </w:rPr>
        <w:t>10</w:t>
      </w:r>
      <w:r w:rsidRPr="00A16C9B">
        <w:t xml:space="preserve"> IU/ml from baseline</w:t>
      </w:r>
    </w:p>
    <w:p w14:paraId="63C32837" w14:textId="77777777" w:rsidR="000B266B" w:rsidRPr="00A16C9B" w:rsidRDefault="000B266B" w:rsidP="0041700E">
      <w:pPr>
        <w:pStyle w:val="TableFooter"/>
        <w:widowControl/>
      </w:pPr>
      <w:r w:rsidRPr="00A16C9B">
        <w:rPr>
          <w:vertAlign w:val="superscript"/>
        </w:rPr>
        <w:t>c</w:t>
      </w:r>
      <w:r w:rsidRPr="00A16C9B">
        <w:t xml:space="preserve"> ALT normalisation: ≤31 U/L for females and ≤41 U/L for males (Russian sites); ≤ 34 U/L for females and ≤ 49 U/L for males (all other sites)</w:t>
      </w:r>
    </w:p>
    <w:p w14:paraId="50EAB6AC" w14:textId="77777777" w:rsidR="000B266B" w:rsidRPr="00A16C9B" w:rsidRDefault="000B266B" w:rsidP="0041700E">
      <w:pPr>
        <w:pStyle w:val="TableFooter"/>
        <w:widowControl/>
      </w:pPr>
      <w:r w:rsidRPr="00A16C9B">
        <w:rPr>
          <w:vertAlign w:val="superscript"/>
        </w:rPr>
        <w:t>d</w:t>
      </w:r>
      <w:r w:rsidRPr="00A16C9B">
        <w:t xml:space="preserve"> 96% CI was reported for the RD of the primary endpoint of combined response at Week 48 between the two treatment arms, according to the statistical analysis plan.</w:t>
      </w:r>
    </w:p>
    <w:p w14:paraId="576EC584" w14:textId="77777777" w:rsidR="000B266B" w:rsidRPr="00A16C9B" w:rsidRDefault="000B266B" w:rsidP="0041700E">
      <w:pPr>
        <w:pStyle w:val="TableFooter"/>
        <w:widowControl/>
        <w:spacing w:after="0"/>
      </w:pPr>
      <w:r w:rsidRPr="4904BCD2">
        <w:t xml:space="preserve">Note: </w:t>
      </w:r>
      <w:r w:rsidRPr="4904BCD2">
        <w:rPr>
          <w:shd w:val="clear" w:color="auto" w:fill="BDD6EE" w:themeFill="accent1" w:themeFillTint="66"/>
        </w:rPr>
        <w:t xml:space="preserve">Blue </w:t>
      </w:r>
      <w:r w:rsidRPr="4904BCD2">
        <w:t>shading denotes results presented in the previous submission</w:t>
      </w:r>
    </w:p>
    <w:p w14:paraId="4F9C3B69" w14:textId="77777777" w:rsidR="000B266B" w:rsidRPr="000A7735" w:rsidRDefault="000B266B" w:rsidP="0041700E">
      <w:pPr>
        <w:contextualSpacing/>
        <w:rPr>
          <w:rFonts w:ascii="Arial Narrow" w:eastAsia="Calibri" w:hAnsi="Arial Narrow"/>
          <w:snapToGrid w:val="0"/>
          <w:sz w:val="18"/>
          <w:szCs w:val="18"/>
        </w:rPr>
      </w:pPr>
      <w:r w:rsidRPr="4904BCD2">
        <w:rPr>
          <w:rFonts w:ascii="Arial Narrow" w:eastAsia="Calibri" w:hAnsi="Arial Narrow"/>
          <w:snapToGrid w:val="0"/>
          <w:sz w:val="18"/>
          <w:szCs w:val="18"/>
        </w:rPr>
        <w:t>Note: For the AEs of injection site reactions, the figures not shaded in blue for Week 48 and 96 are the figures that differed from the previous submission (in the previous submission, the figures presented for Week 48 were 8 (16.3%) and the figures presented for Week 96 were 10 (20.4%))</w:t>
      </w:r>
    </w:p>
    <w:p w14:paraId="379FF88C" w14:textId="77777777" w:rsidR="000B266B" w:rsidRPr="00A16C9B" w:rsidRDefault="000B266B" w:rsidP="0041700E">
      <w:pPr>
        <w:pStyle w:val="3-BodyText"/>
        <w:spacing w:before="120" w:after="120"/>
      </w:pPr>
      <w:proofErr w:type="gramStart"/>
      <w:r w:rsidRPr="4904BCD2">
        <w:t>On the basis of</w:t>
      </w:r>
      <w:proofErr w:type="gramEnd"/>
      <w:r w:rsidRPr="4904BCD2">
        <w:t xml:space="preserve"> the MYR301 trial presented by the resubmission, for every 100 patients treated with bulevirtide in comparison to BSC and over a treatment duration of 48</w:t>
      </w:r>
      <w:r>
        <w:t> </w:t>
      </w:r>
      <w:r w:rsidRPr="4904BCD2">
        <w:t>weeks:</w:t>
      </w:r>
    </w:p>
    <w:p w14:paraId="0F0EDEB1" w14:textId="77777777" w:rsidR="000B266B" w:rsidRPr="00A16C9B" w:rsidRDefault="000B266B" w:rsidP="0041700E">
      <w:pPr>
        <w:pStyle w:val="ListParagraph"/>
        <w:numPr>
          <w:ilvl w:val="0"/>
          <w:numId w:val="7"/>
        </w:numPr>
        <w:ind w:left="1134" w:hanging="357"/>
        <w:jc w:val="both"/>
      </w:pPr>
      <w:r w:rsidRPr="4904BCD2">
        <w:t>Approximately 43 additional patients would achieve a combined response (i.e., undetectable HDV RNA or a reduction of serum HDV RNA viral load ≥</w:t>
      </w:r>
      <w:r>
        <w:t> </w:t>
      </w:r>
      <w:r w:rsidRPr="4904BCD2">
        <w:t>2</w:t>
      </w:r>
      <w:r>
        <w:t> </w:t>
      </w:r>
      <w:r w:rsidRPr="4904BCD2">
        <w:t>log</w:t>
      </w:r>
      <w:r w:rsidRPr="009D2673">
        <w:t>10</w:t>
      </w:r>
      <w:r w:rsidRPr="4904BCD2">
        <w:t> IU/m</w:t>
      </w:r>
      <w:r>
        <w:t>L</w:t>
      </w:r>
      <w:r w:rsidRPr="4904BCD2">
        <w:t xml:space="preserve"> from baseline, and ALT normalisation) at Week 48. </w:t>
      </w:r>
    </w:p>
    <w:p w14:paraId="4881D8E2" w14:textId="77777777" w:rsidR="000B266B" w:rsidRPr="00A16C9B" w:rsidRDefault="000B266B" w:rsidP="0041700E">
      <w:pPr>
        <w:pStyle w:val="ListParagraph"/>
        <w:numPr>
          <w:ilvl w:val="0"/>
          <w:numId w:val="7"/>
        </w:numPr>
        <w:ind w:left="1134" w:hanging="357"/>
        <w:jc w:val="both"/>
      </w:pPr>
      <w:r w:rsidRPr="4904BCD2">
        <w:t>Approximately 70 additional patients would achieve either undetectable HDV RNA or a decrease in HDV RNA by ≥ 2 log</w:t>
      </w:r>
      <w:r w:rsidRPr="009D2673">
        <w:t>10</w:t>
      </w:r>
      <w:r w:rsidRPr="4904BCD2">
        <w:t xml:space="preserve"> IU/ml from baseline at Week 48. </w:t>
      </w:r>
    </w:p>
    <w:p w14:paraId="386A32DD" w14:textId="77777777" w:rsidR="000B266B" w:rsidRPr="00A16C9B" w:rsidRDefault="000B266B" w:rsidP="0041700E">
      <w:pPr>
        <w:pStyle w:val="ListParagraph"/>
        <w:numPr>
          <w:ilvl w:val="0"/>
          <w:numId w:val="7"/>
        </w:numPr>
        <w:ind w:left="1134" w:hanging="357"/>
        <w:jc w:val="both"/>
      </w:pPr>
      <w:r w:rsidRPr="4904BCD2">
        <w:t>Approximately 12 additional patients would have undetectable HDV RNA at Week</w:t>
      </w:r>
      <w:r>
        <w:t> </w:t>
      </w:r>
      <w:r w:rsidRPr="4904BCD2">
        <w:t xml:space="preserve">48. </w:t>
      </w:r>
    </w:p>
    <w:p w14:paraId="5D2E1D2D" w14:textId="77777777" w:rsidR="000B266B" w:rsidRPr="00A16C9B" w:rsidRDefault="000B266B" w:rsidP="0041700E">
      <w:pPr>
        <w:pStyle w:val="ListParagraph"/>
        <w:numPr>
          <w:ilvl w:val="0"/>
          <w:numId w:val="7"/>
        </w:numPr>
        <w:ind w:left="1134" w:hanging="357"/>
        <w:jc w:val="both"/>
      </w:pPr>
      <w:r w:rsidRPr="4904BCD2">
        <w:t xml:space="preserve">Approximately 39 additional patients would have their ALT level return to normal at Week 48. </w:t>
      </w:r>
    </w:p>
    <w:p w14:paraId="4D223FD5" w14:textId="77777777" w:rsidR="000B266B" w:rsidRPr="00A16C9B" w:rsidRDefault="000B266B" w:rsidP="0041700E">
      <w:pPr>
        <w:pStyle w:val="ListParagraph"/>
        <w:numPr>
          <w:ilvl w:val="0"/>
          <w:numId w:val="7"/>
        </w:numPr>
        <w:ind w:left="1134" w:hanging="357"/>
        <w:jc w:val="both"/>
      </w:pPr>
      <w:r w:rsidRPr="4904BCD2">
        <w:t xml:space="preserve">Approximately 49 additional patients would have a drug-related TEAE. </w:t>
      </w:r>
    </w:p>
    <w:p w14:paraId="35F7AB37" w14:textId="77777777" w:rsidR="000B266B" w:rsidRPr="00A16C9B" w:rsidRDefault="000B266B" w:rsidP="0041700E">
      <w:pPr>
        <w:pStyle w:val="ListParagraph"/>
        <w:numPr>
          <w:ilvl w:val="0"/>
          <w:numId w:val="7"/>
        </w:numPr>
        <w:ind w:left="1134" w:hanging="357"/>
        <w:jc w:val="both"/>
      </w:pPr>
      <w:r w:rsidRPr="4904BCD2">
        <w:t xml:space="preserve">Approximately 2 additional patients would experience TEAEs ≥ Grade 3. </w:t>
      </w:r>
    </w:p>
    <w:p w14:paraId="797038D7" w14:textId="77777777" w:rsidR="000B266B" w:rsidRPr="00A16C9B" w:rsidRDefault="000B266B" w:rsidP="0041700E">
      <w:pPr>
        <w:pStyle w:val="ListParagraph"/>
        <w:numPr>
          <w:ilvl w:val="0"/>
          <w:numId w:val="7"/>
        </w:numPr>
        <w:ind w:left="1134" w:hanging="357"/>
        <w:jc w:val="both"/>
      </w:pPr>
      <w:r w:rsidRPr="4904BCD2">
        <w:t>Approximately 6 additional patients would experience AEs indicative of hepatic flare.</w:t>
      </w:r>
    </w:p>
    <w:p w14:paraId="61418478" w14:textId="77777777" w:rsidR="000B266B" w:rsidRPr="00A16C9B" w:rsidRDefault="000B266B" w:rsidP="0041700E">
      <w:pPr>
        <w:pStyle w:val="ListParagraph"/>
        <w:numPr>
          <w:ilvl w:val="0"/>
          <w:numId w:val="7"/>
        </w:numPr>
        <w:ind w:left="1134" w:hanging="357"/>
        <w:jc w:val="both"/>
      </w:pPr>
      <w:r w:rsidRPr="4904BCD2">
        <w:t>Approximately 8 additional patients would experience AEs indicative of eosinophilia and increased eosinophil counts.</w:t>
      </w:r>
    </w:p>
    <w:p w14:paraId="2983CCE2" w14:textId="77777777" w:rsidR="000B266B" w:rsidRPr="00A16C9B" w:rsidRDefault="000B266B" w:rsidP="0041700E">
      <w:pPr>
        <w:pStyle w:val="ListParagraph"/>
        <w:numPr>
          <w:ilvl w:val="0"/>
          <w:numId w:val="7"/>
        </w:numPr>
        <w:ind w:left="1134" w:hanging="357"/>
        <w:jc w:val="both"/>
      </w:pPr>
      <w:r w:rsidRPr="4904BCD2">
        <w:t>Approximately 16 additional patients would experience AEs indicative of skin and subcutaneous disorders.</w:t>
      </w:r>
    </w:p>
    <w:p w14:paraId="4057B30C" w14:textId="77777777" w:rsidR="000B266B" w:rsidRPr="00A3185B" w:rsidRDefault="000B266B" w:rsidP="0041700E">
      <w:pPr>
        <w:pStyle w:val="3-BodyText"/>
        <w:spacing w:before="120" w:after="120"/>
      </w:pPr>
      <w:r w:rsidRPr="4904BCD2">
        <w:t xml:space="preserve">Based on the longer term results of the MYR301 trial up to 144 weeks presented in the resubmission, continuing treatment is likely to result in additional patients </w:t>
      </w:r>
      <w:r w:rsidRPr="4904BCD2">
        <w:lastRenderedPageBreak/>
        <w:t>achieving a response, and additional TEAEs, however no comparative data are available.</w:t>
      </w:r>
      <w:bookmarkStart w:id="38" w:name="_Toc188360800"/>
      <w:bookmarkStart w:id="39" w:name="_Toc413139282"/>
      <w:bookmarkEnd w:id="37"/>
    </w:p>
    <w:p w14:paraId="7F7CAEFE" w14:textId="77777777" w:rsidR="000B266B" w:rsidRPr="00F50184" w:rsidRDefault="000B266B" w:rsidP="0041700E">
      <w:pPr>
        <w:pStyle w:val="4-SubsectionHeading"/>
      </w:pPr>
      <w:r w:rsidRPr="00F50184">
        <w:t>Clinical claim</w:t>
      </w:r>
      <w:bookmarkEnd w:id="38"/>
    </w:p>
    <w:p w14:paraId="6D524C18" w14:textId="77777777" w:rsidR="000B266B" w:rsidRPr="009D2673" w:rsidRDefault="000B266B" w:rsidP="0041700E">
      <w:pPr>
        <w:pStyle w:val="3-BodyText"/>
        <w:spacing w:before="120" w:after="120"/>
      </w:pPr>
      <w:bookmarkStart w:id="40" w:name="_Hlk185246269"/>
      <w:r w:rsidRPr="4904BCD2">
        <w:t>The resubmission described bulevirtide as superior, in terms of effectiveness compared to current symptomatic management of CHD or BSC. The comparative evidence from the MYR301 trial demonstrated treatment effects associated with bulevirtide over BSC regarding virological response (undetectable HDV RNA or HDV RNA ≥ 2 log</w:t>
      </w:r>
      <w:r w:rsidRPr="4904BCD2">
        <w:rPr>
          <w:vertAlign w:val="subscript"/>
        </w:rPr>
        <w:t>10</w:t>
      </w:r>
      <w:r w:rsidRPr="4904BCD2">
        <w:t xml:space="preserve"> IU/mL reduction from baseline), biochemical endpoint (ALT normalisation) and liver stiffness at Week 48. </w:t>
      </w:r>
      <w:r w:rsidRPr="009D2673">
        <w:t>The ESCs considered that the clinical key issue was that the correlation between the surrogate serum HDV RNA ≥</w:t>
      </w:r>
      <w:r>
        <w:t> </w:t>
      </w:r>
      <w:r w:rsidRPr="009D2673">
        <w:t>2</w:t>
      </w:r>
      <w:r>
        <w:t> </w:t>
      </w:r>
      <w:r w:rsidRPr="009D2673">
        <w:t>log</w:t>
      </w:r>
      <w:r w:rsidRPr="00D120E3">
        <w:rPr>
          <w:vertAlign w:val="subscript"/>
        </w:rPr>
        <w:t>10</w:t>
      </w:r>
      <w:r>
        <w:t> </w:t>
      </w:r>
      <w:r w:rsidRPr="009D2673">
        <w:t>IU/mL reduction from baseline and the magnitude of longer-term clinical benefits of bulevirtide treatment in terms of a reduction in liver decompensation, HCC, liver transplantation, or mortality, remains uncertain</w:t>
      </w:r>
      <w:bookmarkEnd w:id="40"/>
      <w:r w:rsidRPr="009D2673">
        <w:t>.</w:t>
      </w:r>
    </w:p>
    <w:p w14:paraId="093E1E72" w14:textId="77777777" w:rsidR="000B266B" w:rsidRDefault="000B266B" w:rsidP="0041700E">
      <w:pPr>
        <w:pStyle w:val="3-BodyText"/>
        <w:spacing w:before="120" w:after="120"/>
      </w:pPr>
      <w:r w:rsidRPr="4904BCD2">
        <w:t xml:space="preserve">The resubmission described bulevirtide </w:t>
      </w:r>
      <w:r w:rsidRPr="009D2673">
        <w:t xml:space="preserve">as having a manageable safety profile compared to symptomatic management of CHD or BSC. The ESCs agreed with the evaluation that this claim was partially supported by the evidence presented. Even though most AEs observed in the MYR301 trial were mild to moderate in severity and no AEs led to withdrawal from the study treatment, the small sample size of the trial (N = 49) is of concern. The longer-term renal safety of bulevirtide treatment in patients with moderate or severe renal impairment is another safety concern as this patient group was not included in the trial but may be eligible for bulevirtide treatment </w:t>
      </w:r>
      <w:r>
        <w:t>under the proposed listing</w:t>
      </w:r>
      <w:r w:rsidRPr="009D2673">
        <w:t>.</w:t>
      </w:r>
    </w:p>
    <w:p w14:paraId="2F22BA48" w14:textId="77777777" w:rsidR="000B266B" w:rsidRPr="00DB6C81" w:rsidRDefault="000B266B" w:rsidP="0041700E">
      <w:pPr>
        <w:pStyle w:val="3-BodyText"/>
        <w:spacing w:before="120" w:after="120"/>
      </w:pPr>
      <w:bookmarkStart w:id="41" w:name="_Hlk76376200"/>
      <w:r w:rsidRPr="00DB6C81">
        <w:t xml:space="preserve">The PBAC </w:t>
      </w:r>
      <w:r>
        <w:t xml:space="preserve">reaffirmed its previous advice </w:t>
      </w:r>
      <w:r w:rsidRPr="00DB6C81">
        <w:t>that the claim of superior comparative effectiveness was reasonable for the outcomes of virologic response and ALT normalisation, however the magnitude of benefit to longer-term and patient-relevant outcomes was uncertain.</w:t>
      </w:r>
    </w:p>
    <w:p w14:paraId="62511ED7" w14:textId="77777777" w:rsidR="000B266B" w:rsidRDefault="000B266B" w:rsidP="0041700E">
      <w:pPr>
        <w:pStyle w:val="3-BodyText"/>
        <w:spacing w:before="120" w:after="120"/>
      </w:pPr>
      <w:r w:rsidRPr="00DB6C81">
        <w:t xml:space="preserve">The PBAC </w:t>
      </w:r>
      <w:r>
        <w:t xml:space="preserve">reaffirmed its previous advice that </w:t>
      </w:r>
      <w:r w:rsidRPr="00DB6C81">
        <w:t xml:space="preserve">the claim </w:t>
      </w:r>
      <w:bookmarkEnd w:id="41"/>
      <w:r>
        <w:t xml:space="preserve">of manageable safety for </w:t>
      </w:r>
      <w:r w:rsidRPr="00DB6C81">
        <w:t xml:space="preserve">bulevirtide compared to symptomatic management of CHD </w:t>
      </w:r>
      <w:r>
        <w:t>(</w:t>
      </w:r>
      <w:r w:rsidRPr="00DB6C81">
        <w:t>or BSC</w:t>
      </w:r>
      <w:r>
        <w:t>)</w:t>
      </w:r>
      <w:r w:rsidRPr="00DB6C81">
        <w:t xml:space="preserve"> may, on balance, be reasonable, however </w:t>
      </w:r>
      <w:r>
        <w:t xml:space="preserve">the PBAC </w:t>
      </w:r>
      <w:r w:rsidRPr="00DB6C81">
        <w:t xml:space="preserve">agreed with the ESC that longer term safety data would be informative. </w:t>
      </w:r>
    </w:p>
    <w:p w14:paraId="5D191145" w14:textId="77777777" w:rsidR="000B266B" w:rsidRPr="00505DE8" w:rsidRDefault="000B266B" w:rsidP="0041700E">
      <w:pPr>
        <w:pStyle w:val="4-SubsectionHeading"/>
      </w:pPr>
      <w:bookmarkStart w:id="42" w:name="_Toc188360801"/>
      <w:r w:rsidRPr="00505DE8">
        <w:t>Claim of codependence</w:t>
      </w:r>
      <w:bookmarkEnd w:id="42"/>
    </w:p>
    <w:p w14:paraId="25B864E0" w14:textId="28213B78" w:rsidR="000B266B" w:rsidRPr="00505DE8" w:rsidRDefault="000B266B" w:rsidP="0041700E">
      <w:pPr>
        <w:pStyle w:val="3-BodyText"/>
        <w:spacing w:before="120" w:after="120"/>
        <w:rPr>
          <w:b/>
        </w:rPr>
      </w:pPr>
      <w:bookmarkStart w:id="43" w:name="_Ref195278500"/>
      <w:bookmarkStart w:id="44" w:name="_Toc188360802"/>
      <w:r w:rsidRPr="00505DE8">
        <w:t xml:space="preserve">The </w:t>
      </w:r>
      <w:r>
        <w:t xml:space="preserve">evaluation considered the </w:t>
      </w:r>
      <w:r w:rsidRPr="00505DE8">
        <w:t xml:space="preserve">claim of codependence was reasonable for the initial quantitative HDV RNA PCR testing to establish the presence of chronic HDV infection and for access to treatment with bulevirtide. </w:t>
      </w:r>
      <w:r w:rsidR="007D0196">
        <w:t>However,</w:t>
      </w:r>
      <w:r>
        <w:t xml:space="preserve"> t</w:t>
      </w:r>
      <w:r w:rsidRPr="00505DE8">
        <w:t>he following issues apply to the role of testing after starting bulevirtide treatment:</w:t>
      </w:r>
      <w:bookmarkEnd w:id="43"/>
      <w:r w:rsidRPr="00505DE8">
        <w:t xml:space="preserve"> </w:t>
      </w:r>
    </w:p>
    <w:p w14:paraId="2E02B2ED" w14:textId="77777777" w:rsidR="000B266B" w:rsidRPr="00505DE8" w:rsidRDefault="000B266B" w:rsidP="0041700E">
      <w:pPr>
        <w:pStyle w:val="3-BodyText"/>
        <w:spacing w:before="120" w:after="120"/>
        <w:rPr>
          <w:b/>
        </w:rPr>
      </w:pPr>
      <w:r w:rsidRPr="00505DE8">
        <w:t xml:space="preserve">The commentary considered that the claim of codependence for quantitative HDV RNA PCR testing for monitoring of response to bulevirtide was not established because no patient had a change in management </w:t>
      </w:r>
      <w:proofErr w:type="gramStart"/>
      <w:r w:rsidRPr="00505DE8">
        <w:t>as a consequence of</w:t>
      </w:r>
      <w:proofErr w:type="gramEnd"/>
      <w:r w:rsidRPr="00505DE8">
        <w:t xml:space="preserve"> monitoring HDV RNA levels with a PCR test in the key clinical trial, MYR301 and there was limited </w:t>
      </w:r>
      <w:r w:rsidRPr="00505DE8">
        <w:lastRenderedPageBreak/>
        <w:t xml:space="preserve">evidence cited in the resubmission concerning the use of HDV RNA levels (quantitative measurements) to guide patient management. </w:t>
      </w:r>
      <w:r w:rsidRPr="00505DE8">
        <w:rPr>
          <w:rStyle w:val="InstructionalTextChar"/>
          <w:color w:val="auto"/>
        </w:rPr>
        <w:t>The evidence cited in the resubmission found only 4 patients (in 2 studies) who had a change in therapeutic management due to the monitoring of HDV RNA levels: two changes were in response to an insufficient response to treatment and two due to a sustained response to treatment (clearing of HDV RNA lasting at least 6 months). The ESCs noted that evidence of change in management is limited as HDV is relatively rare and few effective treatments are available.</w:t>
      </w:r>
    </w:p>
    <w:p w14:paraId="389707DD" w14:textId="6A16763F" w:rsidR="000B266B" w:rsidRPr="00505DE8" w:rsidRDefault="000B266B" w:rsidP="0041700E">
      <w:pPr>
        <w:pStyle w:val="3-BodyText"/>
        <w:spacing w:before="120" w:after="120"/>
        <w:rPr>
          <w:rStyle w:val="InstructionalTextChar"/>
          <w:b/>
          <w:color w:val="auto"/>
        </w:rPr>
      </w:pPr>
      <w:r w:rsidRPr="00505DE8">
        <w:rPr>
          <w:rStyle w:val="InstructionalTextChar"/>
          <w:color w:val="auto"/>
        </w:rPr>
        <w:t>However, the ESCs identified an Austrian publication, Jachs et al 2022</w:t>
      </w:r>
      <w:r w:rsidRPr="00505DE8">
        <w:rPr>
          <w:rStyle w:val="InstructionalTextChar"/>
        </w:rPr>
        <w:t xml:space="preserve"> </w:t>
      </w:r>
      <w:r w:rsidRPr="00505DE8">
        <w:rPr>
          <w:rStyle w:val="InstructionalTextChar"/>
          <w:color w:val="auto"/>
        </w:rPr>
        <w:t xml:space="preserve">as providing the most compelling evidence of likely changes in patient management </w:t>
      </w:r>
      <w:proofErr w:type="gramStart"/>
      <w:r w:rsidRPr="00505DE8">
        <w:rPr>
          <w:rStyle w:val="InstructionalTextChar"/>
          <w:color w:val="auto"/>
        </w:rPr>
        <w:t>as a result of</w:t>
      </w:r>
      <w:proofErr w:type="gramEnd"/>
      <w:r w:rsidRPr="00505DE8">
        <w:rPr>
          <w:rStyle w:val="InstructionalTextChar"/>
          <w:color w:val="auto"/>
        </w:rPr>
        <w:t xml:space="preserve"> monitoring quantitative HDV RNA levels in patients treated with bulevirtide. The study reported that interferon treatment was added in eight out of 23 patients who achieved no further decline in HDV‐RNA after week 24. This group included 2 viral responders with a </w:t>
      </w:r>
      <w:r w:rsidRPr="00505DE8">
        <w:rPr>
          <w:bCs/>
        </w:rPr>
        <w:t>&gt;</w:t>
      </w:r>
      <w:r w:rsidR="003D0255">
        <w:rPr>
          <w:bCs/>
        </w:rPr>
        <w:t xml:space="preserve"> </w:t>
      </w:r>
      <w:r w:rsidRPr="00505DE8">
        <w:rPr>
          <w:bCs/>
        </w:rPr>
        <w:t>2 log</w:t>
      </w:r>
      <w:r w:rsidRPr="00505DE8">
        <w:rPr>
          <w:bCs/>
          <w:vertAlign w:val="subscript"/>
        </w:rPr>
        <w:t>10</w:t>
      </w:r>
      <w:r w:rsidRPr="00505DE8">
        <w:t xml:space="preserve"> </w:t>
      </w:r>
      <w:r w:rsidRPr="00505DE8">
        <w:rPr>
          <w:rStyle w:val="InstructionalTextChar"/>
          <w:color w:val="auto"/>
        </w:rPr>
        <w:t xml:space="preserve">or more reduction in HDV-RNA levels and 6 non-responders. </w:t>
      </w:r>
      <w:r>
        <w:rPr>
          <w:rStyle w:val="InstructionalTextChar"/>
          <w:color w:val="auto"/>
        </w:rPr>
        <w:t>T</w:t>
      </w:r>
      <w:r w:rsidRPr="00505DE8">
        <w:rPr>
          <w:rStyle w:val="InstructionalTextChar"/>
          <w:color w:val="auto"/>
        </w:rPr>
        <w:t>he decision to change treatment by adding interferon for the two responders appeared to be directly related to the quantitative HDV RNA result. However, some non-responders received interferon and some did not and the reason for this discrepancy was not discussed in the study.</w:t>
      </w:r>
    </w:p>
    <w:p w14:paraId="151573FE" w14:textId="18406E54" w:rsidR="000B266B" w:rsidRPr="00505DE8" w:rsidRDefault="000B266B" w:rsidP="0041700E">
      <w:pPr>
        <w:pStyle w:val="3-BodyText"/>
        <w:spacing w:before="120" w:after="120"/>
        <w:rPr>
          <w:rStyle w:val="InstructionalTextChar"/>
          <w:b/>
          <w:bCs/>
          <w:color w:val="auto"/>
        </w:rPr>
      </w:pPr>
      <w:bookmarkStart w:id="45" w:name="_Ref195278507"/>
      <w:proofErr w:type="gramStart"/>
      <w:r w:rsidRPr="00505DE8">
        <w:rPr>
          <w:rStyle w:val="InstructionalTextChar"/>
          <w:color w:val="auto"/>
        </w:rPr>
        <w:t>On the basis of</w:t>
      </w:r>
      <w:proofErr w:type="gramEnd"/>
      <w:r w:rsidRPr="00505DE8">
        <w:rPr>
          <w:rStyle w:val="InstructionalTextChar"/>
          <w:color w:val="auto"/>
        </w:rPr>
        <w:t xml:space="preserve"> these considerations, </w:t>
      </w:r>
      <w:r w:rsidRPr="00505DE8">
        <w:rPr>
          <w:rStyle w:val="InstructionalTextChar"/>
          <w:bCs/>
          <w:color w:val="auto"/>
        </w:rPr>
        <w:t>the</w:t>
      </w:r>
      <w:r w:rsidRPr="00505DE8">
        <w:rPr>
          <w:rStyle w:val="InstructionalTextChar"/>
          <w:color w:val="auto"/>
        </w:rPr>
        <w:t xml:space="preserve"> </w:t>
      </w:r>
      <w:r w:rsidRPr="00505DE8">
        <w:rPr>
          <w:bCs/>
        </w:rPr>
        <w:t xml:space="preserve">ESCs advised that a quantitative test was more useful in altering management pathways than a qualitative test. </w:t>
      </w:r>
      <w:r w:rsidR="007D0196" w:rsidRPr="00505DE8">
        <w:rPr>
          <w:bCs/>
        </w:rPr>
        <w:t>However,</w:t>
      </w:r>
      <w:r w:rsidRPr="00505DE8">
        <w:rPr>
          <w:bCs/>
        </w:rPr>
        <w:t xml:space="preserve"> the ESCs considered there was no clear consensus on the threshold reduction in viral load that would inform changes in clinical management. The ESCs advised that qualitative testing for monitoring treatment response had limited utility.</w:t>
      </w:r>
      <w:bookmarkEnd w:id="45"/>
    </w:p>
    <w:p w14:paraId="730F8E6B" w14:textId="77777777" w:rsidR="000B266B" w:rsidRPr="00505DE8" w:rsidRDefault="000B266B" w:rsidP="0041700E">
      <w:pPr>
        <w:pStyle w:val="3-BodyText"/>
        <w:spacing w:before="120" w:after="120"/>
        <w:rPr>
          <w:rStyle w:val="InstructionalTextChar"/>
          <w:bCs/>
          <w:color w:val="auto"/>
        </w:rPr>
      </w:pPr>
      <w:r w:rsidRPr="00505DE8">
        <w:rPr>
          <w:rStyle w:val="InstructionalTextChar"/>
          <w:color w:val="auto"/>
        </w:rPr>
        <w:t xml:space="preserve">The ESCs accepted that the evidence presented in the resubmission, including evidence based on detectable versus undetectable RNA levels, was indicative of the biologically plausible claim that a drop in quantitative HDV viral load levels relative to baseline was indicative of clinical response to treatment insofar as patients with lower detectable viral loads may have a reduced risk of developing liver-related clinical events compared to patients with higher detectable viral loads. </w:t>
      </w:r>
      <w:r w:rsidRPr="00505DE8">
        <w:rPr>
          <w:rStyle w:val="InstructionalTextChar"/>
          <w:bCs/>
          <w:color w:val="auto"/>
        </w:rPr>
        <w:t>However, the ESCs noted that the clinical claim for bulevirtide and the outcomes applied in the economic model were based on a viral load decrease of 2log</w:t>
      </w:r>
      <w:r w:rsidRPr="00505DE8">
        <w:rPr>
          <w:rStyle w:val="InstructionalTextChar"/>
          <w:bCs/>
          <w:color w:val="auto"/>
          <w:vertAlign w:val="subscript"/>
        </w:rPr>
        <w:t>10</w:t>
      </w:r>
      <w:r w:rsidRPr="00505DE8">
        <w:rPr>
          <w:rStyle w:val="InstructionalTextChar"/>
          <w:bCs/>
          <w:color w:val="auto"/>
        </w:rPr>
        <w:t xml:space="preserve"> IU/mL. Although a reduction in viral load is likely to be clinically relevant, the ESCs considered that there was limited evidence for 2log</w:t>
      </w:r>
      <w:r w:rsidRPr="00505DE8">
        <w:rPr>
          <w:rStyle w:val="InstructionalTextChar"/>
          <w:bCs/>
          <w:color w:val="auto"/>
          <w:vertAlign w:val="subscript"/>
        </w:rPr>
        <w:t>10</w:t>
      </w:r>
      <w:r w:rsidRPr="00505DE8">
        <w:rPr>
          <w:rStyle w:val="InstructionalTextChar"/>
          <w:bCs/>
          <w:color w:val="auto"/>
        </w:rPr>
        <w:t xml:space="preserve"> IU/mL as the cut-off and it was associated with uncertain prognostic value.</w:t>
      </w:r>
    </w:p>
    <w:p w14:paraId="36D79316" w14:textId="77777777" w:rsidR="000B266B" w:rsidRPr="00F50184" w:rsidRDefault="000B266B" w:rsidP="0041700E">
      <w:pPr>
        <w:pStyle w:val="4-SubsectionHeading"/>
      </w:pPr>
      <w:r w:rsidRPr="00F50184">
        <w:t>Economic analysis</w:t>
      </w:r>
      <w:bookmarkEnd w:id="39"/>
      <w:bookmarkEnd w:id="44"/>
    </w:p>
    <w:p w14:paraId="07328258" w14:textId="1CB5AF45" w:rsidR="000B266B" w:rsidRPr="00A16C9B" w:rsidRDefault="000B266B" w:rsidP="0041700E">
      <w:pPr>
        <w:pStyle w:val="3-BodyText"/>
        <w:spacing w:before="120" w:after="120"/>
      </w:pPr>
      <w:bookmarkStart w:id="46" w:name="_Toc413139283"/>
      <w:r w:rsidRPr="4904BCD2">
        <w:t>The resubmission presented an updated modelled economic evaluation based on virological response rates (defined as undetectable HDV RNA or decrease in HDV RNA by ≥2 log</w:t>
      </w:r>
      <w:r w:rsidRPr="4904BCD2">
        <w:rPr>
          <w:vertAlign w:val="subscript"/>
        </w:rPr>
        <w:t>10</w:t>
      </w:r>
      <w:r w:rsidRPr="4904BCD2">
        <w:t xml:space="preserve"> IU/mL from baseline) reported up to Week 144 in the MYR301 trial that compared bulevirtide treatment to BSC (delayed treatment) in patients with HDV RNA positive CHD. The key components of the economic evaluation are summarised in </w:t>
      </w:r>
      <w:r w:rsidRPr="00A16C9B">
        <w:lastRenderedPageBreak/>
        <w:fldChar w:fldCharType="begin"/>
      </w:r>
      <w:r w:rsidRPr="00A16C9B">
        <w:instrText xml:space="preserve"> REF _Ref152349034 \h  \* MERGEFORMAT </w:instrText>
      </w:r>
      <w:r w:rsidRPr="00A16C9B">
        <w:fldChar w:fldCharType="separate"/>
      </w:r>
      <w:r w:rsidR="007848CD" w:rsidRPr="4904BCD2">
        <w:t xml:space="preserve">Table </w:t>
      </w:r>
      <w:r w:rsidR="007848CD">
        <w:t>12</w:t>
      </w:r>
      <w:r w:rsidRPr="00A16C9B">
        <w:fldChar w:fldCharType="end"/>
      </w:r>
      <w:r w:rsidRPr="4904BCD2">
        <w:t xml:space="preserve">. </w:t>
      </w:r>
      <w:r w:rsidRPr="000A7735">
        <w:t xml:space="preserve">The ESCs considered that PBAC’s advice that </w:t>
      </w:r>
      <w:r w:rsidRPr="000A7735">
        <w:rPr>
          <w:rFonts w:cs="Arial"/>
        </w:rPr>
        <w:t>the most appropriate way to manage the substantial uncertainties in the economic model would be to adopt a conservative approach to the model inputs (para</w:t>
      </w:r>
      <w:r>
        <w:rPr>
          <w:rFonts w:cs="Arial"/>
        </w:rPr>
        <w:t>graph</w:t>
      </w:r>
      <w:r w:rsidRPr="000A7735">
        <w:rPr>
          <w:rFonts w:cs="Arial"/>
        </w:rPr>
        <w:t xml:space="preserve"> 7.14 bulevirtide PSD, March 2024 PBAC Meeting)</w:t>
      </w:r>
      <w:r w:rsidRPr="000A7735">
        <w:t xml:space="preserve"> was not addressed in the resubmission or the PSCR. The ESCs advised that the more conservative approach reflected in the multivariate sensitivity analysis is likely to provide more confidence in the estimated incremental cost-effectiveness ratio (ICER).</w:t>
      </w:r>
      <w:r w:rsidRPr="4904BCD2">
        <w:t xml:space="preserve"> </w:t>
      </w:r>
    </w:p>
    <w:p w14:paraId="37BF2B28" w14:textId="145555CC" w:rsidR="000B266B" w:rsidRPr="00A16C9B" w:rsidRDefault="000B266B" w:rsidP="0041700E">
      <w:pPr>
        <w:pStyle w:val="TableFigureHeading"/>
        <w:rPr>
          <w:i/>
        </w:rPr>
      </w:pPr>
      <w:bookmarkStart w:id="47" w:name="_Ref152349034"/>
      <w:r w:rsidRPr="4904BCD2">
        <w:lastRenderedPageBreak/>
        <w:t xml:space="preserve">Table </w:t>
      </w:r>
      <w:r w:rsidRPr="4904BCD2">
        <w:rPr>
          <w:i/>
        </w:rPr>
        <w:fldChar w:fldCharType="begin"/>
      </w:r>
      <w:r w:rsidRPr="4904BCD2">
        <w:instrText>SEQ Table_PBAC. \* ARABIC</w:instrText>
      </w:r>
      <w:r w:rsidRPr="4904BCD2">
        <w:rPr>
          <w:i/>
        </w:rPr>
        <w:fldChar w:fldCharType="separate"/>
      </w:r>
      <w:r w:rsidR="007848CD">
        <w:rPr>
          <w:noProof/>
        </w:rPr>
        <w:t>12</w:t>
      </w:r>
      <w:r w:rsidRPr="4904BCD2">
        <w:rPr>
          <w:i/>
        </w:rPr>
        <w:fldChar w:fldCharType="end"/>
      </w:r>
      <w:bookmarkEnd w:id="47"/>
      <w:r>
        <w:t>:</w:t>
      </w:r>
      <w:r w:rsidRPr="4904BCD2">
        <w:t xml:space="preserve"> Summary of model structure, key inputs and rationale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12: Summary of model structure, key inputs and rationale"/>
      </w:tblPr>
      <w:tblGrid>
        <w:gridCol w:w="1838"/>
        <w:gridCol w:w="7229"/>
      </w:tblGrid>
      <w:tr w:rsidR="000B266B" w:rsidRPr="00A16C9B" w14:paraId="346D33EF" w14:textId="77777777" w:rsidTr="00B678E8">
        <w:trPr>
          <w:cantSplit/>
          <w:tblHeader/>
        </w:trPr>
        <w:tc>
          <w:tcPr>
            <w:tcW w:w="1838" w:type="dxa"/>
            <w:tcBorders>
              <w:bottom w:val="single" w:sz="4" w:space="0" w:color="auto"/>
            </w:tcBorders>
          </w:tcPr>
          <w:p w14:paraId="3BE7786B" w14:textId="77777777" w:rsidR="000B266B" w:rsidRPr="00A16C9B" w:rsidRDefault="000B266B" w:rsidP="0041700E">
            <w:pPr>
              <w:pStyle w:val="In-tableHeading"/>
              <w:rPr>
                <w:bCs/>
              </w:rPr>
            </w:pPr>
            <w:r w:rsidRPr="4904BCD2">
              <w:t>Component</w:t>
            </w:r>
          </w:p>
        </w:tc>
        <w:tc>
          <w:tcPr>
            <w:tcW w:w="7229" w:type="dxa"/>
            <w:tcBorders>
              <w:bottom w:val="single" w:sz="4" w:space="0" w:color="auto"/>
            </w:tcBorders>
          </w:tcPr>
          <w:p w14:paraId="3A038760" w14:textId="77777777" w:rsidR="000B266B" w:rsidRPr="00A16C9B" w:rsidRDefault="000B266B" w:rsidP="0041700E">
            <w:pPr>
              <w:pStyle w:val="In-tableHeading"/>
            </w:pPr>
            <w:r w:rsidRPr="00A16C9B">
              <w:t>Summary</w:t>
            </w:r>
          </w:p>
        </w:tc>
      </w:tr>
      <w:tr w:rsidR="000B266B" w:rsidRPr="00A16C9B" w14:paraId="0578E4A6" w14:textId="77777777" w:rsidTr="00B678E8">
        <w:trPr>
          <w:cantSplit/>
        </w:trPr>
        <w:tc>
          <w:tcPr>
            <w:tcW w:w="1838" w:type="dxa"/>
            <w:shd w:val="clear" w:color="auto" w:fill="FFFFFF" w:themeFill="background1"/>
            <w:vAlign w:val="center"/>
          </w:tcPr>
          <w:p w14:paraId="5C6E2B4B" w14:textId="77777777" w:rsidR="000B266B" w:rsidRPr="00A16C9B" w:rsidRDefault="000B266B" w:rsidP="0041700E">
            <w:pPr>
              <w:pStyle w:val="TableText"/>
            </w:pPr>
            <w:r w:rsidRPr="00A16C9B">
              <w:t>Comparison modelled</w:t>
            </w:r>
          </w:p>
        </w:tc>
        <w:tc>
          <w:tcPr>
            <w:tcW w:w="7229" w:type="dxa"/>
            <w:shd w:val="clear" w:color="auto" w:fill="BDD6EE" w:themeFill="accent1" w:themeFillTint="66"/>
            <w:vAlign w:val="center"/>
          </w:tcPr>
          <w:p w14:paraId="097FC36D" w14:textId="77777777" w:rsidR="000B266B" w:rsidRPr="00A16C9B" w:rsidRDefault="000B266B" w:rsidP="0041700E">
            <w:pPr>
              <w:pStyle w:val="TableText"/>
            </w:pPr>
            <w:r w:rsidRPr="4904BCD2">
              <w:t>Bulevirtide with HDV RNA testing to identify one patient eligible for treatment versus BSC. Entry at the point of treatment is the less-preferred approach noted in the ‘Product type 4, 37 (O)’ (PBAC guidelines (v5.0)).</w:t>
            </w:r>
          </w:p>
        </w:tc>
      </w:tr>
      <w:tr w:rsidR="000B266B" w:rsidRPr="00A16C9B" w14:paraId="3D709057" w14:textId="77777777" w:rsidTr="00B678E8">
        <w:trPr>
          <w:cantSplit/>
        </w:trPr>
        <w:tc>
          <w:tcPr>
            <w:tcW w:w="1838" w:type="dxa"/>
            <w:shd w:val="clear" w:color="auto" w:fill="FFFFFF" w:themeFill="background1"/>
          </w:tcPr>
          <w:p w14:paraId="09E862B0" w14:textId="77777777" w:rsidR="000B266B" w:rsidRPr="00A16C9B" w:rsidRDefault="000B266B" w:rsidP="0041700E">
            <w:pPr>
              <w:pStyle w:val="TableText"/>
              <w:rPr>
                <w:rFonts w:ascii="Times" w:eastAsia="Times New Roman" w:hAnsi="Times" w:cs="Times New Roman"/>
                <w:szCs w:val="20"/>
              </w:rPr>
            </w:pPr>
            <w:r w:rsidRPr="00A16C9B">
              <w:t>Time horizon</w:t>
            </w:r>
          </w:p>
        </w:tc>
        <w:tc>
          <w:tcPr>
            <w:tcW w:w="7229" w:type="dxa"/>
            <w:shd w:val="clear" w:color="auto" w:fill="BDD6EE" w:themeFill="accent1" w:themeFillTint="66"/>
          </w:tcPr>
          <w:p w14:paraId="331EBE20" w14:textId="77777777" w:rsidR="000B266B" w:rsidRPr="00A16C9B" w:rsidRDefault="000B266B" w:rsidP="0041700E">
            <w:pPr>
              <w:pStyle w:val="TableText"/>
            </w:pPr>
            <w:r w:rsidRPr="4904BCD2">
              <w:t xml:space="preserve">Lifetime (58 years) in the model base case (versus </w:t>
            </w:r>
            <w:r w:rsidRPr="4904BCD2">
              <w:rPr>
                <w:shd w:val="clear" w:color="auto" w:fill="FFFFFF" w:themeFill="background1"/>
              </w:rPr>
              <w:t>144 weeks</w:t>
            </w:r>
            <w:r w:rsidRPr="4904BCD2">
              <w:t xml:space="preserve"> for bulevirtide and 48 weeks for BSC in the key trial). The PBAC considered this an area of uncertainty. The ESCs considered a time horizon of 10-20 years was more appropriate in the context of economic uncertainties, and would be consistent with previous considerations of chronic HBV treatments (para</w:t>
            </w:r>
            <w:r>
              <w:t>graph</w:t>
            </w:r>
            <w:r w:rsidRPr="4904BCD2">
              <w:t xml:space="preserve"> 6.25 and para 7.12, bulevirtide PSD, March 2024 PBAC meeting).</w:t>
            </w:r>
          </w:p>
        </w:tc>
      </w:tr>
      <w:tr w:rsidR="000B266B" w:rsidRPr="00A16C9B" w14:paraId="4C812386" w14:textId="77777777" w:rsidTr="00B678E8">
        <w:trPr>
          <w:cantSplit/>
        </w:trPr>
        <w:tc>
          <w:tcPr>
            <w:tcW w:w="1838" w:type="dxa"/>
            <w:shd w:val="clear" w:color="auto" w:fill="FFFFFF" w:themeFill="background1"/>
          </w:tcPr>
          <w:p w14:paraId="225E34B8" w14:textId="77777777" w:rsidR="000B266B" w:rsidRPr="00A16C9B" w:rsidRDefault="000B266B" w:rsidP="0041700E">
            <w:pPr>
              <w:pStyle w:val="TableText"/>
              <w:rPr>
                <w:rFonts w:ascii="Times" w:eastAsia="Times New Roman" w:hAnsi="Times" w:cs="Times New Roman"/>
                <w:szCs w:val="20"/>
              </w:rPr>
            </w:pPr>
            <w:r w:rsidRPr="00A16C9B">
              <w:t>Outcomes</w:t>
            </w:r>
          </w:p>
        </w:tc>
        <w:tc>
          <w:tcPr>
            <w:tcW w:w="7229" w:type="dxa"/>
            <w:shd w:val="clear" w:color="auto" w:fill="BDD6EE" w:themeFill="accent1" w:themeFillTint="66"/>
          </w:tcPr>
          <w:p w14:paraId="13194BE4" w14:textId="77777777" w:rsidR="000B266B" w:rsidRPr="00A16C9B" w:rsidRDefault="000B266B" w:rsidP="0041700E">
            <w:pPr>
              <w:pStyle w:val="TableText"/>
            </w:pPr>
            <w:r w:rsidRPr="00A16C9B">
              <w:t xml:space="preserve">Quality-adjusted life years. </w:t>
            </w:r>
          </w:p>
        </w:tc>
      </w:tr>
      <w:tr w:rsidR="000B266B" w:rsidRPr="00A16C9B" w14:paraId="149FBEF5" w14:textId="77777777" w:rsidTr="00B678E8">
        <w:trPr>
          <w:cantSplit/>
        </w:trPr>
        <w:tc>
          <w:tcPr>
            <w:tcW w:w="1838" w:type="dxa"/>
            <w:shd w:val="clear" w:color="auto" w:fill="FFFFFF" w:themeFill="background1"/>
          </w:tcPr>
          <w:p w14:paraId="113CA047" w14:textId="77777777" w:rsidR="000B266B" w:rsidRPr="00A16C9B" w:rsidRDefault="000B266B" w:rsidP="0041700E">
            <w:pPr>
              <w:pStyle w:val="TableText"/>
              <w:rPr>
                <w:rFonts w:ascii="Times" w:eastAsia="Times New Roman" w:hAnsi="Times" w:cs="Times New Roman"/>
                <w:szCs w:val="20"/>
              </w:rPr>
            </w:pPr>
            <w:r w:rsidRPr="00A16C9B">
              <w:t>Methods used to generate results</w:t>
            </w:r>
          </w:p>
        </w:tc>
        <w:tc>
          <w:tcPr>
            <w:tcW w:w="7229" w:type="dxa"/>
            <w:shd w:val="clear" w:color="auto" w:fill="BDD6EE" w:themeFill="accent1" w:themeFillTint="66"/>
          </w:tcPr>
          <w:p w14:paraId="5DDD7A0A" w14:textId="77777777" w:rsidR="000B266B" w:rsidRPr="00A16C9B" w:rsidRDefault="000B266B" w:rsidP="0041700E">
            <w:pPr>
              <w:pStyle w:val="TableText"/>
            </w:pPr>
            <w:r w:rsidRPr="00A16C9B">
              <w:t xml:space="preserve">State-transition Markov model. </w:t>
            </w:r>
          </w:p>
        </w:tc>
      </w:tr>
      <w:tr w:rsidR="000B266B" w:rsidRPr="00A16C9B" w14:paraId="557E91AF" w14:textId="77777777" w:rsidTr="00B678E8">
        <w:trPr>
          <w:cantSplit/>
        </w:trPr>
        <w:tc>
          <w:tcPr>
            <w:tcW w:w="1838" w:type="dxa"/>
            <w:tcBorders>
              <w:bottom w:val="single" w:sz="4" w:space="0" w:color="auto"/>
            </w:tcBorders>
            <w:shd w:val="clear" w:color="auto" w:fill="FFFFFF" w:themeFill="background1"/>
          </w:tcPr>
          <w:p w14:paraId="4F6D7101" w14:textId="77777777" w:rsidR="000B266B" w:rsidRPr="00A16C9B" w:rsidRDefault="000B266B" w:rsidP="0041700E">
            <w:pPr>
              <w:pStyle w:val="TableText"/>
              <w:rPr>
                <w:rFonts w:ascii="Times" w:eastAsia="Times New Roman" w:hAnsi="Times" w:cs="Times New Roman"/>
                <w:szCs w:val="20"/>
              </w:rPr>
            </w:pPr>
            <w:r w:rsidRPr="00A16C9B">
              <w:t>Health states</w:t>
            </w:r>
          </w:p>
        </w:tc>
        <w:tc>
          <w:tcPr>
            <w:tcW w:w="7229" w:type="dxa"/>
            <w:tcBorders>
              <w:bottom w:val="single" w:sz="4" w:space="0" w:color="auto"/>
            </w:tcBorders>
            <w:shd w:val="clear" w:color="auto" w:fill="BDD6EE" w:themeFill="accent1" w:themeFillTint="66"/>
          </w:tcPr>
          <w:p w14:paraId="34950F74" w14:textId="77777777" w:rsidR="000B266B" w:rsidRPr="00A16C9B" w:rsidRDefault="000B266B" w:rsidP="0041700E">
            <w:pPr>
              <w:pStyle w:val="TableText"/>
            </w:pPr>
            <w:r w:rsidRPr="4904BCD2">
              <w:t>Eleven health states: NC (separated into F0, F1, F2 and F3 states), CC (i.e. F4), DCC, HCC, liver transplantation, post-liver transplantation, dead (liver-related) and dead (background). The NC and CC health states were also separated by responder status, or whether patient had experienced HBsAg seroclearance. Patients enter the model as non-responders distributed across the NC and CC health states (based on MYR301 and Romeo et al. et al 2009). This remains the same as the previous submission. It may be more appropriate to have a single health state representing NC, given the limited data to inform the transitions within the NC health states in patients with CHD.</w:t>
            </w:r>
          </w:p>
        </w:tc>
      </w:tr>
      <w:tr w:rsidR="000B266B" w:rsidRPr="00A16C9B" w14:paraId="6DAD3F5E" w14:textId="77777777" w:rsidTr="00B678E8">
        <w:trPr>
          <w:cantSplit/>
        </w:trPr>
        <w:tc>
          <w:tcPr>
            <w:tcW w:w="1838" w:type="dxa"/>
            <w:tcBorders>
              <w:bottom w:val="single" w:sz="4" w:space="0" w:color="auto"/>
            </w:tcBorders>
            <w:shd w:val="clear" w:color="auto" w:fill="FFFFFF" w:themeFill="background1"/>
          </w:tcPr>
          <w:p w14:paraId="73A7B76B" w14:textId="77777777" w:rsidR="000B266B" w:rsidRPr="00A16C9B" w:rsidRDefault="000B266B" w:rsidP="0041700E">
            <w:pPr>
              <w:pStyle w:val="TableText"/>
              <w:rPr>
                <w:rFonts w:ascii="Times" w:eastAsia="Times New Roman" w:hAnsi="Times" w:cs="Times New Roman"/>
                <w:szCs w:val="20"/>
              </w:rPr>
            </w:pPr>
            <w:r w:rsidRPr="00A16C9B">
              <w:t>Cycle length</w:t>
            </w:r>
          </w:p>
        </w:tc>
        <w:tc>
          <w:tcPr>
            <w:tcW w:w="7229" w:type="dxa"/>
            <w:tcBorders>
              <w:bottom w:val="single" w:sz="4" w:space="0" w:color="auto"/>
            </w:tcBorders>
            <w:shd w:val="clear" w:color="auto" w:fill="BDD6EE" w:themeFill="accent1" w:themeFillTint="66"/>
          </w:tcPr>
          <w:p w14:paraId="043483B4" w14:textId="77777777" w:rsidR="000B266B" w:rsidRPr="00A16C9B" w:rsidRDefault="000B266B" w:rsidP="0041700E">
            <w:pPr>
              <w:pStyle w:val="TableText"/>
            </w:pPr>
            <w:r w:rsidRPr="00A16C9B">
              <w:t xml:space="preserve">24 weeks. </w:t>
            </w:r>
          </w:p>
        </w:tc>
      </w:tr>
      <w:tr w:rsidR="000B266B" w:rsidRPr="00A16C9B" w14:paraId="69B1F282" w14:textId="77777777" w:rsidTr="00B678E8">
        <w:trPr>
          <w:cantSplit/>
        </w:trPr>
        <w:tc>
          <w:tcPr>
            <w:tcW w:w="1838" w:type="dxa"/>
            <w:tcBorders>
              <w:top w:val="single" w:sz="4" w:space="0" w:color="auto"/>
              <w:bottom w:val="single" w:sz="4" w:space="0" w:color="auto"/>
            </w:tcBorders>
            <w:shd w:val="clear" w:color="auto" w:fill="FFFFFF" w:themeFill="background1"/>
            <w:vAlign w:val="center"/>
          </w:tcPr>
          <w:p w14:paraId="2A64F515" w14:textId="77777777" w:rsidR="000B266B" w:rsidRPr="00A16C9B" w:rsidRDefault="000B266B" w:rsidP="0041700E">
            <w:pPr>
              <w:pStyle w:val="TableText"/>
            </w:pPr>
            <w:r w:rsidRPr="00A16C9B">
              <w:t>Test parameters</w:t>
            </w:r>
          </w:p>
        </w:tc>
        <w:tc>
          <w:tcPr>
            <w:tcW w:w="7229" w:type="dxa"/>
            <w:tcBorders>
              <w:top w:val="single" w:sz="4" w:space="0" w:color="auto"/>
              <w:bottom w:val="single" w:sz="4" w:space="0" w:color="auto"/>
            </w:tcBorders>
            <w:shd w:val="clear" w:color="auto" w:fill="BDD6EE" w:themeFill="accent1" w:themeFillTint="66"/>
            <w:vAlign w:val="center"/>
          </w:tcPr>
          <w:p w14:paraId="7E1AEAE3" w14:textId="77777777" w:rsidR="000B266B" w:rsidRPr="00A16C9B" w:rsidRDefault="000B266B" w:rsidP="0041700E">
            <w:pPr>
              <w:pStyle w:val="TableText"/>
            </w:pPr>
            <w:r w:rsidRPr="4904BCD2">
              <w:t xml:space="preserve">Yield of HDV RNA testing modelled was </w:t>
            </w:r>
            <w:r w:rsidRPr="4904BCD2">
              <w:rPr>
                <w:shd w:val="clear" w:color="auto" w:fill="FFFFFF" w:themeFill="background1"/>
              </w:rPr>
              <w:t>54.4%</w:t>
            </w:r>
            <w:r w:rsidRPr="4904BCD2">
              <w:t xml:space="preserve"> based on a weighted average of Australian studies. The resubmission uses the same studies on which the weighted average is based, </w:t>
            </w:r>
            <w:r w:rsidRPr="4904BCD2">
              <w:rPr>
                <w:shd w:val="clear" w:color="auto" w:fill="FFFFFF" w:themeFill="background1"/>
              </w:rPr>
              <w:t xml:space="preserve">but the calculation has been corrected according to the previous Evaluation. </w:t>
            </w:r>
          </w:p>
        </w:tc>
      </w:tr>
      <w:tr w:rsidR="000B266B" w:rsidRPr="00A16C9B" w14:paraId="642A822D" w14:textId="77777777" w:rsidTr="00B678E8">
        <w:trPr>
          <w:cantSplit/>
        </w:trPr>
        <w:tc>
          <w:tcPr>
            <w:tcW w:w="1838" w:type="dxa"/>
            <w:shd w:val="clear" w:color="auto" w:fill="FFFFFF" w:themeFill="background1"/>
            <w:vAlign w:val="center"/>
          </w:tcPr>
          <w:p w14:paraId="6AB162BB" w14:textId="77777777" w:rsidR="000B266B" w:rsidRPr="00A16C9B" w:rsidRDefault="000B266B" w:rsidP="0041700E">
            <w:pPr>
              <w:pStyle w:val="TableText"/>
            </w:pPr>
            <w:r w:rsidRPr="00A16C9B">
              <w:t>Implications of false positive and false negative results</w:t>
            </w:r>
          </w:p>
        </w:tc>
        <w:tc>
          <w:tcPr>
            <w:tcW w:w="7229" w:type="dxa"/>
            <w:tcBorders>
              <w:bottom w:val="single" w:sz="4" w:space="0" w:color="auto"/>
            </w:tcBorders>
            <w:shd w:val="clear" w:color="auto" w:fill="FFFFFF" w:themeFill="background1"/>
            <w:vAlign w:val="center"/>
          </w:tcPr>
          <w:p w14:paraId="3225834A" w14:textId="77777777" w:rsidR="000B266B" w:rsidRPr="00A16C9B" w:rsidRDefault="000B266B" w:rsidP="0041700E">
            <w:pPr>
              <w:pStyle w:val="TableText"/>
            </w:pPr>
            <w:r w:rsidRPr="4904BCD2">
              <w:rPr>
                <w:shd w:val="clear" w:color="auto" w:fill="BDD6EE" w:themeFill="accent1" w:themeFillTint="66"/>
              </w:rPr>
              <w:t>Not modelled in the base case.</w:t>
            </w:r>
            <w:r w:rsidRPr="4904BCD2">
              <w:t xml:space="preserve"> However, the resubmission presented a scenario analysis to explore the impacts of false results on the ICER for HDV RNA testing used to determine treatment initiation. The structure and the assumptions of the resubmission’s scenario analysis were not appropriate. Thus, the result from this analysis is not meaningful. In addition, the resubmission did not examine the implications of false results from testing used to monitor treatment response.</w:t>
            </w:r>
          </w:p>
        </w:tc>
      </w:tr>
      <w:tr w:rsidR="000B266B" w:rsidRPr="00A16C9B" w14:paraId="1F962033" w14:textId="77777777" w:rsidTr="00B678E8">
        <w:trPr>
          <w:cantSplit/>
        </w:trPr>
        <w:tc>
          <w:tcPr>
            <w:tcW w:w="1838" w:type="dxa"/>
            <w:vMerge w:val="restart"/>
            <w:shd w:val="clear" w:color="auto" w:fill="FFFFFF" w:themeFill="background1"/>
          </w:tcPr>
          <w:p w14:paraId="4DD0DF73" w14:textId="77777777" w:rsidR="000B266B" w:rsidRPr="00A16C9B" w:rsidRDefault="000B266B" w:rsidP="0041700E">
            <w:pPr>
              <w:pStyle w:val="TableText"/>
            </w:pPr>
            <w:r w:rsidRPr="00A16C9B">
              <w:t>Transition probabilities</w:t>
            </w:r>
          </w:p>
        </w:tc>
        <w:tc>
          <w:tcPr>
            <w:tcW w:w="7229" w:type="dxa"/>
            <w:tcBorders>
              <w:bottom w:val="single" w:sz="4" w:space="0" w:color="auto"/>
            </w:tcBorders>
            <w:shd w:val="clear" w:color="auto" w:fill="BDD6EE" w:themeFill="accent1" w:themeFillTint="66"/>
          </w:tcPr>
          <w:p w14:paraId="61191638" w14:textId="77777777" w:rsidR="000B266B" w:rsidRPr="00A16C9B" w:rsidRDefault="000B266B" w:rsidP="0041700E">
            <w:pPr>
              <w:pStyle w:val="TableText"/>
            </w:pPr>
            <w:r w:rsidRPr="00A16C9B">
              <w:t>Natur</w:t>
            </w:r>
            <w:r>
              <w:t>al</w:t>
            </w:r>
            <w:r w:rsidRPr="00A16C9B">
              <w:t xml:space="preserve"> history of CHD:</w:t>
            </w:r>
          </w:p>
          <w:p w14:paraId="1A763B36" w14:textId="77777777" w:rsidR="000B266B" w:rsidRPr="00A16C9B" w:rsidRDefault="000B266B" w:rsidP="0041700E">
            <w:pPr>
              <w:pStyle w:val="TableText"/>
            </w:pPr>
            <w:r w:rsidRPr="4904BCD2">
              <w:t>Disease progression in non-responders was based on estimates reported in chronic HBV (B</w:t>
            </w:r>
            <w:r w:rsidRPr="4904BCD2">
              <w:rPr>
                <w:rFonts w:eastAsia="MS Gothic"/>
              </w:rPr>
              <w:t>ermingham et al. 2015), adjusted for concomitant HBV/HDV infection</w:t>
            </w:r>
            <w:r w:rsidRPr="4904BCD2">
              <w:t>. HBsAg seroclearance rate based on Zhou et al. 2019. The source used to model the natural history of CHD was uncertain (para</w:t>
            </w:r>
            <w:r>
              <w:t>graph</w:t>
            </w:r>
            <w:r w:rsidRPr="4904BCD2">
              <w:t>7.12, bulevirtide PSD, March 2024 PBAC meeting). The ESCs noted additional alternative data sources identified during the previous evaluation.</w:t>
            </w:r>
          </w:p>
          <w:p w14:paraId="44CA4A6D" w14:textId="77777777" w:rsidR="000B266B" w:rsidRPr="00A16C9B" w:rsidRDefault="000B266B" w:rsidP="0041700E">
            <w:pPr>
              <w:pStyle w:val="TableText"/>
            </w:pPr>
            <w:r w:rsidRPr="00A16C9B">
              <w:rPr>
                <w:shd w:val="clear" w:color="auto" w:fill="BDD6EE" w:themeFill="accent1" w:themeFillTint="66"/>
              </w:rPr>
              <w:t>Background mortality based on ABS Australian life tables</w:t>
            </w:r>
            <w:r w:rsidRPr="00A16C9B">
              <w:rPr>
                <w:shd w:val="clear" w:color="auto" w:fill="FFFFFF" w:themeFill="background1"/>
              </w:rPr>
              <w:t xml:space="preserve"> (2020−22)</w:t>
            </w:r>
            <w:r w:rsidRPr="00A16C9B">
              <w:rPr>
                <w:shd w:val="clear" w:color="auto" w:fill="BDD6EE" w:themeFill="accent1" w:themeFillTint="66"/>
              </w:rPr>
              <w:t>.</w:t>
            </w:r>
            <w:r w:rsidRPr="00A16C9B">
              <w:t xml:space="preserve"> </w:t>
            </w:r>
          </w:p>
        </w:tc>
      </w:tr>
      <w:tr w:rsidR="000B266B" w:rsidRPr="00A16C9B" w14:paraId="50ECB622" w14:textId="77777777" w:rsidTr="00B678E8">
        <w:trPr>
          <w:cantSplit/>
        </w:trPr>
        <w:tc>
          <w:tcPr>
            <w:tcW w:w="1838" w:type="dxa"/>
            <w:vMerge/>
          </w:tcPr>
          <w:p w14:paraId="5D5E0DE1" w14:textId="77777777" w:rsidR="000B266B" w:rsidRPr="00A16C9B" w:rsidRDefault="000B266B" w:rsidP="0041700E">
            <w:pPr>
              <w:pStyle w:val="TableText"/>
              <w:keepNext w:val="0"/>
              <w:numPr>
                <w:ilvl w:val="0"/>
                <w:numId w:val="18"/>
              </w:numPr>
              <w:ind w:left="175" w:hanging="142"/>
            </w:pPr>
          </w:p>
        </w:tc>
        <w:tc>
          <w:tcPr>
            <w:tcW w:w="7229" w:type="dxa"/>
            <w:tcBorders>
              <w:top w:val="dotted" w:sz="4" w:space="0" w:color="auto"/>
              <w:bottom w:val="single" w:sz="4" w:space="0" w:color="auto"/>
            </w:tcBorders>
          </w:tcPr>
          <w:p w14:paraId="7C476A45" w14:textId="77777777" w:rsidR="000B266B" w:rsidRPr="00A16C9B" w:rsidRDefault="000B266B" w:rsidP="0041700E">
            <w:pPr>
              <w:pStyle w:val="TableText"/>
            </w:pPr>
            <w:r w:rsidRPr="00A16C9B">
              <w:t>Effect in responders:</w:t>
            </w:r>
          </w:p>
          <w:p w14:paraId="5AC4CABB" w14:textId="77777777" w:rsidR="000B266B" w:rsidRPr="00A16C9B" w:rsidRDefault="000B266B" w:rsidP="0041700E">
            <w:pPr>
              <w:pStyle w:val="TableText"/>
            </w:pPr>
            <w:r w:rsidRPr="4904BCD2">
              <w:t>Reduction in disease progression in responders was based on a meta-analysis published recently (Gish et al. 2024) which investigated the association of HDV with liver morbidity and mortality. Several studies included in the meta-analysis were not relevant to inform the relationship of a reduction in HDV RNA levels on liver-related clinical outcomes. Where relevant comparisons were presented, the definition of the surrogate measure (detectable versus undetectable HDV RNA) was in general narrower than the definition of combined or virological response used in MYR301. In addition, the meta-analysis by Gish et al. missed one relevant study identified by the meta-analysis presented in the previous submission (Palom et al. 2021).</w:t>
            </w:r>
          </w:p>
          <w:p w14:paraId="4AA256E7" w14:textId="77777777" w:rsidR="000B266B" w:rsidRPr="00A16C9B" w:rsidRDefault="000B266B" w:rsidP="0041700E">
            <w:pPr>
              <w:pStyle w:val="TableText"/>
            </w:pPr>
            <w:r w:rsidRPr="00A16C9B">
              <w:rPr>
                <w:shd w:val="clear" w:color="auto" w:fill="BDD6EE" w:themeFill="accent1" w:themeFillTint="66"/>
              </w:rPr>
              <w:t>Regression in F3 and CC responders based on Marcellin et al. 2013 and Farci et al. 2004, respectively.</w:t>
            </w:r>
          </w:p>
        </w:tc>
      </w:tr>
      <w:tr w:rsidR="000B266B" w:rsidRPr="00A16C9B" w14:paraId="5919F4ED" w14:textId="77777777" w:rsidTr="00B678E8">
        <w:trPr>
          <w:cantSplit/>
        </w:trPr>
        <w:tc>
          <w:tcPr>
            <w:tcW w:w="1838" w:type="dxa"/>
            <w:vMerge/>
          </w:tcPr>
          <w:p w14:paraId="24140481" w14:textId="77777777" w:rsidR="000B266B" w:rsidRPr="00A16C9B" w:rsidRDefault="000B266B" w:rsidP="0041700E">
            <w:pPr>
              <w:pStyle w:val="TableText"/>
              <w:keepNext w:val="0"/>
              <w:numPr>
                <w:ilvl w:val="0"/>
                <w:numId w:val="18"/>
              </w:numPr>
              <w:ind w:left="175" w:hanging="142"/>
            </w:pPr>
          </w:p>
        </w:tc>
        <w:tc>
          <w:tcPr>
            <w:tcW w:w="7229" w:type="dxa"/>
            <w:tcBorders>
              <w:top w:val="single" w:sz="4" w:space="0" w:color="auto"/>
              <w:bottom w:val="single" w:sz="4" w:space="0" w:color="auto"/>
            </w:tcBorders>
            <w:shd w:val="clear" w:color="auto" w:fill="BDD6EE" w:themeFill="accent1" w:themeFillTint="66"/>
          </w:tcPr>
          <w:p w14:paraId="2EFD8DA6" w14:textId="77777777" w:rsidR="000B266B" w:rsidRPr="00A16C9B" w:rsidRDefault="000B266B" w:rsidP="0041700E">
            <w:pPr>
              <w:pStyle w:val="TableText"/>
              <w:shd w:val="clear" w:color="auto" w:fill="BDD6EE" w:themeFill="accent1" w:themeFillTint="66"/>
            </w:pPr>
            <w:r w:rsidRPr="00A16C9B">
              <w:t>Response rate:</w:t>
            </w:r>
          </w:p>
          <w:p w14:paraId="502FE967" w14:textId="77777777" w:rsidR="000B266B" w:rsidRPr="00A16C9B" w:rsidRDefault="000B266B" w:rsidP="0041700E">
            <w:pPr>
              <w:pStyle w:val="TableText"/>
              <w:shd w:val="clear" w:color="auto" w:fill="BDD6EE" w:themeFill="accent1" w:themeFillTint="66"/>
            </w:pPr>
            <w:r w:rsidRPr="37C20EEE">
              <w:t xml:space="preserve">Virological response rates </w:t>
            </w:r>
            <w:r w:rsidRPr="37C20EEE">
              <w:rPr>
                <w:shd w:val="clear" w:color="auto" w:fill="FFFFFF" w:themeFill="background1"/>
              </w:rPr>
              <w:t>up to Week 144</w:t>
            </w:r>
            <w:r w:rsidRPr="37C20EEE">
              <w:t xml:space="preserve"> reported in MYR301. Extrapolation of virological response rates in the delayed treatment arm of MYR301 at 24 and 48 weeks to 72, 96, </w:t>
            </w:r>
            <w:r w:rsidRPr="37C20EEE">
              <w:rPr>
                <w:shd w:val="clear" w:color="auto" w:fill="FFFFFF" w:themeFill="background1"/>
              </w:rPr>
              <w:t>120, and 144 weeks</w:t>
            </w:r>
            <w:r w:rsidRPr="37C20EEE">
              <w:t xml:space="preserve"> using the non-linear E</w:t>
            </w:r>
            <w:r w:rsidRPr="37C20EEE">
              <w:rPr>
                <w:vertAlign w:val="subscript"/>
              </w:rPr>
              <w:t>max</w:t>
            </w:r>
            <w:r w:rsidRPr="37C20EEE">
              <w:t xml:space="preserve"> function. The definition of virological response applied to the model (undetectable HDV RNA or decrease in HDV RNA levels by ≥2 log</w:t>
            </w:r>
            <w:r w:rsidRPr="37C20EEE">
              <w:rPr>
                <w:vertAlign w:val="subscript"/>
              </w:rPr>
              <w:t>10</w:t>
            </w:r>
            <w:r w:rsidRPr="37C20EEE">
              <w:t xml:space="preserve"> IU/mL) was broader than the surrogate measure (undetectable HDV RNA) used to estimate the effect of response on liver-related outcomes. This favours bulevirtide. </w:t>
            </w:r>
          </w:p>
        </w:tc>
      </w:tr>
      <w:tr w:rsidR="000B266B" w:rsidRPr="00A16C9B" w14:paraId="73C054EF" w14:textId="77777777" w:rsidTr="00B678E8">
        <w:trPr>
          <w:cantSplit/>
        </w:trPr>
        <w:tc>
          <w:tcPr>
            <w:tcW w:w="1838" w:type="dxa"/>
            <w:tcBorders>
              <w:top w:val="single" w:sz="4" w:space="0" w:color="auto"/>
            </w:tcBorders>
            <w:shd w:val="clear" w:color="auto" w:fill="FFFFFF" w:themeFill="background1"/>
          </w:tcPr>
          <w:p w14:paraId="53D60023" w14:textId="77777777" w:rsidR="000B266B" w:rsidRPr="00A16C9B" w:rsidRDefault="000B266B" w:rsidP="0041700E">
            <w:pPr>
              <w:pStyle w:val="TableText"/>
            </w:pPr>
            <w:r w:rsidRPr="37C20EEE">
              <w:t>Duration of bulevirtide treatment</w:t>
            </w:r>
          </w:p>
        </w:tc>
        <w:tc>
          <w:tcPr>
            <w:tcW w:w="7229" w:type="dxa"/>
            <w:tcBorders>
              <w:top w:val="single" w:sz="4" w:space="0" w:color="auto"/>
            </w:tcBorders>
            <w:shd w:val="clear" w:color="auto" w:fill="BDD6EE" w:themeFill="accent1" w:themeFillTint="66"/>
          </w:tcPr>
          <w:p w14:paraId="53D028F6" w14:textId="77777777" w:rsidR="000B266B" w:rsidRPr="00A16C9B" w:rsidRDefault="000B266B" w:rsidP="0041700E">
            <w:pPr>
              <w:pStyle w:val="TableText"/>
            </w:pPr>
            <w:r w:rsidRPr="4904BCD2">
              <w:t>All patients were assumed to remain on bulevirtide treatment in the model until Week 144, unless they progress or experience HBsAg seroclearance. Non-responders discontinue treatment at 144 weeks. Responders were assumed to continue treatment unless they experience the events noted above, or discontinue due to other reasons. The proposed PBS listing does not specify stopping rules and/or continuation criteria. It is possible that the use of bulevirtide in Australian clinical practice may differ from the bulevirtide treatment modelled in the economic evaluation.</w:t>
            </w:r>
          </w:p>
        </w:tc>
      </w:tr>
      <w:tr w:rsidR="000B266B" w:rsidRPr="00A16C9B" w14:paraId="1B71BA71" w14:textId="77777777" w:rsidTr="00B678E8">
        <w:trPr>
          <w:cantSplit/>
        </w:trPr>
        <w:tc>
          <w:tcPr>
            <w:tcW w:w="1838" w:type="dxa"/>
            <w:vMerge w:val="restart"/>
            <w:vAlign w:val="center"/>
          </w:tcPr>
          <w:p w14:paraId="3487406C" w14:textId="77777777" w:rsidR="000B266B" w:rsidRPr="00A16C9B" w:rsidRDefault="000B266B" w:rsidP="0041700E">
            <w:pPr>
              <w:pStyle w:val="TableText"/>
            </w:pPr>
            <w:r w:rsidRPr="00A16C9B">
              <w:t>Health related quality of life</w:t>
            </w:r>
          </w:p>
        </w:tc>
        <w:tc>
          <w:tcPr>
            <w:tcW w:w="7229" w:type="dxa"/>
            <w:vAlign w:val="center"/>
          </w:tcPr>
          <w:p w14:paraId="43BF42C8" w14:textId="77777777" w:rsidR="000B266B" w:rsidRPr="00A16C9B" w:rsidRDefault="000B266B" w:rsidP="0041700E">
            <w:pPr>
              <w:pStyle w:val="TableText"/>
            </w:pPr>
            <w:r w:rsidRPr="00A16C9B">
              <w:t xml:space="preserve">NC (0.935) and CC (0.923) utilities in non-responders were </w:t>
            </w:r>
            <w:r w:rsidRPr="00A16C9B">
              <w:rPr>
                <w:shd w:val="clear" w:color="auto" w:fill="BDD6EE" w:themeFill="accent1" w:themeFillTint="66"/>
              </w:rPr>
              <w:t>derived from baseline utility data in MYR301</w:t>
            </w:r>
            <w:r w:rsidRPr="00A16C9B">
              <w:rPr>
                <w:shd w:val="clear" w:color="auto" w:fill="FFFFFF" w:themeFill="background1"/>
              </w:rPr>
              <w:t>, applying Australian weights</w:t>
            </w:r>
            <w:r w:rsidRPr="00A16C9B">
              <w:t>. The health state utilities for NC and CC used in the resubmission lacked face validity and were notably higher than the utilities for NC and CC in the HCV economic model previously considered by the PBAC (daclatasvir PSD, March 2015 PBAC meeting).</w:t>
            </w:r>
          </w:p>
        </w:tc>
      </w:tr>
      <w:tr w:rsidR="000B266B" w:rsidRPr="00A16C9B" w14:paraId="2CFEF137" w14:textId="77777777" w:rsidTr="00B678E8">
        <w:trPr>
          <w:cantSplit/>
        </w:trPr>
        <w:tc>
          <w:tcPr>
            <w:tcW w:w="1838" w:type="dxa"/>
            <w:vMerge/>
            <w:vAlign w:val="center"/>
          </w:tcPr>
          <w:p w14:paraId="750A34F9" w14:textId="77777777" w:rsidR="000B266B" w:rsidRPr="00A16C9B" w:rsidRDefault="000B266B" w:rsidP="0041700E">
            <w:pPr>
              <w:pStyle w:val="TableText"/>
            </w:pPr>
          </w:p>
        </w:tc>
        <w:tc>
          <w:tcPr>
            <w:tcW w:w="7229" w:type="dxa"/>
            <w:vAlign w:val="center"/>
          </w:tcPr>
          <w:p w14:paraId="239F2FF1" w14:textId="77777777" w:rsidR="000B266B" w:rsidRPr="00A16C9B" w:rsidRDefault="000B266B" w:rsidP="0041700E">
            <w:pPr>
              <w:pStyle w:val="TableText"/>
            </w:pPr>
            <w:r w:rsidRPr="37C20EEE">
              <w:t xml:space="preserve">Patients who achieved a response were assumed to have a utility gain of 0.033, </w:t>
            </w:r>
            <w:r w:rsidRPr="37C20EEE">
              <w:rPr>
                <w:shd w:val="clear" w:color="auto" w:fill="BDD6EE" w:themeFill="accent1" w:themeFillTint="66"/>
              </w:rPr>
              <w:t>based on a Tobit regression model fitted to data from MYR301 at Week 48</w:t>
            </w:r>
            <w:r w:rsidRPr="37C20EEE">
              <w:t>, using Australian population weights. Both the PBAC and the ESCs considered a utility gain in responders was uncertain (para</w:t>
            </w:r>
            <w:r>
              <w:t>graph</w:t>
            </w:r>
            <w:r w:rsidRPr="37C20EEE">
              <w:t xml:space="preserve"> 6.65, para 6.66, para 7.12, bulevirtide PSD, March 2024 PBAC meeting).</w:t>
            </w:r>
          </w:p>
        </w:tc>
      </w:tr>
      <w:tr w:rsidR="000B266B" w:rsidRPr="00A16C9B" w14:paraId="63894B6C" w14:textId="77777777" w:rsidTr="00B678E8">
        <w:trPr>
          <w:cantSplit/>
          <w:trHeight w:val="263"/>
        </w:trPr>
        <w:tc>
          <w:tcPr>
            <w:tcW w:w="1838" w:type="dxa"/>
            <w:vMerge/>
            <w:vAlign w:val="center"/>
          </w:tcPr>
          <w:p w14:paraId="4B789B74" w14:textId="77777777" w:rsidR="000B266B" w:rsidRPr="00A16C9B" w:rsidRDefault="000B266B" w:rsidP="0041700E">
            <w:pPr>
              <w:pStyle w:val="TableText"/>
            </w:pPr>
          </w:p>
        </w:tc>
        <w:tc>
          <w:tcPr>
            <w:tcW w:w="7229" w:type="dxa"/>
            <w:vAlign w:val="center"/>
          </w:tcPr>
          <w:p w14:paraId="6CF08E20" w14:textId="77777777" w:rsidR="000B266B" w:rsidRPr="00A16C9B" w:rsidRDefault="000B266B" w:rsidP="0041700E">
            <w:pPr>
              <w:pStyle w:val="TableText"/>
            </w:pPr>
            <w:r w:rsidRPr="00A16C9B">
              <w:rPr>
                <w:shd w:val="clear" w:color="auto" w:fill="BDD6EE" w:themeFill="accent1" w:themeFillTint="66"/>
              </w:rPr>
              <w:t xml:space="preserve">Utility values in the remaining health states were derived from a meta-analysis of health state utility in chronic HBV. </w:t>
            </w:r>
          </w:p>
        </w:tc>
      </w:tr>
      <w:tr w:rsidR="000B266B" w:rsidRPr="00A16C9B" w14:paraId="53E4181D" w14:textId="77777777" w:rsidTr="00B678E8">
        <w:trPr>
          <w:cantSplit/>
          <w:trHeight w:val="263"/>
        </w:trPr>
        <w:tc>
          <w:tcPr>
            <w:tcW w:w="1838" w:type="dxa"/>
            <w:vMerge/>
            <w:vAlign w:val="center"/>
          </w:tcPr>
          <w:p w14:paraId="251F5A5C" w14:textId="77777777" w:rsidR="000B266B" w:rsidRPr="00A16C9B" w:rsidRDefault="000B266B" w:rsidP="0041700E">
            <w:pPr>
              <w:pStyle w:val="TableText"/>
            </w:pPr>
          </w:p>
        </w:tc>
        <w:tc>
          <w:tcPr>
            <w:tcW w:w="7229" w:type="dxa"/>
            <w:vAlign w:val="center"/>
          </w:tcPr>
          <w:p w14:paraId="3EDA3305" w14:textId="77777777" w:rsidR="000B266B" w:rsidRPr="00A16C9B" w:rsidRDefault="000B266B" w:rsidP="0041700E">
            <w:pPr>
              <w:pStyle w:val="TableText"/>
              <w:rPr>
                <w:shd w:val="clear" w:color="auto" w:fill="BDD6EE" w:themeFill="accent1" w:themeFillTint="66"/>
              </w:rPr>
            </w:pPr>
            <w:r w:rsidRPr="00A16C9B">
              <w:rPr>
                <w:shd w:val="clear" w:color="auto" w:fill="BDD6EE" w:themeFill="accent1" w:themeFillTint="66"/>
              </w:rPr>
              <w:t>Health state utilities were adjusted for age, using Clemens et al. 2014</w:t>
            </w:r>
            <w:r w:rsidRPr="00A16C9B">
              <w:t>.</w:t>
            </w:r>
          </w:p>
        </w:tc>
      </w:tr>
    </w:tbl>
    <w:p w14:paraId="707DED72" w14:textId="77777777" w:rsidR="000B266B" w:rsidRPr="00A16C9B" w:rsidRDefault="000B266B" w:rsidP="0041700E">
      <w:pPr>
        <w:pStyle w:val="TableFooter"/>
        <w:widowControl/>
      </w:pPr>
      <w:r w:rsidRPr="00A16C9B">
        <w:t>Source: Adapted from Table 3.1−1, p101 of the resubmission.</w:t>
      </w:r>
    </w:p>
    <w:p w14:paraId="2A0B113F" w14:textId="77777777" w:rsidR="000B266B" w:rsidRPr="00A16C9B" w:rsidRDefault="000B266B" w:rsidP="0041700E">
      <w:pPr>
        <w:pStyle w:val="TableFooter"/>
        <w:widowControl/>
      </w:pPr>
      <w:r w:rsidRPr="00A16C9B">
        <w:t>BSC = best supportive care; CC = compensated cirrhosis; CHD = chronic hepatitis D; DCC = decompensated cirrhosis; HBsAg = hepatitis B surface antigen; HBV = hepatitis B virus; HCC = hepatocellular carcinoma; HCV = hepatitis C virus; HDV = hepatitis D virus; ICER = incremental cost-effectiveness ratio; NC = non-cirrhosis; PSD = public summary document; RNA = ribonucleic acid.</w:t>
      </w:r>
    </w:p>
    <w:p w14:paraId="05A167D8" w14:textId="77777777" w:rsidR="000B266B" w:rsidRPr="00A16C9B" w:rsidRDefault="000B266B" w:rsidP="0041700E">
      <w:pPr>
        <w:pStyle w:val="TableFooter"/>
        <w:widowControl/>
        <w:spacing w:after="120"/>
      </w:pPr>
      <w:r w:rsidRPr="4904BCD2">
        <w:t xml:space="preserve">Note: </w:t>
      </w:r>
      <w:r w:rsidRPr="4904BCD2">
        <w:rPr>
          <w:shd w:val="clear" w:color="auto" w:fill="BDD6EE" w:themeFill="accent1" w:themeFillTint="66"/>
        </w:rPr>
        <w:t>Blue shaded</w:t>
      </w:r>
      <w:r w:rsidRPr="4904BCD2">
        <w:t xml:space="preserve"> denotes model inputs and data sources unchanged from the previous submission.</w:t>
      </w:r>
    </w:p>
    <w:p w14:paraId="1C1987A9" w14:textId="44BB8FF0" w:rsidR="000B266B" w:rsidRPr="00A16C9B" w:rsidRDefault="000B266B" w:rsidP="0041700E">
      <w:pPr>
        <w:pStyle w:val="3-BodyText"/>
        <w:spacing w:before="120" w:after="120"/>
      </w:pPr>
      <w:r w:rsidRPr="4904BCD2">
        <w:t xml:space="preserve">The structure of the model remains unchanged since the previous submission. </w:t>
      </w:r>
      <w:r w:rsidRPr="000A7735">
        <w:t xml:space="preserve">Patients enter the economic model at the point of treatment, and the cost of testing to identify one patient eligible for bulevirtide therapy is applied on model entry. As in the previous submission, the resubmission’s base case analysis assumed 100% sensitivity and 100% specificity for HDV RNA PCR testing. When the March 2024 submission was considered, the MSAC noted that there were numerous and important uncertainties associated with the economic model because it did not </w:t>
      </w:r>
      <w:proofErr w:type="gramStart"/>
      <w:r w:rsidRPr="000A7735">
        <w:t>take into account</w:t>
      </w:r>
      <w:proofErr w:type="gramEnd"/>
      <w:r w:rsidRPr="000A7735">
        <w:t xml:space="preserve"> false positive and false negative test results, and the pattern of use of testing and retesting (p2 and p7, Application No. 1708 PSD, April 2024 MSAC meeting). The resubmission argued that the clinical evidence showed high performance accuracy for HDV RNA testing and the change in LLoD is unlikely to change the diagnostic accuracy. Therefore, false positives and false negatives were not modelled in the base case. To address the MSAC concern regarding the impact of false negative and false positive results from HDV RNA testing at initial diagnosis, the resubmission presented a scenario analysis comparing bulevirtide with BSC, by assuming 95% sensitivity and 95% specificity for the HDV RNA PCR test. Based on the clinical evidence that the qualitative (positive/negative) concordance of the VIDRL in-house test </w:t>
      </w:r>
      <w:r w:rsidRPr="000A7735">
        <w:lastRenderedPageBreak/>
        <w:t xml:space="preserve">compared with the RoboGene clinical utility standard was </w:t>
      </w:r>
      <w:r w:rsidRPr="007848CD">
        <w:rPr>
          <w:color w:val="000000"/>
          <w:w w:val="15"/>
          <w:shd w:val="solid" w:color="000000" w:fill="000000"/>
          <w:fitText w:val="-20" w:id="-694941680"/>
          <w14:textFill>
            <w14:solidFill>
              <w14:srgbClr w14:val="000000">
                <w14:alpha w14:val="100000"/>
              </w14:srgbClr>
            </w14:solidFill>
          </w14:textFill>
        </w:rPr>
        <w:t>|</w:t>
      </w:r>
      <w:r w:rsidR="00D70DBB" w:rsidRPr="007848CD">
        <w:rPr>
          <w:color w:val="000000"/>
          <w:w w:val="15"/>
          <w:shd w:val="solid" w:color="000000" w:fill="000000"/>
          <w:fitText w:val="-20" w:id="-694941680"/>
          <w14:textFill>
            <w14:solidFill>
              <w14:srgbClr w14:val="000000">
                <w14:alpha w14:val="100000"/>
              </w14:srgbClr>
            </w14:solidFill>
          </w14:textFill>
        </w:rPr>
        <w:t xml:space="preserve"> </w:t>
      </w:r>
      <w:r w:rsidRPr="007848CD">
        <w:rPr>
          <w:color w:val="000000"/>
          <w:spacing w:val="-61"/>
          <w:w w:val="15"/>
          <w:shd w:val="solid" w:color="000000" w:fill="000000"/>
          <w:fitText w:val="-20" w:id="-694941680"/>
          <w14:textFill>
            <w14:solidFill>
              <w14:srgbClr w14:val="000000">
                <w14:alpha w14:val="100000"/>
              </w14:srgbClr>
            </w14:solidFill>
          </w14:textFill>
        </w:rPr>
        <w:t>|</w:t>
      </w:r>
      <w:r w:rsidRPr="000A7735">
        <w:t xml:space="preserve">% positive percent agreement and </w:t>
      </w:r>
      <w:r w:rsidRPr="007848CD">
        <w:rPr>
          <w:color w:val="000000"/>
          <w:w w:val="15"/>
          <w:shd w:val="solid" w:color="000000" w:fill="000000"/>
          <w:fitText w:val="-20" w:id="-694941696"/>
          <w14:textFill>
            <w14:solidFill>
              <w14:srgbClr w14:val="000000">
                <w14:alpha w14:val="100000"/>
              </w14:srgbClr>
            </w14:solidFill>
          </w14:textFill>
        </w:rPr>
        <w:t>|</w:t>
      </w:r>
      <w:r w:rsidR="00D70DBB" w:rsidRPr="007848CD">
        <w:rPr>
          <w:color w:val="000000"/>
          <w:w w:val="15"/>
          <w:shd w:val="solid" w:color="000000" w:fill="000000"/>
          <w:fitText w:val="-20" w:id="-694941696"/>
          <w14:textFill>
            <w14:solidFill>
              <w14:srgbClr w14:val="000000">
                <w14:alpha w14:val="100000"/>
              </w14:srgbClr>
            </w14:solidFill>
          </w14:textFill>
        </w:rPr>
        <w:t xml:space="preserve"> </w:t>
      </w:r>
      <w:r w:rsidRPr="007848CD">
        <w:rPr>
          <w:color w:val="000000"/>
          <w:spacing w:val="-61"/>
          <w:w w:val="15"/>
          <w:shd w:val="solid" w:color="000000" w:fill="000000"/>
          <w:fitText w:val="-20" w:id="-694941696"/>
          <w14:textFill>
            <w14:solidFill>
              <w14:srgbClr w14:val="000000">
                <w14:alpha w14:val="100000"/>
              </w14:srgbClr>
            </w14:solidFill>
          </w14:textFill>
        </w:rPr>
        <w:t>|</w:t>
      </w:r>
      <w:r w:rsidRPr="000A7735">
        <w:t xml:space="preserve">% negative percent agreement, an additional analysis was performed by assuming </w:t>
      </w:r>
      <w:r w:rsidRPr="007848CD">
        <w:rPr>
          <w:color w:val="000000"/>
          <w:w w:val="15"/>
          <w:shd w:val="solid" w:color="000000" w:fill="000000"/>
          <w:fitText w:val="-20" w:id="-694941695"/>
          <w14:textFill>
            <w14:solidFill>
              <w14:srgbClr w14:val="000000">
                <w14:alpha w14:val="100000"/>
              </w14:srgbClr>
            </w14:solidFill>
          </w14:textFill>
        </w:rPr>
        <w:t>|</w:t>
      </w:r>
      <w:r w:rsidR="00D70DBB" w:rsidRPr="007848CD">
        <w:rPr>
          <w:color w:val="000000"/>
          <w:w w:val="15"/>
          <w:shd w:val="solid" w:color="000000" w:fill="000000"/>
          <w:fitText w:val="-20" w:id="-694941695"/>
          <w14:textFill>
            <w14:solidFill>
              <w14:srgbClr w14:val="000000">
                <w14:alpha w14:val="100000"/>
              </w14:srgbClr>
            </w14:solidFill>
          </w14:textFill>
        </w:rPr>
        <w:t xml:space="preserve"> </w:t>
      </w:r>
      <w:r w:rsidRPr="007848CD">
        <w:rPr>
          <w:color w:val="000000"/>
          <w:spacing w:val="-61"/>
          <w:w w:val="15"/>
          <w:shd w:val="solid" w:color="000000" w:fill="000000"/>
          <w:fitText w:val="-20" w:id="-694941695"/>
          <w14:textFill>
            <w14:solidFill>
              <w14:srgbClr w14:val="000000">
                <w14:alpha w14:val="100000"/>
              </w14:srgbClr>
            </w14:solidFill>
          </w14:textFill>
        </w:rPr>
        <w:t>|</w:t>
      </w:r>
      <w:r w:rsidRPr="000A7735">
        <w:t xml:space="preserve">% sensitivity and </w:t>
      </w:r>
      <w:r w:rsidRPr="007848CD">
        <w:rPr>
          <w:color w:val="000000"/>
          <w:w w:val="15"/>
          <w:shd w:val="solid" w:color="000000" w:fill="000000"/>
          <w:fitText w:val="-20" w:id="-694941694"/>
          <w14:textFill>
            <w14:solidFill>
              <w14:srgbClr w14:val="000000">
                <w14:alpha w14:val="100000"/>
              </w14:srgbClr>
            </w14:solidFill>
          </w14:textFill>
        </w:rPr>
        <w:t>|</w:t>
      </w:r>
      <w:r w:rsidR="00D70DBB" w:rsidRPr="007848CD">
        <w:rPr>
          <w:color w:val="000000"/>
          <w:w w:val="15"/>
          <w:shd w:val="solid" w:color="000000" w:fill="000000"/>
          <w:fitText w:val="-20" w:id="-694941694"/>
          <w14:textFill>
            <w14:solidFill>
              <w14:srgbClr w14:val="000000">
                <w14:alpha w14:val="100000"/>
              </w14:srgbClr>
            </w14:solidFill>
          </w14:textFill>
        </w:rPr>
        <w:t xml:space="preserve"> </w:t>
      </w:r>
      <w:r w:rsidRPr="007848CD">
        <w:rPr>
          <w:color w:val="000000"/>
          <w:spacing w:val="-61"/>
          <w:w w:val="15"/>
          <w:shd w:val="solid" w:color="000000" w:fill="000000"/>
          <w:fitText w:val="-20" w:id="-694941694"/>
          <w14:textFill>
            <w14:solidFill>
              <w14:srgbClr w14:val="000000">
                <w14:alpha w14:val="100000"/>
              </w14:srgbClr>
            </w14:solidFill>
          </w14:textFill>
        </w:rPr>
        <w:t>|</w:t>
      </w:r>
      <w:r w:rsidRPr="000A7735">
        <w:t>% specificity. The ESCs noted that these inputs had only a minor impact on the ICER.</w:t>
      </w:r>
    </w:p>
    <w:p w14:paraId="1A762F18" w14:textId="77777777" w:rsidR="000B266B" w:rsidRPr="00A16C9B" w:rsidRDefault="000B266B" w:rsidP="0041700E">
      <w:pPr>
        <w:pStyle w:val="3-BodyText"/>
        <w:spacing w:before="120" w:after="120"/>
      </w:pPr>
      <w:r w:rsidRPr="37C20EEE">
        <w:t xml:space="preserve">The main changes to model inputs are the use of updated trial data on treatment response rates, the alternative data source for the effect of response, the longer duration of bulevirtide treatment, and the use of Australian preference weights in estimating utility weights for non-cirrhosis (NC) and compensated cirrhosis (CC) health states. </w:t>
      </w:r>
    </w:p>
    <w:p w14:paraId="42F9773F" w14:textId="77777777" w:rsidR="000B266B" w:rsidRPr="00CB3984" w:rsidRDefault="000B266B" w:rsidP="0041700E">
      <w:pPr>
        <w:pStyle w:val="3-BodyText"/>
        <w:spacing w:before="120" w:after="120"/>
      </w:pPr>
      <w:bookmarkStart w:id="48" w:name="_Ref195601393"/>
      <w:r w:rsidRPr="4904BCD2">
        <w:t>The economic model in the resubmission used the virological response rates up to Week 144 from the MYR301 trial (vs. 96-week data in the previous submission). The hazard ratios (HRs) for disease progression of CHD in responders were derived from a recently published meta-analysis by Gish et al (2024)</w:t>
      </w:r>
      <w:r w:rsidRPr="4904BCD2">
        <w:rPr>
          <w:rStyle w:val="FootnoteReference"/>
        </w:rPr>
        <w:footnoteReference w:id="5"/>
      </w:r>
      <w:r w:rsidRPr="4904BCD2">
        <w:t xml:space="preserve"> (vs. sponsor commissioned meta-analysis in the previous submission). Several studies in this meta-analysis included irrelevant comparisons which limited the applicability to the target clinical benefit of a response in patients with CHD, e.g. comparisons of patients with acute versus chronic HDV infections and comparisons of HBV mono-infection versus HBV/HDV infections. Also, Gish et al.’s meta-analysis missed one relevant study identified by the sponsor-commissioned meta-analysis presented in the previous submission</w:t>
      </w:r>
      <w:r w:rsidRPr="4904BCD2">
        <w:rPr>
          <w:rStyle w:val="FootnoteReference"/>
        </w:rPr>
        <w:footnoteReference w:id="6"/>
      </w:r>
      <w:r w:rsidRPr="4904BCD2">
        <w:t xml:space="preserve">. The evaluation considered the meta-analysis conducted during the previous evaluation, after excluding studies that contained irrelevant comparisons, is a more reasonable data source to model relative reduction in progression in CHD patients who respond to treatment. The PSCR </w:t>
      </w:r>
      <w:r>
        <w:t xml:space="preserve">and pre-PBAC response </w:t>
      </w:r>
      <w:r w:rsidRPr="4904BCD2">
        <w:t>disagreed that the meta-analysis conducted during the previous evaluation was appropriate but noted that its use resulted in only a modest increase to the ICER.</w:t>
      </w:r>
      <w:bookmarkEnd w:id="48"/>
      <w:r w:rsidRPr="4904BCD2">
        <w:t xml:space="preserve"> </w:t>
      </w:r>
    </w:p>
    <w:p w14:paraId="77608952" w14:textId="2A5755A8" w:rsidR="000B266B" w:rsidRPr="000A7735" w:rsidRDefault="000B266B" w:rsidP="0041700E">
      <w:pPr>
        <w:pStyle w:val="3-BodyText"/>
        <w:spacing w:before="120" w:after="120"/>
      </w:pPr>
      <w:r w:rsidRPr="009D2673">
        <w:t xml:space="preserve">Treatment response as applied in the model (undetectable HDV RNA or decrease in HDV RNA levels by ≥2 log10 IU/mL) is neither the primary efficacy endpoint in the key trial (undetectable HDV RNA or decrease in HDV RNA levels by ≥2 log10 IU/mL from baseline and ALT normalisation) nor the surrogate measure best supported with the available evidence (detectable vs. undetectable HDV RNA) to estimate the effect of response on liver-related clinical outcomes (refer to paragraphs </w:t>
      </w:r>
      <w:r w:rsidRPr="009D2673">
        <w:fldChar w:fldCharType="begin"/>
      </w:r>
      <w:r w:rsidRPr="009D2673">
        <w:instrText xml:space="preserve"> REF _Ref190962372 \r \h </w:instrText>
      </w:r>
      <w:r>
        <w:instrText xml:space="preserve"> \* MERGEFORMAT </w:instrText>
      </w:r>
      <w:r w:rsidRPr="009D2673">
        <w:fldChar w:fldCharType="separate"/>
      </w:r>
      <w:r w:rsidR="007848CD">
        <w:t>6.11</w:t>
      </w:r>
      <w:r w:rsidRPr="009D2673">
        <w:fldChar w:fldCharType="end"/>
      </w:r>
      <w:r w:rsidRPr="009D2673">
        <w:t>-</w:t>
      </w:r>
      <w:r w:rsidRPr="009D2673">
        <w:fldChar w:fldCharType="begin"/>
      </w:r>
      <w:r w:rsidRPr="009D2673">
        <w:instrText xml:space="preserve"> REF _Ref190961047 \r \h </w:instrText>
      </w:r>
      <w:r>
        <w:instrText xml:space="preserve"> \* MERGEFORMAT </w:instrText>
      </w:r>
      <w:r w:rsidRPr="009D2673">
        <w:fldChar w:fldCharType="separate"/>
      </w:r>
      <w:r w:rsidR="007848CD">
        <w:t>6.13</w:t>
      </w:r>
      <w:r w:rsidRPr="009D2673">
        <w:fldChar w:fldCharType="end"/>
      </w:r>
      <w:r w:rsidRPr="009D2673">
        <w:t xml:space="preserve">). The PBAC previously agreed with the ESCs that there are likely to be differences in outcomes between patients who </w:t>
      </w:r>
      <w:proofErr w:type="gramStart"/>
      <w:r w:rsidRPr="009D2673">
        <w:t>are able to</w:t>
      </w:r>
      <w:proofErr w:type="gramEnd"/>
      <w:r w:rsidRPr="009D2673">
        <w:t xml:space="preserve"> clear HDV infection (undetectable HDV RNA) and those who are achieving and/or sustaining virological suppression with ongoing</w:t>
      </w:r>
      <w:r w:rsidRPr="4904BCD2">
        <w:t xml:space="preserve"> treatment. Whilst there may be improvements in tests over time, the use of undetectable viral load as the response measure would be more consistent with </w:t>
      </w:r>
      <w:r w:rsidRPr="4904BCD2">
        <w:lastRenderedPageBreak/>
        <w:t>studies used to quantify the effect of virological response on outcomes (para</w:t>
      </w:r>
      <w:r>
        <w:t>graph</w:t>
      </w:r>
      <w:r w:rsidRPr="4904BCD2">
        <w:t xml:space="preserve"> 7.12, </w:t>
      </w:r>
      <w:r w:rsidRPr="000A7735">
        <w:t>bulevirtide PSD, March 2024 PBAC meeting).</w:t>
      </w:r>
    </w:p>
    <w:p w14:paraId="4D80FC09" w14:textId="77777777" w:rsidR="000B266B" w:rsidRPr="000A7735" w:rsidRDefault="000B266B" w:rsidP="0041700E">
      <w:pPr>
        <w:pStyle w:val="3-BodyText"/>
        <w:spacing w:before="120" w:after="120"/>
      </w:pPr>
      <w:bookmarkStart w:id="49" w:name="_Ref195601397"/>
      <w:r w:rsidRPr="000A7735">
        <w:t xml:space="preserve">The PSCR </w:t>
      </w:r>
      <w:r>
        <w:t>and pre-PBAC response</w:t>
      </w:r>
      <w:r w:rsidRPr="000A7735">
        <w:t xml:space="preserve"> maintained that the most appropriate clinically relevant response outcome for CHD for HTA decision making is a ≥2 log</w:t>
      </w:r>
      <w:r w:rsidRPr="000A7735">
        <w:rPr>
          <w:vertAlign w:val="subscript"/>
        </w:rPr>
        <w:t>10</w:t>
      </w:r>
      <w:r w:rsidRPr="000A7735">
        <w:t xml:space="preserve"> decline in HDV RNA from baseline, arguing that it is a standardised definition that has been established to demonstrate improved clinical outcome and is consistently assessed in CHD treatment trials. The ESCs considered </w:t>
      </w:r>
      <w:r w:rsidRPr="009D2673">
        <w:t>that, although a reduction in viral load is likely to be clinically relevant, the correla</w:t>
      </w:r>
      <w:r w:rsidRPr="000A7735">
        <w:t>tion between the surrogate HDV RNA ≥ 2 log</w:t>
      </w:r>
      <w:r w:rsidRPr="000A7735">
        <w:rPr>
          <w:vertAlign w:val="subscript"/>
        </w:rPr>
        <w:t>10</w:t>
      </w:r>
      <w:r w:rsidRPr="000A7735">
        <w:t xml:space="preserve"> IU/mL reduction from baseline and the magnitude of longer-term clinical benefits of bulevirtide treatment in terms of a reduction in liver decompensation, HCC, liver transplantation, or mortality, remains uncertain. The PSCR</w:t>
      </w:r>
      <w:r>
        <w:t xml:space="preserve"> and pre-PBAC response</w:t>
      </w:r>
      <w:r w:rsidRPr="000A7735">
        <w:t xml:space="preserve"> argued that ≥ 2 log</w:t>
      </w:r>
      <w:r w:rsidRPr="000A7735">
        <w:rPr>
          <w:vertAlign w:val="subscript"/>
        </w:rPr>
        <w:t>10</w:t>
      </w:r>
      <w:r w:rsidRPr="000A7735">
        <w:t xml:space="preserve"> IU/mL reduction from baseline is a good proxy for responses that were previously would have been defined as undetectable using less sensitive assays, however the ESCs noted that use of the lower threshold for “undetectable” (viral load below 930 IU/mL) would reduce the proportion of bulevirtide virological responders from 73.5% to 65.3%.</w:t>
      </w:r>
      <w:bookmarkEnd w:id="49"/>
      <w:r>
        <w:t xml:space="preserve"> </w:t>
      </w:r>
    </w:p>
    <w:p w14:paraId="6851B8D0" w14:textId="5A3622C4" w:rsidR="000B266B" w:rsidRPr="00B84F47" w:rsidRDefault="000B266B" w:rsidP="0041700E">
      <w:pPr>
        <w:pStyle w:val="3-BodyText"/>
        <w:spacing w:before="120" w:after="120"/>
        <w:rPr>
          <w:i/>
          <w:iCs/>
        </w:rPr>
      </w:pPr>
      <w:r w:rsidRPr="4904BCD2">
        <w:t xml:space="preserve">The resubmission assumed that all patients in the bulevirtide arm receive 144 weeks of bulevirtide treatment, unless they experience HBsAg seroclearance, disease progression (DCC or HCC) or death. After Week 144, non-responders were assumed to cease treatment. Responders were assumed to continue treatment unless they experience the events noted above or discontinue due to other reasons. Over the 58-year time horizon of the model, the average duration of bulevirtide treatment was estimated to be 12.3 years (compared with 8.8 years in the previous economic evaluation). The TGA-approved product information states that bulevirtide treatment should be continued </w:t>
      </w:r>
      <w:proofErr w:type="gramStart"/>
      <w:r w:rsidRPr="4904BCD2">
        <w:t>as long as</w:t>
      </w:r>
      <w:proofErr w:type="gramEnd"/>
      <w:r w:rsidRPr="4904BCD2">
        <w:t xml:space="preserve"> it is associated with clinical benefit. The proposed PBS restrictions, however, do not specify stopping rules and/or treatment continuation criteria. The decision to continue or cease treatment, based on virological response, is likely to be a matter of clinical judgement and the available evidence suggests that changes in </w:t>
      </w:r>
      <w:r w:rsidRPr="00CC7D4F">
        <w:t xml:space="preserve">management are not consistently exercised </w:t>
      </w:r>
      <w:proofErr w:type="gramStart"/>
      <w:r w:rsidRPr="00CC7D4F">
        <w:t>on</w:t>
      </w:r>
      <w:r w:rsidRPr="4904BCD2">
        <w:t xml:space="preserve"> the basis of</w:t>
      </w:r>
      <w:proofErr w:type="gramEnd"/>
      <w:r w:rsidRPr="4904BCD2">
        <w:t xml:space="preserve"> changes in HDV RNA levels. In addition, the extended treatment duration is likely to be associated with an increased risk of AEs, which may potentially impact on patient’s and clinician’s willingness to continue treatment indefinitely. </w:t>
      </w:r>
      <w:r w:rsidRPr="000A7735">
        <w:t xml:space="preserve">The ESCs noted that the economic model assumed that patients would undergo HDV RNA testing every 6 months while on bulevirtide treatment and that although this is consistent with the proposed MBS item descriptor, the model was limited because the only change in management modelled due to the inclusion of HDV RNA monitoring was to cease treatment in non-responders at Week 144. The ESCs considered it may be informative to provide a sensitivity analysis assuming stopping of treatment at 48 weeks without demonstrated viral load response as patients may be unlikely to continue therapy without evidence of a response (especially given daily SC injections are required). The </w:t>
      </w:r>
      <w:r w:rsidRPr="000A7735">
        <w:lastRenderedPageBreak/>
        <w:t xml:space="preserve">ESCs noted that this resulted in a </w:t>
      </w:r>
      <w:r w:rsidRPr="007848CD">
        <w:rPr>
          <w:color w:val="000000"/>
          <w:w w:val="15"/>
          <w:shd w:val="solid" w:color="000000" w:fill="000000"/>
          <w:fitText w:val="-20" w:id="-694941693"/>
          <w14:textFill>
            <w14:solidFill>
              <w14:srgbClr w14:val="000000">
                <w14:alpha w14:val="100000"/>
              </w14:srgbClr>
            </w14:solidFill>
          </w14:textFill>
        </w:rPr>
        <w:t>|</w:t>
      </w:r>
      <w:r w:rsidR="00D70DBB" w:rsidRPr="007848CD">
        <w:rPr>
          <w:color w:val="000000"/>
          <w:w w:val="15"/>
          <w:shd w:val="solid" w:color="000000" w:fill="000000"/>
          <w:fitText w:val="-20" w:id="-694941693"/>
          <w14:textFill>
            <w14:solidFill>
              <w14:srgbClr w14:val="000000">
                <w14:alpha w14:val="100000"/>
              </w14:srgbClr>
            </w14:solidFill>
          </w14:textFill>
        </w:rPr>
        <w:t xml:space="preserve"> </w:t>
      </w:r>
      <w:r w:rsidRPr="007848CD">
        <w:rPr>
          <w:color w:val="000000"/>
          <w:spacing w:val="-61"/>
          <w:w w:val="15"/>
          <w:shd w:val="solid" w:color="000000" w:fill="000000"/>
          <w:fitText w:val="-20" w:id="-694941693"/>
          <w14:textFill>
            <w14:solidFill>
              <w14:srgbClr w14:val="000000">
                <w14:alpha w14:val="100000"/>
              </w14:srgbClr>
            </w14:solidFill>
          </w14:textFill>
        </w:rPr>
        <w:t>|</w:t>
      </w:r>
      <w:r w:rsidRPr="000A7735">
        <w:t>% decrease in the ICER as both costs and QALYs were reduced.</w:t>
      </w:r>
      <w:r w:rsidRPr="4904BCD2">
        <w:rPr>
          <w:i/>
          <w:iCs/>
        </w:rPr>
        <w:t xml:space="preserve"> </w:t>
      </w:r>
    </w:p>
    <w:p w14:paraId="222BF1B6" w14:textId="77777777" w:rsidR="000B266B" w:rsidRPr="000A7735" w:rsidRDefault="000B266B" w:rsidP="0041700E">
      <w:pPr>
        <w:pStyle w:val="3-BodyText"/>
        <w:spacing w:before="120" w:after="120"/>
      </w:pPr>
      <w:bookmarkStart w:id="50" w:name="_Ref195601406"/>
      <w:r w:rsidRPr="000A7735">
        <w:t>The model maintained a lifetime horizon (58 years) in the model base case. The PBAC previously considered that the choice of a 58 year time horizon was a source of uncertainty for the modelled outcomes. The ESCs previously considered a time horizon of 10-20 years was more appropriate in the context of economic uncertainties, and would be consistent with previous considerations of chronic HBV treatments (para</w:t>
      </w:r>
      <w:r>
        <w:t>graph</w:t>
      </w:r>
      <w:r w:rsidRPr="000A7735">
        <w:t xml:space="preserve"> 6.25 and para 7.12, bulevirtide PSD, March 2024 PBAC meeting).The PSCR </w:t>
      </w:r>
      <w:r>
        <w:t xml:space="preserve">and pre-PBAC response </w:t>
      </w:r>
      <w:r w:rsidRPr="000A7735">
        <w:t>argued that HDV is a chronic and progressive disease with significant long-term health and economic consequences and a shorter time horizon cannot fully capture the benefits associated with bulevirtide treatment. Overall, the ESCs considered it remained unclear whether the treatment duration, and, consequently, the treatment response and health outcomes, modelled in the economic evaluation would reflect clinical practice.</w:t>
      </w:r>
      <w:bookmarkEnd w:id="50"/>
      <w:r w:rsidRPr="000A7735">
        <w:t xml:space="preserve"> </w:t>
      </w:r>
    </w:p>
    <w:p w14:paraId="0AE4870C" w14:textId="77777777" w:rsidR="000B266B" w:rsidRPr="00F84F3C" w:rsidRDefault="000B266B" w:rsidP="0041700E">
      <w:pPr>
        <w:pStyle w:val="3-BodyText"/>
        <w:spacing w:before="120" w:after="120"/>
      </w:pPr>
      <w:r w:rsidRPr="000A7735">
        <w:t>Health state utilities for non-responders in the NC and CC health states were based on the EQ-5D-3L data at baseline in patients enrolled in the MYR301 trial, by applying Australian population weights (vs. UK preferences used in the previous submission). The derived utility weights in NC and CC patients (0.935 for NC and 0.923 for CC in non-responders) lack face validity, as these values are higher than the average utility score for general Australian population in the age category containing the starting age of the modelled patients (0.85 for the age category of 45-54 years)</w:t>
      </w:r>
      <w:r w:rsidRPr="000A7735">
        <w:rPr>
          <w:rStyle w:val="FootnoteReference"/>
        </w:rPr>
        <w:footnoteReference w:id="7"/>
      </w:r>
      <w:r w:rsidRPr="000A7735">
        <w:t>. The resubmission’s estimated utilities for NC and CC health states are also substantially higher than the utility weights in the HCV model previously considered by the PBAC (daclatasvir PSD, March 2015 PBAC meeting) (utility values of 0.77 for mild NC, 0.66 for moderate NC and 0.55 for CC, based on Wright (2006)</w:t>
      </w:r>
      <w:r w:rsidRPr="000A7735">
        <w:rPr>
          <w:rStyle w:val="FootnoteReference"/>
        </w:rPr>
        <w:footnoteReference w:id="8"/>
      </w:r>
      <w:r w:rsidRPr="000A7735">
        <w:t xml:space="preserve">. In addition, the minimal difference between NC and CC health states assumed in the bulevirtide economic model (0.012) appears unreasonable and is not consistent with the difference between these health states in the previous HCV economic model (0.11-0.22). The PSCR argued the values based on Wright (2006) were not applicable to the analysis given the study is outdated, it was conducted in an HCV population with different baseline patient and disease characteristics compared to the MYR301 trial population and the utility weights were derived using UK tariffs. The ESCs acknowledged the limitations regarding the Wright et al. utilities. However, the health state utility for NC from Wright (2006) appears more reasonable than the revised NC utility proposed in the PSCR which assumed that the quality of life (QoL) of NC patients who do not respond to treatment is identical to the QoL in general Australian population (0.85), with QoL in responders being better than the general population. The ESCs noted the </w:t>
      </w:r>
      <w:r w:rsidRPr="000A7735">
        <w:lastRenderedPageBreak/>
        <w:t xml:space="preserve">utilities from Wright (2006) were used in the stepped multivariate analyses presented in the previous evaluation and considered by the PBAC at the March 2024 meeting. Using these utilities in univariate and multivariate sensitivity </w:t>
      </w:r>
      <w:r w:rsidRPr="00F84F3C">
        <w:t>analyses helped to explore whether the model was sensitive to health state utilities inputs, and, along with other assumptions, forms a “conservative” scenario to address economic uncertainties identified.</w:t>
      </w:r>
    </w:p>
    <w:p w14:paraId="7C1D861C" w14:textId="610AB032" w:rsidR="000B266B" w:rsidRPr="00F80B20" w:rsidRDefault="000B266B" w:rsidP="0041700E">
      <w:pPr>
        <w:pStyle w:val="3-BodyText"/>
        <w:spacing w:before="120" w:after="120"/>
        <w:rPr>
          <w:snapToGrid w:val="0"/>
          <w:szCs w:val="24"/>
          <w:lang w:val="en-GB"/>
        </w:rPr>
      </w:pPr>
      <w:r w:rsidRPr="00FF334D">
        <w:rPr>
          <w:snapToGrid w:val="0"/>
          <w:szCs w:val="24"/>
          <w:lang w:val="en-GB"/>
        </w:rPr>
        <w:t>As</w:t>
      </w:r>
      <w:r w:rsidRPr="00F80B20">
        <w:rPr>
          <w:snapToGrid w:val="0"/>
          <w:szCs w:val="24"/>
          <w:lang w:val="en-GB"/>
        </w:rPr>
        <w:t xml:space="preserve"> in the previous submission, the resubmission assumed a lower treatment compliance rate in the economic model than observed in the trial (90% vs. 96.75%). While treatment compliance in clinical practice may be lower than the trial setting, it was not appropriate to adjust treatment costs for the anticipated reduction in </w:t>
      </w:r>
      <w:r w:rsidR="007D0196" w:rsidRPr="00F80B20">
        <w:rPr>
          <w:snapToGrid w:val="0"/>
          <w:szCs w:val="24"/>
          <w:lang w:val="en-GB"/>
        </w:rPr>
        <w:t>compliance but</w:t>
      </w:r>
      <w:r w:rsidRPr="00F80B20">
        <w:rPr>
          <w:snapToGrid w:val="0"/>
          <w:szCs w:val="24"/>
          <w:lang w:val="en-GB"/>
        </w:rPr>
        <w:t xml:space="preserve"> not adjust the anticipated clinical outcomes (i.e. response rates). This has introduced bias in favour of bulevirtide. </w:t>
      </w:r>
    </w:p>
    <w:p w14:paraId="13AEED91" w14:textId="77777777" w:rsidR="000B266B" w:rsidRPr="00A16C9B" w:rsidRDefault="000B266B" w:rsidP="0041700E">
      <w:pPr>
        <w:pStyle w:val="3-BodyText"/>
        <w:spacing w:before="120" w:after="120"/>
      </w:pPr>
      <w:bookmarkStart w:id="51" w:name="_Ref195516122"/>
      <w:r w:rsidRPr="00F84F3C">
        <w:t>Other major areas of economic concern in the previous submission as previously noted by the PBAC (para</w:t>
      </w:r>
      <w:r>
        <w:t>graph</w:t>
      </w:r>
      <w:r w:rsidRPr="00F84F3C">
        <w:t xml:space="preserve"> 7.12, bulevirtide PSD, March 2024 PBAC </w:t>
      </w:r>
      <w:r>
        <w:t>m</w:t>
      </w:r>
      <w:r w:rsidRPr="00F84F3C">
        <w:t xml:space="preserve">eeting) are outlined below. These </w:t>
      </w:r>
      <w:r w:rsidRPr="4904BCD2">
        <w:t xml:space="preserve">model inputs essentially remain unchanged and </w:t>
      </w:r>
      <w:r w:rsidRPr="009D4140">
        <w:t>the evaluation considered</w:t>
      </w:r>
      <w:r w:rsidRPr="4904BCD2">
        <w:t xml:space="preserve"> their continued use was not adequately justified in the resubmission. </w:t>
      </w:r>
      <w:r>
        <w:t>However, these inputs were updated in pre-PBAC response as noted below</w:t>
      </w:r>
      <w:r w:rsidRPr="4904BCD2">
        <w:t>:</w:t>
      </w:r>
      <w:bookmarkEnd w:id="51"/>
    </w:p>
    <w:p w14:paraId="38DC7DDC" w14:textId="77777777" w:rsidR="000B266B" w:rsidRPr="00B03D5B" w:rsidRDefault="000B266B" w:rsidP="0041700E">
      <w:pPr>
        <w:pStyle w:val="ListParagraph"/>
        <w:numPr>
          <w:ilvl w:val="0"/>
          <w:numId w:val="20"/>
        </w:numPr>
        <w:jc w:val="both"/>
      </w:pPr>
      <w:r w:rsidRPr="00A16C9B">
        <w:t>The source used to model the natural history of CHD (a UK economic evaluation of HBV mono-infection</w:t>
      </w:r>
      <w:r w:rsidRPr="00A16C9B">
        <w:rPr>
          <w:rStyle w:val="FootnoteReference"/>
          <w:rFonts w:eastAsiaTheme="majorEastAsia"/>
        </w:rPr>
        <w:footnoteReference w:id="9"/>
      </w:r>
      <w:r w:rsidRPr="00A16C9B">
        <w:t>, adjusted for an increased risk in patients with HBV/HDV concomitant infection)</w:t>
      </w:r>
      <w:r>
        <w:t>. The pre-PBAC response proposed n</w:t>
      </w:r>
      <w:r w:rsidRPr="00B03D5B">
        <w:t xml:space="preserve">atural history CHD </w:t>
      </w:r>
      <w:r>
        <w:t xml:space="preserve">data </w:t>
      </w:r>
      <w:r w:rsidRPr="00B03D5B">
        <w:t>to inform transition probabilities reflective of direct CHD evidence per Goyal and Murray</w:t>
      </w:r>
      <w:r>
        <w:t xml:space="preserve"> (</w:t>
      </w:r>
      <w:r w:rsidRPr="00B03D5B">
        <w:t>used in its entirety</w:t>
      </w:r>
      <w:r>
        <w:t>).</w:t>
      </w:r>
      <w:r w:rsidRPr="00B03D5B">
        <w:t xml:space="preserve"> </w:t>
      </w:r>
    </w:p>
    <w:p w14:paraId="7DD544DF" w14:textId="77777777" w:rsidR="000B266B" w:rsidRPr="00A16C9B" w:rsidRDefault="000B266B" w:rsidP="0041700E">
      <w:pPr>
        <w:pStyle w:val="ListParagraph"/>
        <w:numPr>
          <w:ilvl w:val="0"/>
          <w:numId w:val="20"/>
        </w:numPr>
        <w:ind w:left="1276" w:hanging="357"/>
        <w:jc w:val="both"/>
      </w:pPr>
      <w:r w:rsidRPr="00A16C9B">
        <w:t>The assumption of a utility gain in responders</w:t>
      </w:r>
      <w:r>
        <w:t xml:space="preserve">. The pre-PBAC response </w:t>
      </w:r>
      <w:proofErr w:type="gramStart"/>
      <w:r>
        <w:t>reverted back</w:t>
      </w:r>
      <w:proofErr w:type="gramEnd"/>
      <w:r>
        <w:t xml:space="preserve"> to original values.</w:t>
      </w:r>
    </w:p>
    <w:p w14:paraId="79C02B0D" w14:textId="77777777" w:rsidR="000B266B" w:rsidRPr="00A16C9B" w:rsidRDefault="000B266B" w:rsidP="0041700E">
      <w:pPr>
        <w:pStyle w:val="PBACESParagraphBulletPoint"/>
        <w:ind w:left="1276"/>
      </w:pPr>
      <w:r w:rsidRPr="37C20EEE">
        <w:t xml:space="preserve">The compliance to bulevirtide treatment (90%, lower than the trial data). </w:t>
      </w:r>
      <w:r w:rsidRPr="00B03D5B">
        <w:t xml:space="preserve">The pre-PBAC response </w:t>
      </w:r>
      <w:r>
        <w:t>used compliance rate reflective of the trial data</w:t>
      </w:r>
      <w:r w:rsidRPr="00B03D5B">
        <w:t>.</w:t>
      </w:r>
    </w:p>
    <w:p w14:paraId="5C407E4B" w14:textId="72E424D8" w:rsidR="000B266B" w:rsidRPr="00A16C9B" w:rsidRDefault="000B266B" w:rsidP="0041700E">
      <w:pPr>
        <w:pStyle w:val="3-BodyText"/>
        <w:spacing w:before="120" w:after="120"/>
      </w:pPr>
      <w:r w:rsidRPr="00A16C9B">
        <w:t xml:space="preserve">A summary of the key drivers of the model is presented in </w:t>
      </w:r>
      <w:r w:rsidRPr="00A16C9B">
        <w:fldChar w:fldCharType="begin"/>
      </w:r>
      <w:r w:rsidRPr="00A16C9B">
        <w:instrText xml:space="preserve"> REF _Ref152349129 \h  \* MERGEFORMAT </w:instrText>
      </w:r>
      <w:r w:rsidRPr="00A16C9B">
        <w:fldChar w:fldCharType="separate"/>
      </w:r>
      <w:r w:rsidR="007848CD" w:rsidRPr="00A16C9B">
        <w:t xml:space="preserve">Table </w:t>
      </w:r>
      <w:r w:rsidR="007848CD">
        <w:t>13</w:t>
      </w:r>
      <w:r w:rsidRPr="00A16C9B">
        <w:fldChar w:fldCharType="end"/>
      </w:r>
      <w:r w:rsidRPr="00A16C9B">
        <w:t xml:space="preserve">. </w:t>
      </w:r>
    </w:p>
    <w:p w14:paraId="3139E4BB" w14:textId="3E72BEF9" w:rsidR="000B266B" w:rsidRPr="00A16C9B" w:rsidRDefault="000B266B" w:rsidP="0041700E">
      <w:pPr>
        <w:pStyle w:val="TableFigureHeading"/>
        <w:rPr>
          <w:i/>
        </w:rPr>
      </w:pPr>
      <w:bookmarkStart w:id="52" w:name="_Ref152349129"/>
      <w:r w:rsidRPr="00A16C9B">
        <w:lastRenderedPageBreak/>
        <w:t xml:space="preserve">Table </w:t>
      </w:r>
      <w:r w:rsidRPr="00A16C9B">
        <w:rPr>
          <w:i/>
        </w:rPr>
        <w:fldChar w:fldCharType="begin"/>
      </w:r>
      <w:r w:rsidRPr="00A16C9B">
        <w:instrText>SEQ Table_PBAC. \* ARABIC</w:instrText>
      </w:r>
      <w:r w:rsidRPr="00A16C9B">
        <w:rPr>
          <w:i/>
        </w:rPr>
        <w:fldChar w:fldCharType="separate"/>
      </w:r>
      <w:r w:rsidR="007848CD">
        <w:rPr>
          <w:noProof/>
        </w:rPr>
        <w:t>13</w:t>
      </w:r>
      <w:r w:rsidRPr="00A16C9B">
        <w:rPr>
          <w:i/>
        </w:rPr>
        <w:fldChar w:fldCharType="end"/>
      </w:r>
      <w:bookmarkEnd w:id="52"/>
      <w:r>
        <w:rPr>
          <w:iCs/>
        </w:rPr>
        <w:t>:</w:t>
      </w:r>
      <w:r>
        <w:t xml:space="preserve"> </w:t>
      </w:r>
      <w:r w:rsidRPr="00A16C9B">
        <w:t>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3: Key drivers of the model"/>
      </w:tblPr>
      <w:tblGrid>
        <w:gridCol w:w="1294"/>
        <w:gridCol w:w="2954"/>
        <w:gridCol w:w="4768"/>
      </w:tblGrid>
      <w:tr w:rsidR="000B266B" w:rsidRPr="00A16C9B" w14:paraId="21FC72D5" w14:textId="77777777" w:rsidTr="00B678E8">
        <w:trPr>
          <w:tblHeader/>
        </w:trPr>
        <w:tc>
          <w:tcPr>
            <w:tcW w:w="718" w:type="pct"/>
            <w:vAlign w:val="center"/>
          </w:tcPr>
          <w:p w14:paraId="1508997A" w14:textId="77777777" w:rsidR="000B266B" w:rsidRPr="00A16C9B" w:rsidRDefault="000B266B" w:rsidP="0041700E">
            <w:pPr>
              <w:pStyle w:val="In-tableHeading"/>
              <w:keepNext w:val="0"/>
              <w:rPr>
                <w:lang w:val="en-AU"/>
              </w:rPr>
            </w:pPr>
            <w:r w:rsidRPr="00A16C9B">
              <w:rPr>
                <w:lang w:val="en-AU"/>
              </w:rPr>
              <w:t>Description</w:t>
            </w:r>
          </w:p>
        </w:tc>
        <w:tc>
          <w:tcPr>
            <w:tcW w:w="1638" w:type="pct"/>
            <w:vAlign w:val="center"/>
          </w:tcPr>
          <w:p w14:paraId="05F49200" w14:textId="77777777" w:rsidR="000B266B" w:rsidRPr="00A16C9B" w:rsidRDefault="000B266B" w:rsidP="0041700E">
            <w:pPr>
              <w:pStyle w:val="In-tableHeading"/>
              <w:keepNext w:val="0"/>
              <w:rPr>
                <w:lang w:val="en-AU"/>
              </w:rPr>
            </w:pPr>
            <w:r w:rsidRPr="00A16C9B">
              <w:rPr>
                <w:lang w:val="en-AU"/>
              </w:rPr>
              <w:t>Method/Value</w:t>
            </w:r>
          </w:p>
        </w:tc>
        <w:tc>
          <w:tcPr>
            <w:tcW w:w="2644" w:type="pct"/>
            <w:vAlign w:val="center"/>
          </w:tcPr>
          <w:p w14:paraId="1291B1B7" w14:textId="77777777" w:rsidR="000B266B" w:rsidRPr="00A16C9B" w:rsidRDefault="000B266B" w:rsidP="0041700E">
            <w:pPr>
              <w:pStyle w:val="In-tableHeading"/>
              <w:keepNext w:val="0"/>
              <w:jc w:val="center"/>
              <w:rPr>
                <w:lang w:val="en-AU"/>
              </w:rPr>
            </w:pPr>
            <w:r w:rsidRPr="00A16C9B">
              <w:rPr>
                <w:lang w:val="en-AU"/>
              </w:rPr>
              <w:t>Impact</w:t>
            </w:r>
          </w:p>
          <w:p w14:paraId="7A5B774B" w14:textId="77777777" w:rsidR="000B266B" w:rsidRPr="00A16C9B" w:rsidRDefault="000B266B" w:rsidP="0041700E">
            <w:pPr>
              <w:pStyle w:val="TableText"/>
              <w:jc w:val="center"/>
            </w:pPr>
            <w:r w:rsidRPr="00A16C9B">
              <w:rPr>
                <w:rFonts w:cs="Arial"/>
                <w:szCs w:val="20"/>
              </w:rPr>
              <w:t xml:space="preserve">Base case: </w:t>
            </w:r>
            <w:r w:rsidRPr="00AB52EE">
              <w:rPr>
                <w:rFonts w:cs="Arial"/>
                <w:color w:val="000000"/>
                <w:szCs w:val="20"/>
                <w:shd w:val="solid" w:color="000000" w:fill="000000"/>
                <w14:textFill>
                  <w14:solidFill>
                    <w14:srgbClr w14:val="000000">
                      <w14:alpha w14:val="100000"/>
                    </w14:srgbClr>
                  </w14:solidFill>
                </w14:textFill>
              </w:rPr>
              <w:t>|</w:t>
            </w:r>
            <w:r w:rsidRPr="00D120E3">
              <w:rPr>
                <w:rFonts w:cs="Arial"/>
                <w:szCs w:val="20"/>
                <w:vertAlign w:val="superscript"/>
              </w:rPr>
              <w:t>1</w:t>
            </w:r>
            <w:r w:rsidRPr="00A16C9B">
              <w:rPr>
                <w:rFonts w:cs="Arial"/>
                <w:szCs w:val="20"/>
              </w:rPr>
              <w:t>/QALY gained.</w:t>
            </w:r>
          </w:p>
        </w:tc>
      </w:tr>
      <w:tr w:rsidR="000B266B" w:rsidRPr="00A16C9B" w14:paraId="744D256A" w14:textId="77777777" w:rsidTr="00B678E8">
        <w:tc>
          <w:tcPr>
            <w:tcW w:w="718" w:type="pct"/>
            <w:vAlign w:val="center"/>
          </w:tcPr>
          <w:p w14:paraId="6CCE0F25" w14:textId="77777777" w:rsidR="000B266B" w:rsidRPr="00A16C9B" w:rsidRDefault="000B266B" w:rsidP="0041700E">
            <w:pPr>
              <w:pStyle w:val="TableText"/>
            </w:pPr>
            <w:r w:rsidRPr="00A16C9B">
              <w:t>Definition of response</w:t>
            </w:r>
          </w:p>
        </w:tc>
        <w:tc>
          <w:tcPr>
            <w:tcW w:w="1638" w:type="pct"/>
            <w:vAlign w:val="center"/>
          </w:tcPr>
          <w:p w14:paraId="3828005E" w14:textId="77777777" w:rsidR="000B266B" w:rsidRPr="00A16C9B" w:rsidRDefault="000B266B" w:rsidP="0041700E">
            <w:pPr>
              <w:pStyle w:val="TableText"/>
            </w:pPr>
            <w:r w:rsidRPr="00A16C9B">
              <w:t>Virological response (defined as undetectable HDV RNA or decrease in HDV RNA levels by ≥2 log</w:t>
            </w:r>
            <w:r w:rsidRPr="00A16C9B">
              <w:rPr>
                <w:vertAlign w:val="subscript"/>
              </w:rPr>
              <w:t>10</w:t>
            </w:r>
            <w:r w:rsidRPr="00A16C9B">
              <w:t xml:space="preserve"> IU/mL) </w:t>
            </w:r>
          </w:p>
        </w:tc>
        <w:tc>
          <w:tcPr>
            <w:tcW w:w="2644" w:type="pct"/>
            <w:vAlign w:val="center"/>
          </w:tcPr>
          <w:p w14:paraId="71A2EEC9" w14:textId="77777777" w:rsidR="000B266B" w:rsidRDefault="000B266B" w:rsidP="0041700E">
            <w:pPr>
              <w:pStyle w:val="TableText"/>
            </w:pPr>
            <w:r w:rsidRPr="37C20EEE">
              <w:t xml:space="preserve">High, favours bulevirtide. Using rates where undetectable HDV RNA was achieved increases the ICER to </w:t>
            </w:r>
            <w:r w:rsidRPr="000B266B">
              <w:rPr>
                <w:color w:val="000000"/>
                <w:spacing w:val="53"/>
                <w:shd w:val="solid" w:color="000000" w:fill="000000"/>
                <w:fitText w:val="330" w:id="-649843962"/>
                <w14:textFill>
                  <w14:solidFill>
                    <w14:srgbClr w14:val="000000">
                      <w14:alpha w14:val="100000"/>
                    </w14:srgbClr>
                  </w14:solidFill>
                </w14:textFill>
              </w:rPr>
              <w:t>|||</w:t>
            </w:r>
            <w:r w:rsidRPr="000B266B">
              <w:rPr>
                <w:color w:val="000000"/>
                <w:spacing w:val="1"/>
                <w:shd w:val="solid" w:color="000000" w:fill="000000"/>
                <w:fitText w:val="330" w:id="-649843962"/>
                <w14:textFill>
                  <w14:solidFill>
                    <w14:srgbClr w14:val="000000">
                      <w14:alpha w14:val="100000"/>
                    </w14:srgbClr>
                  </w14:solidFill>
                </w14:textFill>
              </w:rPr>
              <w:t>|</w:t>
            </w:r>
            <w:r w:rsidRPr="00D120E3">
              <w:rPr>
                <w:vertAlign w:val="superscript"/>
              </w:rPr>
              <w:t>2</w:t>
            </w:r>
            <w:r w:rsidRPr="37C20EEE">
              <w:t>/QALY gained.</w:t>
            </w:r>
          </w:p>
          <w:p w14:paraId="12AF90A8" w14:textId="77777777" w:rsidR="000B266B" w:rsidRPr="000A7735" w:rsidRDefault="000B266B" w:rsidP="0041700E">
            <w:pPr>
              <w:pStyle w:val="TableText"/>
            </w:pPr>
            <w:r w:rsidRPr="000A7735">
              <w:t xml:space="preserve">Using the outcome of combined response increases the ICER to </w:t>
            </w:r>
            <w:r w:rsidRPr="000B266B">
              <w:rPr>
                <w:color w:val="000000"/>
                <w:spacing w:val="53"/>
                <w:shd w:val="solid" w:color="000000" w:fill="000000"/>
                <w:fitText w:val="330" w:id="-649843961"/>
                <w14:textFill>
                  <w14:solidFill>
                    <w14:srgbClr w14:val="000000">
                      <w14:alpha w14:val="100000"/>
                    </w14:srgbClr>
                  </w14:solidFill>
                </w14:textFill>
              </w:rPr>
              <w:t>|||</w:t>
            </w:r>
            <w:r w:rsidRPr="000B266B">
              <w:rPr>
                <w:color w:val="000000"/>
                <w:spacing w:val="1"/>
                <w:shd w:val="solid" w:color="000000" w:fill="000000"/>
                <w:fitText w:val="330" w:id="-649843961"/>
                <w14:textFill>
                  <w14:solidFill>
                    <w14:srgbClr w14:val="000000">
                      <w14:alpha w14:val="100000"/>
                    </w14:srgbClr>
                  </w14:solidFill>
                </w14:textFill>
              </w:rPr>
              <w:t>|</w:t>
            </w:r>
            <w:r w:rsidRPr="004739C9">
              <w:rPr>
                <w:rFonts w:cs="Arial"/>
                <w:szCs w:val="20"/>
                <w:vertAlign w:val="superscript"/>
              </w:rPr>
              <w:t>1</w:t>
            </w:r>
            <w:r w:rsidRPr="000A7735">
              <w:t>/QALY gained</w:t>
            </w:r>
          </w:p>
        </w:tc>
      </w:tr>
      <w:tr w:rsidR="000B266B" w:rsidRPr="00A16C9B" w14:paraId="2AAD8801" w14:textId="77777777" w:rsidTr="00B678E8">
        <w:tc>
          <w:tcPr>
            <w:tcW w:w="718" w:type="pct"/>
            <w:vAlign w:val="center"/>
          </w:tcPr>
          <w:p w14:paraId="4EA1500A" w14:textId="77777777" w:rsidR="000B266B" w:rsidRPr="00A16C9B" w:rsidRDefault="000B266B" w:rsidP="0041700E">
            <w:pPr>
              <w:pStyle w:val="TableText"/>
            </w:pPr>
            <w:r w:rsidRPr="00A16C9B">
              <w:t>Natural history of CHD infection</w:t>
            </w:r>
          </w:p>
        </w:tc>
        <w:tc>
          <w:tcPr>
            <w:tcW w:w="1638" w:type="pct"/>
            <w:vAlign w:val="center"/>
          </w:tcPr>
          <w:p w14:paraId="1D886547" w14:textId="77777777" w:rsidR="000B266B" w:rsidRPr="00A16C9B" w:rsidRDefault="000B266B" w:rsidP="0041700E">
            <w:pPr>
              <w:pStyle w:val="TableText"/>
            </w:pPr>
            <w:r w:rsidRPr="00A16C9B">
              <w:t>Based on a UK economic evaluation of HBV mono-infection, adjusted for an increased risk in patients with HBV/HDV infection</w:t>
            </w:r>
          </w:p>
        </w:tc>
        <w:tc>
          <w:tcPr>
            <w:tcW w:w="2644" w:type="pct"/>
            <w:vAlign w:val="center"/>
          </w:tcPr>
          <w:p w14:paraId="14A21FE0" w14:textId="77777777" w:rsidR="000B266B" w:rsidRPr="00A16C9B" w:rsidRDefault="000B266B" w:rsidP="0041700E">
            <w:pPr>
              <w:pStyle w:val="TableText"/>
              <w:rPr>
                <w:i/>
                <w:iCs/>
              </w:rPr>
            </w:pPr>
            <w:r w:rsidRPr="4904BCD2">
              <w:t>High, favours bulevirtide. Using probabilities (except HBsAg seroclearance) from Goyal and Murray (2016)</w:t>
            </w:r>
            <w:r w:rsidRPr="4904BCD2">
              <w:rPr>
                <w:vertAlign w:val="superscript"/>
              </w:rPr>
              <w:t>a</w:t>
            </w:r>
            <w:r w:rsidRPr="4904BCD2">
              <w:t xml:space="preserve"> increases the ICER to </w:t>
            </w:r>
            <w:r w:rsidRPr="000B266B">
              <w:rPr>
                <w:color w:val="000000"/>
                <w:spacing w:val="53"/>
                <w:shd w:val="solid" w:color="000000" w:fill="000000"/>
                <w:fitText w:val="330" w:id="-649843960"/>
                <w14:textFill>
                  <w14:solidFill>
                    <w14:srgbClr w14:val="000000">
                      <w14:alpha w14:val="100000"/>
                    </w14:srgbClr>
                  </w14:solidFill>
                </w14:textFill>
              </w:rPr>
              <w:t>|||</w:t>
            </w:r>
            <w:r w:rsidRPr="000B266B">
              <w:rPr>
                <w:color w:val="000000"/>
                <w:spacing w:val="1"/>
                <w:shd w:val="solid" w:color="000000" w:fill="000000"/>
                <w:fitText w:val="330" w:id="-649843960"/>
                <w14:textFill>
                  <w14:solidFill>
                    <w14:srgbClr w14:val="000000">
                      <w14:alpha w14:val="100000"/>
                    </w14:srgbClr>
                  </w14:solidFill>
                </w14:textFill>
              </w:rPr>
              <w:t>|</w:t>
            </w:r>
            <w:r w:rsidRPr="00D120E3">
              <w:rPr>
                <w:vertAlign w:val="superscript"/>
              </w:rPr>
              <w:t>3</w:t>
            </w:r>
            <w:r w:rsidRPr="4904BCD2">
              <w:t>/QALY gained. Using chronic HBV probabilities from Xiao (2020)</w:t>
            </w:r>
            <w:r w:rsidRPr="4904BCD2">
              <w:rPr>
                <w:vertAlign w:val="superscript"/>
              </w:rPr>
              <w:t>b</w:t>
            </w:r>
            <w:r w:rsidRPr="4904BCD2">
              <w:t xml:space="preserve"> increases the ICER to </w:t>
            </w:r>
            <w:r w:rsidRPr="000B266B">
              <w:rPr>
                <w:color w:val="000000"/>
                <w:spacing w:val="49"/>
                <w:shd w:val="solid" w:color="000000" w:fill="000000"/>
                <w:fitText w:val="320" w:id="-649843959"/>
                <w14:textFill>
                  <w14:solidFill>
                    <w14:srgbClr w14:val="000000">
                      <w14:alpha w14:val="100000"/>
                    </w14:srgbClr>
                  </w14:solidFill>
                </w14:textFill>
              </w:rPr>
              <w:t>|||</w:t>
            </w:r>
            <w:r w:rsidRPr="000B266B">
              <w:rPr>
                <w:color w:val="000000"/>
                <w:spacing w:val="3"/>
                <w:shd w:val="solid" w:color="000000" w:fill="000000"/>
                <w:fitText w:val="320" w:id="-649843959"/>
                <w14:textFill>
                  <w14:solidFill>
                    <w14:srgbClr w14:val="000000">
                      <w14:alpha w14:val="100000"/>
                    </w14:srgbClr>
                  </w14:solidFill>
                </w14:textFill>
              </w:rPr>
              <w:t>|</w:t>
            </w:r>
            <w:r w:rsidRPr="004739C9">
              <w:rPr>
                <w:vertAlign w:val="superscript"/>
              </w:rPr>
              <w:t>2</w:t>
            </w:r>
            <w:r w:rsidRPr="4904BCD2">
              <w:t>/QALY gained</w:t>
            </w:r>
            <w:r w:rsidRPr="4904BCD2">
              <w:rPr>
                <w:i/>
                <w:iCs/>
              </w:rPr>
              <w:t xml:space="preserve">. </w:t>
            </w:r>
          </w:p>
        </w:tc>
      </w:tr>
      <w:tr w:rsidR="000B266B" w:rsidRPr="00A16C9B" w14:paraId="2F2A9C90" w14:textId="77777777" w:rsidTr="00B678E8">
        <w:tc>
          <w:tcPr>
            <w:tcW w:w="718" w:type="pct"/>
            <w:vAlign w:val="center"/>
          </w:tcPr>
          <w:p w14:paraId="5E47479B" w14:textId="77777777" w:rsidR="000B266B" w:rsidRPr="00A16C9B" w:rsidRDefault="000B266B" w:rsidP="0041700E">
            <w:pPr>
              <w:pStyle w:val="TableText"/>
            </w:pPr>
            <w:r w:rsidRPr="00A16C9B">
              <w:t>Time horizon</w:t>
            </w:r>
          </w:p>
        </w:tc>
        <w:tc>
          <w:tcPr>
            <w:tcW w:w="1638" w:type="pct"/>
            <w:vAlign w:val="center"/>
          </w:tcPr>
          <w:p w14:paraId="6F92FCD1" w14:textId="77777777" w:rsidR="000B266B" w:rsidRPr="00A16C9B" w:rsidRDefault="000B266B" w:rsidP="0041700E">
            <w:pPr>
              <w:pStyle w:val="TableText"/>
            </w:pPr>
            <w:r w:rsidRPr="00A16C9B">
              <w:t xml:space="preserve">58 years. </w:t>
            </w:r>
          </w:p>
        </w:tc>
        <w:tc>
          <w:tcPr>
            <w:tcW w:w="2644" w:type="pct"/>
            <w:vAlign w:val="center"/>
          </w:tcPr>
          <w:p w14:paraId="74F9D343" w14:textId="77777777" w:rsidR="000B266B" w:rsidRPr="00A16C9B" w:rsidRDefault="000B266B" w:rsidP="0041700E">
            <w:pPr>
              <w:pStyle w:val="TableText"/>
            </w:pPr>
            <w:r w:rsidRPr="37C20EEE">
              <w:t xml:space="preserve">High, favours bulevirtide. Decreasing the time horizon to 20 years increases the ICER to </w:t>
            </w:r>
            <w:r w:rsidRPr="000B266B">
              <w:rPr>
                <w:color w:val="000000"/>
                <w:spacing w:val="53"/>
                <w:shd w:val="solid" w:color="000000" w:fill="000000"/>
                <w:fitText w:val="330" w:id="-649843958"/>
                <w14:textFill>
                  <w14:solidFill>
                    <w14:srgbClr w14:val="000000">
                      <w14:alpha w14:val="100000"/>
                    </w14:srgbClr>
                  </w14:solidFill>
                </w14:textFill>
              </w:rPr>
              <w:t>|||</w:t>
            </w:r>
            <w:r w:rsidRPr="000B266B">
              <w:rPr>
                <w:color w:val="000000"/>
                <w:spacing w:val="1"/>
                <w:shd w:val="solid" w:color="000000" w:fill="000000"/>
                <w:fitText w:val="330" w:id="-649843958"/>
                <w14:textFill>
                  <w14:solidFill>
                    <w14:srgbClr w14:val="000000">
                      <w14:alpha w14:val="100000"/>
                    </w14:srgbClr>
                  </w14:solidFill>
                </w14:textFill>
              </w:rPr>
              <w:t>|</w:t>
            </w:r>
            <w:r w:rsidRPr="004739C9">
              <w:rPr>
                <w:vertAlign w:val="superscript"/>
              </w:rPr>
              <w:t>3</w:t>
            </w:r>
            <w:r w:rsidRPr="37C20EEE">
              <w:t xml:space="preserve">/QALY gained. Using 10 years increases the ICER to </w:t>
            </w:r>
            <w:r w:rsidRPr="000B266B">
              <w:rPr>
                <w:color w:val="000000"/>
                <w:spacing w:val="53"/>
                <w:shd w:val="solid" w:color="000000" w:fill="000000"/>
                <w:fitText w:val="330" w:id="-649843957"/>
                <w14:textFill>
                  <w14:solidFill>
                    <w14:srgbClr w14:val="000000">
                      <w14:alpha w14:val="100000"/>
                    </w14:srgbClr>
                  </w14:solidFill>
                </w14:textFill>
              </w:rPr>
              <w:t>|||</w:t>
            </w:r>
            <w:r w:rsidRPr="000B266B">
              <w:rPr>
                <w:color w:val="000000"/>
                <w:spacing w:val="1"/>
                <w:shd w:val="solid" w:color="000000" w:fill="000000"/>
                <w:fitText w:val="330" w:id="-649843957"/>
                <w14:textFill>
                  <w14:solidFill>
                    <w14:srgbClr w14:val="000000">
                      <w14:alpha w14:val="100000"/>
                    </w14:srgbClr>
                  </w14:solidFill>
                </w14:textFill>
              </w:rPr>
              <w:t>|</w:t>
            </w:r>
            <w:r w:rsidRPr="00D120E3">
              <w:rPr>
                <w:vertAlign w:val="superscript"/>
              </w:rPr>
              <w:t>4</w:t>
            </w:r>
            <w:r w:rsidRPr="37C20EEE">
              <w:t>/QALY gained.</w:t>
            </w:r>
          </w:p>
        </w:tc>
      </w:tr>
      <w:tr w:rsidR="000B266B" w:rsidRPr="00A16C9B" w14:paraId="11DEEF24" w14:textId="77777777" w:rsidTr="00B678E8">
        <w:tc>
          <w:tcPr>
            <w:tcW w:w="718" w:type="pct"/>
            <w:vAlign w:val="center"/>
          </w:tcPr>
          <w:p w14:paraId="10C51775" w14:textId="77777777" w:rsidR="000B266B" w:rsidRPr="00A16C9B" w:rsidRDefault="000B266B" w:rsidP="0041700E">
            <w:pPr>
              <w:pStyle w:val="TableText"/>
            </w:pPr>
            <w:r w:rsidRPr="4904BCD2">
              <w:t>Health state utilities, NC and CC</w:t>
            </w:r>
          </w:p>
        </w:tc>
        <w:tc>
          <w:tcPr>
            <w:tcW w:w="1638" w:type="pct"/>
            <w:vAlign w:val="center"/>
          </w:tcPr>
          <w:p w14:paraId="7421A07E" w14:textId="77777777" w:rsidR="000B266B" w:rsidRPr="00A16C9B" w:rsidRDefault="000B266B" w:rsidP="0041700E">
            <w:pPr>
              <w:pStyle w:val="TableText"/>
            </w:pPr>
            <w:r w:rsidRPr="00A16C9B">
              <w:t xml:space="preserve">0.935 and 0.923, respectively. </w:t>
            </w:r>
          </w:p>
        </w:tc>
        <w:tc>
          <w:tcPr>
            <w:tcW w:w="2644" w:type="pct"/>
            <w:vAlign w:val="center"/>
          </w:tcPr>
          <w:p w14:paraId="4916FC6E" w14:textId="77777777" w:rsidR="000B266B" w:rsidRPr="00A16C9B" w:rsidRDefault="000B266B" w:rsidP="0041700E">
            <w:pPr>
              <w:pStyle w:val="TableText"/>
            </w:pPr>
            <w:r w:rsidRPr="4904BCD2">
              <w:t>Moderate, favours bulevirtide. Using utility values consistent with Wright et al. (2006)</w:t>
            </w:r>
            <w:r w:rsidRPr="4904BCD2">
              <w:rPr>
                <w:vertAlign w:val="superscript"/>
              </w:rPr>
              <w:t>c</w:t>
            </w:r>
            <w:r w:rsidRPr="4904BCD2">
              <w:t xml:space="preserve"> (F0-2: 0.77, F3: 0.66 and CC: 0.55) increases the ICER to </w:t>
            </w:r>
            <w:r w:rsidRPr="000B266B">
              <w:rPr>
                <w:color w:val="000000"/>
                <w:spacing w:val="53"/>
                <w:shd w:val="solid" w:color="000000" w:fill="000000"/>
                <w:fitText w:val="330" w:id="-649843956"/>
                <w14:textFill>
                  <w14:solidFill>
                    <w14:srgbClr w14:val="000000">
                      <w14:alpha w14:val="100000"/>
                    </w14:srgbClr>
                  </w14:solidFill>
                </w14:textFill>
              </w:rPr>
              <w:t>|||</w:t>
            </w:r>
            <w:r w:rsidRPr="000B266B">
              <w:rPr>
                <w:color w:val="000000"/>
                <w:spacing w:val="1"/>
                <w:shd w:val="solid" w:color="000000" w:fill="000000"/>
                <w:fitText w:val="330" w:id="-649843956"/>
                <w14:textFill>
                  <w14:solidFill>
                    <w14:srgbClr w14:val="000000">
                      <w14:alpha w14:val="100000"/>
                    </w14:srgbClr>
                  </w14:solidFill>
                </w14:textFill>
              </w:rPr>
              <w:t>|</w:t>
            </w:r>
            <w:r w:rsidRPr="004739C9">
              <w:rPr>
                <w:vertAlign w:val="superscript"/>
              </w:rPr>
              <w:t>3</w:t>
            </w:r>
            <w:r w:rsidRPr="4904BCD2">
              <w:t>/QALY gained.</w:t>
            </w:r>
          </w:p>
        </w:tc>
      </w:tr>
      <w:tr w:rsidR="000B266B" w:rsidRPr="00A16C9B" w14:paraId="5819E1BE" w14:textId="77777777" w:rsidTr="00B678E8">
        <w:tc>
          <w:tcPr>
            <w:tcW w:w="718" w:type="pct"/>
            <w:vAlign w:val="center"/>
          </w:tcPr>
          <w:p w14:paraId="3088F020" w14:textId="77777777" w:rsidR="000B266B" w:rsidRPr="00A16C9B" w:rsidRDefault="000B266B" w:rsidP="0041700E">
            <w:pPr>
              <w:pStyle w:val="TableText"/>
            </w:pPr>
            <w:r w:rsidRPr="00A16C9B">
              <w:t>Utility increment in responders</w:t>
            </w:r>
          </w:p>
        </w:tc>
        <w:tc>
          <w:tcPr>
            <w:tcW w:w="1638" w:type="pct"/>
            <w:vAlign w:val="center"/>
          </w:tcPr>
          <w:p w14:paraId="1070D05F" w14:textId="77777777" w:rsidR="000B266B" w:rsidRPr="00A16C9B" w:rsidRDefault="000B266B" w:rsidP="0041700E">
            <w:pPr>
              <w:pStyle w:val="TableText"/>
            </w:pPr>
            <w:r w:rsidRPr="00A16C9B">
              <w:t xml:space="preserve">0.033, based on Tobit regression model fitted to MYR301 data at Week 48, using Australian weights. </w:t>
            </w:r>
          </w:p>
        </w:tc>
        <w:tc>
          <w:tcPr>
            <w:tcW w:w="2644" w:type="pct"/>
            <w:vAlign w:val="center"/>
          </w:tcPr>
          <w:p w14:paraId="52F690B2" w14:textId="77777777" w:rsidR="000B266B" w:rsidRPr="00A16C9B" w:rsidRDefault="000B266B" w:rsidP="0041700E">
            <w:pPr>
              <w:pStyle w:val="TableText"/>
            </w:pPr>
            <w:r w:rsidRPr="37C20EEE">
              <w:t xml:space="preserve">Moderate, favours bulevirtide. Excluding the utility increment in responders increases the ICER to </w:t>
            </w:r>
            <w:r w:rsidRPr="000B266B">
              <w:rPr>
                <w:color w:val="000000"/>
                <w:spacing w:val="49"/>
                <w:shd w:val="solid" w:color="000000" w:fill="000000"/>
                <w:fitText w:val="320" w:id="-649843955"/>
                <w14:textFill>
                  <w14:solidFill>
                    <w14:srgbClr w14:val="000000">
                      <w14:alpha w14:val="100000"/>
                    </w14:srgbClr>
                  </w14:solidFill>
                </w14:textFill>
              </w:rPr>
              <w:t>|||</w:t>
            </w:r>
            <w:r w:rsidRPr="000B266B">
              <w:rPr>
                <w:color w:val="000000"/>
                <w:spacing w:val="3"/>
                <w:shd w:val="solid" w:color="000000" w:fill="000000"/>
                <w:fitText w:val="320" w:id="-649843955"/>
                <w14:textFill>
                  <w14:solidFill>
                    <w14:srgbClr w14:val="000000">
                      <w14:alpha w14:val="100000"/>
                    </w14:srgbClr>
                  </w14:solidFill>
                </w14:textFill>
              </w:rPr>
              <w:t>|</w:t>
            </w:r>
            <w:r w:rsidRPr="004739C9">
              <w:rPr>
                <w:rFonts w:cs="Arial"/>
                <w:szCs w:val="20"/>
                <w:vertAlign w:val="superscript"/>
              </w:rPr>
              <w:t>1</w:t>
            </w:r>
            <w:r w:rsidRPr="37C20EEE">
              <w:t>/QALY gained.</w:t>
            </w:r>
          </w:p>
        </w:tc>
      </w:tr>
      <w:tr w:rsidR="000B266B" w:rsidRPr="00A16C9B" w14:paraId="7D9B663B" w14:textId="77777777" w:rsidTr="00B678E8">
        <w:tc>
          <w:tcPr>
            <w:tcW w:w="718" w:type="pct"/>
            <w:vAlign w:val="center"/>
          </w:tcPr>
          <w:p w14:paraId="73F61122" w14:textId="77777777" w:rsidR="000B266B" w:rsidRPr="00A16C9B" w:rsidRDefault="000B266B" w:rsidP="0041700E">
            <w:pPr>
              <w:pStyle w:val="TableText"/>
            </w:pPr>
            <w:r w:rsidRPr="00A16C9B">
              <w:t>Compliance to treatment</w:t>
            </w:r>
          </w:p>
        </w:tc>
        <w:tc>
          <w:tcPr>
            <w:tcW w:w="1638" w:type="pct"/>
            <w:vAlign w:val="center"/>
          </w:tcPr>
          <w:p w14:paraId="41FC40C2" w14:textId="77777777" w:rsidR="000B266B" w:rsidRPr="00A16C9B" w:rsidRDefault="000B266B" w:rsidP="0041700E">
            <w:pPr>
              <w:pStyle w:val="TableText"/>
            </w:pPr>
            <w:r w:rsidRPr="00A16C9B">
              <w:t xml:space="preserve">90.0% (assumed). </w:t>
            </w:r>
          </w:p>
        </w:tc>
        <w:tc>
          <w:tcPr>
            <w:tcW w:w="2644" w:type="pct"/>
            <w:vAlign w:val="center"/>
          </w:tcPr>
          <w:p w14:paraId="054D329D" w14:textId="77777777" w:rsidR="000B266B" w:rsidRPr="00A16C9B" w:rsidRDefault="000B266B" w:rsidP="0041700E">
            <w:pPr>
              <w:pStyle w:val="TableText"/>
            </w:pPr>
            <w:r w:rsidRPr="37C20EEE">
              <w:t>Moderate, favours bulevirtide. Increasing the compliance to 96.75%</w:t>
            </w:r>
            <w:r w:rsidRPr="37C20EEE">
              <w:rPr>
                <w:vertAlign w:val="superscript"/>
              </w:rPr>
              <w:t>d</w:t>
            </w:r>
            <w:r w:rsidRPr="37C20EEE">
              <w:t xml:space="preserve"> increases the ICER to </w:t>
            </w:r>
            <w:r w:rsidRPr="000B266B">
              <w:rPr>
                <w:color w:val="000000"/>
                <w:spacing w:val="53"/>
                <w:shd w:val="solid" w:color="000000" w:fill="000000"/>
                <w:fitText w:val="330" w:id="-649843954"/>
                <w14:textFill>
                  <w14:solidFill>
                    <w14:srgbClr w14:val="000000">
                      <w14:alpha w14:val="100000"/>
                    </w14:srgbClr>
                  </w14:solidFill>
                </w14:textFill>
              </w:rPr>
              <w:t>|||</w:t>
            </w:r>
            <w:r w:rsidRPr="000B266B">
              <w:rPr>
                <w:color w:val="000000"/>
                <w:spacing w:val="1"/>
                <w:shd w:val="solid" w:color="000000" w:fill="000000"/>
                <w:fitText w:val="330" w:id="-649843954"/>
                <w14:textFill>
                  <w14:solidFill>
                    <w14:srgbClr w14:val="000000">
                      <w14:alpha w14:val="100000"/>
                    </w14:srgbClr>
                  </w14:solidFill>
                </w14:textFill>
              </w:rPr>
              <w:t>|</w:t>
            </w:r>
            <w:r w:rsidRPr="004739C9">
              <w:rPr>
                <w:rFonts w:cs="Arial"/>
                <w:szCs w:val="20"/>
                <w:vertAlign w:val="superscript"/>
              </w:rPr>
              <w:t>1</w:t>
            </w:r>
            <w:r w:rsidRPr="37C20EEE">
              <w:t>/QALY gained.</w:t>
            </w:r>
          </w:p>
        </w:tc>
      </w:tr>
      <w:tr w:rsidR="000B266B" w:rsidRPr="00A16C9B" w14:paraId="523BD606" w14:textId="77777777" w:rsidTr="00B678E8">
        <w:tc>
          <w:tcPr>
            <w:tcW w:w="718" w:type="pct"/>
            <w:tcBorders>
              <w:top w:val="single" w:sz="4" w:space="0" w:color="auto"/>
              <w:left w:val="single" w:sz="4" w:space="0" w:color="auto"/>
              <w:bottom w:val="single" w:sz="4" w:space="0" w:color="auto"/>
              <w:right w:val="single" w:sz="4" w:space="0" w:color="auto"/>
            </w:tcBorders>
            <w:vAlign w:val="center"/>
          </w:tcPr>
          <w:p w14:paraId="4DADE449" w14:textId="77777777" w:rsidR="000B266B" w:rsidRPr="00A16C9B" w:rsidRDefault="000B266B" w:rsidP="0041700E">
            <w:pPr>
              <w:pStyle w:val="TableText"/>
            </w:pPr>
            <w:r w:rsidRPr="00A16C9B">
              <w:t>HRs for disease progression in responders</w:t>
            </w:r>
          </w:p>
        </w:tc>
        <w:tc>
          <w:tcPr>
            <w:tcW w:w="1638" w:type="pct"/>
            <w:tcBorders>
              <w:top w:val="single" w:sz="4" w:space="0" w:color="auto"/>
              <w:left w:val="single" w:sz="4" w:space="0" w:color="auto"/>
              <w:bottom w:val="single" w:sz="4" w:space="0" w:color="auto"/>
              <w:right w:val="single" w:sz="4" w:space="0" w:color="auto"/>
            </w:tcBorders>
            <w:vAlign w:val="center"/>
          </w:tcPr>
          <w:p w14:paraId="231BB24B" w14:textId="77777777" w:rsidR="000B266B" w:rsidRPr="00A16C9B" w:rsidRDefault="000B266B" w:rsidP="0041700E">
            <w:pPr>
              <w:pStyle w:val="TableText"/>
            </w:pPr>
            <w:r w:rsidRPr="00A16C9B">
              <w:t xml:space="preserve">HRs were estimated from a meta-analysis by Gish et al. (2024) of the relationship of undetectable HDV RNA on any liver event (HR = 0.38); HCC (HR = 0.34); DCC (HR = 0.26) and liver-related death (HR = 0.26). </w:t>
            </w:r>
          </w:p>
        </w:tc>
        <w:tc>
          <w:tcPr>
            <w:tcW w:w="2644" w:type="pct"/>
            <w:tcBorders>
              <w:top w:val="single" w:sz="4" w:space="0" w:color="auto"/>
              <w:left w:val="single" w:sz="4" w:space="0" w:color="auto"/>
              <w:bottom w:val="single" w:sz="4" w:space="0" w:color="auto"/>
              <w:right w:val="single" w:sz="4" w:space="0" w:color="auto"/>
            </w:tcBorders>
            <w:vAlign w:val="center"/>
          </w:tcPr>
          <w:p w14:paraId="78939EB1" w14:textId="77777777" w:rsidR="000B266B" w:rsidRPr="00A16C9B" w:rsidRDefault="000B266B" w:rsidP="0041700E">
            <w:pPr>
              <w:pStyle w:val="TableText"/>
            </w:pPr>
            <w:r w:rsidRPr="4904BCD2">
              <w:t xml:space="preserve">Moderate, favours bulevirtide. Using HRs derived from the revised meta-analysis in the previous Commentary after excluding studies that contained irrelevant comparisons (any liver event, HR = 0.51; HCC, HR = 0.39; DCC, HR = 0.35; and liver-related death, HR = 0.29) increases the ICER to </w:t>
            </w:r>
            <w:r w:rsidRPr="000B266B">
              <w:rPr>
                <w:color w:val="000000"/>
                <w:spacing w:val="53"/>
                <w:shd w:val="solid" w:color="000000" w:fill="000000"/>
                <w:fitText w:val="330" w:id="-649843953"/>
                <w14:textFill>
                  <w14:solidFill>
                    <w14:srgbClr w14:val="000000">
                      <w14:alpha w14:val="100000"/>
                    </w14:srgbClr>
                  </w14:solidFill>
                </w14:textFill>
              </w:rPr>
              <w:t>|||</w:t>
            </w:r>
            <w:r w:rsidRPr="000B266B">
              <w:rPr>
                <w:color w:val="000000"/>
                <w:spacing w:val="1"/>
                <w:shd w:val="solid" w:color="000000" w:fill="000000"/>
                <w:fitText w:val="330" w:id="-649843953"/>
                <w14:textFill>
                  <w14:solidFill>
                    <w14:srgbClr w14:val="000000">
                      <w14:alpha w14:val="100000"/>
                    </w14:srgbClr>
                  </w14:solidFill>
                </w14:textFill>
              </w:rPr>
              <w:t>|</w:t>
            </w:r>
            <w:r w:rsidRPr="004739C9">
              <w:rPr>
                <w:rFonts w:cs="Arial"/>
                <w:szCs w:val="20"/>
                <w:vertAlign w:val="superscript"/>
              </w:rPr>
              <w:t>1</w:t>
            </w:r>
            <w:r w:rsidRPr="4904BCD2">
              <w:t>/QALY gained.</w:t>
            </w:r>
          </w:p>
        </w:tc>
      </w:tr>
    </w:tbl>
    <w:p w14:paraId="5C8E8968" w14:textId="77777777" w:rsidR="000B266B" w:rsidRPr="00A16C9B" w:rsidRDefault="000B266B" w:rsidP="0041700E">
      <w:pPr>
        <w:pStyle w:val="TableFigureFooter"/>
        <w:spacing w:after="0"/>
      </w:pPr>
      <w:r w:rsidRPr="00A16C9B">
        <w:t>Source: Compiled during the evaluation.</w:t>
      </w:r>
    </w:p>
    <w:p w14:paraId="633A43D4" w14:textId="77777777" w:rsidR="000B266B" w:rsidRPr="00A16C9B" w:rsidRDefault="000B266B" w:rsidP="0041700E">
      <w:pPr>
        <w:pStyle w:val="TableFooter"/>
        <w:widowControl/>
        <w:spacing w:after="0"/>
      </w:pPr>
      <w:r w:rsidRPr="00A16C9B">
        <w:t>CC = compensated cirrhosis; CHD = chronic hepatitis D; DCC = decompensated cirrhosis; HBsAg = hepatitis B surface antigen; HBV = hepatitis B virus; HCC = hepatocellular carcinoma; HDV = hepatitis D virus; HR = hazard ratio; ICER = incremental cost-effectiveness ratio; NC = non-cirrhosis; QALY = quality-adjusted life year; RNA = ribonucleic acid.</w:t>
      </w:r>
    </w:p>
    <w:p w14:paraId="4D490F2E" w14:textId="77777777" w:rsidR="000B266B" w:rsidRPr="00A16C9B" w:rsidRDefault="000B266B" w:rsidP="0041700E">
      <w:pPr>
        <w:pStyle w:val="TableFooter"/>
        <w:widowControl/>
      </w:pPr>
      <w:r w:rsidRPr="4904BCD2">
        <w:rPr>
          <w:vertAlign w:val="superscript"/>
        </w:rPr>
        <w:t xml:space="preserve">a </w:t>
      </w:r>
      <w:r w:rsidRPr="4904BCD2">
        <w:t xml:space="preserve">Goyal A and Murray JM. Cost-effectiveness of peg-interferon, interferon and oral nucleoside analogues in the treatment of chronic hepatitis B and D infections in China. Clin Drug Investig. 2016 Aug;36(8):637-48. </w:t>
      </w:r>
    </w:p>
    <w:p w14:paraId="06D83886" w14:textId="77777777" w:rsidR="000B266B" w:rsidRPr="00A16C9B" w:rsidRDefault="000B266B" w:rsidP="0041700E">
      <w:pPr>
        <w:pStyle w:val="TableFooter"/>
        <w:widowControl/>
      </w:pPr>
      <w:r w:rsidRPr="4904BCD2">
        <w:rPr>
          <w:vertAlign w:val="superscript"/>
        </w:rPr>
        <w:t xml:space="preserve">b </w:t>
      </w:r>
      <w:r w:rsidRPr="4904BCD2">
        <w:t xml:space="preserve">Xiao Y, Howell J, et al. Enhancing the hepatitis B care cascade in Australia: A cost-effectiveness model. J Viral Hepat. 2020 May;27(5):526-36. </w:t>
      </w:r>
    </w:p>
    <w:p w14:paraId="2FFD13DE" w14:textId="77777777" w:rsidR="000B266B" w:rsidRPr="00A16C9B" w:rsidRDefault="000B266B" w:rsidP="0041700E">
      <w:pPr>
        <w:pStyle w:val="TableFooter"/>
        <w:widowControl/>
      </w:pPr>
      <w:r w:rsidRPr="00A16C9B">
        <w:rPr>
          <w:vertAlign w:val="superscript"/>
        </w:rPr>
        <w:t>c</w:t>
      </w:r>
      <w:r w:rsidRPr="00A16C9B">
        <w:t xml:space="preserve"> Wright M, Grieve R, et al. Health benefits of antiviral therapy for mild chronic hepatitis C: randomised controlled trial and economic evaluation. Health Technol Assess. 2006 Jul;10(21):1-113, iii.</w:t>
      </w:r>
    </w:p>
    <w:p w14:paraId="1AF0056A" w14:textId="77777777" w:rsidR="000B266B" w:rsidRDefault="000B266B" w:rsidP="0041700E">
      <w:pPr>
        <w:pStyle w:val="TableFooter"/>
        <w:widowControl/>
      </w:pPr>
      <w:r w:rsidRPr="00A16C9B">
        <w:rPr>
          <w:vertAlign w:val="superscript"/>
        </w:rPr>
        <w:t>d</w:t>
      </w:r>
      <w:r w:rsidRPr="00A16C9B">
        <w:t xml:space="preserve"> Compliance rate at Week 144 in MYR301.</w:t>
      </w:r>
      <w:r w:rsidRPr="00435659">
        <w:t xml:space="preserve"> </w:t>
      </w:r>
    </w:p>
    <w:p w14:paraId="050C7E37" w14:textId="77777777" w:rsidR="000B266B" w:rsidRPr="00D4016A" w:rsidRDefault="000B266B" w:rsidP="0041700E">
      <w:pPr>
        <w:pStyle w:val="TableFooter"/>
        <w:widowControl/>
        <w:rPr>
          <w:i/>
          <w:iCs/>
        </w:rPr>
      </w:pPr>
      <w:r w:rsidRPr="00D4016A">
        <w:rPr>
          <w:i/>
          <w:iCs/>
        </w:rPr>
        <w:t>The redacted values correspond to the following ranges:</w:t>
      </w:r>
    </w:p>
    <w:p w14:paraId="4B52BB21" w14:textId="77777777" w:rsidR="000B266B" w:rsidRPr="00D4016A" w:rsidRDefault="000B266B" w:rsidP="0041700E">
      <w:pPr>
        <w:pStyle w:val="TableFooter"/>
        <w:widowControl/>
        <w:rPr>
          <w:i/>
          <w:iCs/>
        </w:rPr>
      </w:pPr>
      <w:r w:rsidRPr="00D4016A">
        <w:rPr>
          <w:i/>
          <w:iCs/>
          <w:vertAlign w:val="superscript"/>
        </w:rPr>
        <w:t>1</w:t>
      </w:r>
      <w:r w:rsidRPr="00D4016A">
        <w:rPr>
          <w:i/>
          <w:iCs/>
        </w:rPr>
        <w:t xml:space="preserve"> $95,000 to &lt; $115,000 </w:t>
      </w:r>
    </w:p>
    <w:p w14:paraId="3FE1AED7" w14:textId="77777777" w:rsidR="000B266B" w:rsidRPr="00D4016A" w:rsidRDefault="000B266B" w:rsidP="0041700E">
      <w:pPr>
        <w:pStyle w:val="TableFooter"/>
        <w:widowControl/>
        <w:rPr>
          <w:i/>
          <w:iCs/>
        </w:rPr>
      </w:pPr>
      <w:r w:rsidRPr="00D4016A">
        <w:rPr>
          <w:i/>
          <w:iCs/>
          <w:vertAlign w:val="superscript"/>
        </w:rPr>
        <w:t>2</w:t>
      </w:r>
      <w:r w:rsidRPr="00D4016A">
        <w:rPr>
          <w:i/>
          <w:iCs/>
        </w:rPr>
        <w:t xml:space="preserve"> $135,000 to &lt; $155,000 </w:t>
      </w:r>
    </w:p>
    <w:p w14:paraId="4FFD3D61" w14:textId="77777777" w:rsidR="000B266B" w:rsidRPr="00D4016A" w:rsidRDefault="000B266B" w:rsidP="0041700E">
      <w:pPr>
        <w:pStyle w:val="TableFooter"/>
        <w:widowControl/>
        <w:rPr>
          <w:i/>
          <w:iCs/>
        </w:rPr>
      </w:pPr>
      <w:r w:rsidRPr="00D4016A">
        <w:rPr>
          <w:i/>
          <w:iCs/>
          <w:vertAlign w:val="superscript"/>
        </w:rPr>
        <w:t>3</w:t>
      </w:r>
      <w:r w:rsidRPr="00D4016A">
        <w:rPr>
          <w:i/>
          <w:iCs/>
        </w:rPr>
        <w:t xml:space="preserve"> $115,000 to &lt; $135,000</w:t>
      </w:r>
    </w:p>
    <w:p w14:paraId="412892D2" w14:textId="77777777" w:rsidR="000B266B" w:rsidRPr="00D4016A" w:rsidRDefault="000B266B" w:rsidP="0041700E">
      <w:pPr>
        <w:pStyle w:val="TableFooter"/>
        <w:widowControl/>
        <w:spacing w:after="120"/>
        <w:rPr>
          <w:i/>
          <w:iCs/>
        </w:rPr>
      </w:pPr>
      <w:r w:rsidRPr="00D4016A">
        <w:rPr>
          <w:i/>
          <w:iCs/>
          <w:vertAlign w:val="superscript"/>
        </w:rPr>
        <w:t>4</w:t>
      </w:r>
      <w:r w:rsidRPr="00D4016A">
        <w:rPr>
          <w:i/>
          <w:iCs/>
        </w:rPr>
        <w:t xml:space="preserve"> $155,000 to &lt; $255,000</w:t>
      </w:r>
    </w:p>
    <w:p w14:paraId="4C95614C" w14:textId="00CE4BAF" w:rsidR="000B266B" w:rsidRPr="00A16C9B" w:rsidRDefault="000B266B" w:rsidP="0041700E">
      <w:pPr>
        <w:pStyle w:val="3-BodyText"/>
        <w:spacing w:before="120" w:after="120"/>
      </w:pPr>
      <w:r w:rsidRPr="37C20EEE">
        <w:t xml:space="preserve">The results of the stepped economic evaluation are presented in </w:t>
      </w:r>
      <w:r w:rsidRPr="00A16C9B">
        <w:fldChar w:fldCharType="begin"/>
      </w:r>
      <w:r w:rsidRPr="00A16C9B">
        <w:instrText xml:space="preserve"> REF _Ref152349136 \h  \* MERGEFORMAT </w:instrText>
      </w:r>
      <w:r w:rsidRPr="00A16C9B">
        <w:fldChar w:fldCharType="separate"/>
      </w:r>
      <w:r w:rsidR="007848CD" w:rsidRPr="00A16C9B">
        <w:t xml:space="preserve">Table </w:t>
      </w:r>
      <w:r w:rsidR="007848CD">
        <w:t>14</w:t>
      </w:r>
      <w:r w:rsidRPr="00A16C9B">
        <w:fldChar w:fldCharType="end"/>
      </w:r>
      <w:r w:rsidRPr="37C20EEE">
        <w:t xml:space="preserve">. The stepped analyses presented in the resubmission combined </w:t>
      </w:r>
      <w:proofErr w:type="gramStart"/>
      <w:r w:rsidRPr="37C20EEE">
        <w:t>a number of</w:t>
      </w:r>
      <w:proofErr w:type="gramEnd"/>
      <w:r w:rsidRPr="37C20EEE">
        <w:t xml:space="preserve"> transformations of the trial data to the proposed clinical setting from Steps 3 to Step 4, including the transformation of the surrogate outcome of response into effect on disease progression, assumption of reduced compliance to bulevirtide treatment expected in practice and extrapolation of costs and outcomes over the 58-year time horizon. </w:t>
      </w:r>
    </w:p>
    <w:p w14:paraId="19C286BD" w14:textId="19B5CB28" w:rsidR="000B266B" w:rsidRPr="00A16C9B" w:rsidRDefault="000B266B" w:rsidP="0041700E">
      <w:pPr>
        <w:pStyle w:val="TableFigureHeading"/>
        <w:rPr>
          <w:i/>
        </w:rPr>
      </w:pPr>
      <w:bookmarkStart w:id="53" w:name="_Ref152349136"/>
      <w:r w:rsidRPr="00A16C9B">
        <w:lastRenderedPageBreak/>
        <w:t xml:space="preserve">Table </w:t>
      </w:r>
      <w:r w:rsidRPr="00A16C9B">
        <w:rPr>
          <w:i/>
        </w:rPr>
        <w:fldChar w:fldCharType="begin"/>
      </w:r>
      <w:r w:rsidRPr="00A16C9B">
        <w:instrText>SEQ Table_PBAC. \* ARABIC</w:instrText>
      </w:r>
      <w:r w:rsidRPr="00A16C9B">
        <w:rPr>
          <w:i/>
        </w:rPr>
        <w:fldChar w:fldCharType="separate"/>
      </w:r>
      <w:r w:rsidR="007848CD">
        <w:rPr>
          <w:noProof/>
        </w:rPr>
        <w:t>14</w:t>
      </w:r>
      <w:r w:rsidRPr="00A16C9B">
        <w:rPr>
          <w:i/>
        </w:rPr>
        <w:fldChar w:fldCharType="end"/>
      </w:r>
      <w:bookmarkEnd w:id="53"/>
      <w:r>
        <w:rPr>
          <w:iCs/>
        </w:rPr>
        <w:t>:</w:t>
      </w:r>
      <w:r w:rsidRPr="00A16C9B">
        <w:tab/>
      </w:r>
      <w:r>
        <w:t xml:space="preserve"> </w:t>
      </w:r>
      <w:r w:rsidRPr="00A16C9B">
        <w:t>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4:  Results of the stepped economic evaluation"/>
      </w:tblPr>
      <w:tblGrid>
        <w:gridCol w:w="2741"/>
        <w:gridCol w:w="2434"/>
        <w:gridCol w:w="2281"/>
        <w:gridCol w:w="1560"/>
      </w:tblGrid>
      <w:tr w:rsidR="000B266B" w:rsidRPr="00A16C9B" w14:paraId="5700A220" w14:textId="77777777" w:rsidTr="00B678E8">
        <w:trPr>
          <w:tblHeader/>
        </w:trPr>
        <w:tc>
          <w:tcPr>
            <w:tcW w:w="1520" w:type="pct"/>
            <w:vAlign w:val="center"/>
          </w:tcPr>
          <w:p w14:paraId="56B7CA3D" w14:textId="77777777" w:rsidR="000B266B" w:rsidRPr="00A16C9B" w:rsidRDefault="000B266B" w:rsidP="0041700E">
            <w:pPr>
              <w:pStyle w:val="In-tableHeading"/>
              <w:rPr>
                <w:lang w:val="en-AU"/>
              </w:rPr>
            </w:pPr>
            <w:r w:rsidRPr="00A16C9B">
              <w:rPr>
                <w:lang w:val="en-AU"/>
              </w:rPr>
              <w:t>Step and component</w:t>
            </w:r>
          </w:p>
        </w:tc>
        <w:tc>
          <w:tcPr>
            <w:tcW w:w="1350" w:type="pct"/>
            <w:vAlign w:val="center"/>
          </w:tcPr>
          <w:p w14:paraId="63D66E3C" w14:textId="77777777" w:rsidR="000B266B" w:rsidRPr="00A16C9B" w:rsidRDefault="000B266B" w:rsidP="0041700E">
            <w:pPr>
              <w:pStyle w:val="In-tableHeading"/>
              <w:jc w:val="center"/>
              <w:rPr>
                <w:lang w:val="en-AU"/>
              </w:rPr>
            </w:pPr>
            <w:r w:rsidRPr="00A16C9B">
              <w:rPr>
                <w:lang w:val="en-AU"/>
              </w:rPr>
              <w:t>Bulevirtide</w:t>
            </w:r>
          </w:p>
        </w:tc>
        <w:tc>
          <w:tcPr>
            <w:tcW w:w="1265" w:type="pct"/>
            <w:vAlign w:val="center"/>
          </w:tcPr>
          <w:p w14:paraId="344FD91A" w14:textId="77777777" w:rsidR="000B266B" w:rsidRPr="00A16C9B" w:rsidRDefault="000B266B" w:rsidP="0041700E">
            <w:pPr>
              <w:pStyle w:val="In-tableHeading"/>
              <w:jc w:val="center"/>
              <w:rPr>
                <w:lang w:val="en-AU"/>
              </w:rPr>
            </w:pPr>
            <w:r w:rsidRPr="00A16C9B">
              <w:rPr>
                <w:lang w:val="en-AU"/>
              </w:rPr>
              <w:t>BSC</w:t>
            </w:r>
          </w:p>
        </w:tc>
        <w:tc>
          <w:tcPr>
            <w:tcW w:w="866" w:type="pct"/>
            <w:vAlign w:val="center"/>
          </w:tcPr>
          <w:p w14:paraId="76488419" w14:textId="77777777" w:rsidR="000B266B" w:rsidRPr="00A16C9B" w:rsidRDefault="000B266B" w:rsidP="0041700E">
            <w:pPr>
              <w:pStyle w:val="In-tableHeading"/>
              <w:jc w:val="center"/>
              <w:rPr>
                <w:lang w:val="en-AU"/>
              </w:rPr>
            </w:pPr>
            <w:r w:rsidRPr="00A16C9B">
              <w:rPr>
                <w:lang w:val="en-AU"/>
              </w:rPr>
              <w:t>Increment</w:t>
            </w:r>
          </w:p>
        </w:tc>
      </w:tr>
      <w:tr w:rsidR="000B266B" w:rsidRPr="00A16C9B" w14:paraId="2FB5D960" w14:textId="77777777" w:rsidTr="00B678E8">
        <w:tc>
          <w:tcPr>
            <w:tcW w:w="5000" w:type="pct"/>
            <w:gridSpan w:val="4"/>
            <w:vAlign w:val="center"/>
          </w:tcPr>
          <w:p w14:paraId="4E5886F5" w14:textId="77777777" w:rsidR="000B266B" w:rsidRPr="00A16C9B" w:rsidRDefault="000B266B" w:rsidP="0041700E">
            <w:pPr>
              <w:pStyle w:val="TableText"/>
              <w:rPr>
                <w:b/>
                <w:bCs w:val="0"/>
              </w:rPr>
            </w:pPr>
            <w:r w:rsidRPr="00A16C9B">
              <w:rPr>
                <w:b/>
              </w:rPr>
              <w:t>Step 1: Trial-based costs and outcomes (48 weeks)</w:t>
            </w:r>
          </w:p>
          <w:p w14:paraId="353E3CF9" w14:textId="77777777" w:rsidR="000B266B" w:rsidRPr="00A16C9B" w:rsidRDefault="000B266B" w:rsidP="0041700E">
            <w:pPr>
              <w:pStyle w:val="TableText"/>
            </w:pPr>
            <w:r w:rsidRPr="4904BCD2">
              <w:t>Trial-based analysis at 48 weeks. Cost of testing to identify one patient with detectable HDV RNA included (assuming 54.4% positivity rate). Compliance with bulevirtide treatment was 99.55% based on MYR301 trial compliance at 48 weeks (equivalent to 5.57 scripts per patient per 48 weeks).</w:t>
            </w:r>
          </w:p>
        </w:tc>
      </w:tr>
      <w:tr w:rsidR="000B266B" w:rsidRPr="00A16C9B" w14:paraId="216E515F" w14:textId="77777777" w:rsidTr="00B678E8">
        <w:tc>
          <w:tcPr>
            <w:tcW w:w="1520" w:type="pct"/>
            <w:vAlign w:val="center"/>
          </w:tcPr>
          <w:p w14:paraId="6E610533" w14:textId="77777777" w:rsidR="000B266B" w:rsidRPr="00A16C9B" w:rsidRDefault="000B266B" w:rsidP="0041700E">
            <w:pPr>
              <w:pStyle w:val="TableText"/>
              <w:rPr>
                <w:rFonts w:ascii="Times" w:hAnsi="Times"/>
              </w:rPr>
            </w:pPr>
            <w:r w:rsidRPr="00A16C9B">
              <w:t>Costs</w:t>
            </w:r>
          </w:p>
        </w:tc>
        <w:tc>
          <w:tcPr>
            <w:tcW w:w="1350" w:type="pct"/>
          </w:tcPr>
          <w:p w14:paraId="1B1160C1" w14:textId="77777777" w:rsidR="000B266B" w:rsidRPr="00A16C9B" w:rsidRDefault="000B266B" w:rsidP="0041700E">
            <w:pPr>
              <w:pStyle w:val="TableText"/>
              <w:jc w:val="center"/>
              <w:rPr>
                <w:rFonts w:ascii="Times" w:hAnsi="Times"/>
              </w:rPr>
            </w:pPr>
            <w:r w:rsidRPr="00A16C9B">
              <w:t>$</w:t>
            </w:r>
            <w:r w:rsidRPr="00AB52EE">
              <w:rPr>
                <w:color w:val="000000"/>
                <w:shd w:val="solid" w:color="000000" w:fill="000000"/>
                <w14:textFill>
                  <w14:solidFill>
                    <w14:srgbClr w14:val="000000">
                      <w14:alpha w14:val="100000"/>
                    </w14:srgbClr>
                  </w14:solidFill>
                </w14:textFill>
              </w:rPr>
              <w:t>|</w:t>
            </w:r>
          </w:p>
        </w:tc>
        <w:tc>
          <w:tcPr>
            <w:tcW w:w="1265" w:type="pct"/>
          </w:tcPr>
          <w:p w14:paraId="04B97CE5" w14:textId="77777777" w:rsidR="000B266B" w:rsidRPr="00A16C9B" w:rsidRDefault="000B266B" w:rsidP="0041700E">
            <w:pPr>
              <w:pStyle w:val="TableText"/>
              <w:jc w:val="center"/>
              <w:rPr>
                <w:rFonts w:ascii="Times" w:hAnsi="Times"/>
              </w:rPr>
            </w:pPr>
            <w:r w:rsidRPr="00A16C9B">
              <w:t>$0</w:t>
            </w:r>
          </w:p>
        </w:tc>
        <w:tc>
          <w:tcPr>
            <w:tcW w:w="866" w:type="pct"/>
          </w:tcPr>
          <w:p w14:paraId="5AF91A2F" w14:textId="77777777" w:rsidR="000B266B" w:rsidRPr="00A16C9B" w:rsidRDefault="000B266B" w:rsidP="0041700E">
            <w:pPr>
              <w:pStyle w:val="TableText"/>
              <w:jc w:val="center"/>
              <w:rPr>
                <w:rFonts w:ascii="Times" w:hAnsi="Times"/>
              </w:rPr>
            </w:pPr>
            <w:r w:rsidRPr="00A16C9B">
              <w:t>$</w:t>
            </w:r>
            <w:r w:rsidRPr="00AB52EE">
              <w:rPr>
                <w:color w:val="000000"/>
                <w:shd w:val="solid" w:color="000000" w:fill="000000"/>
                <w14:textFill>
                  <w14:solidFill>
                    <w14:srgbClr w14:val="000000">
                      <w14:alpha w14:val="100000"/>
                    </w14:srgbClr>
                  </w14:solidFill>
                </w14:textFill>
              </w:rPr>
              <w:t>|</w:t>
            </w:r>
          </w:p>
        </w:tc>
      </w:tr>
      <w:tr w:rsidR="000B266B" w:rsidRPr="00A16C9B" w14:paraId="67D2EC8F" w14:textId="77777777" w:rsidTr="00B678E8">
        <w:tc>
          <w:tcPr>
            <w:tcW w:w="1520" w:type="pct"/>
            <w:vAlign w:val="center"/>
          </w:tcPr>
          <w:p w14:paraId="20346A41" w14:textId="77777777" w:rsidR="000B266B" w:rsidRPr="00A16C9B" w:rsidRDefault="000B266B" w:rsidP="0041700E">
            <w:pPr>
              <w:pStyle w:val="TableText"/>
              <w:rPr>
                <w:rFonts w:ascii="Times" w:hAnsi="Times"/>
              </w:rPr>
            </w:pPr>
            <w:r w:rsidRPr="00A16C9B">
              <w:t>Virological response </w:t>
            </w:r>
            <w:r w:rsidRPr="00A16C9B">
              <w:rPr>
                <w:vertAlign w:val="superscript"/>
              </w:rPr>
              <w:t>a</w:t>
            </w:r>
            <w:r w:rsidRPr="00A16C9B">
              <w:t xml:space="preserve"> at 48 weeks</w:t>
            </w:r>
          </w:p>
        </w:tc>
        <w:tc>
          <w:tcPr>
            <w:tcW w:w="1350" w:type="pct"/>
          </w:tcPr>
          <w:p w14:paraId="15DCF0B2" w14:textId="77777777" w:rsidR="000B266B" w:rsidRPr="00A16C9B" w:rsidRDefault="000B266B" w:rsidP="0041700E">
            <w:pPr>
              <w:pStyle w:val="TableText"/>
              <w:jc w:val="center"/>
              <w:rPr>
                <w:rFonts w:ascii="Times" w:hAnsi="Times"/>
              </w:rPr>
            </w:pPr>
            <w:r w:rsidRPr="00A16C9B">
              <w:t>73.5%</w:t>
            </w:r>
          </w:p>
        </w:tc>
        <w:tc>
          <w:tcPr>
            <w:tcW w:w="1265" w:type="pct"/>
          </w:tcPr>
          <w:p w14:paraId="580A8F2A" w14:textId="77777777" w:rsidR="000B266B" w:rsidRPr="00A16C9B" w:rsidRDefault="000B266B" w:rsidP="0041700E">
            <w:pPr>
              <w:pStyle w:val="TableText"/>
              <w:jc w:val="center"/>
              <w:rPr>
                <w:rFonts w:ascii="Times" w:hAnsi="Times"/>
              </w:rPr>
            </w:pPr>
            <w:r w:rsidRPr="00A16C9B">
              <w:t>3.9%</w:t>
            </w:r>
          </w:p>
        </w:tc>
        <w:tc>
          <w:tcPr>
            <w:tcW w:w="866" w:type="pct"/>
          </w:tcPr>
          <w:p w14:paraId="2823286F" w14:textId="77777777" w:rsidR="000B266B" w:rsidRPr="00A16C9B" w:rsidRDefault="000B266B" w:rsidP="0041700E">
            <w:pPr>
              <w:pStyle w:val="TableText"/>
              <w:jc w:val="center"/>
            </w:pPr>
            <w:r w:rsidRPr="00A16C9B">
              <w:t>69.5%</w:t>
            </w:r>
          </w:p>
        </w:tc>
      </w:tr>
      <w:tr w:rsidR="000B266B" w:rsidRPr="00A16C9B" w14:paraId="1044708D" w14:textId="77777777" w:rsidTr="00B678E8">
        <w:tc>
          <w:tcPr>
            <w:tcW w:w="4134" w:type="pct"/>
            <w:gridSpan w:val="3"/>
            <w:vAlign w:val="center"/>
          </w:tcPr>
          <w:p w14:paraId="21CA19AB" w14:textId="77777777" w:rsidR="000B266B" w:rsidRPr="00A16C9B" w:rsidRDefault="000B266B" w:rsidP="0041700E">
            <w:pPr>
              <w:pStyle w:val="TableText"/>
              <w:rPr>
                <w:rFonts w:ascii="Times" w:hAnsi="Times"/>
              </w:rPr>
            </w:pPr>
            <w:r w:rsidRPr="00A16C9B">
              <w:t>Incremental cost/additional responder</w:t>
            </w:r>
          </w:p>
        </w:tc>
        <w:tc>
          <w:tcPr>
            <w:tcW w:w="866" w:type="pct"/>
            <w:vAlign w:val="center"/>
          </w:tcPr>
          <w:p w14:paraId="6147884A" w14:textId="77777777" w:rsidR="000B266B" w:rsidRPr="00A16C9B" w:rsidRDefault="000B266B" w:rsidP="0041700E">
            <w:pPr>
              <w:pStyle w:val="TableText"/>
              <w:jc w:val="center"/>
              <w:rPr>
                <w:rFonts w:ascii="Times" w:hAnsi="Times"/>
              </w:rPr>
            </w:pPr>
            <w:r w:rsidRPr="00AB52EE">
              <w:rPr>
                <w:color w:val="000000"/>
                <w:shd w:val="solid" w:color="000000" w:fill="000000"/>
                <w14:textFill>
                  <w14:solidFill>
                    <w14:srgbClr w14:val="000000">
                      <w14:alpha w14:val="100000"/>
                    </w14:srgbClr>
                  </w14:solidFill>
                </w14:textFill>
              </w:rPr>
              <w:t>|</w:t>
            </w:r>
            <w:r w:rsidRPr="00D120E3">
              <w:rPr>
                <w:vertAlign w:val="superscript"/>
              </w:rPr>
              <w:t>1</w:t>
            </w:r>
          </w:p>
        </w:tc>
      </w:tr>
      <w:tr w:rsidR="000B266B" w:rsidRPr="00A16C9B" w14:paraId="721A1FB1" w14:textId="77777777" w:rsidTr="00B678E8">
        <w:tc>
          <w:tcPr>
            <w:tcW w:w="5000" w:type="pct"/>
            <w:gridSpan w:val="4"/>
            <w:vAlign w:val="center"/>
          </w:tcPr>
          <w:p w14:paraId="2C9E99C1" w14:textId="77777777" w:rsidR="000B266B" w:rsidRPr="00A16C9B" w:rsidRDefault="000B266B" w:rsidP="0041700E">
            <w:pPr>
              <w:pStyle w:val="TableText"/>
              <w:rPr>
                <w:b/>
                <w:bCs w:val="0"/>
              </w:rPr>
            </w:pPr>
            <w:r w:rsidRPr="00A16C9B">
              <w:rPr>
                <w:b/>
              </w:rPr>
              <w:t>Step 2: Trial-based costs and outcomes to 144 weeks, with extrapolation of comparator outcomes</w:t>
            </w:r>
          </w:p>
          <w:p w14:paraId="5B7D545B" w14:textId="77777777" w:rsidR="000B266B" w:rsidRPr="00A16C9B" w:rsidRDefault="000B266B" w:rsidP="0041700E">
            <w:pPr>
              <w:pStyle w:val="In-tableHeading"/>
              <w:rPr>
                <w:b w:val="0"/>
                <w:bCs/>
                <w:lang w:val="en-AU"/>
              </w:rPr>
            </w:pPr>
            <w:r w:rsidRPr="00A16C9B">
              <w:rPr>
                <w:b w:val="0"/>
                <w:bCs/>
                <w:lang w:val="en-AU"/>
              </w:rPr>
              <w:t>Trial-based analysis at 144 weeks, assuming extrapolation of virological response in the comparator arm. Compliance with bulevirtide treatment was 96.75% based on MYR301 trial compliance at 144 weeks (equivalent to 16.25 scripts</w:t>
            </w:r>
            <w:r w:rsidRPr="00A16C9B">
              <w:rPr>
                <w:lang w:val="en-AU"/>
              </w:rPr>
              <w:t xml:space="preserve"> </w:t>
            </w:r>
            <w:r w:rsidRPr="00A16C9B">
              <w:rPr>
                <w:b w:val="0"/>
                <w:bCs/>
                <w:lang w:val="en-AU"/>
              </w:rPr>
              <w:t>per patient per 144 weeks).</w:t>
            </w:r>
          </w:p>
        </w:tc>
      </w:tr>
      <w:tr w:rsidR="000B266B" w:rsidRPr="00A16C9B" w14:paraId="482BD693" w14:textId="77777777" w:rsidTr="00B678E8">
        <w:tc>
          <w:tcPr>
            <w:tcW w:w="1520" w:type="pct"/>
            <w:vAlign w:val="center"/>
          </w:tcPr>
          <w:p w14:paraId="6F3EB412" w14:textId="77777777" w:rsidR="000B266B" w:rsidRPr="00A16C9B" w:rsidRDefault="000B266B" w:rsidP="0041700E">
            <w:pPr>
              <w:pStyle w:val="TableText"/>
              <w:rPr>
                <w:rFonts w:ascii="Times" w:hAnsi="Times"/>
              </w:rPr>
            </w:pPr>
            <w:r w:rsidRPr="00A16C9B">
              <w:t>Costs</w:t>
            </w:r>
          </w:p>
        </w:tc>
        <w:tc>
          <w:tcPr>
            <w:tcW w:w="1350" w:type="pct"/>
          </w:tcPr>
          <w:p w14:paraId="538F1099" w14:textId="77777777" w:rsidR="000B266B" w:rsidRPr="00A16C9B" w:rsidRDefault="000B266B" w:rsidP="0041700E">
            <w:pPr>
              <w:pStyle w:val="TableText"/>
              <w:jc w:val="center"/>
              <w:rPr>
                <w:rFonts w:ascii="Times" w:hAnsi="Times"/>
              </w:rPr>
            </w:pPr>
            <w:r w:rsidRPr="00A16C9B">
              <w:t>$</w:t>
            </w:r>
            <w:r w:rsidRPr="00AB52EE">
              <w:rPr>
                <w:color w:val="000000"/>
                <w:shd w:val="solid" w:color="000000" w:fill="000000"/>
                <w14:textFill>
                  <w14:solidFill>
                    <w14:srgbClr w14:val="000000">
                      <w14:alpha w14:val="100000"/>
                    </w14:srgbClr>
                  </w14:solidFill>
                </w14:textFill>
              </w:rPr>
              <w:t>|</w:t>
            </w:r>
          </w:p>
        </w:tc>
        <w:tc>
          <w:tcPr>
            <w:tcW w:w="1265" w:type="pct"/>
          </w:tcPr>
          <w:p w14:paraId="327C9360" w14:textId="77777777" w:rsidR="000B266B" w:rsidRPr="00A16C9B" w:rsidRDefault="000B266B" w:rsidP="0041700E">
            <w:pPr>
              <w:pStyle w:val="TableText"/>
              <w:jc w:val="center"/>
              <w:rPr>
                <w:rFonts w:ascii="Times" w:hAnsi="Times"/>
              </w:rPr>
            </w:pPr>
            <w:r w:rsidRPr="00A16C9B">
              <w:t>$0</w:t>
            </w:r>
          </w:p>
        </w:tc>
        <w:tc>
          <w:tcPr>
            <w:tcW w:w="866" w:type="pct"/>
          </w:tcPr>
          <w:p w14:paraId="702EA2E3" w14:textId="77777777" w:rsidR="000B266B" w:rsidRPr="00A16C9B" w:rsidRDefault="000B266B" w:rsidP="0041700E">
            <w:pPr>
              <w:pStyle w:val="TableText"/>
              <w:jc w:val="center"/>
              <w:rPr>
                <w:rFonts w:ascii="Times" w:hAnsi="Times"/>
              </w:rPr>
            </w:pPr>
            <w:r w:rsidRPr="00A16C9B">
              <w:t>$</w:t>
            </w:r>
            <w:r w:rsidRPr="00AB52EE">
              <w:rPr>
                <w:color w:val="000000"/>
                <w:shd w:val="solid" w:color="000000" w:fill="000000"/>
                <w14:textFill>
                  <w14:solidFill>
                    <w14:srgbClr w14:val="000000">
                      <w14:alpha w14:val="100000"/>
                    </w14:srgbClr>
                  </w14:solidFill>
                </w14:textFill>
              </w:rPr>
              <w:t>|</w:t>
            </w:r>
          </w:p>
        </w:tc>
      </w:tr>
      <w:tr w:rsidR="000B266B" w:rsidRPr="00A16C9B" w14:paraId="24354ACA" w14:textId="77777777" w:rsidTr="00B678E8">
        <w:tc>
          <w:tcPr>
            <w:tcW w:w="1520" w:type="pct"/>
            <w:vAlign w:val="center"/>
          </w:tcPr>
          <w:p w14:paraId="54D3A5D6" w14:textId="77777777" w:rsidR="000B266B" w:rsidRPr="00A16C9B" w:rsidRDefault="000B266B" w:rsidP="0041700E">
            <w:pPr>
              <w:pStyle w:val="TableText"/>
              <w:rPr>
                <w:rFonts w:ascii="Times" w:hAnsi="Times"/>
              </w:rPr>
            </w:pPr>
            <w:r w:rsidRPr="00A16C9B">
              <w:t>Virological response </w:t>
            </w:r>
            <w:r w:rsidRPr="00A16C9B">
              <w:rPr>
                <w:vertAlign w:val="superscript"/>
              </w:rPr>
              <w:t>a</w:t>
            </w:r>
            <w:r w:rsidRPr="00A16C9B">
              <w:t xml:space="preserve"> at 144 weeks</w:t>
            </w:r>
          </w:p>
        </w:tc>
        <w:tc>
          <w:tcPr>
            <w:tcW w:w="1350" w:type="pct"/>
          </w:tcPr>
          <w:p w14:paraId="568DD3D0" w14:textId="77777777" w:rsidR="000B266B" w:rsidRPr="00A16C9B" w:rsidRDefault="000B266B" w:rsidP="0041700E">
            <w:pPr>
              <w:pStyle w:val="TableText"/>
              <w:jc w:val="center"/>
              <w:rPr>
                <w:rFonts w:ascii="Times" w:hAnsi="Times"/>
              </w:rPr>
            </w:pPr>
            <w:r w:rsidRPr="00A16C9B">
              <w:t>73.5%</w:t>
            </w:r>
          </w:p>
        </w:tc>
        <w:tc>
          <w:tcPr>
            <w:tcW w:w="1265" w:type="pct"/>
          </w:tcPr>
          <w:p w14:paraId="1A03C0EF" w14:textId="77777777" w:rsidR="000B266B" w:rsidRPr="00A16C9B" w:rsidRDefault="000B266B" w:rsidP="0041700E">
            <w:pPr>
              <w:pStyle w:val="TableText"/>
              <w:jc w:val="center"/>
              <w:rPr>
                <w:rFonts w:ascii="Times" w:hAnsi="Times"/>
              </w:rPr>
            </w:pPr>
            <w:r w:rsidRPr="00A16C9B">
              <w:t>4.4%</w:t>
            </w:r>
          </w:p>
        </w:tc>
        <w:tc>
          <w:tcPr>
            <w:tcW w:w="866" w:type="pct"/>
          </w:tcPr>
          <w:p w14:paraId="1D0D59A8" w14:textId="77777777" w:rsidR="000B266B" w:rsidRPr="00A16C9B" w:rsidRDefault="000B266B" w:rsidP="0041700E">
            <w:pPr>
              <w:pStyle w:val="TableText"/>
              <w:jc w:val="center"/>
            </w:pPr>
            <w:r w:rsidRPr="00A16C9B">
              <w:t>69.1%</w:t>
            </w:r>
          </w:p>
        </w:tc>
      </w:tr>
      <w:tr w:rsidR="000B266B" w:rsidRPr="00A16C9B" w14:paraId="77D3D0B9" w14:textId="77777777" w:rsidTr="00B678E8">
        <w:tc>
          <w:tcPr>
            <w:tcW w:w="4134" w:type="pct"/>
            <w:gridSpan w:val="3"/>
            <w:vAlign w:val="center"/>
          </w:tcPr>
          <w:p w14:paraId="2B82E92C" w14:textId="77777777" w:rsidR="000B266B" w:rsidRPr="00A16C9B" w:rsidRDefault="000B266B" w:rsidP="0041700E">
            <w:pPr>
              <w:pStyle w:val="TableText"/>
              <w:rPr>
                <w:rFonts w:ascii="Times" w:hAnsi="Times"/>
              </w:rPr>
            </w:pPr>
            <w:r w:rsidRPr="00A16C9B">
              <w:t>Incremental cost/additional responder</w:t>
            </w:r>
          </w:p>
        </w:tc>
        <w:tc>
          <w:tcPr>
            <w:tcW w:w="866" w:type="pct"/>
            <w:vAlign w:val="center"/>
          </w:tcPr>
          <w:p w14:paraId="583802E4" w14:textId="77777777" w:rsidR="000B266B" w:rsidRPr="00A16C9B" w:rsidRDefault="000B266B" w:rsidP="0041700E">
            <w:pPr>
              <w:pStyle w:val="TableText"/>
              <w:jc w:val="center"/>
              <w:rPr>
                <w:rFonts w:ascii="Times" w:hAnsi="Times"/>
              </w:rPr>
            </w:pPr>
            <w:r w:rsidRPr="00A16C9B">
              <w:t>$</w:t>
            </w:r>
            <w:r w:rsidRPr="00AB52EE">
              <w:rPr>
                <w:color w:val="000000"/>
                <w:shd w:val="solid" w:color="000000" w:fill="000000"/>
                <w14:textFill>
                  <w14:solidFill>
                    <w14:srgbClr w14:val="000000">
                      <w14:alpha w14:val="100000"/>
                    </w14:srgbClr>
                  </w14:solidFill>
                </w14:textFill>
              </w:rPr>
              <w:t>|</w:t>
            </w:r>
            <w:r w:rsidRPr="00D120E3">
              <w:rPr>
                <w:vertAlign w:val="superscript"/>
              </w:rPr>
              <w:t>2</w:t>
            </w:r>
          </w:p>
        </w:tc>
      </w:tr>
      <w:tr w:rsidR="000B266B" w:rsidRPr="00A16C9B" w14:paraId="6010EDAD" w14:textId="77777777" w:rsidTr="00B678E8">
        <w:tc>
          <w:tcPr>
            <w:tcW w:w="5000" w:type="pct"/>
            <w:gridSpan w:val="4"/>
            <w:vAlign w:val="center"/>
          </w:tcPr>
          <w:p w14:paraId="13FB38A1" w14:textId="77777777" w:rsidR="000B266B" w:rsidRPr="00A16C9B" w:rsidRDefault="000B266B" w:rsidP="0041700E">
            <w:pPr>
              <w:pStyle w:val="In-tableHeading"/>
              <w:rPr>
                <w:lang w:val="en-AU"/>
              </w:rPr>
            </w:pPr>
            <w:r w:rsidRPr="00A16C9B">
              <w:rPr>
                <w:lang w:val="en-AU"/>
              </w:rPr>
              <w:t>Step 3: Transformation of virological response into QALYs</w:t>
            </w:r>
          </w:p>
          <w:p w14:paraId="27B82FDD" w14:textId="77777777" w:rsidR="000B266B" w:rsidRPr="00A16C9B" w:rsidRDefault="000B266B" w:rsidP="0041700E">
            <w:pPr>
              <w:pStyle w:val="In-tableHeading"/>
              <w:rPr>
                <w:b w:val="0"/>
                <w:bCs/>
                <w:lang w:val="en-AU"/>
              </w:rPr>
            </w:pPr>
            <w:r w:rsidRPr="00A16C9B">
              <w:rPr>
                <w:b w:val="0"/>
                <w:bCs/>
                <w:lang w:val="en-AU"/>
              </w:rPr>
              <w:t>A utility increment of 0.033 × 2.00 years (i.e. 144 weeks) was applied per patient with virological response at 144 weeks.</w:t>
            </w:r>
          </w:p>
        </w:tc>
      </w:tr>
      <w:tr w:rsidR="000B266B" w:rsidRPr="00A16C9B" w14:paraId="5C14EB45" w14:textId="77777777" w:rsidTr="00B678E8">
        <w:tc>
          <w:tcPr>
            <w:tcW w:w="1520" w:type="pct"/>
            <w:vAlign w:val="center"/>
          </w:tcPr>
          <w:p w14:paraId="047AEF20" w14:textId="77777777" w:rsidR="000B266B" w:rsidRPr="00A16C9B" w:rsidRDefault="000B266B" w:rsidP="0041700E">
            <w:pPr>
              <w:pStyle w:val="TableText"/>
              <w:rPr>
                <w:rFonts w:ascii="Times" w:hAnsi="Times"/>
              </w:rPr>
            </w:pPr>
            <w:r w:rsidRPr="00A16C9B">
              <w:t>Costs</w:t>
            </w:r>
          </w:p>
        </w:tc>
        <w:tc>
          <w:tcPr>
            <w:tcW w:w="1350" w:type="pct"/>
          </w:tcPr>
          <w:p w14:paraId="7B3459F7" w14:textId="77777777" w:rsidR="000B266B" w:rsidRPr="00A16C9B" w:rsidRDefault="000B266B" w:rsidP="0041700E">
            <w:pPr>
              <w:pStyle w:val="TableText"/>
              <w:jc w:val="center"/>
              <w:rPr>
                <w:rFonts w:ascii="Times" w:hAnsi="Times"/>
              </w:rPr>
            </w:pPr>
            <w:r w:rsidRPr="00A16C9B">
              <w:t>$</w:t>
            </w:r>
            <w:r w:rsidRPr="00AB52EE">
              <w:rPr>
                <w:color w:val="000000"/>
                <w:shd w:val="solid" w:color="000000" w:fill="000000"/>
                <w14:textFill>
                  <w14:solidFill>
                    <w14:srgbClr w14:val="000000">
                      <w14:alpha w14:val="100000"/>
                    </w14:srgbClr>
                  </w14:solidFill>
                </w14:textFill>
              </w:rPr>
              <w:t>|</w:t>
            </w:r>
          </w:p>
        </w:tc>
        <w:tc>
          <w:tcPr>
            <w:tcW w:w="1265" w:type="pct"/>
          </w:tcPr>
          <w:p w14:paraId="226C538A" w14:textId="77777777" w:rsidR="000B266B" w:rsidRPr="00A16C9B" w:rsidRDefault="000B266B" w:rsidP="0041700E">
            <w:pPr>
              <w:pStyle w:val="TableText"/>
              <w:jc w:val="center"/>
              <w:rPr>
                <w:rFonts w:ascii="Times" w:hAnsi="Times"/>
              </w:rPr>
            </w:pPr>
            <w:r w:rsidRPr="00A16C9B">
              <w:t>$0</w:t>
            </w:r>
          </w:p>
        </w:tc>
        <w:tc>
          <w:tcPr>
            <w:tcW w:w="866" w:type="pct"/>
          </w:tcPr>
          <w:p w14:paraId="30CDA3E2" w14:textId="77777777" w:rsidR="000B266B" w:rsidRPr="00A16C9B" w:rsidRDefault="000B266B" w:rsidP="0041700E">
            <w:pPr>
              <w:pStyle w:val="TableText"/>
              <w:jc w:val="center"/>
              <w:rPr>
                <w:rFonts w:ascii="Times" w:hAnsi="Times"/>
              </w:rPr>
            </w:pPr>
            <w:r w:rsidRPr="00A16C9B">
              <w:t>$</w:t>
            </w:r>
            <w:r w:rsidRPr="00AB52EE">
              <w:rPr>
                <w:color w:val="000000"/>
                <w:shd w:val="solid" w:color="000000" w:fill="000000"/>
                <w14:textFill>
                  <w14:solidFill>
                    <w14:srgbClr w14:val="000000">
                      <w14:alpha w14:val="100000"/>
                    </w14:srgbClr>
                  </w14:solidFill>
                </w14:textFill>
              </w:rPr>
              <w:t>|</w:t>
            </w:r>
          </w:p>
        </w:tc>
      </w:tr>
      <w:tr w:rsidR="000B266B" w:rsidRPr="00A16C9B" w14:paraId="39743793" w14:textId="77777777" w:rsidTr="00B678E8">
        <w:tc>
          <w:tcPr>
            <w:tcW w:w="1520" w:type="pct"/>
            <w:vAlign w:val="center"/>
          </w:tcPr>
          <w:p w14:paraId="29928B90" w14:textId="77777777" w:rsidR="000B266B" w:rsidRPr="00A16C9B" w:rsidRDefault="000B266B" w:rsidP="0041700E">
            <w:pPr>
              <w:pStyle w:val="TableText"/>
              <w:rPr>
                <w:rFonts w:ascii="Times" w:hAnsi="Times"/>
              </w:rPr>
            </w:pPr>
            <w:r w:rsidRPr="00A16C9B">
              <w:t>QALY gained</w:t>
            </w:r>
          </w:p>
        </w:tc>
        <w:tc>
          <w:tcPr>
            <w:tcW w:w="1350" w:type="pct"/>
          </w:tcPr>
          <w:p w14:paraId="7600D073" w14:textId="77777777" w:rsidR="000B266B" w:rsidRPr="00A16C9B" w:rsidRDefault="000B266B" w:rsidP="0041700E">
            <w:pPr>
              <w:pStyle w:val="TableText"/>
              <w:jc w:val="center"/>
              <w:rPr>
                <w:rFonts w:ascii="Times" w:hAnsi="Times"/>
              </w:rPr>
            </w:pPr>
            <w:r w:rsidRPr="00A16C9B">
              <w:t>0.067</w:t>
            </w:r>
          </w:p>
        </w:tc>
        <w:tc>
          <w:tcPr>
            <w:tcW w:w="1265" w:type="pct"/>
          </w:tcPr>
          <w:p w14:paraId="1849D460" w14:textId="77777777" w:rsidR="000B266B" w:rsidRPr="00A16C9B" w:rsidRDefault="000B266B" w:rsidP="0041700E">
            <w:pPr>
              <w:pStyle w:val="TableText"/>
              <w:jc w:val="center"/>
            </w:pPr>
            <w:r w:rsidRPr="00A16C9B">
              <w:t>0.004</w:t>
            </w:r>
          </w:p>
        </w:tc>
        <w:tc>
          <w:tcPr>
            <w:tcW w:w="866" w:type="pct"/>
          </w:tcPr>
          <w:p w14:paraId="63651F72" w14:textId="77777777" w:rsidR="000B266B" w:rsidRPr="00A16C9B" w:rsidRDefault="000B266B" w:rsidP="0041700E">
            <w:pPr>
              <w:pStyle w:val="TableText"/>
              <w:jc w:val="center"/>
            </w:pPr>
            <w:r w:rsidRPr="00A16C9B">
              <w:t>0.063</w:t>
            </w:r>
          </w:p>
        </w:tc>
      </w:tr>
      <w:tr w:rsidR="000B266B" w:rsidRPr="00A16C9B" w14:paraId="1E723D45" w14:textId="77777777" w:rsidTr="00B678E8">
        <w:tc>
          <w:tcPr>
            <w:tcW w:w="4134" w:type="pct"/>
            <w:gridSpan w:val="3"/>
            <w:vAlign w:val="center"/>
          </w:tcPr>
          <w:p w14:paraId="3A84D01B" w14:textId="77777777" w:rsidR="000B266B" w:rsidRPr="00A16C9B" w:rsidRDefault="000B266B" w:rsidP="0041700E">
            <w:pPr>
              <w:pStyle w:val="TableText"/>
              <w:rPr>
                <w:rFonts w:ascii="Times" w:hAnsi="Times"/>
              </w:rPr>
            </w:pPr>
            <w:r w:rsidRPr="00A16C9B">
              <w:t>Incremental cost/extra QALY gained</w:t>
            </w:r>
          </w:p>
        </w:tc>
        <w:tc>
          <w:tcPr>
            <w:tcW w:w="866" w:type="pct"/>
            <w:vAlign w:val="center"/>
          </w:tcPr>
          <w:p w14:paraId="14305D26" w14:textId="77777777" w:rsidR="000B266B" w:rsidRPr="00A16C9B" w:rsidRDefault="000B266B" w:rsidP="0041700E">
            <w:pPr>
              <w:pStyle w:val="TableText"/>
              <w:jc w:val="center"/>
              <w:rPr>
                <w:rFonts w:ascii="Times" w:hAnsi="Times"/>
              </w:rPr>
            </w:pPr>
            <w:r w:rsidRPr="00A16C9B">
              <w:t>$</w:t>
            </w:r>
            <w:r w:rsidRPr="00AB52EE">
              <w:rPr>
                <w:color w:val="000000"/>
                <w:shd w:val="solid" w:color="000000" w:fill="000000"/>
                <w14:textFill>
                  <w14:solidFill>
                    <w14:srgbClr w14:val="000000">
                      <w14:alpha w14:val="100000"/>
                    </w14:srgbClr>
                  </w14:solidFill>
                </w14:textFill>
              </w:rPr>
              <w:t>|</w:t>
            </w:r>
            <w:r w:rsidRPr="004739C9">
              <w:rPr>
                <w:vertAlign w:val="superscript"/>
              </w:rPr>
              <w:t>2</w:t>
            </w:r>
          </w:p>
        </w:tc>
      </w:tr>
      <w:tr w:rsidR="000B266B" w:rsidRPr="00A16C9B" w14:paraId="3B870B8F" w14:textId="77777777" w:rsidTr="00B678E8">
        <w:tc>
          <w:tcPr>
            <w:tcW w:w="5000" w:type="pct"/>
            <w:gridSpan w:val="4"/>
            <w:vAlign w:val="center"/>
          </w:tcPr>
          <w:p w14:paraId="1FA537F7" w14:textId="77777777" w:rsidR="000B266B" w:rsidRPr="00A16C9B" w:rsidRDefault="000B266B" w:rsidP="0041700E">
            <w:pPr>
              <w:pStyle w:val="In-tableHeading"/>
              <w:rPr>
                <w:lang w:val="en-AU"/>
              </w:rPr>
            </w:pPr>
            <w:r w:rsidRPr="00A16C9B">
              <w:rPr>
                <w:lang w:val="en-AU"/>
              </w:rPr>
              <w:t>Step 3a: Transformation of the surrogate outcome of virological response into effect on disease progression</w:t>
            </w:r>
          </w:p>
          <w:p w14:paraId="2060C58A" w14:textId="77777777" w:rsidR="000B266B" w:rsidRPr="00A16C9B" w:rsidRDefault="000B266B" w:rsidP="0041700E">
            <w:pPr>
              <w:pStyle w:val="In-tableHeading"/>
              <w:rPr>
                <w:b w:val="0"/>
                <w:bCs/>
                <w:lang w:val="en-AU"/>
              </w:rPr>
            </w:pPr>
            <w:r w:rsidRPr="00A16C9B">
              <w:rPr>
                <w:b w:val="0"/>
                <w:bCs/>
                <w:lang w:val="en-AU"/>
              </w:rPr>
              <w:t>Differences in disease progression were modelled across responders and non-responders based on the estimated relationship between virological response and liver-related outcomes. While the cost of testing was unchanged from the steps prior, the cost of bulevirtide treatment was reduced due to disease progression or HBsAg seroclearance. Costs of managing AEs, monitoring costs and other health state costs (disease management, liver transplantation and liver-related death) were included. Utility weights were applied according to the time spent in each health state and disutility due to AEs was included.</w:t>
            </w:r>
          </w:p>
        </w:tc>
      </w:tr>
      <w:tr w:rsidR="000B266B" w:rsidRPr="00A16C9B" w14:paraId="42822745" w14:textId="77777777" w:rsidTr="00B678E8">
        <w:tc>
          <w:tcPr>
            <w:tcW w:w="1520" w:type="pct"/>
            <w:vAlign w:val="center"/>
          </w:tcPr>
          <w:p w14:paraId="46D35147" w14:textId="77777777" w:rsidR="000B266B" w:rsidRPr="00A16C9B" w:rsidRDefault="000B266B" w:rsidP="0041700E">
            <w:pPr>
              <w:pStyle w:val="TableText"/>
              <w:rPr>
                <w:rFonts w:ascii="Times" w:hAnsi="Times"/>
              </w:rPr>
            </w:pPr>
            <w:r w:rsidRPr="00A16C9B">
              <w:t>Costs</w:t>
            </w:r>
          </w:p>
        </w:tc>
        <w:tc>
          <w:tcPr>
            <w:tcW w:w="1350" w:type="pct"/>
          </w:tcPr>
          <w:p w14:paraId="33E1F2F3" w14:textId="77777777" w:rsidR="000B266B" w:rsidRPr="00A16C9B" w:rsidRDefault="000B266B" w:rsidP="0041700E">
            <w:pPr>
              <w:pStyle w:val="TableText"/>
              <w:jc w:val="center"/>
            </w:pPr>
            <w:r w:rsidRPr="00A16C9B">
              <w:t>$</w:t>
            </w:r>
            <w:r w:rsidRPr="00AB52EE">
              <w:rPr>
                <w:color w:val="000000"/>
                <w:shd w:val="solid" w:color="000000" w:fill="000000"/>
                <w14:textFill>
                  <w14:solidFill>
                    <w14:srgbClr w14:val="000000">
                      <w14:alpha w14:val="100000"/>
                    </w14:srgbClr>
                  </w14:solidFill>
                </w14:textFill>
              </w:rPr>
              <w:t>|</w:t>
            </w:r>
          </w:p>
        </w:tc>
        <w:tc>
          <w:tcPr>
            <w:tcW w:w="1265" w:type="pct"/>
          </w:tcPr>
          <w:p w14:paraId="7E322C2A" w14:textId="77777777" w:rsidR="000B266B" w:rsidRPr="00A16C9B" w:rsidRDefault="000B266B" w:rsidP="0041700E">
            <w:pPr>
              <w:pStyle w:val="TableText"/>
              <w:jc w:val="center"/>
            </w:pPr>
            <w:r w:rsidRPr="00A16C9B">
              <w:t>$15,160</w:t>
            </w:r>
          </w:p>
        </w:tc>
        <w:tc>
          <w:tcPr>
            <w:tcW w:w="866" w:type="pct"/>
          </w:tcPr>
          <w:p w14:paraId="65D549EE" w14:textId="77777777" w:rsidR="000B266B" w:rsidRPr="00A16C9B" w:rsidRDefault="000B266B" w:rsidP="0041700E">
            <w:pPr>
              <w:pStyle w:val="TableText"/>
              <w:jc w:val="center"/>
            </w:pPr>
            <w:r w:rsidRPr="00A16C9B">
              <w:t>$</w:t>
            </w:r>
            <w:r w:rsidRPr="00AB52EE">
              <w:rPr>
                <w:color w:val="000000"/>
                <w:shd w:val="solid" w:color="000000" w:fill="000000"/>
                <w14:textFill>
                  <w14:solidFill>
                    <w14:srgbClr w14:val="000000">
                      <w14:alpha w14:val="100000"/>
                    </w14:srgbClr>
                  </w14:solidFill>
                </w14:textFill>
              </w:rPr>
              <w:t>|</w:t>
            </w:r>
          </w:p>
        </w:tc>
      </w:tr>
      <w:tr w:rsidR="000B266B" w:rsidRPr="00A16C9B" w14:paraId="6DB1A7DD" w14:textId="77777777" w:rsidTr="00B678E8">
        <w:tc>
          <w:tcPr>
            <w:tcW w:w="1520" w:type="pct"/>
            <w:vAlign w:val="center"/>
          </w:tcPr>
          <w:p w14:paraId="16296CEB" w14:textId="77777777" w:rsidR="000B266B" w:rsidRPr="00A16C9B" w:rsidRDefault="000B266B" w:rsidP="0041700E">
            <w:pPr>
              <w:pStyle w:val="TableText"/>
            </w:pPr>
            <w:r w:rsidRPr="00A16C9B">
              <w:t>LY gained</w:t>
            </w:r>
          </w:p>
        </w:tc>
        <w:tc>
          <w:tcPr>
            <w:tcW w:w="1350" w:type="pct"/>
          </w:tcPr>
          <w:p w14:paraId="4E442798" w14:textId="77777777" w:rsidR="000B266B" w:rsidRPr="00A16C9B" w:rsidRDefault="000B266B" w:rsidP="0041700E">
            <w:pPr>
              <w:pStyle w:val="TableText"/>
              <w:jc w:val="center"/>
            </w:pPr>
            <w:r w:rsidRPr="00A16C9B">
              <w:t>2.43</w:t>
            </w:r>
          </w:p>
        </w:tc>
        <w:tc>
          <w:tcPr>
            <w:tcW w:w="1265" w:type="pct"/>
          </w:tcPr>
          <w:p w14:paraId="27AFE336" w14:textId="77777777" w:rsidR="000B266B" w:rsidRPr="00A16C9B" w:rsidRDefault="000B266B" w:rsidP="0041700E">
            <w:pPr>
              <w:pStyle w:val="TableText"/>
              <w:jc w:val="center"/>
            </w:pPr>
            <w:r w:rsidRPr="00A16C9B">
              <w:t>2.39</w:t>
            </w:r>
          </w:p>
        </w:tc>
        <w:tc>
          <w:tcPr>
            <w:tcW w:w="866" w:type="pct"/>
          </w:tcPr>
          <w:p w14:paraId="21AC6529" w14:textId="77777777" w:rsidR="000B266B" w:rsidRPr="00A16C9B" w:rsidRDefault="000B266B" w:rsidP="0041700E">
            <w:pPr>
              <w:pStyle w:val="TableText"/>
              <w:jc w:val="center"/>
            </w:pPr>
            <w:r w:rsidRPr="00A16C9B">
              <w:t>0.04</w:t>
            </w:r>
          </w:p>
        </w:tc>
      </w:tr>
      <w:tr w:rsidR="000B266B" w:rsidRPr="00A16C9B" w14:paraId="670C9513" w14:textId="77777777" w:rsidTr="00B678E8">
        <w:tc>
          <w:tcPr>
            <w:tcW w:w="1520" w:type="pct"/>
            <w:vAlign w:val="center"/>
          </w:tcPr>
          <w:p w14:paraId="5381BE8C" w14:textId="77777777" w:rsidR="000B266B" w:rsidRPr="00A16C9B" w:rsidRDefault="000B266B" w:rsidP="0041700E">
            <w:pPr>
              <w:pStyle w:val="TableText"/>
              <w:rPr>
                <w:rFonts w:ascii="Times" w:hAnsi="Times"/>
              </w:rPr>
            </w:pPr>
            <w:r w:rsidRPr="00A16C9B">
              <w:t>QALY gained</w:t>
            </w:r>
          </w:p>
        </w:tc>
        <w:tc>
          <w:tcPr>
            <w:tcW w:w="1350" w:type="pct"/>
          </w:tcPr>
          <w:p w14:paraId="3377E50A" w14:textId="77777777" w:rsidR="000B266B" w:rsidRPr="00A16C9B" w:rsidRDefault="000B266B" w:rsidP="0041700E">
            <w:pPr>
              <w:pStyle w:val="TableText"/>
              <w:jc w:val="center"/>
              <w:rPr>
                <w:rFonts w:ascii="Times" w:hAnsi="Times"/>
              </w:rPr>
            </w:pPr>
            <w:r w:rsidRPr="00A16C9B">
              <w:t>2.24</w:t>
            </w:r>
          </w:p>
        </w:tc>
        <w:tc>
          <w:tcPr>
            <w:tcW w:w="1265" w:type="pct"/>
          </w:tcPr>
          <w:p w14:paraId="199A84DB" w14:textId="77777777" w:rsidR="000B266B" w:rsidRPr="00A16C9B" w:rsidRDefault="000B266B" w:rsidP="0041700E">
            <w:pPr>
              <w:pStyle w:val="TableText"/>
              <w:jc w:val="center"/>
              <w:rPr>
                <w:rFonts w:ascii="Times" w:hAnsi="Times"/>
              </w:rPr>
            </w:pPr>
            <w:r w:rsidRPr="00A16C9B">
              <w:t>2.12</w:t>
            </w:r>
          </w:p>
        </w:tc>
        <w:tc>
          <w:tcPr>
            <w:tcW w:w="866" w:type="pct"/>
          </w:tcPr>
          <w:p w14:paraId="57E77F54" w14:textId="77777777" w:rsidR="000B266B" w:rsidRPr="00A16C9B" w:rsidRDefault="000B266B" w:rsidP="0041700E">
            <w:pPr>
              <w:pStyle w:val="TableText"/>
              <w:jc w:val="center"/>
            </w:pPr>
            <w:r w:rsidRPr="00A16C9B">
              <w:t>0.12</w:t>
            </w:r>
          </w:p>
        </w:tc>
      </w:tr>
      <w:tr w:rsidR="000B266B" w:rsidRPr="00A16C9B" w14:paraId="3067690B" w14:textId="77777777" w:rsidTr="00B678E8">
        <w:tc>
          <w:tcPr>
            <w:tcW w:w="4134" w:type="pct"/>
            <w:gridSpan w:val="3"/>
            <w:vAlign w:val="center"/>
          </w:tcPr>
          <w:p w14:paraId="68BFF8C1" w14:textId="77777777" w:rsidR="000B266B" w:rsidRPr="00A16C9B" w:rsidRDefault="000B266B" w:rsidP="0041700E">
            <w:pPr>
              <w:pStyle w:val="TableText"/>
              <w:rPr>
                <w:rFonts w:ascii="Times" w:hAnsi="Times"/>
              </w:rPr>
            </w:pPr>
            <w:r w:rsidRPr="00A16C9B">
              <w:t>Incremental cost/extra QALY gained</w:t>
            </w:r>
          </w:p>
        </w:tc>
        <w:tc>
          <w:tcPr>
            <w:tcW w:w="866" w:type="pct"/>
            <w:vAlign w:val="center"/>
          </w:tcPr>
          <w:p w14:paraId="27B6F1CF" w14:textId="77777777" w:rsidR="000B266B" w:rsidRPr="00A16C9B" w:rsidRDefault="000B266B" w:rsidP="0041700E">
            <w:pPr>
              <w:pStyle w:val="TableText"/>
              <w:jc w:val="center"/>
            </w:pPr>
            <w:r w:rsidRPr="00A16C9B">
              <w:t>$</w:t>
            </w:r>
            <w:r w:rsidRPr="00AB52EE">
              <w:rPr>
                <w:color w:val="000000"/>
                <w:shd w:val="solid" w:color="000000" w:fill="000000"/>
                <w14:textFill>
                  <w14:solidFill>
                    <w14:srgbClr w14:val="000000">
                      <w14:alpha w14:val="100000"/>
                    </w14:srgbClr>
                  </w14:solidFill>
                </w14:textFill>
              </w:rPr>
              <w:t>|</w:t>
            </w:r>
            <w:r w:rsidRPr="00D120E3">
              <w:rPr>
                <w:vertAlign w:val="superscript"/>
              </w:rPr>
              <w:t>3</w:t>
            </w:r>
          </w:p>
        </w:tc>
      </w:tr>
      <w:tr w:rsidR="000B266B" w:rsidRPr="00A16C9B" w14:paraId="14EB9FB0" w14:textId="77777777" w:rsidTr="00B678E8">
        <w:tc>
          <w:tcPr>
            <w:tcW w:w="5000" w:type="pct"/>
            <w:gridSpan w:val="4"/>
            <w:vAlign w:val="center"/>
          </w:tcPr>
          <w:p w14:paraId="0A35927B" w14:textId="77777777" w:rsidR="000B266B" w:rsidRPr="00A16C9B" w:rsidRDefault="000B266B" w:rsidP="0041700E">
            <w:pPr>
              <w:pStyle w:val="In-tableHeading"/>
              <w:rPr>
                <w:lang w:val="en-AU"/>
              </w:rPr>
            </w:pPr>
            <w:r w:rsidRPr="00A16C9B">
              <w:rPr>
                <w:lang w:val="en-AU"/>
              </w:rPr>
              <w:t>Step 3b: Adjustment of compliance to bulevirtide treatment</w:t>
            </w:r>
          </w:p>
          <w:p w14:paraId="44413719" w14:textId="77777777" w:rsidR="000B266B" w:rsidRPr="00A16C9B" w:rsidRDefault="000B266B" w:rsidP="0041700E">
            <w:pPr>
              <w:pStyle w:val="In-tableHeading"/>
              <w:rPr>
                <w:b w:val="0"/>
                <w:bCs/>
                <w:lang w:val="en-AU"/>
              </w:rPr>
            </w:pPr>
            <w:r w:rsidRPr="00A16C9B">
              <w:rPr>
                <w:b w:val="0"/>
                <w:bCs/>
                <w:lang w:val="en-AU"/>
              </w:rPr>
              <w:t>Costs and outcomes as per Step 3a, except bulevirtide costs were adjusted for reduced compliance (90%)</w:t>
            </w:r>
          </w:p>
        </w:tc>
      </w:tr>
      <w:tr w:rsidR="000B266B" w:rsidRPr="00A16C9B" w14:paraId="19343ECE" w14:textId="77777777" w:rsidTr="00B678E8">
        <w:tc>
          <w:tcPr>
            <w:tcW w:w="1520" w:type="pct"/>
            <w:vAlign w:val="center"/>
          </w:tcPr>
          <w:p w14:paraId="2E59E21A" w14:textId="77777777" w:rsidR="000B266B" w:rsidRPr="00A16C9B" w:rsidRDefault="000B266B" w:rsidP="0041700E">
            <w:pPr>
              <w:pStyle w:val="TableText"/>
              <w:rPr>
                <w:rFonts w:ascii="Times" w:hAnsi="Times"/>
              </w:rPr>
            </w:pPr>
            <w:r w:rsidRPr="00A16C9B">
              <w:t>Costs</w:t>
            </w:r>
          </w:p>
        </w:tc>
        <w:tc>
          <w:tcPr>
            <w:tcW w:w="1350" w:type="pct"/>
          </w:tcPr>
          <w:p w14:paraId="4943DE01" w14:textId="77777777" w:rsidR="000B266B" w:rsidRPr="00A16C9B" w:rsidRDefault="000B266B" w:rsidP="0041700E">
            <w:pPr>
              <w:pStyle w:val="TableText"/>
              <w:jc w:val="center"/>
            </w:pPr>
            <w:r w:rsidRPr="00A16C9B">
              <w:t>$</w:t>
            </w:r>
            <w:r w:rsidRPr="00AB52EE">
              <w:rPr>
                <w:color w:val="000000"/>
                <w:shd w:val="solid" w:color="000000" w:fill="000000"/>
                <w14:textFill>
                  <w14:solidFill>
                    <w14:srgbClr w14:val="000000">
                      <w14:alpha w14:val="100000"/>
                    </w14:srgbClr>
                  </w14:solidFill>
                </w14:textFill>
              </w:rPr>
              <w:t>|</w:t>
            </w:r>
          </w:p>
        </w:tc>
        <w:tc>
          <w:tcPr>
            <w:tcW w:w="1265" w:type="pct"/>
          </w:tcPr>
          <w:p w14:paraId="4BA8AF0B" w14:textId="77777777" w:rsidR="000B266B" w:rsidRPr="00A16C9B" w:rsidRDefault="000B266B" w:rsidP="0041700E">
            <w:pPr>
              <w:pStyle w:val="TableText"/>
              <w:jc w:val="center"/>
            </w:pPr>
            <w:r w:rsidRPr="00A16C9B">
              <w:t>$15,160</w:t>
            </w:r>
          </w:p>
        </w:tc>
        <w:tc>
          <w:tcPr>
            <w:tcW w:w="866" w:type="pct"/>
          </w:tcPr>
          <w:p w14:paraId="21501B4E" w14:textId="77777777" w:rsidR="000B266B" w:rsidRPr="00A16C9B" w:rsidRDefault="000B266B" w:rsidP="0041700E">
            <w:pPr>
              <w:pStyle w:val="TableText"/>
              <w:jc w:val="center"/>
            </w:pPr>
            <w:r w:rsidRPr="00A16C9B">
              <w:t>$</w:t>
            </w:r>
            <w:r w:rsidRPr="00AB52EE">
              <w:rPr>
                <w:color w:val="000000"/>
                <w:shd w:val="solid" w:color="000000" w:fill="000000"/>
                <w14:textFill>
                  <w14:solidFill>
                    <w14:srgbClr w14:val="000000">
                      <w14:alpha w14:val="100000"/>
                    </w14:srgbClr>
                  </w14:solidFill>
                </w14:textFill>
              </w:rPr>
              <w:t>|</w:t>
            </w:r>
          </w:p>
        </w:tc>
      </w:tr>
      <w:tr w:rsidR="000B266B" w:rsidRPr="00A16C9B" w14:paraId="2149909A" w14:textId="77777777" w:rsidTr="00B678E8">
        <w:tc>
          <w:tcPr>
            <w:tcW w:w="1520" w:type="pct"/>
            <w:vAlign w:val="center"/>
          </w:tcPr>
          <w:p w14:paraId="045A128C" w14:textId="77777777" w:rsidR="000B266B" w:rsidRPr="00A16C9B" w:rsidRDefault="000B266B" w:rsidP="0041700E">
            <w:pPr>
              <w:pStyle w:val="TableText"/>
            </w:pPr>
            <w:r w:rsidRPr="00A16C9B">
              <w:t>LY gained</w:t>
            </w:r>
          </w:p>
        </w:tc>
        <w:tc>
          <w:tcPr>
            <w:tcW w:w="1350" w:type="pct"/>
          </w:tcPr>
          <w:p w14:paraId="0E8630B2" w14:textId="77777777" w:rsidR="000B266B" w:rsidRPr="00A16C9B" w:rsidRDefault="000B266B" w:rsidP="0041700E">
            <w:pPr>
              <w:pStyle w:val="TableText"/>
              <w:jc w:val="center"/>
            </w:pPr>
            <w:r w:rsidRPr="00A16C9B">
              <w:t>2.43</w:t>
            </w:r>
          </w:p>
        </w:tc>
        <w:tc>
          <w:tcPr>
            <w:tcW w:w="1265" w:type="pct"/>
          </w:tcPr>
          <w:p w14:paraId="4D06DA1B" w14:textId="77777777" w:rsidR="000B266B" w:rsidRPr="00A16C9B" w:rsidRDefault="000B266B" w:rsidP="0041700E">
            <w:pPr>
              <w:pStyle w:val="TableText"/>
              <w:jc w:val="center"/>
            </w:pPr>
            <w:r w:rsidRPr="00A16C9B">
              <w:t>2.39</w:t>
            </w:r>
          </w:p>
        </w:tc>
        <w:tc>
          <w:tcPr>
            <w:tcW w:w="866" w:type="pct"/>
          </w:tcPr>
          <w:p w14:paraId="1AEA158D" w14:textId="77777777" w:rsidR="000B266B" w:rsidRPr="00A16C9B" w:rsidRDefault="000B266B" w:rsidP="0041700E">
            <w:pPr>
              <w:pStyle w:val="TableText"/>
              <w:jc w:val="center"/>
            </w:pPr>
            <w:r w:rsidRPr="00A16C9B">
              <w:t>0.04</w:t>
            </w:r>
          </w:p>
        </w:tc>
      </w:tr>
      <w:tr w:rsidR="000B266B" w:rsidRPr="00A16C9B" w14:paraId="1ADF3322" w14:textId="77777777" w:rsidTr="00B678E8">
        <w:tc>
          <w:tcPr>
            <w:tcW w:w="1520" w:type="pct"/>
            <w:vAlign w:val="center"/>
          </w:tcPr>
          <w:p w14:paraId="1E3D1746" w14:textId="77777777" w:rsidR="000B266B" w:rsidRPr="00A16C9B" w:rsidRDefault="000B266B" w:rsidP="0041700E">
            <w:pPr>
              <w:pStyle w:val="TableText"/>
              <w:rPr>
                <w:rFonts w:ascii="Times" w:hAnsi="Times"/>
              </w:rPr>
            </w:pPr>
            <w:r w:rsidRPr="00A16C9B">
              <w:t>QALY gained</w:t>
            </w:r>
          </w:p>
        </w:tc>
        <w:tc>
          <w:tcPr>
            <w:tcW w:w="1350" w:type="pct"/>
          </w:tcPr>
          <w:p w14:paraId="28B29C2B" w14:textId="77777777" w:rsidR="000B266B" w:rsidRPr="00A16C9B" w:rsidRDefault="000B266B" w:rsidP="0041700E">
            <w:pPr>
              <w:pStyle w:val="TableText"/>
              <w:jc w:val="center"/>
            </w:pPr>
            <w:r w:rsidRPr="00A16C9B">
              <w:t>2.24</w:t>
            </w:r>
          </w:p>
        </w:tc>
        <w:tc>
          <w:tcPr>
            <w:tcW w:w="1265" w:type="pct"/>
          </w:tcPr>
          <w:p w14:paraId="671DD8E3" w14:textId="77777777" w:rsidR="000B266B" w:rsidRPr="00A16C9B" w:rsidRDefault="000B266B" w:rsidP="0041700E">
            <w:pPr>
              <w:pStyle w:val="TableText"/>
              <w:jc w:val="center"/>
            </w:pPr>
            <w:r w:rsidRPr="00A16C9B">
              <w:t>2.12</w:t>
            </w:r>
          </w:p>
        </w:tc>
        <w:tc>
          <w:tcPr>
            <w:tcW w:w="866" w:type="pct"/>
          </w:tcPr>
          <w:p w14:paraId="7F16704D" w14:textId="77777777" w:rsidR="000B266B" w:rsidRPr="00A16C9B" w:rsidRDefault="000B266B" w:rsidP="0041700E">
            <w:pPr>
              <w:pStyle w:val="TableText"/>
              <w:jc w:val="center"/>
            </w:pPr>
            <w:r w:rsidRPr="00A16C9B">
              <w:t>0.12</w:t>
            </w:r>
          </w:p>
        </w:tc>
      </w:tr>
      <w:tr w:rsidR="000B266B" w:rsidRPr="00A16C9B" w14:paraId="09547D50" w14:textId="77777777" w:rsidTr="00B678E8">
        <w:tc>
          <w:tcPr>
            <w:tcW w:w="4134" w:type="pct"/>
            <w:gridSpan w:val="3"/>
            <w:vAlign w:val="center"/>
          </w:tcPr>
          <w:p w14:paraId="7FB96E3F" w14:textId="77777777" w:rsidR="000B266B" w:rsidRPr="00A16C9B" w:rsidRDefault="000B266B" w:rsidP="0041700E">
            <w:pPr>
              <w:pStyle w:val="TableText"/>
              <w:rPr>
                <w:rFonts w:ascii="Times" w:hAnsi="Times"/>
              </w:rPr>
            </w:pPr>
            <w:r w:rsidRPr="00A16C9B">
              <w:t>Incremental cost/extra QALY gained</w:t>
            </w:r>
          </w:p>
        </w:tc>
        <w:tc>
          <w:tcPr>
            <w:tcW w:w="866" w:type="pct"/>
            <w:vAlign w:val="center"/>
          </w:tcPr>
          <w:p w14:paraId="07C7715C" w14:textId="77777777" w:rsidR="000B266B" w:rsidRPr="00A16C9B" w:rsidRDefault="000B266B" w:rsidP="0041700E">
            <w:pPr>
              <w:pStyle w:val="TableText"/>
              <w:jc w:val="center"/>
              <w:rPr>
                <w:rFonts w:ascii="Times" w:hAnsi="Times"/>
              </w:rPr>
            </w:pPr>
            <w:r w:rsidRPr="00A16C9B">
              <w:t>$</w:t>
            </w:r>
            <w:r w:rsidRPr="00AB52EE">
              <w:rPr>
                <w:color w:val="000000"/>
                <w:shd w:val="solid" w:color="000000" w:fill="000000"/>
                <w14:textFill>
                  <w14:solidFill>
                    <w14:srgbClr w14:val="000000">
                      <w14:alpha w14:val="100000"/>
                    </w14:srgbClr>
                  </w14:solidFill>
                </w14:textFill>
              </w:rPr>
              <w:t>|</w:t>
            </w:r>
            <w:r w:rsidRPr="00D120E3">
              <w:rPr>
                <w:vertAlign w:val="superscript"/>
              </w:rPr>
              <w:t>4</w:t>
            </w:r>
          </w:p>
        </w:tc>
      </w:tr>
      <w:tr w:rsidR="000B266B" w:rsidRPr="00A16C9B" w14:paraId="570CFB07" w14:textId="77777777" w:rsidTr="00B678E8">
        <w:tc>
          <w:tcPr>
            <w:tcW w:w="5000" w:type="pct"/>
            <w:gridSpan w:val="4"/>
            <w:vAlign w:val="center"/>
          </w:tcPr>
          <w:p w14:paraId="095823F5" w14:textId="77777777" w:rsidR="000B266B" w:rsidRPr="00A16C9B" w:rsidRDefault="000B266B" w:rsidP="0041700E">
            <w:pPr>
              <w:pStyle w:val="In-tableHeading"/>
              <w:rPr>
                <w:lang w:val="en-AU"/>
              </w:rPr>
            </w:pPr>
            <w:r w:rsidRPr="00A16C9B">
              <w:rPr>
                <w:lang w:val="en-AU"/>
              </w:rPr>
              <w:t>Step 4: Extrapolation over 58 years</w:t>
            </w:r>
          </w:p>
          <w:p w14:paraId="156822D5" w14:textId="77777777" w:rsidR="000B266B" w:rsidRPr="00A16C9B" w:rsidRDefault="000B266B" w:rsidP="0041700E">
            <w:pPr>
              <w:pStyle w:val="In-tableHeading"/>
              <w:rPr>
                <w:b w:val="0"/>
                <w:bCs/>
                <w:lang w:val="en-AU"/>
              </w:rPr>
            </w:pPr>
            <w:r w:rsidRPr="00A16C9B">
              <w:rPr>
                <w:b w:val="0"/>
                <w:bCs/>
                <w:lang w:val="en-AU"/>
              </w:rPr>
              <w:t xml:space="preserve">Cost of testing and costs and outcomes due to AEs were unchanged from previous steps. All other costs and outcomes were extrapolated over 58-year time horizon. </w:t>
            </w:r>
          </w:p>
        </w:tc>
      </w:tr>
      <w:tr w:rsidR="000B266B" w:rsidRPr="00A16C9B" w14:paraId="6E8EC009" w14:textId="77777777" w:rsidTr="00B678E8">
        <w:tc>
          <w:tcPr>
            <w:tcW w:w="1520" w:type="pct"/>
            <w:vAlign w:val="center"/>
          </w:tcPr>
          <w:p w14:paraId="2807177B" w14:textId="77777777" w:rsidR="000B266B" w:rsidRPr="00A16C9B" w:rsidRDefault="000B266B" w:rsidP="0041700E">
            <w:pPr>
              <w:pStyle w:val="TableText"/>
              <w:rPr>
                <w:rFonts w:ascii="Times" w:hAnsi="Times"/>
              </w:rPr>
            </w:pPr>
            <w:r w:rsidRPr="00A16C9B">
              <w:t>Costs</w:t>
            </w:r>
          </w:p>
        </w:tc>
        <w:tc>
          <w:tcPr>
            <w:tcW w:w="1350" w:type="pct"/>
          </w:tcPr>
          <w:p w14:paraId="331C9EA7" w14:textId="77777777" w:rsidR="000B266B" w:rsidRPr="00A16C9B" w:rsidRDefault="000B266B" w:rsidP="0041700E">
            <w:pPr>
              <w:pStyle w:val="TableText"/>
              <w:jc w:val="center"/>
              <w:rPr>
                <w:szCs w:val="20"/>
              </w:rPr>
            </w:pPr>
            <w:r w:rsidRPr="00A16C9B">
              <w:rPr>
                <w:szCs w:val="20"/>
              </w:rPr>
              <w:t>$</w:t>
            </w:r>
            <w:r w:rsidRPr="00AB52EE">
              <w:rPr>
                <w:color w:val="000000"/>
                <w:szCs w:val="20"/>
                <w:shd w:val="solid" w:color="000000" w:fill="000000"/>
                <w14:textFill>
                  <w14:solidFill>
                    <w14:srgbClr w14:val="000000">
                      <w14:alpha w14:val="100000"/>
                    </w14:srgbClr>
                  </w14:solidFill>
                </w14:textFill>
              </w:rPr>
              <w:t>|</w:t>
            </w:r>
          </w:p>
        </w:tc>
        <w:tc>
          <w:tcPr>
            <w:tcW w:w="1265" w:type="pct"/>
          </w:tcPr>
          <w:p w14:paraId="6BFF45C1" w14:textId="77777777" w:rsidR="000B266B" w:rsidRPr="00A16C9B" w:rsidRDefault="000B266B" w:rsidP="0041700E">
            <w:pPr>
              <w:pStyle w:val="TableText"/>
              <w:jc w:val="center"/>
              <w:rPr>
                <w:szCs w:val="20"/>
              </w:rPr>
            </w:pPr>
            <w:r w:rsidRPr="00A16C9B">
              <w:rPr>
                <w:szCs w:val="20"/>
              </w:rPr>
              <w:t>$71,803</w:t>
            </w:r>
          </w:p>
        </w:tc>
        <w:tc>
          <w:tcPr>
            <w:tcW w:w="866" w:type="pct"/>
          </w:tcPr>
          <w:p w14:paraId="3B23FC31" w14:textId="77777777" w:rsidR="000B266B" w:rsidRPr="00A16C9B" w:rsidRDefault="000B266B" w:rsidP="0041700E">
            <w:pPr>
              <w:pStyle w:val="TableText"/>
              <w:jc w:val="center"/>
              <w:rPr>
                <w:szCs w:val="20"/>
              </w:rPr>
            </w:pPr>
            <w:r w:rsidRPr="00A16C9B">
              <w:rPr>
                <w:rFonts w:eastAsia="Calibri" w:cs="Calibri"/>
                <w:szCs w:val="20"/>
              </w:rPr>
              <w:t>$</w:t>
            </w:r>
            <w:r w:rsidRPr="00AB52EE">
              <w:rPr>
                <w:rFonts w:eastAsia="Calibri" w:cs="Calibri"/>
                <w:color w:val="000000"/>
                <w:szCs w:val="20"/>
                <w:shd w:val="solid" w:color="000000" w:fill="000000"/>
                <w14:textFill>
                  <w14:solidFill>
                    <w14:srgbClr w14:val="000000">
                      <w14:alpha w14:val="100000"/>
                    </w14:srgbClr>
                  </w14:solidFill>
                </w14:textFill>
              </w:rPr>
              <w:t>|</w:t>
            </w:r>
          </w:p>
        </w:tc>
      </w:tr>
      <w:tr w:rsidR="000B266B" w:rsidRPr="00A16C9B" w14:paraId="15E56AED" w14:textId="77777777" w:rsidTr="00B678E8">
        <w:tc>
          <w:tcPr>
            <w:tcW w:w="1520" w:type="pct"/>
            <w:vAlign w:val="center"/>
          </w:tcPr>
          <w:p w14:paraId="756A0A1C" w14:textId="77777777" w:rsidR="000B266B" w:rsidRPr="00A16C9B" w:rsidRDefault="000B266B" w:rsidP="0041700E">
            <w:pPr>
              <w:pStyle w:val="TableText"/>
            </w:pPr>
            <w:r w:rsidRPr="00A16C9B">
              <w:t>LY gained</w:t>
            </w:r>
          </w:p>
        </w:tc>
        <w:tc>
          <w:tcPr>
            <w:tcW w:w="1350" w:type="pct"/>
          </w:tcPr>
          <w:p w14:paraId="0012C34B" w14:textId="77777777" w:rsidR="000B266B" w:rsidRPr="00A16C9B" w:rsidRDefault="000B266B" w:rsidP="0041700E">
            <w:pPr>
              <w:pStyle w:val="TableText"/>
              <w:jc w:val="center"/>
              <w:rPr>
                <w:szCs w:val="20"/>
              </w:rPr>
            </w:pPr>
            <w:r w:rsidRPr="00A16C9B">
              <w:rPr>
                <w:szCs w:val="20"/>
              </w:rPr>
              <w:t>11.38</w:t>
            </w:r>
          </w:p>
        </w:tc>
        <w:tc>
          <w:tcPr>
            <w:tcW w:w="1265" w:type="pct"/>
          </w:tcPr>
          <w:p w14:paraId="6ADAD61B" w14:textId="77777777" w:rsidR="000B266B" w:rsidRPr="00A16C9B" w:rsidRDefault="000B266B" w:rsidP="0041700E">
            <w:pPr>
              <w:pStyle w:val="TableText"/>
              <w:jc w:val="center"/>
              <w:rPr>
                <w:szCs w:val="20"/>
              </w:rPr>
            </w:pPr>
            <w:r w:rsidRPr="00A16C9B">
              <w:rPr>
                <w:szCs w:val="20"/>
              </w:rPr>
              <w:t>8.47</w:t>
            </w:r>
          </w:p>
        </w:tc>
        <w:tc>
          <w:tcPr>
            <w:tcW w:w="866" w:type="pct"/>
          </w:tcPr>
          <w:p w14:paraId="6854BD0C" w14:textId="77777777" w:rsidR="000B266B" w:rsidRPr="00A16C9B" w:rsidRDefault="000B266B" w:rsidP="0041700E">
            <w:pPr>
              <w:pStyle w:val="TableText"/>
              <w:jc w:val="center"/>
              <w:rPr>
                <w:szCs w:val="20"/>
              </w:rPr>
            </w:pPr>
            <w:r w:rsidRPr="00A16C9B">
              <w:rPr>
                <w:szCs w:val="20"/>
              </w:rPr>
              <w:t>2.91</w:t>
            </w:r>
          </w:p>
        </w:tc>
      </w:tr>
      <w:tr w:rsidR="000B266B" w:rsidRPr="00A16C9B" w14:paraId="74466E9A" w14:textId="77777777" w:rsidTr="00B678E8">
        <w:tc>
          <w:tcPr>
            <w:tcW w:w="1520" w:type="pct"/>
            <w:vAlign w:val="center"/>
          </w:tcPr>
          <w:p w14:paraId="1D43B95A" w14:textId="77777777" w:rsidR="000B266B" w:rsidRPr="00A16C9B" w:rsidRDefault="000B266B" w:rsidP="0041700E">
            <w:pPr>
              <w:pStyle w:val="TableText"/>
              <w:rPr>
                <w:rFonts w:ascii="Times" w:hAnsi="Times"/>
              </w:rPr>
            </w:pPr>
            <w:r w:rsidRPr="00A16C9B">
              <w:t>QALY gained</w:t>
            </w:r>
          </w:p>
        </w:tc>
        <w:tc>
          <w:tcPr>
            <w:tcW w:w="1350" w:type="pct"/>
          </w:tcPr>
          <w:p w14:paraId="4A2A6E76" w14:textId="77777777" w:rsidR="000B266B" w:rsidRPr="00A16C9B" w:rsidRDefault="000B266B" w:rsidP="0041700E">
            <w:pPr>
              <w:pStyle w:val="TableText"/>
              <w:jc w:val="center"/>
              <w:rPr>
                <w:szCs w:val="20"/>
              </w:rPr>
            </w:pPr>
            <w:r w:rsidRPr="00A16C9B">
              <w:rPr>
                <w:rFonts w:cstheme="minorHAnsi"/>
                <w:szCs w:val="20"/>
              </w:rPr>
              <w:t>10.06</w:t>
            </w:r>
          </w:p>
        </w:tc>
        <w:tc>
          <w:tcPr>
            <w:tcW w:w="1265" w:type="pct"/>
          </w:tcPr>
          <w:p w14:paraId="58DC8A9E" w14:textId="77777777" w:rsidR="000B266B" w:rsidRPr="00A16C9B" w:rsidRDefault="000B266B" w:rsidP="0041700E">
            <w:pPr>
              <w:pStyle w:val="TableText"/>
              <w:jc w:val="center"/>
              <w:rPr>
                <w:szCs w:val="20"/>
              </w:rPr>
            </w:pPr>
            <w:r w:rsidRPr="00A16C9B">
              <w:rPr>
                <w:rFonts w:cstheme="minorHAnsi"/>
                <w:szCs w:val="20"/>
              </w:rPr>
              <w:t>7.11</w:t>
            </w:r>
          </w:p>
        </w:tc>
        <w:tc>
          <w:tcPr>
            <w:tcW w:w="866" w:type="pct"/>
          </w:tcPr>
          <w:p w14:paraId="1FBEC2DD" w14:textId="77777777" w:rsidR="000B266B" w:rsidRPr="00A16C9B" w:rsidRDefault="000B266B" w:rsidP="0041700E">
            <w:pPr>
              <w:pStyle w:val="TableText"/>
              <w:jc w:val="center"/>
              <w:rPr>
                <w:szCs w:val="20"/>
              </w:rPr>
            </w:pPr>
            <w:r w:rsidRPr="00A16C9B">
              <w:rPr>
                <w:rFonts w:cstheme="minorHAnsi"/>
                <w:szCs w:val="20"/>
              </w:rPr>
              <w:t>2.95</w:t>
            </w:r>
          </w:p>
        </w:tc>
      </w:tr>
      <w:tr w:rsidR="000B266B" w:rsidRPr="00A16C9B" w14:paraId="1A169C92" w14:textId="77777777" w:rsidTr="00B678E8">
        <w:tc>
          <w:tcPr>
            <w:tcW w:w="4134" w:type="pct"/>
            <w:gridSpan w:val="3"/>
            <w:vAlign w:val="center"/>
          </w:tcPr>
          <w:p w14:paraId="4D0DED60" w14:textId="77777777" w:rsidR="000B266B" w:rsidRPr="00A16C9B" w:rsidRDefault="000B266B" w:rsidP="0041700E">
            <w:pPr>
              <w:pStyle w:val="TableText"/>
              <w:rPr>
                <w:rFonts w:ascii="Times" w:hAnsi="Times"/>
                <w:b/>
              </w:rPr>
            </w:pPr>
            <w:r w:rsidRPr="00A16C9B">
              <w:rPr>
                <w:b/>
              </w:rPr>
              <w:t>Incremental cost/extra QALY gained (base case)</w:t>
            </w:r>
          </w:p>
        </w:tc>
        <w:tc>
          <w:tcPr>
            <w:tcW w:w="866" w:type="pct"/>
            <w:vAlign w:val="center"/>
          </w:tcPr>
          <w:p w14:paraId="2A585737" w14:textId="77777777" w:rsidR="000B266B" w:rsidRPr="00A16C9B" w:rsidRDefault="000B266B" w:rsidP="0041700E">
            <w:pPr>
              <w:pStyle w:val="TableText"/>
              <w:jc w:val="center"/>
              <w:rPr>
                <w:rFonts w:ascii="Times" w:hAnsi="Times"/>
                <w:b/>
              </w:rPr>
            </w:pPr>
            <w:r w:rsidRPr="00A16C9B">
              <w:rPr>
                <w:b/>
              </w:rPr>
              <w:t>$</w:t>
            </w:r>
            <w:r w:rsidRPr="00AB52EE">
              <w:rPr>
                <w:b/>
                <w:color w:val="000000"/>
                <w:shd w:val="solid" w:color="000000" w:fill="000000"/>
                <w14:textFill>
                  <w14:solidFill>
                    <w14:srgbClr w14:val="000000">
                      <w14:alpha w14:val="100000"/>
                    </w14:srgbClr>
                  </w14:solidFill>
                </w14:textFill>
              </w:rPr>
              <w:t>|</w:t>
            </w:r>
            <w:r w:rsidRPr="00D120E3">
              <w:rPr>
                <w:b/>
                <w:vertAlign w:val="superscript"/>
              </w:rPr>
              <w:t>5</w:t>
            </w:r>
          </w:p>
        </w:tc>
      </w:tr>
    </w:tbl>
    <w:p w14:paraId="70813A5E" w14:textId="77777777" w:rsidR="000B266B" w:rsidRPr="00A16C9B" w:rsidRDefault="000B266B" w:rsidP="0041700E">
      <w:pPr>
        <w:pStyle w:val="TableFooter"/>
        <w:widowControl/>
      </w:pPr>
      <w:r w:rsidRPr="00A16C9B">
        <w:t>Source: Table 3.8-1, p142 of the of the resubmission.</w:t>
      </w:r>
    </w:p>
    <w:p w14:paraId="28A9243B" w14:textId="77777777" w:rsidR="000B266B" w:rsidRPr="00A16C9B" w:rsidRDefault="000B266B" w:rsidP="0041700E">
      <w:pPr>
        <w:pStyle w:val="TableFooter"/>
        <w:widowControl/>
      </w:pPr>
      <w:r w:rsidRPr="00A16C9B">
        <w:t>AE = adverse event; BSC = best supportive care; HBsAg = hepatitis B surface antigen; HDV = hepatitis D virus; LYs = life years; QALYs = quality adjusted life years; RNA = ribonucleic acid.</w:t>
      </w:r>
    </w:p>
    <w:p w14:paraId="7BDFBD7A" w14:textId="77777777" w:rsidR="000B266B" w:rsidRPr="00A16C9B" w:rsidRDefault="000B266B" w:rsidP="0041700E">
      <w:pPr>
        <w:pStyle w:val="TableFooter"/>
        <w:widowControl/>
      </w:pPr>
      <w:r w:rsidRPr="00A16C9B">
        <w:t>Note: Analyses in italics were conducted during the evaluation.</w:t>
      </w:r>
    </w:p>
    <w:p w14:paraId="5174ED8D" w14:textId="77777777" w:rsidR="000B266B" w:rsidRDefault="000B266B" w:rsidP="0041700E">
      <w:pPr>
        <w:pStyle w:val="TableFooter"/>
        <w:widowControl/>
      </w:pPr>
      <w:r w:rsidRPr="00A16C9B">
        <w:rPr>
          <w:sz w:val="20"/>
          <w:vertAlign w:val="superscript"/>
        </w:rPr>
        <w:t>a</w:t>
      </w:r>
      <w:r w:rsidRPr="00A16C9B">
        <w:rPr>
          <w:sz w:val="20"/>
        </w:rPr>
        <w:t xml:space="preserve"> </w:t>
      </w:r>
      <w:r w:rsidRPr="00A16C9B">
        <w:t>Defined as undetectable HDV RNA or decrease in HDV RNA by ≥2 log</w:t>
      </w:r>
      <w:r w:rsidRPr="00A16C9B">
        <w:rPr>
          <w:vertAlign w:val="subscript"/>
        </w:rPr>
        <w:t>10</w:t>
      </w:r>
      <w:r w:rsidRPr="00A16C9B">
        <w:t> IU/mL from baseline.</w:t>
      </w:r>
      <w:r w:rsidRPr="00C03451">
        <w:t xml:space="preserve"> </w:t>
      </w:r>
    </w:p>
    <w:p w14:paraId="0DCA1A5C" w14:textId="77777777" w:rsidR="000B266B" w:rsidRPr="00D4016A" w:rsidRDefault="000B266B" w:rsidP="0041700E">
      <w:pPr>
        <w:pStyle w:val="TableFooter"/>
        <w:widowControl/>
        <w:rPr>
          <w:i/>
          <w:iCs/>
        </w:rPr>
      </w:pPr>
      <w:r w:rsidRPr="00D4016A">
        <w:rPr>
          <w:i/>
          <w:iCs/>
        </w:rPr>
        <w:t>The redacted values correspond to the following ranges:</w:t>
      </w:r>
    </w:p>
    <w:p w14:paraId="1D61F0A0" w14:textId="77777777" w:rsidR="000B266B" w:rsidRPr="00D4016A" w:rsidRDefault="000B266B" w:rsidP="0041700E">
      <w:pPr>
        <w:pStyle w:val="TableFooter"/>
        <w:widowControl/>
        <w:rPr>
          <w:i/>
          <w:iCs/>
        </w:rPr>
      </w:pPr>
      <w:r w:rsidRPr="00D4016A">
        <w:rPr>
          <w:i/>
          <w:iCs/>
          <w:vertAlign w:val="superscript"/>
        </w:rPr>
        <w:t>1</w:t>
      </w:r>
      <w:r w:rsidRPr="00D4016A">
        <w:rPr>
          <w:i/>
          <w:iCs/>
        </w:rPr>
        <w:t xml:space="preserve"> $55,000 to &lt; $75,000 </w:t>
      </w:r>
    </w:p>
    <w:p w14:paraId="5158DC40" w14:textId="77777777" w:rsidR="000B266B" w:rsidRPr="00D4016A" w:rsidRDefault="000B266B" w:rsidP="0041700E">
      <w:pPr>
        <w:pStyle w:val="TableFooter"/>
        <w:widowControl/>
        <w:rPr>
          <w:i/>
          <w:iCs/>
        </w:rPr>
      </w:pPr>
      <w:r w:rsidRPr="00D4016A">
        <w:rPr>
          <w:i/>
          <w:iCs/>
          <w:vertAlign w:val="superscript"/>
        </w:rPr>
        <w:t>2</w:t>
      </w:r>
      <w:r w:rsidRPr="00D4016A">
        <w:rPr>
          <w:i/>
          <w:iCs/>
        </w:rPr>
        <w:t xml:space="preserve"> $155,000 to &lt; $255,000</w:t>
      </w:r>
    </w:p>
    <w:p w14:paraId="590670F2" w14:textId="77777777" w:rsidR="000B266B" w:rsidRPr="00D4016A" w:rsidRDefault="000B266B" w:rsidP="0041700E">
      <w:pPr>
        <w:pStyle w:val="TableFooter"/>
        <w:widowControl/>
        <w:rPr>
          <w:i/>
          <w:iCs/>
        </w:rPr>
      </w:pPr>
      <w:r w:rsidRPr="00D4016A">
        <w:rPr>
          <w:i/>
          <w:iCs/>
          <w:vertAlign w:val="superscript"/>
        </w:rPr>
        <w:lastRenderedPageBreak/>
        <w:t>3</w:t>
      </w:r>
      <w:r w:rsidRPr="00D4016A">
        <w:rPr>
          <w:i/>
          <w:iCs/>
        </w:rPr>
        <w:t xml:space="preserve"> $755,000 to &lt; $855,000 </w:t>
      </w:r>
    </w:p>
    <w:p w14:paraId="6727CAC1" w14:textId="77777777" w:rsidR="000B266B" w:rsidRPr="00D4016A" w:rsidRDefault="000B266B" w:rsidP="0041700E">
      <w:pPr>
        <w:pStyle w:val="TableFooter"/>
        <w:widowControl/>
        <w:rPr>
          <w:i/>
          <w:iCs/>
        </w:rPr>
      </w:pPr>
      <w:r w:rsidRPr="00D4016A">
        <w:rPr>
          <w:i/>
          <w:iCs/>
          <w:vertAlign w:val="superscript"/>
        </w:rPr>
        <w:t>4</w:t>
      </w:r>
      <w:r w:rsidRPr="00D4016A">
        <w:rPr>
          <w:i/>
          <w:iCs/>
        </w:rPr>
        <w:t xml:space="preserve"> $655,000 to &lt; $755,000 </w:t>
      </w:r>
    </w:p>
    <w:p w14:paraId="7C9A3BF4" w14:textId="77777777" w:rsidR="000B266B" w:rsidRPr="00A16C9B" w:rsidRDefault="000B266B" w:rsidP="0041700E">
      <w:pPr>
        <w:pStyle w:val="TableFooter"/>
        <w:widowControl/>
        <w:spacing w:after="120"/>
        <w:rPr>
          <w:sz w:val="20"/>
        </w:rPr>
      </w:pPr>
      <w:r w:rsidRPr="00D120E3">
        <w:rPr>
          <w:vertAlign w:val="superscript"/>
        </w:rPr>
        <w:t>5</w:t>
      </w:r>
      <w:r>
        <w:t xml:space="preserve"> </w:t>
      </w:r>
      <w:r w:rsidRPr="00A22250">
        <w:t>$95,000 to &lt; $115,000</w:t>
      </w:r>
    </w:p>
    <w:p w14:paraId="43FB0AC8" w14:textId="77777777" w:rsidR="000B266B" w:rsidRDefault="000B266B" w:rsidP="0041700E">
      <w:pPr>
        <w:pStyle w:val="3-BodyText"/>
        <w:spacing w:before="120" w:after="120"/>
      </w:pPr>
      <w:r w:rsidRPr="37C20EEE">
        <w:t xml:space="preserve">The incremental cost-effectiveness ratio (ICER) from the resubmission’s base case analysis was estimated to be </w:t>
      </w:r>
      <w:r w:rsidRPr="00A22250">
        <w:t xml:space="preserve">$95,000 to &lt; $115,000 </w:t>
      </w:r>
      <w:r w:rsidRPr="37C20EEE">
        <w:t xml:space="preserve">/quality-adjusted life year (QALY) gained. When the previous submission was reviewed, the PBAC recalled that other antivirals for chronic viral hepatitis have previously been considered cost-effective with ICERs less than </w:t>
      </w:r>
      <w:r w:rsidRPr="00092D02">
        <w:t>$35,000 to &lt; $45,000</w:t>
      </w:r>
      <w:r w:rsidRPr="37C20EEE">
        <w:t>/QALY, although the PBAC noted that the frequency of CHD infection in Australia is much lower than for HBV or hepatitis C, treatment options for CHD are limited, and the TGA granted orphan drug designation to bulevirtide (para</w:t>
      </w:r>
      <w:r>
        <w:t>graph</w:t>
      </w:r>
      <w:r w:rsidRPr="37C20EEE">
        <w:t xml:space="preserve"> 7.14, bulevirtide PSD, March 2024 PBAC meeting).</w:t>
      </w:r>
    </w:p>
    <w:p w14:paraId="10D98056" w14:textId="53A545F9" w:rsidR="000B266B" w:rsidRPr="00A16C9B" w:rsidRDefault="000B266B" w:rsidP="0041700E">
      <w:pPr>
        <w:pStyle w:val="3-BodyText"/>
        <w:spacing w:before="120" w:after="120"/>
      </w:pPr>
      <w:bookmarkStart w:id="54" w:name="_Ref152964010"/>
      <w:r w:rsidRPr="4904BCD2">
        <w:t xml:space="preserve">As depicted in </w:t>
      </w:r>
      <w:r w:rsidRPr="00A16C9B">
        <w:fldChar w:fldCharType="begin"/>
      </w:r>
      <w:r w:rsidRPr="00A16C9B">
        <w:instrText xml:space="preserve"> REF _Ref156217286 \h  \* MERGEFORMAT </w:instrText>
      </w:r>
      <w:r w:rsidRPr="00A16C9B">
        <w:fldChar w:fldCharType="separate"/>
      </w:r>
      <w:r w:rsidR="007848CD" w:rsidRPr="00A16C9B">
        <w:t xml:space="preserve">Figure </w:t>
      </w:r>
      <w:r w:rsidR="007848CD">
        <w:t>1</w:t>
      </w:r>
      <w:r w:rsidRPr="00A16C9B">
        <w:fldChar w:fldCharType="end"/>
      </w:r>
      <w:r w:rsidRPr="4904BCD2">
        <w:t xml:space="preserve">, 99.4% of the incremental life years (LYs) gained were accrued during the extrapolated period. The modelled duration of treatment was 12.3 years, and ongoing treatment is required to maintain viral suppression. In this context, the undiscounted LYs gain estimated in the model, i.e. 8.3 years, appears implausible. </w:t>
      </w:r>
    </w:p>
    <w:p w14:paraId="031D2961" w14:textId="7D2B782B" w:rsidR="000B266B" w:rsidRPr="00A16C9B" w:rsidRDefault="000B266B" w:rsidP="0041700E">
      <w:pPr>
        <w:pStyle w:val="TableFigureHeading"/>
        <w:rPr>
          <w:i/>
        </w:rPr>
      </w:pPr>
      <w:bookmarkStart w:id="55" w:name="_Ref156217286"/>
      <w:r w:rsidRPr="00A16C9B">
        <w:t xml:space="preserve">Figure </w:t>
      </w:r>
      <w:r w:rsidRPr="00A16C9B">
        <w:rPr>
          <w:i/>
        </w:rPr>
        <w:fldChar w:fldCharType="begin"/>
      </w:r>
      <w:r w:rsidRPr="00A16C9B">
        <w:instrText>SEQ Figure_PBAC. \* ARABIC</w:instrText>
      </w:r>
      <w:r w:rsidRPr="00A16C9B">
        <w:rPr>
          <w:i/>
        </w:rPr>
        <w:fldChar w:fldCharType="separate"/>
      </w:r>
      <w:r w:rsidR="007848CD">
        <w:rPr>
          <w:noProof/>
        </w:rPr>
        <w:t>1</w:t>
      </w:r>
      <w:r w:rsidRPr="00A16C9B">
        <w:rPr>
          <w:i/>
        </w:rPr>
        <w:fldChar w:fldCharType="end"/>
      </w:r>
      <w:bookmarkEnd w:id="54"/>
      <w:bookmarkEnd w:id="55"/>
      <w:r w:rsidRPr="00520DEF">
        <w:rPr>
          <w:iCs/>
        </w:rPr>
        <w:t xml:space="preserve">: </w:t>
      </w:r>
      <w:r w:rsidRPr="00A16C9B">
        <w:t>Cumulative life years gained over the time horizon of the model (undiscounted)</w:t>
      </w:r>
    </w:p>
    <w:p w14:paraId="10C92251" w14:textId="77777777" w:rsidR="000B266B" w:rsidRPr="00A16C9B" w:rsidRDefault="000B266B" w:rsidP="0041700E">
      <w:pPr>
        <w:ind w:left="720" w:hanging="720"/>
        <w:rPr>
          <w:snapToGrid w:val="0"/>
          <w:lang w:eastAsia="en-AU"/>
        </w:rPr>
      </w:pPr>
      <w:r w:rsidRPr="00A16C9B">
        <w:rPr>
          <w:noProof/>
          <w:snapToGrid w:val="0"/>
          <w:lang w:eastAsia="en-AU"/>
        </w:rPr>
        <w:drawing>
          <wp:inline distT="0" distB="0" distL="0" distR="0" wp14:anchorId="33B03B65" wp14:editId="0AE35C2C">
            <wp:extent cx="5008728" cy="2463165"/>
            <wp:effectExtent l="0" t="0" r="1905" b="0"/>
            <wp:docPr id="1696558545" name="Picture 2" descr="Figure 1: Cumulative life years gained over the time horizon of the model (undiscou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558545" name="Picture 2" descr="Figure 1: Cumulative life years gained over the time horizon of the model (undiscoun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7632" cy="2467544"/>
                    </a:xfrm>
                    <a:prstGeom prst="rect">
                      <a:avLst/>
                    </a:prstGeom>
                    <a:noFill/>
                  </pic:spPr>
                </pic:pic>
              </a:graphicData>
            </a:graphic>
          </wp:inline>
        </w:drawing>
      </w:r>
    </w:p>
    <w:p w14:paraId="0F363A20" w14:textId="77777777" w:rsidR="000B266B" w:rsidRPr="00CC7D4F" w:rsidRDefault="000B266B" w:rsidP="0041700E">
      <w:pPr>
        <w:pStyle w:val="TableFigureFooter"/>
      </w:pPr>
      <w:r w:rsidRPr="00CC7D4F">
        <w:t xml:space="preserve">Source: Constructed during the evaluation, based on “Attachment 17 - Hepcludex HDV Section 3A Cost-Eff Model Resubmission_vfinal.xlsm” Excel workbook. </w:t>
      </w:r>
    </w:p>
    <w:p w14:paraId="2E6086B0" w14:textId="77777777" w:rsidR="000B266B" w:rsidRPr="00CC7D4F" w:rsidRDefault="000B266B" w:rsidP="0041700E">
      <w:pPr>
        <w:pStyle w:val="TableFigureFooter"/>
      </w:pPr>
      <w:r w:rsidRPr="00CC7D4F">
        <w:t>BSC = best supportive care; LY = life year.</w:t>
      </w:r>
    </w:p>
    <w:p w14:paraId="481BD618" w14:textId="36919CA4" w:rsidR="000B266B" w:rsidRPr="00A16C9B" w:rsidRDefault="000B266B" w:rsidP="0041700E">
      <w:pPr>
        <w:pStyle w:val="3-BodyText"/>
        <w:spacing w:before="120" w:after="120"/>
      </w:pPr>
      <w:bookmarkStart w:id="56" w:name="_Ref152349154"/>
      <w:r w:rsidRPr="4904BCD2">
        <w:t xml:space="preserve">The number of liver-related events experienced across model arms over the extrapolated time horizon is presented in </w:t>
      </w:r>
      <w:r w:rsidRPr="00A16C9B">
        <w:fldChar w:fldCharType="begin"/>
      </w:r>
      <w:r w:rsidRPr="00A16C9B">
        <w:instrText xml:space="preserve"> REF _Ref156217336 \h  \* MERGEFORMAT </w:instrText>
      </w:r>
      <w:r w:rsidRPr="00A16C9B">
        <w:fldChar w:fldCharType="separate"/>
      </w:r>
      <w:r w:rsidR="007848CD" w:rsidRPr="00A16C9B">
        <w:t xml:space="preserve">Table </w:t>
      </w:r>
      <w:r w:rsidR="007848CD">
        <w:t>15</w:t>
      </w:r>
      <w:r w:rsidRPr="00A16C9B">
        <w:fldChar w:fldCharType="end"/>
      </w:r>
      <w:r w:rsidRPr="4904BCD2">
        <w:t xml:space="preserve">. Results show that while bulevirtide treatment is associated with reduced DCC, HCC, liver transplantation and death due to liver-related disease (which are consistent with modelled benefit associated with response to treatment), the number of compensated cirrhosis events increases with bulevirtide, due to the modelled assumptions regarding regression from cirrhosis in responders. </w:t>
      </w:r>
    </w:p>
    <w:p w14:paraId="6EF12D7C" w14:textId="176C1F9C" w:rsidR="000B266B" w:rsidRPr="00A16C9B" w:rsidRDefault="000B266B" w:rsidP="0041700E">
      <w:pPr>
        <w:pStyle w:val="TableFigureHeading"/>
        <w:rPr>
          <w:i/>
          <w:lang w:eastAsia="en-AU"/>
        </w:rPr>
      </w:pPr>
      <w:bookmarkStart w:id="57" w:name="_Ref156217336"/>
      <w:r w:rsidRPr="00A16C9B">
        <w:lastRenderedPageBreak/>
        <w:t xml:space="preserve">Table </w:t>
      </w:r>
      <w:r w:rsidRPr="00A16C9B">
        <w:rPr>
          <w:i/>
        </w:rPr>
        <w:fldChar w:fldCharType="begin"/>
      </w:r>
      <w:r w:rsidRPr="00A16C9B">
        <w:instrText>SEQ Table_PBAC. \* ARABIC</w:instrText>
      </w:r>
      <w:r w:rsidRPr="00A16C9B">
        <w:rPr>
          <w:i/>
        </w:rPr>
        <w:fldChar w:fldCharType="separate"/>
      </w:r>
      <w:r w:rsidR="007848CD">
        <w:rPr>
          <w:noProof/>
        </w:rPr>
        <w:t>15</w:t>
      </w:r>
      <w:r w:rsidRPr="00A16C9B">
        <w:rPr>
          <w:i/>
        </w:rPr>
        <w:fldChar w:fldCharType="end"/>
      </w:r>
      <w:bookmarkEnd w:id="56"/>
      <w:bookmarkEnd w:id="57"/>
      <w:r>
        <w:t xml:space="preserve">: </w:t>
      </w:r>
      <w:r w:rsidRPr="00A16C9B">
        <w:t xml:space="preserve">Total proportion of patients who experience </w:t>
      </w:r>
      <w:r w:rsidRPr="00A16C9B">
        <w:rPr>
          <w:lang w:eastAsia="en-AU"/>
        </w:rPr>
        <w:t>liver-related events over the model time horizon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5: Total proportion of patients who experience liver-related events over the model time horizon"/>
      </w:tblPr>
      <w:tblGrid>
        <w:gridCol w:w="3292"/>
        <w:gridCol w:w="1908"/>
        <w:gridCol w:w="1908"/>
        <w:gridCol w:w="1908"/>
      </w:tblGrid>
      <w:tr w:rsidR="000B266B" w:rsidRPr="00A16C9B" w14:paraId="6D6C866D" w14:textId="77777777" w:rsidTr="00B678E8">
        <w:trPr>
          <w:cantSplit/>
        </w:trPr>
        <w:tc>
          <w:tcPr>
            <w:tcW w:w="182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6AD4ED" w14:textId="77777777" w:rsidR="000B266B" w:rsidRPr="00A16C9B" w:rsidRDefault="000B266B" w:rsidP="0041700E">
            <w:pPr>
              <w:pStyle w:val="In-tableHeading"/>
              <w:rPr>
                <w:lang w:val="en-AU"/>
              </w:rPr>
            </w:pPr>
            <w:r w:rsidRPr="00A16C9B">
              <w:rPr>
                <w:lang w:val="en-AU"/>
              </w:rPr>
              <w:t>Event</w:t>
            </w:r>
          </w:p>
        </w:tc>
        <w:tc>
          <w:tcPr>
            <w:tcW w:w="1058"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E774AB5" w14:textId="77777777" w:rsidR="000B266B" w:rsidRPr="00A16C9B" w:rsidRDefault="000B266B" w:rsidP="0041700E">
            <w:pPr>
              <w:pStyle w:val="In-tableHeading"/>
              <w:jc w:val="center"/>
              <w:rPr>
                <w:lang w:val="en-AU"/>
              </w:rPr>
            </w:pPr>
            <w:r w:rsidRPr="00A16C9B">
              <w:rPr>
                <w:lang w:val="en-AU"/>
              </w:rPr>
              <w:t>Bulevirtide</w:t>
            </w:r>
          </w:p>
        </w:tc>
        <w:tc>
          <w:tcPr>
            <w:tcW w:w="1058"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179EDF4" w14:textId="77777777" w:rsidR="000B266B" w:rsidRPr="00A16C9B" w:rsidRDefault="000B266B" w:rsidP="0041700E">
            <w:pPr>
              <w:pStyle w:val="In-tableHeading"/>
              <w:jc w:val="center"/>
              <w:rPr>
                <w:lang w:val="en-AU"/>
              </w:rPr>
            </w:pPr>
            <w:r w:rsidRPr="00A16C9B">
              <w:rPr>
                <w:lang w:val="en-AU"/>
              </w:rPr>
              <w:t>BSC</w:t>
            </w:r>
          </w:p>
        </w:tc>
        <w:tc>
          <w:tcPr>
            <w:tcW w:w="1058" w:type="pct"/>
            <w:tcBorders>
              <w:top w:val="single" w:sz="4" w:space="0" w:color="auto"/>
              <w:left w:val="single" w:sz="4" w:space="0" w:color="auto"/>
              <w:bottom w:val="single" w:sz="4" w:space="0" w:color="auto"/>
              <w:right w:val="single" w:sz="4" w:space="0" w:color="auto"/>
            </w:tcBorders>
            <w:vAlign w:val="center"/>
          </w:tcPr>
          <w:p w14:paraId="5DAA6834" w14:textId="77777777" w:rsidR="000B266B" w:rsidRPr="00A16C9B" w:rsidRDefault="000B266B" w:rsidP="0041700E">
            <w:pPr>
              <w:pStyle w:val="In-tableHeading"/>
              <w:jc w:val="center"/>
              <w:rPr>
                <w:lang w:val="en-AU"/>
              </w:rPr>
            </w:pPr>
            <w:r w:rsidRPr="00A16C9B">
              <w:rPr>
                <w:lang w:val="en-AU"/>
              </w:rPr>
              <w:t>Difference</w:t>
            </w:r>
          </w:p>
        </w:tc>
      </w:tr>
      <w:tr w:rsidR="000B266B" w:rsidRPr="00A16C9B" w14:paraId="1F465121" w14:textId="77777777" w:rsidTr="00B678E8">
        <w:trPr>
          <w:cantSplit/>
        </w:trPr>
        <w:tc>
          <w:tcPr>
            <w:tcW w:w="1826" w:type="pct"/>
            <w:tcBorders>
              <w:top w:val="single" w:sz="4" w:space="0" w:color="auto"/>
              <w:left w:val="single" w:sz="4" w:space="0" w:color="auto"/>
              <w:bottom w:val="single" w:sz="4" w:space="0" w:color="auto"/>
              <w:right w:val="single" w:sz="4" w:space="0" w:color="auto"/>
            </w:tcBorders>
            <w:tcMar>
              <w:left w:w="57" w:type="dxa"/>
              <w:right w:w="57" w:type="dxa"/>
            </w:tcMar>
          </w:tcPr>
          <w:p w14:paraId="776E073E" w14:textId="77777777" w:rsidR="000B266B" w:rsidRPr="00A16C9B" w:rsidRDefault="000B266B" w:rsidP="0041700E">
            <w:pPr>
              <w:pStyle w:val="TableText"/>
            </w:pPr>
            <w:r w:rsidRPr="00A16C9B">
              <w:t>Cirrhosis (compensated)</w:t>
            </w:r>
          </w:p>
        </w:tc>
        <w:tc>
          <w:tcPr>
            <w:tcW w:w="1058" w:type="pct"/>
            <w:tcBorders>
              <w:top w:val="single" w:sz="4" w:space="0" w:color="auto"/>
              <w:left w:val="single" w:sz="4" w:space="0" w:color="auto"/>
              <w:bottom w:val="single" w:sz="4" w:space="0" w:color="auto"/>
              <w:right w:val="single" w:sz="4" w:space="0" w:color="auto"/>
            </w:tcBorders>
            <w:tcMar>
              <w:left w:w="57" w:type="dxa"/>
              <w:right w:w="57" w:type="dxa"/>
            </w:tcMar>
          </w:tcPr>
          <w:p w14:paraId="5318DB45" w14:textId="77777777" w:rsidR="000B266B" w:rsidRPr="00A16C9B" w:rsidRDefault="000B266B" w:rsidP="0041700E">
            <w:pPr>
              <w:pStyle w:val="TableText"/>
              <w:jc w:val="center"/>
            </w:pPr>
            <w:r w:rsidRPr="00A16C9B">
              <w:t>0.360</w:t>
            </w:r>
          </w:p>
        </w:tc>
        <w:tc>
          <w:tcPr>
            <w:tcW w:w="1058" w:type="pct"/>
            <w:tcBorders>
              <w:top w:val="single" w:sz="4" w:space="0" w:color="auto"/>
              <w:left w:val="single" w:sz="4" w:space="0" w:color="auto"/>
              <w:bottom w:val="single" w:sz="4" w:space="0" w:color="auto"/>
              <w:right w:val="single" w:sz="4" w:space="0" w:color="auto"/>
            </w:tcBorders>
            <w:tcMar>
              <w:left w:w="57" w:type="dxa"/>
              <w:right w:w="57" w:type="dxa"/>
            </w:tcMar>
          </w:tcPr>
          <w:p w14:paraId="7BA0C8BE" w14:textId="77777777" w:rsidR="000B266B" w:rsidRPr="00A16C9B" w:rsidRDefault="000B266B" w:rsidP="0041700E">
            <w:pPr>
              <w:pStyle w:val="TableText"/>
              <w:jc w:val="center"/>
            </w:pPr>
            <w:r w:rsidRPr="00A16C9B">
              <w:t>0.337</w:t>
            </w:r>
          </w:p>
        </w:tc>
        <w:tc>
          <w:tcPr>
            <w:tcW w:w="1058" w:type="pct"/>
            <w:tcBorders>
              <w:top w:val="single" w:sz="4" w:space="0" w:color="auto"/>
              <w:left w:val="single" w:sz="4" w:space="0" w:color="auto"/>
              <w:bottom w:val="single" w:sz="4" w:space="0" w:color="auto"/>
              <w:right w:val="single" w:sz="4" w:space="0" w:color="auto"/>
            </w:tcBorders>
          </w:tcPr>
          <w:p w14:paraId="624229B1" w14:textId="77777777" w:rsidR="000B266B" w:rsidRPr="00A16C9B" w:rsidRDefault="000B266B" w:rsidP="0041700E">
            <w:pPr>
              <w:pStyle w:val="TableText"/>
              <w:jc w:val="center"/>
            </w:pPr>
            <w:r w:rsidRPr="00A16C9B">
              <w:t>0.023</w:t>
            </w:r>
          </w:p>
        </w:tc>
      </w:tr>
      <w:tr w:rsidR="000B266B" w:rsidRPr="00A16C9B" w14:paraId="4E92385D" w14:textId="77777777" w:rsidTr="00B678E8">
        <w:trPr>
          <w:cantSplit/>
        </w:trPr>
        <w:tc>
          <w:tcPr>
            <w:tcW w:w="1826" w:type="pct"/>
            <w:tcBorders>
              <w:top w:val="single" w:sz="4" w:space="0" w:color="auto"/>
              <w:left w:val="single" w:sz="4" w:space="0" w:color="auto"/>
              <w:bottom w:val="single" w:sz="4" w:space="0" w:color="auto"/>
              <w:right w:val="single" w:sz="4" w:space="0" w:color="auto"/>
            </w:tcBorders>
            <w:tcMar>
              <w:left w:w="57" w:type="dxa"/>
              <w:right w:w="57" w:type="dxa"/>
            </w:tcMar>
          </w:tcPr>
          <w:p w14:paraId="67A3330E" w14:textId="77777777" w:rsidR="000B266B" w:rsidRPr="00A16C9B" w:rsidRDefault="000B266B" w:rsidP="0041700E">
            <w:pPr>
              <w:pStyle w:val="TableText"/>
            </w:pPr>
            <w:r w:rsidRPr="00A16C9B">
              <w:t>Decompensated cirrhosis</w:t>
            </w:r>
          </w:p>
        </w:tc>
        <w:tc>
          <w:tcPr>
            <w:tcW w:w="1058" w:type="pct"/>
            <w:tcBorders>
              <w:top w:val="single" w:sz="4" w:space="0" w:color="auto"/>
              <w:left w:val="single" w:sz="4" w:space="0" w:color="auto"/>
              <w:bottom w:val="single" w:sz="4" w:space="0" w:color="auto"/>
              <w:right w:val="single" w:sz="4" w:space="0" w:color="auto"/>
            </w:tcBorders>
            <w:tcMar>
              <w:left w:w="57" w:type="dxa"/>
              <w:right w:w="57" w:type="dxa"/>
            </w:tcMar>
          </w:tcPr>
          <w:p w14:paraId="7AEA98A4" w14:textId="77777777" w:rsidR="000B266B" w:rsidRPr="00A16C9B" w:rsidRDefault="000B266B" w:rsidP="0041700E">
            <w:pPr>
              <w:pStyle w:val="TableText"/>
              <w:jc w:val="center"/>
            </w:pPr>
            <w:r w:rsidRPr="00A16C9B">
              <w:t>0.237</w:t>
            </w:r>
          </w:p>
        </w:tc>
        <w:tc>
          <w:tcPr>
            <w:tcW w:w="1058" w:type="pct"/>
            <w:tcBorders>
              <w:top w:val="single" w:sz="4" w:space="0" w:color="auto"/>
              <w:left w:val="single" w:sz="4" w:space="0" w:color="auto"/>
              <w:bottom w:val="single" w:sz="4" w:space="0" w:color="auto"/>
              <w:right w:val="single" w:sz="4" w:space="0" w:color="auto"/>
            </w:tcBorders>
            <w:tcMar>
              <w:left w:w="57" w:type="dxa"/>
              <w:right w:w="57" w:type="dxa"/>
            </w:tcMar>
          </w:tcPr>
          <w:p w14:paraId="14EED5C0" w14:textId="77777777" w:rsidR="000B266B" w:rsidRPr="00A16C9B" w:rsidRDefault="000B266B" w:rsidP="0041700E">
            <w:pPr>
              <w:pStyle w:val="TableText"/>
              <w:jc w:val="center"/>
            </w:pPr>
            <w:r w:rsidRPr="00A16C9B">
              <w:t>0.331</w:t>
            </w:r>
          </w:p>
        </w:tc>
        <w:tc>
          <w:tcPr>
            <w:tcW w:w="1058" w:type="pct"/>
            <w:tcBorders>
              <w:top w:val="single" w:sz="4" w:space="0" w:color="auto"/>
              <w:left w:val="single" w:sz="4" w:space="0" w:color="auto"/>
              <w:bottom w:val="single" w:sz="4" w:space="0" w:color="auto"/>
              <w:right w:val="single" w:sz="4" w:space="0" w:color="auto"/>
            </w:tcBorders>
          </w:tcPr>
          <w:p w14:paraId="298AD821" w14:textId="77777777" w:rsidR="000B266B" w:rsidRPr="00A16C9B" w:rsidRDefault="000B266B" w:rsidP="0041700E">
            <w:pPr>
              <w:pStyle w:val="TableText"/>
              <w:jc w:val="center"/>
            </w:pPr>
            <w:r w:rsidRPr="00A16C9B">
              <w:t>-0.094</w:t>
            </w:r>
          </w:p>
        </w:tc>
      </w:tr>
      <w:tr w:rsidR="000B266B" w:rsidRPr="00A16C9B" w14:paraId="2D8E7397" w14:textId="77777777" w:rsidTr="00B678E8">
        <w:trPr>
          <w:cantSplit/>
        </w:trPr>
        <w:tc>
          <w:tcPr>
            <w:tcW w:w="1826" w:type="pct"/>
            <w:tcBorders>
              <w:top w:val="single" w:sz="4" w:space="0" w:color="auto"/>
              <w:left w:val="single" w:sz="4" w:space="0" w:color="auto"/>
              <w:bottom w:val="single" w:sz="4" w:space="0" w:color="auto"/>
              <w:right w:val="single" w:sz="4" w:space="0" w:color="auto"/>
            </w:tcBorders>
            <w:tcMar>
              <w:left w:w="57" w:type="dxa"/>
              <w:right w:w="57" w:type="dxa"/>
            </w:tcMar>
          </w:tcPr>
          <w:p w14:paraId="5A892179" w14:textId="77777777" w:rsidR="000B266B" w:rsidRPr="00A16C9B" w:rsidRDefault="000B266B" w:rsidP="0041700E">
            <w:pPr>
              <w:pStyle w:val="TableText"/>
            </w:pPr>
            <w:r w:rsidRPr="00A16C9B">
              <w:t>Hepatocellular carcinoma</w:t>
            </w:r>
          </w:p>
        </w:tc>
        <w:tc>
          <w:tcPr>
            <w:tcW w:w="1058" w:type="pct"/>
            <w:tcBorders>
              <w:top w:val="single" w:sz="4" w:space="0" w:color="auto"/>
              <w:left w:val="single" w:sz="4" w:space="0" w:color="auto"/>
              <w:bottom w:val="single" w:sz="4" w:space="0" w:color="auto"/>
              <w:right w:val="single" w:sz="4" w:space="0" w:color="auto"/>
            </w:tcBorders>
            <w:tcMar>
              <w:left w:w="57" w:type="dxa"/>
              <w:right w:w="57" w:type="dxa"/>
            </w:tcMar>
          </w:tcPr>
          <w:p w14:paraId="59D6090E" w14:textId="77777777" w:rsidR="000B266B" w:rsidRPr="00A16C9B" w:rsidRDefault="000B266B" w:rsidP="0041700E">
            <w:pPr>
              <w:pStyle w:val="TableText"/>
              <w:jc w:val="center"/>
            </w:pPr>
            <w:r w:rsidRPr="00A16C9B">
              <w:t>0.339</w:t>
            </w:r>
          </w:p>
        </w:tc>
        <w:tc>
          <w:tcPr>
            <w:tcW w:w="1058" w:type="pct"/>
            <w:tcBorders>
              <w:top w:val="single" w:sz="4" w:space="0" w:color="auto"/>
              <w:left w:val="single" w:sz="4" w:space="0" w:color="auto"/>
              <w:bottom w:val="single" w:sz="4" w:space="0" w:color="auto"/>
              <w:right w:val="single" w:sz="4" w:space="0" w:color="auto"/>
            </w:tcBorders>
            <w:tcMar>
              <w:left w:w="57" w:type="dxa"/>
              <w:right w:w="57" w:type="dxa"/>
            </w:tcMar>
          </w:tcPr>
          <w:p w14:paraId="03263FB9" w14:textId="77777777" w:rsidR="000B266B" w:rsidRPr="00A16C9B" w:rsidRDefault="000B266B" w:rsidP="0041700E">
            <w:pPr>
              <w:pStyle w:val="TableText"/>
              <w:jc w:val="center"/>
            </w:pPr>
            <w:r w:rsidRPr="00A16C9B">
              <w:t>0.402</w:t>
            </w:r>
          </w:p>
        </w:tc>
        <w:tc>
          <w:tcPr>
            <w:tcW w:w="1058" w:type="pct"/>
            <w:tcBorders>
              <w:top w:val="single" w:sz="4" w:space="0" w:color="auto"/>
              <w:left w:val="single" w:sz="4" w:space="0" w:color="auto"/>
              <w:bottom w:val="single" w:sz="4" w:space="0" w:color="auto"/>
              <w:right w:val="single" w:sz="4" w:space="0" w:color="auto"/>
            </w:tcBorders>
          </w:tcPr>
          <w:p w14:paraId="6D674351" w14:textId="77777777" w:rsidR="000B266B" w:rsidRPr="00A16C9B" w:rsidRDefault="000B266B" w:rsidP="0041700E">
            <w:pPr>
              <w:pStyle w:val="TableText"/>
              <w:jc w:val="center"/>
            </w:pPr>
            <w:r w:rsidRPr="00A16C9B">
              <w:t>-0.063</w:t>
            </w:r>
          </w:p>
        </w:tc>
      </w:tr>
      <w:tr w:rsidR="000B266B" w:rsidRPr="00A16C9B" w14:paraId="44184D01" w14:textId="77777777" w:rsidTr="00B678E8">
        <w:trPr>
          <w:cantSplit/>
        </w:trPr>
        <w:tc>
          <w:tcPr>
            <w:tcW w:w="1826" w:type="pct"/>
            <w:tcBorders>
              <w:top w:val="single" w:sz="4" w:space="0" w:color="auto"/>
              <w:left w:val="single" w:sz="4" w:space="0" w:color="auto"/>
              <w:bottom w:val="single" w:sz="4" w:space="0" w:color="auto"/>
              <w:right w:val="single" w:sz="4" w:space="0" w:color="auto"/>
            </w:tcBorders>
            <w:tcMar>
              <w:left w:w="57" w:type="dxa"/>
              <w:right w:w="57" w:type="dxa"/>
            </w:tcMar>
          </w:tcPr>
          <w:p w14:paraId="4CF52752" w14:textId="77777777" w:rsidR="000B266B" w:rsidRPr="00A16C9B" w:rsidRDefault="000B266B" w:rsidP="0041700E">
            <w:pPr>
              <w:pStyle w:val="TableText"/>
            </w:pPr>
            <w:r w:rsidRPr="00A16C9B">
              <w:t>Liver transplantation</w:t>
            </w:r>
          </w:p>
        </w:tc>
        <w:tc>
          <w:tcPr>
            <w:tcW w:w="1058" w:type="pct"/>
            <w:tcBorders>
              <w:top w:val="single" w:sz="4" w:space="0" w:color="auto"/>
              <w:left w:val="single" w:sz="4" w:space="0" w:color="auto"/>
              <w:bottom w:val="single" w:sz="4" w:space="0" w:color="auto"/>
              <w:right w:val="single" w:sz="4" w:space="0" w:color="auto"/>
            </w:tcBorders>
            <w:tcMar>
              <w:left w:w="57" w:type="dxa"/>
              <w:right w:w="57" w:type="dxa"/>
            </w:tcMar>
          </w:tcPr>
          <w:p w14:paraId="73F248DB" w14:textId="77777777" w:rsidR="000B266B" w:rsidRPr="00A16C9B" w:rsidRDefault="000B266B" w:rsidP="0041700E">
            <w:pPr>
              <w:pStyle w:val="TableText"/>
              <w:jc w:val="center"/>
            </w:pPr>
            <w:r w:rsidRPr="00A16C9B">
              <w:t>0.021</w:t>
            </w:r>
          </w:p>
        </w:tc>
        <w:tc>
          <w:tcPr>
            <w:tcW w:w="1058" w:type="pct"/>
            <w:tcBorders>
              <w:top w:val="single" w:sz="4" w:space="0" w:color="auto"/>
              <w:left w:val="single" w:sz="4" w:space="0" w:color="auto"/>
              <w:bottom w:val="single" w:sz="4" w:space="0" w:color="auto"/>
              <w:right w:val="single" w:sz="4" w:space="0" w:color="auto"/>
            </w:tcBorders>
            <w:tcMar>
              <w:left w:w="57" w:type="dxa"/>
              <w:right w:w="57" w:type="dxa"/>
            </w:tcMar>
          </w:tcPr>
          <w:p w14:paraId="30E1F21F" w14:textId="77777777" w:rsidR="000B266B" w:rsidRPr="00A16C9B" w:rsidRDefault="000B266B" w:rsidP="0041700E">
            <w:pPr>
              <w:pStyle w:val="TableText"/>
              <w:jc w:val="center"/>
            </w:pPr>
            <w:r w:rsidRPr="00A16C9B">
              <w:t>0.028</w:t>
            </w:r>
          </w:p>
        </w:tc>
        <w:tc>
          <w:tcPr>
            <w:tcW w:w="1058" w:type="pct"/>
            <w:tcBorders>
              <w:top w:val="single" w:sz="4" w:space="0" w:color="auto"/>
              <w:left w:val="single" w:sz="4" w:space="0" w:color="auto"/>
              <w:bottom w:val="single" w:sz="4" w:space="0" w:color="auto"/>
              <w:right w:val="single" w:sz="4" w:space="0" w:color="auto"/>
            </w:tcBorders>
          </w:tcPr>
          <w:p w14:paraId="67124CC7" w14:textId="77777777" w:rsidR="000B266B" w:rsidRPr="00A16C9B" w:rsidRDefault="000B266B" w:rsidP="0041700E">
            <w:pPr>
              <w:pStyle w:val="TableText"/>
              <w:jc w:val="center"/>
            </w:pPr>
            <w:r w:rsidRPr="00A16C9B">
              <w:t>-0.007</w:t>
            </w:r>
          </w:p>
        </w:tc>
      </w:tr>
      <w:tr w:rsidR="000B266B" w:rsidRPr="00A16C9B" w14:paraId="246F852F" w14:textId="77777777" w:rsidTr="00B678E8">
        <w:trPr>
          <w:cantSplit/>
          <w:trHeight w:val="58"/>
        </w:trPr>
        <w:tc>
          <w:tcPr>
            <w:tcW w:w="1826" w:type="pct"/>
            <w:tcBorders>
              <w:top w:val="single" w:sz="4" w:space="0" w:color="auto"/>
              <w:left w:val="single" w:sz="4" w:space="0" w:color="auto"/>
              <w:bottom w:val="single" w:sz="4" w:space="0" w:color="auto"/>
              <w:right w:val="single" w:sz="4" w:space="0" w:color="auto"/>
            </w:tcBorders>
            <w:tcMar>
              <w:left w:w="57" w:type="dxa"/>
              <w:right w:w="57" w:type="dxa"/>
            </w:tcMar>
          </w:tcPr>
          <w:p w14:paraId="734EE99D" w14:textId="77777777" w:rsidR="000B266B" w:rsidRPr="00A16C9B" w:rsidRDefault="000B266B" w:rsidP="0041700E">
            <w:pPr>
              <w:pStyle w:val="TableText"/>
            </w:pPr>
            <w:r w:rsidRPr="00A16C9B">
              <w:t>Death, due to liver-related disease</w:t>
            </w:r>
          </w:p>
        </w:tc>
        <w:tc>
          <w:tcPr>
            <w:tcW w:w="1058" w:type="pct"/>
            <w:tcBorders>
              <w:top w:val="single" w:sz="4" w:space="0" w:color="auto"/>
              <w:left w:val="single" w:sz="4" w:space="0" w:color="auto"/>
              <w:bottom w:val="single" w:sz="4" w:space="0" w:color="auto"/>
              <w:right w:val="single" w:sz="4" w:space="0" w:color="auto"/>
            </w:tcBorders>
            <w:tcMar>
              <w:left w:w="57" w:type="dxa"/>
              <w:right w:w="57" w:type="dxa"/>
            </w:tcMar>
          </w:tcPr>
          <w:p w14:paraId="35652C77" w14:textId="77777777" w:rsidR="000B266B" w:rsidRPr="00A16C9B" w:rsidRDefault="000B266B" w:rsidP="0041700E">
            <w:pPr>
              <w:pStyle w:val="TableText"/>
              <w:jc w:val="center"/>
            </w:pPr>
            <w:r w:rsidRPr="00A16C9B">
              <w:t>0.647</w:t>
            </w:r>
          </w:p>
        </w:tc>
        <w:tc>
          <w:tcPr>
            <w:tcW w:w="1058" w:type="pct"/>
            <w:tcBorders>
              <w:top w:val="single" w:sz="4" w:space="0" w:color="auto"/>
              <w:left w:val="single" w:sz="4" w:space="0" w:color="auto"/>
              <w:bottom w:val="single" w:sz="4" w:space="0" w:color="auto"/>
              <w:right w:val="single" w:sz="4" w:space="0" w:color="auto"/>
            </w:tcBorders>
            <w:tcMar>
              <w:left w:w="57" w:type="dxa"/>
              <w:right w:w="57" w:type="dxa"/>
            </w:tcMar>
          </w:tcPr>
          <w:p w14:paraId="05679199" w14:textId="77777777" w:rsidR="000B266B" w:rsidRPr="00A16C9B" w:rsidRDefault="000B266B" w:rsidP="0041700E">
            <w:pPr>
              <w:pStyle w:val="TableText"/>
              <w:jc w:val="center"/>
            </w:pPr>
            <w:r w:rsidRPr="00A16C9B">
              <w:t>0.841</w:t>
            </w:r>
          </w:p>
        </w:tc>
        <w:tc>
          <w:tcPr>
            <w:tcW w:w="1058" w:type="pct"/>
            <w:tcBorders>
              <w:top w:val="single" w:sz="4" w:space="0" w:color="auto"/>
              <w:left w:val="single" w:sz="4" w:space="0" w:color="auto"/>
              <w:bottom w:val="single" w:sz="4" w:space="0" w:color="auto"/>
              <w:right w:val="single" w:sz="4" w:space="0" w:color="auto"/>
            </w:tcBorders>
          </w:tcPr>
          <w:p w14:paraId="71494F2E" w14:textId="77777777" w:rsidR="000B266B" w:rsidRPr="00A16C9B" w:rsidRDefault="000B266B" w:rsidP="0041700E">
            <w:pPr>
              <w:pStyle w:val="TableText"/>
              <w:jc w:val="center"/>
            </w:pPr>
            <w:r w:rsidRPr="00A16C9B">
              <w:t>-0.194</w:t>
            </w:r>
          </w:p>
        </w:tc>
      </w:tr>
    </w:tbl>
    <w:p w14:paraId="65551E16" w14:textId="77777777" w:rsidR="000B266B" w:rsidRPr="00A16C9B" w:rsidRDefault="000B266B" w:rsidP="0041700E">
      <w:pPr>
        <w:pStyle w:val="TableFigureFooter"/>
        <w:rPr>
          <w:lang w:eastAsia="en-AU"/>
        </w:rPr>
      </w:pPr>
      <w:r w:rsidRPr="4904BCD2">
        <w:rPr>
          <w:lang w:eastAsia="en-AU"/>
        </w:rPr>
        <w:t>Source: Constructed during the evaluation, based on “Attachment 17 - Hepcludex HDV Section 3A Cost-Eff Model Resubmission_vfinal.xlsm” Excel workbook.</w:t>
      </w:r>
    </w:p>
    <w:p w14:paraId="0D700CCF" w14:textId="77777777" w:rsidR="000B266B" w:rsidRPr="00A16C9B" w:rsidRDefault="000B266B" w:rsidP="0041700E">
      <w:pPr>
        <w:pStyle w:val="TableFigureFooter"/>
        <w:rPr>
          <w:lang w:eastAsia="en-AU"/>
        </w:rPr>
      </w:pPr>
      <w:r w:rsidRPr="00A16C9B">
        <w:rPr>
          <w:lang w:eastAsia="en-AU"/>
        </w:rPr>
        <w:t>BSC = best supportive care.</w:t>
      </w:r>
    </w:p>
    <w:p w14:paraId="1EA81A5F" w14:textId="77777777" w:rsidR="000B266B" w:rsidRPr="00A16C9B" w:rsidRDefault="000B266B" w:rsidP="0041700E">
      <w:pPr>
        <w:pStyle w:val="TableFigureFooter"/>
        <w:rPr>
          <w:lang w:eastAsia="en-AU"/>
        </w:rPr>
      </w:pPr>
      <w:r w:rsidRPr="00A16C9B">
        <w:rPr>
          <w:lang w:eastAsia="en-AU"/>
        </w:rPr>
        <w:t>Note: A patient could experience more than one event.</w:t>
      </w:r>
    </w:p>
    <w:p w14:paraId="320878B1" w14:textId="46EAE0E8" w:rsidR="000B266B" w:rsidRPr="00A16C9B" w:rsidRDefault="000B266B" w:rsidP="0041700E">
      <w:pPr>
        <w:pStyle w:val="3-BodyText"/>
        <w:spacing w:before="120" w:after="120"/>
      </w:pPr>
      <w:r w:rsidRPr="4904BCD2">
        <w:t xml:space="preserve">Results of the key sensitivity analyses presented by the submission and additional analyses conducted during the evaluation are summarised in </w:t>
      </w:r>
      <w:r w:rsidRPr="00A16C9B">
        <w:fldChar w:fldCharType="begin"/>
      </w:r>
      <w:r w:rsidRPr="00A16C9B">
        <w:instrText xml:space="preserve"> REF _Ref152349164 \h  \* MERGEFORMAT </w:instrText>
      </w:r>
      <w:r w:rsidRPr="00A16C9B">
        <w:fldChar w:fldCharType="separate"/>
      </w:r>
      <w:r w:rsidR="007848CD" w:rsidRPr="00CC7D4F">
        <w:t xml:space="preserve">Table </w:t>
      </w:r>
      <w:r w:rsidR="007848CD">
        <w:t>16</w:t>
      </w:r>
      <w:r w:rsidRPr="00A16C9B">
        <w:fldChar w:fldCharType="end"/>
      </w:r>
      <w:r w:rsidRPr="4904BCD2">
        <w:t xml:space="preserve">. </w:t>
      </w:r>
    </w:p>
    <w:p w14:paraId="0A0AF166" w14:textId="5AEE91D7" w:rsidR="000B266B" w:rsidRPr="00CC7D4F" w:rsidRDefault="000B266B" w:rsidP="0041700E">
      <w:pPr>
        <w:pStyle w:val="TableFigureHeading"/>
        <w:rPr>
          <w:rStyle w:val="CommentReference"/>
          <w:sz w:val="20"/>
          <w:szCs w:val="24"/>
        </w:rPr>
      </w:pPr>
      <w:bookmarkStart w:id="58" w:name="_Ref152349164"/>
      <w:r w:rsidRPr="00CC7D4F">
        <w:t xml:space="preserve">Table </w:t>
      </w:r>
      <w:r w:rsidRPr="00CC7D4F">
        <w:fldChar w:fldCharType="begin"/>
      </w:r>
      <w:r w:rsidRPr="00CC7D4F">
        <w:instrText>SEQ Table_PBAC. \* ARABIC</w:instrText>
      </w:r>
      <w:r w:rsidRPr="00CC7D4F">
        <w:fldChar w:fldCharType="separate"/>
      </w:r>
      <w:r w:rsidR="007848CD">
        <w:rPr>
          <w:noProof/>
        </w:rPr>
        <w:t>16</w:t>
      </w:r>
      <w:r w:rsidRPr="00CC7D4F">
        <w:fldChar w:fldCharType="end"/>
      </w:r>
      <w:bookmarkEnd w:id="58"/>
      <w:r>
        <w:t xml:space="preserve">: </w:t>
      </w:r>
      <w:r w:rsidRPr="00CC7D4F">
        <w:rPr>
          <w:rStyle w:val="CommentReference"/>
          <w:sz w:val="20"/>
          <w:szCs w:val="24"/>
        </w:rPr>
        <w:t>Sensitivity analyses</w:t>
      </w:r>
    </w:p>
    <w:tbl>
      <w:tblPr>
        <w:tblStyle w:val="ASDTable1"/>
        <w:tblpPr w:leftFromText="180" w:rightFromText="180" w:vertAnchor="text" w:tblpY="1"/>
        <w:tblOverlap w:val="never"/>
        <w:tblW w:w="5000" w:type="pct"/>
        <w:tblLayout w:type="fixed"/>
        <w:tblLook w:val="04A0" w:firstRow="1" w:lastRow="0" w:firstColumn="1" w:lastColumn="0" w:noHBand="0" w:noVBand="1"/>
        <w:tblCaption w:val="Table 16: Sensitivity analyses"/>
      </w:tblPr>
      <w:tblGrid>
        <w:gridCol w:w="5097"/>
        <w:gridCol w:w="994"/>
        <w:gridCol w:w="1048"/>
        <w:gridCol w:w="1176"/>
        <w:gridCol w:w="701"/>
      </w:tblGrid>
      <w:tr w:rsidR="000B266B" w:rsidRPr="00A16C9B" w14:paraId="65EAF5DC" w14:textId="77777777" w:rsidTr="00B678E8">
        <w:trPr>
          <w:trHeight w:val="20"/>
          <w:tblHeader/>
        </w:trPr>
        <w:tc>
          <w:tcPr>
            <w:tcW w:w="2827" w:type="pct"/>
            <w:noWrap/>
            <w:hideMark/>
          </w:tcPr>
          <w:p w14:paraId="60DB9A63" w14:textId="77777777" w:rsidR="000B266B" w:rsidRPr="00A16C9B" w:rsidRDefault="000B266B" w:rsidP="0041700E">
            <w:pPr>
              <w:pStyle w:val="In-tableHeading"/>
              <w:jc w:val="center"/>
              <w:rPr>
                <w:lang w:val="en-AU"/>
              </w:rPr>
            </w:pPr>
          </w:p>
        </w:tc>
        <w:tc>
          <w:tcPr>
            <w:tcW w:w="551" w:type="pct"/>
            <w:tcBorders>
              <w:bottom w:val="single" w:sz="4" w:space="0" w:color="auto"/>
            </w:tcBorders>
            <w:noWrap/>
            <w:hideMark/>
          </w:tcPr>
          <w:p w14:paraId="63BEBAFA" w14:textId="77777777" w:rsidR="000B266B" w:rsidRPr="00A16C9B" w:rsidRDefault="000B266B" w:rsidP="0041700E">
            <w:pPr>
              <w:pStyle w:val="In-tableHeading"/>
              <w:jc w:val="center"/>
              <w:rPr>
                <w:lang w:val="en-AU"/>
              </w:rPr>
            </w:pPr>
            <w:r w:rsidRPr="00A16C9B">
              <w:rPr>
                <w:lang w:val="en-AU"/>
              </w:rPr>
              <w:t>Inc. costs</w:t>
            </w:r>
            <w:r>
              <w:rPr>
                <w:lang w:val="en-AU"/>
              </w:rPr>
              <w:t xml:space="preserve"> ($)</w:t>
            </w:r>
          </w:p>
        </w:tc>
        <w:tc>
          <w:tcPr>
            <w:tcW w:w="581" w:type="pct"/>
            <w:noWrap/>
            <w:hideMark/>
          </w:tcPr>
          <w:p w14:paraId="2718020E" w14:textId="77777777" w:rsidR="000B266B" w:rsidRPr="00A16C9B" w:rsidRDefault="000B266B" w:rsidP="0041700E">
            <w:pPr>
              <w:pStyle w:val="In-tableHeading"/>
              <w:jc w:val="center"/>
              <w:rPr>
                <w:lang w:val="en-AU"/>
              </w:rPr>
            </w:pPr>
            <w:r w:rsidRPr="00A16C9B">
              <w:rPr>
                <w:lang w:val="en-AU"/>
              </w:rPr>
              <w:t>Inc. QALYs</w:t>
            </w:r>
          </w:p>
        </w:tc>
        <w:tc>
          <w:tcPr>
            <w:tcW w:w="652" w:type="pct"/>
            <w:noWrap/>
            <w:hideMark/>
          </w:tcPr>
          <w:p w14:paraId="5F13A8E1" w14:textId="77777777" w:rsidR="000B266B" w:rsidRPr="00A16C9B" w:rsidRDefault="000B266B" w:rsidP="0041700E">
            <w:pPr>
              <w:pStyle w:val="In-tableHeading"/>
              <w:jc w:val="center"/>
              <w:rPr>
                <w:lang w:val="en-AU"/>
              </w:rPr>
            </w:pPr>
            <w:r w:rsidRPr="00A16C9B">
              <w:rPr>
                <w:lang w:val="en-AU"/>
              </w:rPr>
              <w:t>ICER</w:t>
            </w:r>
          </w:p>
        </w:tc>
        <w:tc>
          <w:tcPr>
            <w:tcW w:w="389" w:type="pct"/>
            <w:noWrap/>
            <w:hideMark/>
          </w:tcPr>
          <w:p w14:paraId="104298C2" w14:textId="77777777" w:rsidR="000B266B" w:rsidRPr="00A16C9B" w:rsidRDefault="000B266B" w:rsidP="0041700E">
            <w:pPr>
              <w:pStyle w:val="In-tableHeading"/>
              <w:ind w:left="-57" w:right="-57"/>
              <w:jc w:val="center"/>
              <w:rPr>
                <w:lang w:val="en-AU"/>
              </w:rPr>
            </w:pPr>
            <w:r w:rsidRPr="00A16C9B">
              <w:rPr>
                <w:lang w:val="en-AU"/>
              </w:rPr>
              <w:t>% change</w:t>
            </w:r>
          </w:p>
        </w:tc>
      </w:tr>
      <w:tr w:rsidR="000B266B" w:rsidRPr="00A16C9B" w14:paraId="3F9000D4" w14:textId="77777777" w:rsidTr="00B678E8">
        <w:trPr>
          <w:trHeight w:val="20"/>
          <w:tblHeader/>
        </w:trPr>
        <w:tc>
          <w:tcPr>
            <w:tcW w:w="2827" w:type="pct"/>
            <w:tcBorders>
              <w:bottom w:val="single" w:sz="4" w:space="0" w:color="auto"/>
            </w:tcBorders>
            <w:noWrap/>
            <w:hideMark/>
          </w:tcPr>
          <w:p w14:paraId="01E6D949" w14:textId="77777777" w:rsidR="000B266B" w:rsidRPr="00A16C9B" w:rsidRDefault="000B266B" w:rsidP="0041700E">
            <w:pPr>
              <w:pStyle w:val="TableText"/>
              <w:rPr>
                <w:b/>
                <w:bCs w:val="0"/>
              </w:rPr>
            </w:pPr>
            <w:r w:rsidRPr="00A16C9B">
              <w:rPr>
                <w:b/>
              </w:rPr>
              <w:t>Base case</w:t>
            </w:r>
          </w:p>
        </w:tc>
        <w:tc>
          <w:tcPr>
            <w:tcW w:w="551" w:type="pct"/>
            <w:tcBorders>
              <w:bottom w:val="single" w:sz="4" w:space="0" w:color="auto"/>
            </w:tcBorders>
            <w:shd w:val="solid" w:color="000000" w:fill="000000"/>
            <w:noWrap/>
            <w:hideMark/>
          </w:tcPr>
          <w:p w14:paraId="102A6943" w14:textId="77777777" w:rsidR="000B266B" w:rsidRPr="00A16C9B" w:rsidRDefault="000B266B" w:rsidP="0041700E">
            <w:pPr>
              <w:pStyle w:val="TableText"/>
              <w:jc w:val="right"/>
              <w:rPr>
                <w:b/>
                <w:bCs w:val="0"/>
              </w:rPr>
            </w:pPr>
            <w:r w:rsidRPr="000B266B">
              <w:rPr>
                <w:rFonts w:hint="eastAsia"/>
                <w:b/>
                <w:color w:val="000000"/>
                <w:w w:val="15"/>
                <w:fitText w:val="60" w:id="-649843952"/>
                <w14:textFill>
                  <w14:solidFill>
                    <w14:srgbClr w14:val="000000">
                      <w14:alpha w14:val="100000"/>
                    </w14:srgbClr>
                  </w14:solidFill>
                </w14:textFill>
              </w:rPr>
              <w:t xml:space="preserve">　</w:t>
            </w:r>
            <w:r w:rsidRPr="000B266B">
              <w:rPr>
                <w:b/>
                <w:color w:val="000000"/>
                <w:w w:val="15"/>
                <w:fitText w:val="60" w:id="-649843952"/>
                <w14:textFill>
                  <w14:solidFill>
                    <w14:srgbClr w14:val="000000">
                      <w14:alpha w14:val="100000"/>
                    </w14:srgbClr>
                  </w14:solidFill>
                </w14:textFill>
              </w:rPr>
              <w:t>|</w:t>
            </w:r>
            <w:r w:rsidRPr="000B266B">
              <w:rPr>
                <w:rFonts w:hint="eastAsia"/>
                <w:b/>
                <w:color w:val="000000"/>
                <w:w w:val="15"/>
                <w:fitText w:val="60" w:id="-649843952"/>
                <w14:textFill>
                  <w14:solidFill>
                    <w14:srgbClr w14:val="000000">
                      <w14:alpha w14:val="100000"/>
                    </w14:srgbClr>
                  </w14:solidFill>
                </w14:textFill>
              </w:rPr>
              <w:t xml:space="preserve">　</w:t>
            </w:r>
          </w:p>
        </w:tc>
        <w:tc>
          <w:tcPr>
            <w:tcW w:w="581" w:type="pct"/>
            <w:tcBorders>
              <w:bottom w:val="single" w:sz="4" w:space="0" w:color="auto"/>
            </w:tcBorders>
            <w:noWrap/>
            <w:hideMark/>
          </w:tcPr>
          <w:p w14:paraId="4614FB78" w14:textId="77777777" w:rsidR="000B266B" w:rsidRPr="00A16C9B" w:rsidRDefault="000B266B" w:rsidP="0041700E">
            <w:pPr>
              <w:pStyle w:val="TableText"/>
              <w:jc w:val="right"/>
              <w:rPr>
                <w:b/>
                <w:bCs w:val="0"/>
                <w:lang w:eastAsia="en-US"/>
              </w:rPr>
            </w:pPr>
            <w:r w:rsidRPr="00A16C9B">
              <w:rPr>
                <w:b/>
              </w:rPr>
              <w:t>2.95</w:t>
            </w:r>
          </w:p>
        </w:tc>
        <w:tc>
          <w:tcPr>
            <w:tcW w:w="652" w:type="pct"/>
            <w:tcBorders>
              <w:bottom w:val="single" w:sz="4" w:space="0" w:color="auto"/>
            </w:tcBorders>
            <w:noWrap/>
            <w:hideMark/>
          </w:tcPr>
          <w:p w14:paraId="2E000A0E" w14:textId="77777777" w:rsidR="000B266B" w:rsidRPr="00A16C9B" w:rsidRDefault="000B266B" w:rsidP="0041700E">
            <w:pPr>
              <w:pStyle w:val="TableText"/>
              <w:jc w:val="right"/>
              <w:rPr>
                <w:b/>
                <w:bCs w:val="0"/>
                <w:lang w:eastAsia="en-US"/>
              </w:rPr>
            </w:pPr>
            <w:r w:rsidRPr="00AB52EE">
              <w:rPr>
                <w:b/>
                <w:color w:val="000000"/>
                <w:shd w:val="solid" w:color="000000" w:fill="000000"/>
                <w14:textFill>
                  <w14:solidFill>
                    <w14:srgbClr w14:val="000000">
                      <w14:alpha w14:val="100000"/>
                    </w14:srgbClr>
                  </w14:solidFill>
                </w14:textFill>
              </w:rPr>
              <w:t>|</w:t>
            </w:r>
            <w:r w:rsidRPr="00D120E3">
              <w:rPr>
                <w:b/>
                <w:vertAlign w:val="superscript"/>
              </w:rPr>
              <w:t>1</w:t>
            </w:r>
          </w:p>
        </w:tc>
        <w:tc>
          <w:tcPr>
            <w:tcW w:w="389" w:type="pct"/>
            <w:tcBorders>
              <w:bottom w:val="single" w:sz="4" w:space="0" w:color="auto"/>
            </w:tcBorders>
            <w:noWrap/>
            <w:hideMark/>
          </w:tcPr>
          <w:p w14:paraId="528E7E4C" w14:textId="77777777" w:rsidR="000B266B" w:rsidRPr="00A16C9B" w:rsidRDefault="000B266B" w:rsidP="0041700E">
            <w:pPr>
              <w:pStyle w:val="TableText"/>
              <w:jc w:val="right"/>
              <w:rPr>
                <w:b/>
                <w:bCs w:val="0"/>
                <w:lang w:eastAsia="en-US"/>
              </w:rPr>
            </w:pPr>
          </w:p>
        </w:tc>
      </w:tr>
      <w:tr w:rsidR="000B266B" w:rsidRPr="00A16C9B" w14:paraId="7E998924" w14:textId="77777777" w:rsidTr="00B678E8">
        <w:trPr>
          <w:trHeight w:val="20"/>
        </w:trPr>
        <w:tc>
          <w:tcPr>
            <w:tcW w:w="2827" w:type="pct"/>
            <w:tcBorders>
              <w:bottom w:val="single" w:sz="4" w:space="0" w:color="auto"/>
              <w:right w:val="nil"/>
            </w:tcBorders>
            <w:noWrap/>
            <w:vAlign w:val="bottom"/>
          </w:tcPr>
          <w:p w14:paraId="127C88FB" w14:textId="77777777" w:rsidR="000B266B" w:rsidRPr="00A16C9B" w:rsidRDefault="000B266B" w:rsidP="0041700E">
            <w:pPr>
              <w:pStyle w:val="TableText"/>
            </w:pPr>
            <w:r w:rsidRPr="00A16C9B">
              <w:t>Time horizon (base case: 58 years)</w:t>
            </w:r>
          </w:p>
        </w:tc>
        <w:tc>
          <w:tcPr>
            <w:tcW w:w="551" w:type="pct"/>
            <w:tcBorders>
              <w:left w:val="nil"/>
              <w:bottom w:val="single" w:sz="4" w:space="0" w:color="auto"/>
              <w:right w:val="nil"/>
            </w:tcBorders>
            <w:noWrap/>
          </w:tcPr>
          <w:p w14:paraId="4E9FAEFE" w14:textId="77777777" w:rsidR="000B266B" w:rsidRPr="00A16C9B" w:rsidRDefault="000B266B" w:rsidP="0041700E">
            <w:pPr>
              <w:pStyle w:val="TableText"/>
              <w:jc w:val="right"/>
            </w:pPr>
          </w:p>
        </w:tc>
        <w:tc>
          <w:tcPr>
            <w:tcW w:w="581" w:type="pct"/>
            <w:tcBorders>
              <w:left w:val="nil"/>
              <w:bottom w:val="single" w:sz="4" w:space="0" w:color="auto"/>
              <w:right w:val="nil"/>
            </w:tcBorders>
            <w:noWrap/>
          </w:tcPr>
          <w:p w14:paraId="5F092DBF" w14:textId="77777777" w:rsidR="000B266B" w:rsidRPr="00A16C9B" w:rsidRDefault="000B266B" w:rsidP="0041700E">
            <w:pPr>
              <w:pStyle w:val="TableText"/>
              <w:jc w:val="right"/>
            </w:pPr>
          </w:p>
        </w:tc>
        <w:tc>
          <w:tcPr>
            <w:tcW w:w="652" w:type="pct"/>
            <w:tcBorders>
              <w:left w:val="nil"/>
              <w:bottom w:val="single" w:sz="4" w:space="0" w:color="auto"/>
              <w:right w:val="nil"/>
            </w:tcBorders>
            <w:noWrap/>
          </w:tcPr>
          <w:p w14:paraId="7E2CF2AB" w14:textId="77777777" w:rsidR="000B266B" w:rsidRPr="00A16C9B" w:rsidRDefault="000B266B" w:rsidP="0041700E">
            <w:pPr>
              <w:pStyle w:val="TableText"/>
              <w:jc w:val="right"/>
            </w:pPr>
          </w:p>
        </w:tc>
        <w:tc>
          <w:tcPr>
            <w:tcW w:w="389" w:type="pct"/>
            <w:tcBorders>
              <w:left w:val="nil"/>
              <w:bottom w:val="single" w:sz="4" w:space="0" w:color="auto"/>
            </w:tcBorders>
            <w:noWrap/>
          </w:tcPr>
          <w:p w14:paraId="1D6674BF" w14:textId="77777777" w:rsidR="000B266B" w:rsidRPr="00A16C9B" w:rsidRDefault="000B266B" w:rsidP="0041700E">
            <w:pPr>
              <w:pStyle w:val="TableText"/>
              <w:jc w:val="right"/>
            </w:pPr>
          </w:p>
        </w:tc>
      </w:tr>
      <w:tr w:rsidR="000B266B" w:rsidRPr="00A16C9B" w14:paraId="733D0840" w14:textId="77777777" w:rsidTr="00B678E8">
        <w:trPr>
          <w:trHeight w:val="20"/>
        </w:trPr>
        <w:tc>
          <w:tcPr>
            <w:tcW w:w="2827" w:type="pct"/>
            <w:tcBorders>
              <w:top w:val="nil"/>
              <w:bottom w:val="nil"/>
            </w:tcBorders>
            <w:noWrap/>
            <w:vAlign w:val="bottom"/>
          </w:tcPr>
          <w:p w14:paraId="632F2E66" w14:textId="77777777" w:rsidR="000B266B" w:rsidRPr="00A16C9B" w:rsidRDefault="000B266B" w:rsidP="0041700E">
            <w:pPr>
              <w:pStyle w:val="TableText"/>
              <w:numPr>
                <w:ilvl w:val="0"/>
                <w:numId w:val="19"/>
              </w:numPr>
              <w:ind w:left="306" w:hanging="142"/>
            </w:pPr>
            <w:r w:rsidRPr="00A16C9B">
              <w:t>30 years</w:t>
            </w:r>
          </w:p>
        </w:tc>
        <w:tc>
          <w:tcPr>
            <w:tcW w:w="551" w:type="pct"/>
            <w:tcBorders>
              <w:top w:val="single" w:sz="4" w:space="0" w:color="auto"/>
              <w:bottom w:val="nil"/>
            </w:tcBorders>
            <w:shd w:val="solid" w:color="000000" w:fill="000000"/>
            <w:noWrap/>
            <w:vAlign w:val="center"/>
          </w:tcPr>
          <w:p w14:paraId="2413F6DE" w14:textId="77777777" w:rsidR="000B266B" w:rsidRPr="00D120E3" w:rsidRDefault="000B266B" w:rsidP="0041700E">
            <w:pPr>
              <w:pStyle w:val="TableText"/>
              <w:jc w:val="right"/>
              <w:rPr>
                <w:highlight w:val="darkGray"/>
              </w:rPr>
            </w:pPr>
            <w:r w:rsidRPr="00AB52EE">
              <w:rPr>
                <w:rFonts w:cs="Calibri"/>
                <w:color w:val="000000"/>
                <w14:textFill>
                  <w14:solidFill>
                    <w14:srgbClr w14:val="000000">
                      <w14:alpha w14:val="100000"/>
                    </w14:srgbClr>
                  </w14:solidFill>
                </w14:textFill>
              </w:rPr>
              <w:t>|</w:t>
            </w:r>
          </w:p>
        </w:tc>
        <w:tc>
          <w:tcPr>
            <w:tcW w:w="581" w:type="pct"/>
            <w:tcBorders>
              <w:top w:val="nil"/>
              <w:bottom w:val="nil"/>
            </w:tcBorders>
            <w:noWrap/>
            <w:vAlign w:val="center"/>
          </w:tcPr>
          <w:p w14:paraId="2CF26722" w14:textId="77777777" w:rsidR="000B266B" w:rsidRPr="00A16C9B" w:rsidRDefault="000B266B" w:rsidP="0041700E">
            <w:pPr>
              <w:pStyle w:val="TableText"/>
              <w:jc w:val="right"/>
            </w:pPr>
            <w:r w:rsidRPr="00A16C9B">
              <w:rPr>
                <w:rFonts w:cs="Calibri"/>
              </w:rPr>
              <w:t>2.59</w:t>
            </w:r>
          </w:p>
        </w:tc>
        <w:tc>
          <w:tcPr>
            <w:tcW w:w="652" w:type="pct"/>
            <w:tcBorders>
              <w:top w:val="nil"/>
              <w:bottom w:val="nil"/>
            </w:tcBorders>
            <w:noWrap/>
            <w:vAlign w:val="center"/>
          </w:tcPr>
          <w:p w14:paraId="6A6B5DF0" w14:textId="77777777" w:rsidR="000B266B" w:rsidRPr="00D120E3" w:rsidRDefault="000B266B" w:rsidP="0041700E">
            <w:pPr>
              <w:pStyle w:val="TableText"/>
              <w:jc w:val="right"/>
              <w:rPr>
                <w:highlight w:val="darkGray"/>
              </w:rPr>
            </w:pPr>
            <w:r w:rsidRPr="00AB52EE">
              <w:rPr>
                <w:rFonts w:cs="Calibri"/>
                <w:color w:val="000000"/>
                <w:shd w:val="solid" w:color="000000" w:fill="000000"/>
                <w14:textFill>
                  <w14:solidFill>
                    <w14:srgbClr w14:val="000000">
                      <w14:alpha w14:val="100000"/>
                    </w14:srgbClr>
                  </w14:solidFill>
                </w14:textFill>
              </w:rPr>
              <w:t>|</w:t>
            </w:r>
            <w:r w:rsidRPr="004739C9">
              <w:rPr>
                <w:b/>
                <w:vertAlign w:val="superscript"/>
              </w:rPr>
              <w:t>1</w:t>
            </w:r>
          </w:p>
        </w:tc>
        <w:tc>
          <w:tcPr>
            <w:tcW w:w="389" w:type="pct"/>
            <w:tcBorders>
              <w:top w:val="nil"/>
              <w:bottom w:val="nil"/>
            </w:tcBorders>
            <w:noWrap/>
            <w:vAlign w:val="center"/>
          </w:tcPr>
          <w:p w14:paraId="33FFB12E" w14:textId="77777777" w:rsidR="000B266B" w:rsidRPr="00A16C9B" w:rsidRDefault="000B266B" w:rsidP="0041700E">
            <w:pPr>
              <w:pStyle w:val="TableText"/>
              <w:jc w:val="right"/>
            </w:pPr>
            <w:r w:rsidRPr="000B266B">
              <w:rPr>
                <w:rFonts w:cstheme="minorHAnsi"/>
                <w:color w:val="000000"/>
                <w:spacing w:val="84"/>
                <w:shd w:val="solid" w:color="000000" w:fill="000000"/>
                <w:fitText w:val="170" w:id="-649843968"/>
                <w14:textFill>
                  <w14:solidFill>
                    <w14:srgbClr w14:val="000000">
                      <w14:alpha w14:val="100000"/>
                    </w14:srgbClr>
                  </w14:solidFill>
                </w14:textFill>
              </w:rPr>
              <w:t>|</w:t>
            </w:r>
            <w:r w:rsidRPr="000B266B">
              <w:rPr>
                <w:rFonts w:cstheme="minorHAnsi"/>
                <w:color w:val="000000"/>
                <w:spacing w:val="1"/>
                <w:shd w:val="solid" w:color="000000" w:fill="000000"/>
                <w:fitText w:val="170" w:id="-649843968"/>
                <w14:textFill>
                  <w14:solidFill>
                    <w14:srgbClr w14:val="000000">
                      <w14:alpha w14:val="100000"/>
                    </w14:srgbClr>
                  </w14:solidFill>
                </w14:textFill>
              </w:rPr>
              <w:t>|</w:t>
            </w:r>
            <w:r w:rsidRPr="00A16C9B">
              <w:rPr>
                <w:rFonts w:cstheme="minorHAnsi"/>
              </w:rPr>
              <w:t>%</w:t>
            </w:r>
          </w:p>
        </w:tc>
      </w:tr>
      <w:tr w:rsidR="000B266B" w:rsidRPr="00A16C9B" w14:paraId="481D60F5" w14:textId="77777777" w:rsidTr="00B678E8">
        <w:trPr>
          <w:trHeight w:val="20"/>
        </w:trPr>
        <w:tc>
          <w:tcPr>
            <w:tcW w:w="2827" w:type="pct"/>
            <w:tcBorders>
              <w:top w:val="nil"/>
              <w:bottom w:val="nil"/>
            </w:tcBorders>
            <w:noWrap/>
            <w:vAlign w:val="bottom"/>
          </w:tcPr>
          <w:p w14:paraId="07727797" w14:textId="77777777" w:rsidR="000B266B" w:rsidRPr="00A16C9B" w:rsidRDefault="000B266B" w:rsidP="0041700E">
            <w:pPr>
              <w:pStyle w:val="TableText"/>
              <w:keepNext w:val="0"/>
              <w:numPr>
                <w:ilvl w:val="0"/>
                <w:numId w:val="19"/>
              </w:numPr>
              <w:ind w:left="306" w:hanging="142"/>
            </w:pPr>
            <w:r w:rsidRPr="00A16C9B">
              <w:t>20 years</w:t>
            </w:r>
            <w:r w:rsidRPr="00A16C9B">
              <w:rPr>
                <w:b/>
              </w:rPr>
              <w:t xml:space="preserve"> (#3)</w:t>
            </w:r>
          </w:p>
        </w:tc>
        <w:tc>
          <w:tcPr>
            <w:tcW w:w="551" w:type="pct"/>
            <w:tcBorders>
              <w:top w:val="nil"/>
              <w:bottom w:val="nil"/>
            </w:tcBorders>
            <w:shd w:val="solid" w:color="000000" w:fill="000000"/>
            <w:noWrap/>
          </w:tcPr>
          <w:p w14:paraId="4D62848B" w14:textId="77777777" w:rsidR="000B266B" w:rsidRPr="00D120E3" w:rsidRDefault="000B266B" w:rsidP="0041700E">
            <w:pPr>
              <w:pStyle w:val="TableText"/>
              <w:jc w:val="right"/>
              <w:rPr>
                <w:highlight w:val="darkGray"/>
              </w:rPr>
            </w:pPr>
            <w:r w:rsidRPr="00AB52EE">
              <w:rPr>
                <w:color w:val="000000"/>
                <w14:textFill>
                  <w14:solidFill>
                    <w14:srgbClr w14:val="000000">
                      <w14:alpha w14:val="100000"/>
                    </w14:srgbClr>
                  </w14:solidFill>
                </w14:textFill>
              </w:rPr>
              <w:t>|</w:t>
            </w:r>
          </w:p>
        </w:tc>
        <w:tc>
          <w:tcPr>
            <w:tcW w:w="581" w:type="pct"/>
            <w:tcBorders>
              <w:top w:val="nil"/>
              <w:bottom w:val="nil"/>
            </w:tcBorders>
            <w:noWrap/>
          </w:tcPr>
          <w:p w14:paraId="5783942C" w14:textId="77777777" w:rsidR="000B266B" w:rsidRPr="00A16C9B" w:rsidRDefault="000B266B" w:rsidP="0041700E">
            <w:pPr>
              <w:pStyle w:val="TableText"/>
              <w:jc w:val="right"/>
            </w:pPr>
            <w:r w:rsidRPr="00A16C9B">
              <w:t>1.97</w:t>
            </w:r>
          </w:p>
        </w:tc>
        <w:tc>
          <w:tcPr>
            <w:tcW w:w="652" w:type="pct"/>
            <w:tcBorders>
              <w:top w:val="nil"/>
              <w:bottom w:val="nil"/>
            </w:tcBorders>
            <w:noWrap/>
          </w:tcPr>
          <w:p w14:paraId="6DD8475B" w14:textId="77777777" w:rsidR="000B266B" w:rsidRPr="00D120E3" w:rsidRDefault="000B266B" w:rsidP="0041700E">
            <w:pPr>
              <w:pStyle w:val="TableText"/>
              <w:jc w:val="right"/>
              <w:rPr>
                <w:highlight w:val="darkGray"/>
              </w:rPr>
            </w:pPr>
            <w:r w:rsidRPr="00AB52EE">
              <w:rPr>
                <w:color w:val="000000"/>
                <w:shd w:val="solid" w:color="000000" w:fill="000000"/>
                <w14:textFill>
                  <w14:solidFill>
                    <w14:srgbClr w14:val="000000">
                      <w14:alpha w14:val="100000"/>
                    </w14:srgbClr>
                  </w14:solidFill>
                </w14:textFill>
              </w:rPr>
              <w:t>|</w:t>
            </w:r>
            <w:r w:rsidRPr="00D120E3">
              <w:rPr>
                <w:vertAlign w:val="superscript"/>
              </w:rPr>
              <w:t>2</w:t>
            </w:r>
          </w:p>
        </w:tc>
        <w:tc>
          <w:tcPr>
            <w:tcW w:w="389" w:type="pct"/>
            <w:tcBorders>
              <w:top w:val="nil"/>
              <w:bottom w:val="nil"/>
            </w:tcBorders>
            <w:noWrap/>
          </w:tcPr>
          <w:p w14:paraId="1D365310" w14:textId="77777777" w:rsidR="000B266B" w:rsidRPr="00A16C9B" w:rsidRDefault="000B266B" w:rsidP="0041700E">
            <w:pPr>
              <w:pStyle w:val="TableText"/>
              <w:jc w:val="right"/>
            </w:pPr>
            <w:r w:rsidRPr="000B266B">
              <w:rPr>
                <w:color w:val="000000"/>
                <w:spacing w:val="84"/>
                <w:shd w:val="solid" w:color="000000" w:fill="000000"/>
                <w:fitText w:val="170" w:id="-649843967"/>
                <w14:textFill>
                  <w14:solidFill>
                    <w14:srgbClr w14:val="000000">
                      <w14:alpha w14:val="100000"/>
                    </w14:srgbClr>
                  </w14:solidFill>
                </w14:textFill>
              </w:rPr>
              <w:t>|</w:t>
            </w:r>
            <w:r w:rsidRPr="000B266B">
              <w:rPr>
                <w:color w:val="000000"/>
                <w:spacing w:val="1"/>
                <w:shd w:val="solid" w:color="000000" w:fill="000000"/>
                <w:fitText w:val="170" w:id="-649843967"/>
                <w14:textFill>
                  <w14:solidFill>
                    <w14:srgbClr w14:val="000000">
                      <w14:alpha w14:val="100000"/>
                    </w14:srgbClr>
                  </w14:solidFill>
                </w14:textFill>
              </w:rPr>
              <w:t>|</w:t>
            </w:r>
            <w:r w:rsidRPr="00A16C9B">
              <w:t>%</w:t>
            </w:r>
          </w:p>
        </w:tc>
      </w:tr>
      <w:tr w:rsidR="000B266B" w:rsidRPr="00A16C9B" w14:paraId="78B3B2D0" w14:textId="77777777" w:rsidTr="00B678E8">
        <w:trPr>
          <w:trHeight w:val="20"/>
        </w:trPr>
        <w:tc>
          <w:tcPr>
            <w:tcW w:w="2827" w:type="pct"/>
            <w:tcBorders>
              <w:top w:val="nil"/>
              <w:bottom w:val="single" w:sz="4" w:space="0" w:color="auto"/>
            </w:tcBorders>
            <w:noWrap/>
            <w:vAlign w:val="bottom"/>
          </w:tcPr>
          <w:p w14:paraId="2A1D702C" w14:textId="77777777" w:rsidR="000B266B" w:rsidRPr="00A16C9B" w:rsidRDefault="000B266B" w:rsidP="0041700E">
            <w:pPr>
              <w:pStyle w:val="TableText"/>
              <w:keepNext w:val="0"/>
              <w:numPr>
                <w:ilvl w:val="0"/>
                <w:numId w:val="19"/>
              </w:numPr>
              <w:ind w:left="306" w:hanging="142"/>
            </w:pPr>
            <w:r w:rsidRPr="00A16C9B">
              <w:t>10 years</w:t>
            </w:r>
          </w:p>
        </w:tc>
        <w:tc>
          <w:tcPr>
            <w:tcW w:w="551" w:type="pct"/>
            <w:tcBorders>
              <w:top w:val="nil"/>
              <w:bottom w:val="single" w:sz="4" w:space="0" w:color="auto"/>
            </w:tcBorders>
            <w:shd w:val="solid" w:color="000000" w:fill="000000"/>
            <w:noWrap/>
          </w:tcPr>
          <w:p w14:paraId="4665014E" w14:textId="77777777" w:rsidR="000B266B" w:rsidRPr="00D120E3" w:rsidRDefault="000B266B" w:rsidP="0041700E">
            <w:pPr>
              <w:pStyle w:val="TableText"/>
              <w:jc w:val="right"/>
              <w:rPr>
                <w:highlight w:val="darkGray"/>
              </w:rPr>
            </w:pPr>
            <w:r w:rsidRPr="00AB52EE">
              <w:rPr>
                <w:color w:val="000000"/>
                <w14:textFill>
                  <w14:solidFill>
                    <w14:srgbClr w14:val="000000">
                      <w14:alpha w14:val="100000"/>
                    </w14:srgbClr>
                  </w14:solidFill>
                </w14:textFill>
              </w:rPr>
              <w:t>|</w:t>
            </w:r>
          </w:p>
        </w:tc>
        <w:tc>
          <w:tcPr>
            <w:tcW w:w="581" w:type="pct"/>
            <w:tcBorders>
              <w:top w:val="nil"/>
              <w:bottom w:val="single" w:sz="4" w:space="0" w:color="auto"/>
            </w:tcBorders>
            <w:noWrap/>
          </w:tcPr>
          <w:p w14:paraId="2BEFE574" w14:textId="77777777" w:rsidR="000B266B" w:rsidRPr="00A16C9B" w:rsidRDefault="000B266B" w:rsidP="0041700E">
            <w:pPr>
              <w:pStyle w:val="TableText"/>
              <w:jc w:val="right"/>
            </w:pPr>
            <w:r w:rsidRPr="00A16C9B">
              <w:t>0.88</w:t>
            </w:r>
          </w:p>
        </w:tc>
        <w:tc>
          <w:tcPr>
            <w:tcW w:w="652" w:type="pct"/>
            <w:tcBorders>
              <w:top w:val="nil"/>
              <w:bottom w:val="single" w:sz="4" w:space="0" w:color="auto"/>
            </w:tcBorders>
            <w:noWrap/>
          </w:tcPr>
          <w:p w14:paraId="2D425DFF" w14:textId="77777777" w:rsidR="000B266B" w:rsidRPr="00D120E3" w:rsidRDefault="000B266B" w:rsidP="0041700E">
            <w:pPr>
              <w:pStyle w:val="TableText"/>
              <w:jc w:val="right"/>
              <w:rPr>
                <w:highlight w:val="darkGray"/>
              </w:rPr>
            </w:pPr>
            <w:r w:rsidRPr="00AB52EE">
              <w:rPr>
                <w:color w:val="000000"/>
                <w:shd w:val="solid" w:color="000000" w:fill="000000"/>
                <w14:textFill>
                  <w14:solidFill>
                    <w14:srgbClr w14:val="000000">
                      <w14:alpha w14:val="100000"/>
                    </w14:srgbClr>
                  </w14:solidFill>
                </w14:textFill>
              </w:rPr>
              <w:t>|</w:t>
            </w:r>
            <w:r w:rsidRPr="00D120E3">
              <w:rPr>
                <w:vertAlign w:val="superscript"/>
              </w:rPr>
              <w:t>3</w:t>
            </w:r>
          </w:p>
        </w:tc>
        <w:tc>
          <w:tcPr>
            <w:tcW w:w="389" w:type="pct"/>
            <w:tcBorders>
              <w:top w:val="nil"/>
              <w:bottom w:val="single" w:sz="4" w:space="0" w:color="auto"/>
            </w:tcBorders>
            <w:noWrap/>
          </w:tcPr>
          <w:p w14:paraId="661CC4B8" w14:textId="77777777" w:rsidR="000B266B" w:rsidRPr="00A16C9B" w:rsidRDefault="000B266B" w:rsidP="0041700E">
            <w:pPr>
              <w:pStyle w:val="TableText"/>
              <w:jc w:val="right"/>
            </w:pPr>
            <w:r w:rsidRPr="000B266B">
              <w:rPr>
                <w:color w:val="000000"/>
                <w:spacing w:val="84"/>
                <w:shd w:val="solid" w:color="000000" w:fill="000000"/>
                <w:fitText w:val="170" w:id="-649843966"/>
                <w14:textFill>
                  <w14:solidFill>
                    <w14:srgbClr w14:val="000000">
                      <w14:alpha w14:val="100000"/>
                    </w14:srgbClr>
                  </w14:solidFill>
                </w14:textFill>
              </w:rPr>
              <w:t>|</w:t>
            </w:r>
            <w:r w:rsidRPr="000B266B">
              <w:rPr>
                <w:color w:val="000000"/>
                <w:spacing w:val="1"/>
                <w:shd w:val="solid" w:color="000000" w:fill="000000"/>
                <w:fitText w:val="170" w:id="-649843966"/>
                <w14:textFill>
                  <w14:solidFill>
                    <w14:srgbClr w14:val="000000">
                      <w14:alpha w14:val="100000"/>
                    </w14:srgbClr>
                  </w14:solidFill>
                </w14:textFill>
              </w:rPr>
              <w:t>|</w:t>
            </w:r>
            <w:r w:rsidRPr="00A16C9B">
              <w:t>%</w:t>
            </w:r>
          </w:p>
        </w:tc>
      </w:tr>
      <w:tr w:rsidR="000B266B" w:rsidRPr="00A16C9B" w14:paraId="30748EB7" w14:textId="77777777" w:rsidTr="00B678E8">
        <w:trPr>
          <w:trHeight w:val="20"/>
        </w:trPr>
        <w:tc>
          <w:tcPr>
            <w:tcW w:w="2827" w:type="pct"/>
            <w:tcBorders>
              <w:bottom w:val="single" w:sz="4" w:space="0" w:color="auto"/>
              <w:right w:val="nil"/>
            </w:tcBorders>
            <w:noWrap/>
            <w:vAlign w:val="bottom"/>
          </w:tcPr>
          <w:p w14:paraId="20DFCBF4" w14:textId="77777777" w:rsidR="000B266B" w:rsidRPr="00251921" w:rsidRDefault="000B266B" w:rsidP="0041700E">
            <w:pPr>
              <w:pStyle w:val="TableText"/>
              <w:rPr>
                <w:rFonts w:cstheme="minorBidi"/>
                <w:lang w:eastAsia="en-US"/>
              </w:rPr>
            </w:pPr>
            <w:r w:rsidRPr="00251921">
              <w:t>Discounting rate (base case: 5%)</w:t>
            </w:r>
          </w:p>
        </w:tc>
        <w:tc>
          <w:tcPr>
            <w:tcW w:w="551" w:type="pct"/>
            <w:tcBorders>
              <w:left w:val="nil"/>
              <w:bottom w:val="single" w:sz="4" w:space="0" w:color="auto"/>
              <w:right w:val="nil"/>
            </w:tcBorders>
            <w:noWrap/>
            <w:vAlign w:val="bottom"/>
          </w:tcPr>
          <w:p w14:paraId="44A002D1" w14:textId="77777777" w:rsidR="000B266B" w:rsidRPr="00A16C9B" w:rsidRDefault="000B266B" w:rsidP="0041700E">
            <w:pPr>
              <w:pStyle w:val="TableText"/>
              <w:jc w:val="right"/>
            </w:pPr>
          </w:p>
        </w:tc>
        <w:tc>
          <w:tcPr>
            <w:tcW w:w="581" w:type="pct"/>
            <w:tcBorders>
              <w:left w:val="nil"/>
              <w:bottom w:val="single" w:sz="4" w:space="0" w:color="auto"/>
              <w:right w:val="nil"/>
            </w:tcBorders>
            <w:noWrap/>
            <w:vAlign w:val="bottom"/>
          </w:tcPr>
          <w:p w14:paraId="4998E816" w14:textId="77777777" w:rsidR="000B266B" w:rsidRPr="00A16C9B" w:rsidRDefault="000B266B" w:rsidP="0041700E">
            <w:pPr>
              <w:pStyle w:val="TableText"/>
              <w:jc w:val="right"/>
            </w:pPr>
          </w:p>
        </w:tc>
        <w:tc>
          <w:tcPr>
            <w:tcW w:w="652" w:type="pct"/>
            <w:tcBorders>
              <w:left w:val="nil"/>
              <w:bottom w:val="single" w:sz="4" w:space="0" w:color="auto"/>
              <w:right w:val="nil"/>
            </w:tcBorders>
            <w:noWrap/>
            <w:vAlign w:val="bottom"/>
          </w:tcPr>
          <w:p w14:paraId="0A0C7DDF" w14:textId="77777777" w:rsidR="000B266B" w:rsidRPr="00A16C9B" w:rsidRDefault="000B266B" w:rsidP="0041700E">
            <w:pPr>
              <w:pStyle w:val="TableText"/>
              <w:jc w:val="right"/>
            </w:pPr>
          </w:p>
        </w:tc>
        <w:tc>
          <w:tcPr>
            <w:tcW w:w="389" w:type="pct"/>
            <w:tcBorders>
              <w:left w:val="nil"/>
              <w:bottom w:val="single" w:sz="4" w:space="0" w:color="auto"/>
            </w:tcBorders>
            <w:noWrap/>
            <w:vAlign w:val="bottom"/>
          </w:tcPr>
          <w:p w14:paraId="1C457A61" w14:textId="77777777" w:rsidR="000B266B" w:rsidRPr="00A16C9B" w:rsidRDefault="000B266B" w:rsidP="0041700E">
            <w:pPr>
              <w:pStyle w:val="TableText"/>
              <w:jc w:val="right"/>
            </w:pPr>
          </w:p>
        </w:tc>
      </w:tr>
      <w:tr w:rsidR="000B266B" w:rsidRPr="00A16C9B" w14:paraId="40F40E97" w14:textId="77777777" w:rsidTr="00B678E8">
        <w:trPr>
          <w:trHeight w:val="20"/>
        </w:trPr>
        <w:tc>
          <w:tcPr>
            <w:tcW w:w="2827" w:type="pct"/>
            <w:tcBorders>
              <w:bottom w:val="nil"/>
            </w:tcBorders>
            <w:noWrap/>
            <w:vAlign w:val="bottom"/>
          </w:tcPr>
          <w:p w14:paraId="0293D428" w14:textId="77777777" w:rsidR="000B266B" w:rsidRPr="00251921" w:rsidRDefault="000B266B" w:rsidP="0041700E">
            <w:pPr>
              <w:pStyle w:val="TableText"/>
              <w:numPr>
                <w:ilvl w:val="0"/>
                <w:numId w:val="19"/>
              </w:numPr>
              <w:ind w:left="306" w:hanging="142"/>
            </w:pPr>
            <w:r w:rsidRPr="00251921">
              <w:t>0%</w:t>
            </w:r>
          </w:p>
        </w:tc>
        <w:tc>
          <w:tcPr>
            <w:tcW w:w="551" w:type="pct"/>
            <w:tcBorders>
              <w:bottom w:val="nil"/>
            </w:tcBorders>
            <w:shd w:val="solid" w:color="000000" w:fill="000000"/>
            <w:noWrap/>
            <w:vAlign w:val="center"/>
          </w:tcPr>
          <w:p w14:paraId="7C3EB58E" w14:textId="77777777" w:rsidR="000B266B" w:rsidRPr="00D120E3" w:rsidRDefault="000B266B" w:rsidP="0041700E">
            <w:pPr>
              <w:pStyle w:val="TableText"/>
              <w:jc w:val="right"/>
              <w:rPr>
                <w:highlight w:val="darkGray"/>
              </w:rPr>
            </w:pPr>
            <w:r w:rsidRPr="00AB52EE">
              <w:rPr>
                <w:rFonts w:cs="Calibri"/>
                <w:color w:val="000000"/>
                <w14:textFill>
                  <w14:solidFill>
                    <w14:srgbClr w14:val="000000">
                      <w14:alpha w14:val="100000"/>
                    </w14:srgbClr>
                  </w14:solidFill>
                </w14:textFill>
              </w:rPr>
              <w:t>|</w:t>
            </w:r>
          </w:p>
        </w:tc>
        <w:tc>
          <w:tcPr>
            <w:tcW w:w="581" w:type="pct"/>
            <w:tcBorders>
              <w:bottom w:val="nil"/>
            </w:tcBorders>
            <w:noWrap/>
            <w:vAlign w:val="center"/>
          </w:tcPr>
          <w:p w14:paraId="0CC7FD2E" w14:textId="77777777" w:rsidR="000B266B" w:rsidRPr="00A16C9B" w:rsidRDefault="000B266B" w:rsidP="0041700E">
            <w:pPr>
              <w:pStyle w:val="TableText"/>
              <w:jc w:val="right"/>
              <w:rPr>
                <w:rFonts w:cstheme="minorBidi"/>
                <w:lang w:eastAsia="en-US"/>
              </w:rPr>
            </w:pPr>
            <w:r w:rsidRPr="00A16C9B">
              <w:rPr>
                <w:rFonts w:cs="Calibri"/>
              </w:rPr>
              <w:t>7.84</w:t>
            </w:r>
          </w:p>
        </w:tc>
        <w:tc>
          <w:tcPr>
            <w:tcW w:w="652" w:type="pct"/>
            <w:tcBorders>
              <w:bottom w:val="nil"/>
            </w:tcBorders>
            <w:noWrap/>
            <w:vAlign w:val="center"/>
          </w:tcPr>
          <w:p w14:paraId="6F488A2D" w14:textId="77777777" w:rsidR="000B266B" w:rsidRPr="00D120E3" w:rsidRDefault="000B266B" w:rsidP="0041700E">
            <w:pPr>
              <w:pStyle w:val="TableText"/>
              <w:jc w:val="right"/>
              <w:rPr>
                <w:rFonts w:cstheme="minorBidi"/>
                <w:highlight w:val="darkGray"/>
                <w:lang w:eastAsia="en-US"/>
              </w:rPr>
            </w:pPr>
            <w:r w:rsidRPr="00AB52EE">
              <w:rPr>
                <w:rFonts w:cs="Calibri"/>
                <w:color w:val="000000"/>
                <w:shd w:val="solid" w:color="000000" w:fill="000000"/>
                <w14:textFill>
                  <w14:solidFill>
                    <w14:srgbClr w14:val="000000">
                      <w14:alpha w14:val="100000"/>
                    </w14:srgbClr>
                  </w14:solidFill>
                </w14:textFill>
              </w:rPr>
              <w:t>|</w:t>
            </w:r>
            <w:r w:rsidRPr="00D120E3">
              <w:rPr>
                <w:rFonts w:cs="Calibri"/>
                <w:vertAlign w:val="superscript"/>
              </w:rPr>
              <w:t>4</w:t>
            </w:r>
          </w:p>
        </w:tc>
        <w:tc>
          <w:tcPr>
            <w:tcW w:w="389" w:type="pct"/>
            <w:tcBorders>
              <w:bottom w:val="nil"/>
            </w:tcBorders>
            <w:noWrap/>
            <w:vAlign w:val="center"/>
          </w:tcPr>
          <w:p w14:paraId="4CE9D097" w14:textId="77777777" w:rsidR="000B266B" w:rsidRPr="00A16C9B" w:rsidRDefault="000B266B" w:rsidP="0041700E">
            <w:pPr>
              <w:pStyle w:val="TableText"/>
              <w:jc w:val="right"/>
              <w:rPr>
                <w:rFonts w:cstheme="minorBidi"/>
                <w:lang w:eastAsia="en-US"/>
              </w:rPr>
            </w:pPr>
            <w:r w:rsidRPr="00A16C9B">
              <w:rPr>
                <w:rFonts w:cstheme="minorHAnsi"/>
              </w:rPr>
              <w:t>-</w:t>
            </w:r>
            <w:r w:rsidRPr="000B266B">
              <w:rPr>
                <w:rFonts w:cstheme="minorHAnsi"/>
                <w:color w:val="000000"/>
                <w:spacing w:val="84"/>
                <w:shd w:val="solid" w:color="000000" w:fill="000000"/>
                <w:fitText w:val="170" w:id="-649843965"/>
                <w14:textFill>
                  <w14:solidFill>
                    <w14:srgbClr w14:val="000000">
                      <w14:alpha w14:val="100000"/>
                    </w14:srgbClr>
                  </w14:solidFill>
                </w14:textFill>
              </w:rPr>
              <w:t>|</w:t>
            </w:r>
            <w:r w:rsidRPr="000B266B">
              <w:rPr>
                <w:rFonts w:cstheme="minorHAnsi"/>
                <w:color w:val="000000"/>
                <w:spacing w:val="1"/>
                <w:shd w:val="solid" w:color="000000" w:fill="000000"/>
                <w:fitText w:val="170" w:id="-649843965"/>
                <w14:textFill>
                  <w14:solidFill>
                    <w14:srgbClr w14:val="000000">
                      <w14:alpha w14:val="100000"/>
                    </w14:srgbClr>
                  </w14:solidFill>
                </w14:textFill>
              </w:rPr>
              <w:t>|</w:t>
            </w:r>
            <w:r w:rsidRPr="00A16C9B">
              <w:rPr>
                <w:rFonts w:cstheme="minorHAnsi"/>
              </w:rPr>
              <w:t>%</w:t>
            </w:r>
          </w:p>
        </w:tc>
      </w:tr>
      <w:tr w:rsidR="000B266B" w:rsidRPr="00A16C9B" w14:paraId="36560BDD" w14:textId="77777777" w:rsidTr="00B678E8">
        <w:trPr>
          <w:trHeight w:val="20"/>
        </w:trPr>
        <w:tc>
          <w:tcPr>
            <w:tcW w:w="2827" w:type="pct"/>
            <w:tcBorders>
              <w:top w:val="nil"/>
            </w:tcBorders>
            <w:noWrap/>
            <w:vAlign w:val="bottom"/>
          </w:tcPr>
          <w:p w14:paraId="6DE0999C" w14:textId="77777777" w:rsidR="000B266B" w:rsidRPr="00251921" w:rsidRDefault="000B266B" w:rsidP="0041700E">
            <w:pPr>
              <w:pStyle w:val="TableText"/>
              <w:keepNext w:val="0"/>
              <w:numPr>
                <w:ilvl w:val="0"/>
                <w:numId w:val="19"/>
              </w:numPr>
              <w:ind w:left="306" w:hanging="142"/>
              <w:rPr>
                <w:rFonts w:cstheme="minorBidi"/>
                <w:lang w:eastAsia="en-US"/>
              </w:rPr>
            </w:pPr>
            <w:r w:rsidRPr="00251921">
              <w:t>3.50%</w:t>
            </w:r>
          </w:p>
        </w:tc>
        <w:tc>
          <w:tcPr>
            <w:tcW w:w="551" w:type="pct"/>
            <w:tcBorders>
              <w:top w:val="nil"/>
            </w:tcBorders>
            <w:shd w:val="solid" w:color="000000" w:fill="000000"/>
            <w:noWrap/>
            <w:vAlign w:val="center"/>
          </w:tcPr>
          <w:p w14:paraId="5C71DEF2" w14:textId="77777777" w:rsidR="000B266B" w:rsidRPr="00D120E3" w:rsidRDefault="000B266B" w:rsidP="0041700E">
            <w:pPr>
              <w:pStyle w:val="TableText"/>
              <w:jc w:val="right"/>
              <w:rPr>
                <w:highlight w:val="darkGray"/>
              </w:rPr>
            </w:pPr>
            <w:r w:rsidRPr="00AB52EE">
              <w:rPr>
                <w:rFonts w:cs="Calibri"/>
                <w:color w:val="000000"/>
                <w14:textFill>
                  <w14:solidFill>
                    <w14:srgbClr w14:val="000000">
                      <w14:alpha w14:val="100000"/>
                    </w14:srgbClr>
                  </w14:solidFill>
                </w14:textFill>
              </w:rPr>
              <w:t>|</w:t>
            </w:r>
          </w:p>
        </w:tc>
        <w:tc>
          <w:tcPr>
            <w:tcW w:w="581" w:type="pct"/>
            <w:tcBorders>
              <w:top w:val="nil"/>
            </w:tcBorders>
            <w:noWrap/>
            <w:vAlign w:val="center"/>
          </w:tcPr>
          <w:p w14:paraId="1782CBB3" w14:textId="77777777" w:rsidR="000B266B" w:rsidRPr="00A16C9B" w:rsidRDefault="000B266B" w:rsidP="0041700E">
            <w:pPr>
              <w:pStyle w:val="TableText"/>
              <w:jc w:val="right"/>
              <w:rPr>
                <w:rFonts w:cstheme="minorBidi"/>
                <w:lang w:eastAsia="en-US"/>
              </w:rPr>
            </w:pPr>
            <w:r w:rsidRPr="00A16C9B">
              <w:rPr>
                <w:rFonts w:cs="Calibri"/>
              </w:rPr>
              <w:t>3.81</w:t>
            </w:r>
          </w:p>
        </w:tc>
        <w:tc>
          <w:tcPr>
            <w:tcW w:w="652" w:type="pct"/>
            <w:tcBorders>
              <w:top w:val="nil"/>
            </w:tcBorders>
            <w:noWrap/>
            <w:vAlign w:val="center"/>
          </w:tcPr>
          <w:p w14:paraId="0FCD4714" w14:textId="77777777" w:rsidR="000B266B" w:rsidRPr="00D120E3" w:rsidRDefault="000B266B" w:rsidP="0041700E">
            <w:pPr>
              <w:pStyle w:val="TableText"/>
              <w:jc w:val="right"/>
              <w:rPr>
                <w:rFonts w:cstheme="minorBidi"/>
                <w:highlight w:val="darkGray"/>
                <w:lang w:eastAsia="en-US"/>
              </w:rPr>
            </w:pPr>
            <w:r w:rsidRPr="00AB52EE">
              <w:rPr>
                <w:rFonts w:cs="Calibri"/>
                <w:color w:val="000000"/>
                <w:shd w:val="solid" w:color="000000" w:fill="000000"/>
                <w14:textFill>
                  <w14:solidFill>
                    <w14:srgbClr w14:val="000000">
                      <w14:alpha w14:val="100000"/>
                    </w14:srgbClr>
                  </w14:solidFill>
                </w14:textFill>
              </w:rPr>
              <w:t>|</w:t>
            </w:r>
            <w:r w:rsidRPr="00D120E3">
              <w:rPr>
                <w:rFonts w:cs="Calibri"/>
                <w:vertAlign w:val="superscript"/>
              </w:rPr>
              <w:t>5</w:t>
            </w:r>
          </w:p>
        </w:tc>
        <w:tc>
          <w:tcPr>
            <w:tcW w:w="389" w:type="pct"/>
            <w:tcBorders>
              <w:top w:val="nil"/>
            </w:tcBorders>
            <w:noWrap/>
            <w:vAlign w:val="center"/>
          </w:tcPr>
          <w:p w14:paraId="512C94D2" w14:textId="77777777" w:rsidR="000B266B" w:rsidRPr="00A16C9B" w:rsidRDefault="000B266B" w:rsidP="0041700E">
            <w:pPr>
              <w:pStyle w:val="TableText"/>
              <w:jc w:val="right"/>
              <w:rPr>
                <w:rFonts w:cstheme="minorBidi"/>
                <w:lang w:eastAsia="en-US"/>
              </w:rPr>
            </w:pPr>
            <w:r w:rsidRPr="00A16C9B">
              <w:rPr>
                <w:rFonts w:cstheme="minorHAnsi"/>
              </w:rPr>
              <w:t>-</w:t>
            </w:r>
            <w:r w:rsidRPr="000B266B">
              <w:rPr>
                <w:rFonts w:cstheme="minorHAnsi"/>
                <w:color w:val="000000"/>
                <w:spacing w:val="84"/>
                <w:shd w:val="solid" w:color="000000" w:fill="000000"/>
                <w:fitText w:val="170" w:id="-649843964"/>
                <w14:textFill>
                  <w14:solidFill>
                    <w14:srgbClr w14:val="000000">
                      <w14:alpha w14:val="100000"/>
                    </w14:srgbClr>
                  </w14:solidFill>
                </w14:textFill>
              </w:rPr>
              <w:t>|</w:t>
            </w:r>
            <w:r w:rsidRPr="000B266B">
              <w:rPr>
                <w:rFonts w:cstheme="minorHAnsi"/>
                <w:color w:val="000000"/>
                <w:spacing w:val="1"/>
                <w:shd w:val="solid" w:color="000000" w:fill="000000"/>
                <w:fitText w:val="170" w:id="-649843964"/>
                <w14:textFill>
                  <w14:solidFill>
                    <w14:srgbClr w14:val="000000">
                      <w14:alpha w14:val="100000"/>
                    </w14:srgbClr>
                  </w14:solidFill>
                </w14:textFill>
              </w:rPr>
              <w:t>|</w:t>
            </w:r>
            <w:r w:rsidRPr="00A16C9B">
              <w:rPr>
                <w:rFonts w:cstheme="minorHAnsi"/>
              </w:rPr>
              <w:t>%</w:t>
            </w:r>
          </w:p>
        </w:tc>
      </w:tr>
      <w:tr w:rsidR="000B266B" w:rsidRPr="00A16C9B" w14:paraId="31B29EC4" w14:textId="77777777" w:rsidTr="00B678E8">
        <w:trPr>
          <w:trHeight w:val="20"/>
        </w:trPr>
        <w:tc>
          <w:tcPr>
            <w:tcW w:w="5000" w:type="pct"/>
            <w:gridSpan w:val="5"/>
            <w:tcBorders>
              <w:bottom w:val="single" w:sz="4" w:space="0" w:color="auto"/>
            </w:tcBorders>
            <w:noWrap/>
            <w:vAlign w:val="bottom"/>
          </w:tcPr>
          <w:p w14:paraId="1E11F361" w14:textId="77777777" w:rsidR="000B266B" w:rsidRPr="00A16C9B" w:rsidRDefault="000B266B" w:rsidP="0041700E">
            <w:pPr>
              <w:pStyle w:val="TableText"/>
              <w:rPr>
                <w:rFonts w:cstheme="minorBidi"/>
                <w:lang w:eastAsia="en-US"/>
              </w:rPr>
            </w:pPr>
            <w:r w:rsidRPr="00A16C9B">
              <w:t>Distribution of F0-F3 stage at baseline (base case: Romeo et al. 2009)</w:t>
            </w:r>
          </w:p>
        </w:tc>
      </w:tr>
      <w:tr w:rsidR="000B266B" w:rsidRPr="00A16C9B" w14:paraId="65A86D49" w14:textId="77777777" w:rsidTr="00B678E8">
        <w:trPr>
          <w:trHeight w:val="20"/>
        </w:trPr>
        <w:tc>
          <w:tcPr>
            <w:tcW w:w="2827" w:type="pct"/>
            <w:tcBorders>
              <w:bottom w:val="nil"/>
            </w:tcBorders>
            <w:noWrap/>
            <w:vAlign w:val="bottom"/>
          </w:tcPr>
          <w:p w14:paraId="2C818678" w14:textId="77777777" w:rsidR="000B266B" w:rsidRPr="00A16C9B" w:rsidRDefault="000B266B" w:rsidP="0041700E">
            <w:pPr>
              <w:pStyle w:val="TableText"/>
              <w:numPr>
                <w:ilvl w:val="0"/>
                <w:numId w:val="19"/>
              </w:numPr>
              <w:ind w:left="306" w:hanging="142"/>
            </w:pPr>
            <w:r w:rsidRPr="00A16C9B">
              <w:t>MYR301</w:t>
            </w:r>
          </w:p>
        </w:tc>
        <w:tc>
          <w:tcPr>
            <w:tcW w:w="551" w:type="pct"/>
            <w:tcBorders>
              <w:bottom w:val="nil"/>
            </w:tcBorders>
            <w:shd w:val="solid" w:color="000000" w:fill="000000"/>
            <w:noWrap/>
          </w:tcPr>
          <w:p w14:paraId="00106517" w14:textId="77777777" w:rsidR="000B266B" w:rsidRPr="00D120E3" w:rsidRDefault="000B266B" w:rsidP="0041700E">
            <w:pPr>
              <w:pStyle w:val="TableText"/>
              <w:jc w:val="right"/>
              <w:rPr>
                <w:highlight w:val="darkGray"/>
              </w:rPr>
            </w:pPr>
            <w:r w:rsidRPr="00AB52EE">
              <w:rPr>
                <w:color w:val="000000"/>
                <w14:textFill>
                  <w14:solidFill>
                    <w14:srgbClr w14:val="000000">
                      <w14:alpha w14:val="100000"/>
                    </w14:srgbClr>
                  </w14:solidFill>
                </w14:textFill>
              </w:rPr>
              <w:t>|</w:t>
            </w:r>
          </w:p>
        </w:tc>
        <w:tc>
          <w:tcPr>
            <w:tcW w:w="581" w:type="pct"/>
            <w:tcBorders>
              <w:bottom w:val="nil"/>
            </w:tcBorders>
            <w:noWrap/>
          </w:tcPr>
          <w:p w14:paraId="1002DF60" w14:textId="77777777" w:rsidR="000B266B" w:rsidRPr="00A16C9B" w:rsidRDefault="000B266B" w:rsidP="0041700E">
            <w:pPr>
              <w:pStyle w:val="TableText"/>
              <w:jc w:val="right"/>
            </w:pPr>
            <w:r w:rsidRPr="00A16C9B">
              <w:t>2.86</w:t>
            </w:r>
          </w:p>
        </w:tc>
        <w:tc>
          <w:tcPr>
            <w:tcW w:w="652" w:type="pct"/>
            <w:tcBorders>
              <w:bottom w:val="nil"/>
            </w:tcBorders>
            <w:noWrap/>
          </w:tcPr>
          <w:p w14:paraId="59402C4F" w14:textId="77777777" w:rsidR="000B266B" w:rsidRPr="00D120E3" w:rsidRDefault="000B266B" w:rsidP="0041700E">
            <w:pPr>
              <w:pStyle w:val="TableText"/>
              <w:jc w:val="right"/>
              <w:rPr>
                <w:highlight w:val="darkGray"/>
              </w:rPr>
            </w:pPr>
            <w:r w:rsidRPr="00AB52EE">
              <w:rPr>
                <w:color w:val="000000"/>
                <w:shd w:val="solid" w:color="000000" w:fill="000000"/>
                <w14:textFill>
                  <w14:solidFill>
                    <w14:srgbClr w14:val="000000">
                      <w14:alpha w14:val="100000"/>
                    </w14:srgbClr>
                  </w14:solidFill>
                </w14:textFill>
              </w:rPr>
              <w:t>|</w:t>
            </w:r>
            <w:r w:rsidRPr="004739C9">
              <w:rPr>
                <w:b/>
                <w:vertAlign w:val="superscript"/>
              </w:rPr>
              <w:t>1</w:t>
            </w:r>
          </w:p>
        </w:tc>
        <w:tc>
          <w:tcPr>
            <w:tcW w:w="389" w:type="pct"/>
            <w:tcBorders>
              <w:bottom w:val="nil"/>
            </w:tcBorders>
            <w:noWrap/>
          </w:tcPr>
          <w:p w14:paraId="0DF0B04F" w14:textId="77777777" w:rsidR="000B266B" w:rsidRPr="00A16C9B" w:rsidRDefault="000B266B" w:rsidP="0041700E">
            <w:pPr>
              <w:pStyle w:val="TableText"/>
              <w:jc w:val="right"/>
            </w:pPr>
            <w:r w:rsidRPr="000B266B">
              <w:rPr>
                <w:color w:val="000000"/>
                <w:spacing w:val="84"/>
                <w:shd w:val="solid" w:color="000000" w:fill="000000"/>
                <w:fitText w:val="170" w:id="-649843963"/>
                <w14:textFill>
                  <w14:solidFill>
                    <w14:srgbClr w14:val="000000">
                      <w14:alpha w14:val="100000"/>
                    </w14:srgbClr>
                  </w14:solidFill>
                </w14:textFill>
              </w:rPr>
              <w:t>|</w:t>
            </w:r>
            <w:r w:rsidRPr="000B266B">
              <w:rPr>
                <w:color w:val="000000"/>
                <w:spacing w:val="1"/>
                <w:shd w:val="solid" w:color="000000" w:fill="000000"/>
                <w:fitText w:val="170" w:id="-649843963"/>
                <w14:textFill>
                  <w14:solidFill>
                    <w14:srgbClr w14:val="000000">
                      <w14:alpha w14:val="100000"/>
                    </w14:srgbClr>
                  </w14:solidFill>
                </w14:textFill>
              </w:rPr>
              <w:t>|</w:t>
            </w:r>
            <w:r w:rsidRPr="00A16C9B">
              <w:t>%</w:t>
            </w:r>
          </w:p>
        </w:tc>
      </w:tr>
      <w:tr w:rsidR="000B266B" w:rsidRPr="00A16C9B" w14:paraId="1FFB6C13" w14:textId="77777777" w:rsidTr="00B678E8">
        <w:trPr>
          <w:trHeight w:val="20"/>
        </w:trPr>
        <w:tc>
          <w:tcPr>
            <w:tcW w:w="2827" w:type="pct"/>
            <w:tcBorders>
              <w:top w:val="nil"/>
              <w:bottom w:val="single" w:sz="4" w:space="0" w:color="auto"/>
            </w:tcBorders>
            <w:noWrap/>
            <w:vAlign w:val="bottom"/>
          </w:tcPr>
          <w:p w14:paraId="09757844" w14:textId="77777777" w:rsidR="000B266B" w:rsidRPr="00A16C9B" w:rsidRDefault="000B266B" w:rsidP="0041700E">
            <w:pPr>
              <w:pStyle w:val="TableText"/>
              <w:keepNext w:val="0"/>
              <w:numPr>
                <w:ilvl w:val="0"/>
                <w:numId w:val="19"/>
              </w:numPr>
              <w:ind w:left="306" w:hanging="142"/>
            </w:pPr>
            <w:r w:rsidRPr="00A16C9B">
              <w:t>Assuming all NC patients enter model as F3</w:t>
            </w:r>
          </w:p>
        </w:tc>
        <w:tc>
          <w:tcPr>
            <w:tcW w:w="551" w:type="pct"/>
            <w:tcBorders>
              <w:top w:val="nil"/>
              <w:bottom w:val="single" w:sz="4" w:space="0" w:color="auto"/>
            </w:tcBorders>
            <w:shd w:val="solid" w:color="000000" w:fill="000000"/>
            <w:noWrap/>
          </w:tcPr>
          <w:p w14:paraId="7A938E02" w14:textId="77777777" w:rsidR="000B266B" w:rsidRPr="00D120E3" w:rsidRDefault="000B266B" w:rsidP="0041700E">
            <w:pPr>
              <w:pStyle w:val="TableText"/>
              <w:jc w:val="right"/>
              <w:rPr>
                <w:highlight w:val="darkGray"/>
              </w:rPr>
            </w:pPr>
            <w:r w:rsidRPr="00AB52EE">
              <w:rPr>
                <w:color w:val="000000"/>
                <w14:textFill>
                  <w14:solidFill>
                    <w14:srgbClr w14:val="000000">
                      <w14:alpha w14:val="100000"/>
                    </w14:srgbClr>
                  </w14:solidFill>
                </w14:textFill>
              </w:rPr>
              <w:t>|</w:t>
            </w:r>
          </w:p>
        </w:tc>
        <w:tc>
          <w:tcPr>
            <w:tcW w:w="581" w:type="pct"/>
            <w:tcBorders>
              <w:top w:val="nil"/>
              <w:bottom w:val="single" w:sz="4" w:space="0" w:color="auto"/>
            </w:tcBorders>
            <w:noWrap/>
          </w:tcPr>
          <w:p w14:paraId="09BBE39B" w14:textId="77777777" w:rsidR="000B266B" w:rsidRPr="00A16C9B" w:rsidRDefault="000B266B" w:rsidP="0041700E">
            <w:pPr>
              <w:pStyle w:val="TableText"/>
              <w:jc w:val="right"/>
            </w:pPr>
            <w:r w:rsidRPr="00A16C9B">
              <w:t>3.43</w:t>
            </w:r>
          </w:p>
        </w:tc>
        <w:tc>
          <w:tcPr>
            <w:tcW w:w="652" w:type="pct"/>
            <w:tcBorders>
              <w:top w:val="nil"/>
              <w:bottom w:val="single" w:sz="4" w:space="0" w:color="auto"/>
            </w:tcBorders>
            <w:noWrap/>
          </w:tcPr>
          <w:p w14:paraId="081774F9" w14:textId="77777777" w:rsidR="000B266B" w:rsidRPr="00D120E3" w:rsidRDefault="000B266B" w:rsidP="0041700E">
            <w:pPr>
              <w:pStyle w:val="TableText"/>
              <w:jc w:val="right"/>
              <w:rPr>
                <w:highlight w:val="darkGray"/>
              </w:rPr>
            </w:pPr>
            <w:r w:rsidRPr="00AB52EE">
              <w:rPr>
                <w:color w:val="000000"/>
                <w:shd w:val="solid" w:color="000000" w:fill="000000"/>
                <w14:textFill>
                  <w14:solidFill>
                    <w14:srgbClr w14:val="000000">
                      <w14:alpha w14:val="100000"/>
                    </w14:srgbClr>
                  </w14:solidFill>
                </w14:textFill>
              </w:rPr>
              <w:t>|</w:t>
            </w:r>
            <w:r w:rsidRPr="004739C9">
              <w:rPr>
                <w:rFonts w:cs="Calibri"/>
                <w:vertAlign w:val="superscript"/>
              </w:rPr>
              <w:t>5</w:t>
            </w:r>
          </w:p>
        </w:tc>
        <w:tc>
          <w:tcPr>
            <w:tcW w:w="389" w:type="pct"/>
            <w:tcBorders>
              <w:top w:val="nil"/>
              <w:bottom w:val="single" w:sz="4" w:space="0" w:color="auto"/>
            </w:tcBorders>
            <w:noWrap/>
          </w:tcPr>
          <w:p w14:paraId="06EF28C3" w14:textId="77777777" w:rsidR="000B266B" w:rsidRPr="00A16C9B" w:rsidRDefault="000B266B" w:rsidP="0041700E">
            <w:pPr>
              <w:pStyle w:val="TableText"/>
              <w:jc w:val="right"/>
            </w:pPr>
            <w:r w:rsidRPr="00A16C9B">
              <w:t>-</w:t>
            </w:r>
            <w:r w:rsidRPr="000B266B">
              <w:rPr>
                <w:color w:val="000000"/>
                <w:spacing w:val="84"/>
                <w:shd w:val="solid" w:color="000000" w:fill="000000"/>
                <w:fitText w:val="170" w:id="-649843962"/>
                <w14:textFill>
                  <w14:solidFill>
                    <w14:srgbClr w14:val="000000">
                      <w14:alpha w14:val="100000"/>
                    </w14:srgbClr>
                  </w14:solidFill>
                </w14:textFill>
              </w:rPr>
              <w:t>|</w:t>
            </w:r>
            <w:r w:rsidRPr="000B266B">
              <w:rPr>
                <w:color w:val="000000"/>
                <w:spacing w:val="1"/>
                <w:shd w:val="solid" w:color="000000" w:fill="000000"/>
                <w:fitText w:val="170" w:id="-649843962"/>
                <w14:textFill>
                  <w14:solidFill>
                    <w14:srgbClr w14:val="000000">
                      <w14:alpha w14:val="100000"/>
                    </w14:srgbClr>
                  </w14:solidFill>
                </w14:textFill>
              </w:rPr>
              <w:t>|</w:t>
            </w:r>
            <w:r w:rsidRPr="00A16C9B">
              <w:t>%</w:t>
            </w:r>
          </w:p>
        </w:tc>
      </w:tr>
      <w:tr w:rsidR="000B266B" w:rsidRPr="00A16C9B" w14:paraId="12502D80" w14:textId="77777777" w:rsidTr="00B678E8">
        <w:trPr>
          <w:trHeight w:val="20"/>
        </w:trPr>
        <w:tc>
          <w:tcPr>
            <w:tcW w:w="5000" w:type="pct"/>
            <w:gridSpan w:val="5"/>
            <w:tcBorders>
              <w:bottom w:val="single" w:sz="4" w:space="0" w:color="auto"/>
            </w:tcBorders>
            <w:noWrap/>
            <w:vAlign w:val="bottom"/>
          </w:tcPr>
          <w:p w14:paraId="0B6DE754" w14:textId="77777777" w:rsidR="000B266B" w:rsidRPr="00A16C9B" w:rsidRDefault="000B266B" w:rsidP="0041700E">
            <w:pPr>
              <w:pStyle w:val="TableText"/>
              <w:rPr>
                <w:rFonts w:cstheme="minorBidi"/>
                <w:lang w:eastAsia="en-US"/>
              </w:rPr>
            </w:pPr>
            <w:r w:rsidRPr="00A16C9B">
              <w:t>HDV natural disease progression (base case: chronic HBV probabilities from Bermingham, adjusted for HBV/HDV)</w:t>
            </w:r>
          </w:p>
        </w:tc>
      </w:tr>
      <w:tr w:rsidR="000B266B" w:rsidRPr="00A16C9B" w14:paraId="7C91859A" w14:textId="77777777" w:rsidTr="00B678E8">
        <w:trPr>
          <w:trHeight w:val="20"/>
        </w:trPr>
        <w:tc>
          <w:tcPr>
            <w:tcW w:w="2827" w:type="pct"/>
            <w:tcBorders>
              <w:top w:val="single" w:sz="4" w:space="0" w:color="auto"/>
              <w:bottom w:val="nil"/>
            </w:tcBorders>
            <w:noWrap/>
            <w:vAlign w:val="bottom"/>
          </w:tcPr>
          <w:p w14:paraId="28EE52E1" w14:textId="77777777" w:rsidR="000B266B" w:rsidRPr="00A16C9B" w:rsidRDefault="000B266B" w:rsidP="0041700E">
            <w:pPr>
              <w:pStyle w:val="TableText"/>
              <w:numPr>
                <w:ilvl w:val="0"/>
                <w:numId w:val="19"/>
              </w:numPr>
              <w:ind w:left="306" w:hanging="142"/>
              <w:rPr>
                <w:rFonts w:cstheme="minorBidi"/>
                <w:lang w:eastAsia="en-US"/>
              </w:rPr>
            </w:pPr>
            <w:r w:rsidRPr="00A16C9B">
              <w:t>Xiao et al. (2020), adjusted for HBV/HDV as in resubmission</w:t>
            </w:r>
          </w:p>
        </w:tc>
        <w:tc>
          <w:tcPr>
            <w:tcW w:w="551" w:type="pct"/>
            <w:tcBorders>
              <w:top w:val="single" w:sz="4" w:space="0" w:color="auto"/>
              <w:bottom w:val="nil"/>
            </w:tcBorders>
            <w:shd w:val="solid" w:color="000000" w:fill="000000"/>
            <w:noWrap/>
            <w:vAlign w:val="center"/>
          </w:tcPr>
          <w:p w14:paraId="59EE513C" w14:textId="77777777" w:rsidR="000B266B" w:rsidRPr="00D120E3" w:rsidRDefault="000B266B" w:rsidP="0041700E">
            <w:pPr>
              <w:pStyle w:val="TableText"/>
              <w:jc w:val="right"/>
              <w:rPr>
                <w:highlight w:val="darkGray"/>
              </w:rPr>
            </w:pPr>
            <w:r w:rsidRPr="00AB52EE">
              <w:rPr>
                <w:color w:val="000000"/>
                <w14:textFill>
                  <w14:solidFill>
                    <w14:srgbClr w14:val="000000">
                      <w14:alpha w14:val="100000"/>
                    </w14:srgbClr>
                  </w14:solidFill>
                </w14:textFill>
              </w:rPr>
              <w:t>|</w:t>
            </w:r>
          </w:p>
        </w:tc>
        <w:tc>
          <w:tcPr>
            <w:tcW w:w="581" w:type="pct"/>
            <w:tcBorders>
              <w:top w:val="single" w:sz="4" w:space="0" w:color="auto"/>
              <w:bottom w:val="nil"/>
            </w:tcBorders>
            <w:noWrap/>
            <w:vAlign w:val="center"/>
          </w:tcPr>
          <w:p w14:paraId="26AF6049" w14:textId="77777777" w:rsidR="000B266B" w:rsidRPr="00A16C9B" w:rsidRDefault="000B266B" w:rsidP="0041700E">
            <w:pPr>
              <w:pStyle w:val="TableText"/>
              <w:jc w:val="right"/>
              <w:rPr>
                <w:rFonts w:cstheme="minorBidi"/>
                <w:highlight w:val="yellow"/>
                <w:lang w:eastAsia="en-US"/>
              </w:rPr>
            </w:pPr>
            <w:r w:rsidRPr="00A16C9B">
              <w:t>2.35</w:t>
            </w:r>
          </w:p>
        </w:tc>
        <w:tc>
          <w:tcPr>
            <w:tcW w:w="652" w:type="pct"/>
            <w:tcBorders>
              <w:top w:val="single" w:sz="4" w:space="0" w:color="auto"/>
              <w:bottom w:val="nil"/>
            </w:tcBorders>
            <w:noWrap/>
            <w:vAlign w:val="center"/>
          </w:tcPr>
          <w:p w14:paraId="310DA32B" w14:textId="77777777" w:rsidR="000B266B" w:rsidRPr="00D120E3" w:rsidRDefault="000B266B" w:rsidP="0041700E">
            <w:pPr>
              <w:pStyle w:val="TableText"/>
              <w:jc w:val="right"/>
              <w:rPr>
                <w:rFonts w:cstheme="minorBidi"/>
                <w:highlight w:val="darkGray"/>
                <w:lang w:eastAsia="en-US"/>
              </w:rPr>
            </w:pPr>
            <w:r w:rsidRPr="00AB52EE">
              <w:rPr>
                <w:color w:val="000000"/>
                <w:shd w:val="solid" w:color="000000" w:fill="000000"/>
                <w14:textFill>
                  <w14:solidFill>
                    <w14:srgbClr w14:val="000000">
                      <w14:alpha w14:val="100000"/>
                    </w14:srgbClr>
                  </w14:solidFill>
                </w14:textFill>
              </w:rPr>
              <w:t>|</w:t>
            </w:r>
            <w:r w:rsidRPr="00D120E3">
              <w:rPr>
                <w:vertAlign w:val="superscript"/>
              </w:rPr>
              <w:t>6</w:t>
            </w:r>
          </w:p>
        </w:tc>
        <w:tc>
          <w:tcPr>
            <w:tcW w:w="389" w:type="pct"/>
            <w:tcBorders>
              <w:top w:val="single" w:sz="4" w:space="0" w:color="auto"/>
              <w:bottom w:val="nil"/>
            </w:tcBorders>
            <w:noWrap/>
            <w:vAlign w:val="center"/>
          </w:tcPr>
          <w:p w14:paraId="73396982" w14:textId="77777777" w:rsidR="000B266B" w:rsidRPr="00A16C9B" w:rsidRDefault="000B266B" w:rsidP="0041700E">
            <w:pPr>
              <w:pStyle w:val="TableText"/>
              <w:jc w:val="right"/>
              <w:rPr>
                <w:rFonts w:cstheme="minorBidi"/>
                <w:highlight w:val="yellow"/>
                <w:lang w:eastAsia="en-US"/>
              </w:rPr>
            </w:pPr>
            <w:r w:rsidRPr="000B266B">
              <w:rPr>
                <w:color w:val="000000"/>
                <w:spacing w:val="84"/>
                <w:shd w:val="solid" w:color="000000" w:fill="000000"/>
                <w:fitText w:val="170" w:id="-649843961"/>
                <w14:textFill>
                  <w14:solidFill>
                    <w14:srgbClr w14:val="000000">
                      <w14:alpha w14:val="100000"/>
                    </w14:srgbClr>
                  </w14:solidFill>
                </w14:textFill>
              </w:rPr>
              <w:t>|</w:t>
            </w:r>
            <w:r w:rsidRPr="000B266B">
              <w:rPr>
                <w:color w:val="000000"/>
                <w:spacing w:val="1"/>
                <w:shd w:val="solid" w:color="000000" w:fill="000000"/>
                <w:fitText w:val="170" w:id="-649843961"/>
                <w14:textFill>
                  <w14:solidFill>
                    <w14:srgbClr w14:val="000000">
                      <w14:alpha w14:val="100000"/>
                    </w14:srgbClr>
                  </w14:solidFill>
                </w14:textFill>
              </w:rPr>
              <w:t>|</w:t>
            </w:r>
            <w:r w:rsidRPr="00A16C9B">
              <w:t>%</w:t>
            </w:r>
          </w:p>
        </w:tc>
      </w:tr>
      <w:tr w:rsidR="000B266B" w:rsidRPr="00A16C9B" w14:paraId="5CD9C62B" w14:textId="77777777" w:rsidTr="00B678E8">
        <w:trPr>
          <w:trHeight w:val="463"/>
        </w:trPr>
        <w:tc>
          <w:tcPr>
            <w:tcW w:w="2827" w:type="pct"/>
            <w:tcBorders>
              <w:top w:val="nil"/>
            </w:tcBorders>
            <w:noWrap/>
            <w:vAlign w:val="bottom"/>
          </w:tcPr>
          <w:p w14:paraId="75BF5C01" w14:textId="77777777" w:rsidR="000B266B" w:rsidRPr="00A16C9B" w:rsidRDefault="000B266B" w:rsidP="0041700E">
            <w:pPr>
              <w:pStyle w:val="TableText"/>
              <w:numPr>
                <w:ilvl w:val="0"/>
                <w:numId w:val="19"/>
              </w:numPr>
              <w:ind w:left="306" w:hanging="142"/>
              <w:rPr>
                <w:rFonts w:cstheme="minorBidi"/>
                <w:lang w:eastAsia="en-US"/>
              </w:rPr>
            </w:pPr>
            <w:r w:rsidRPr="4904BCD2">
              <w:t>Goyal and Murray (2016) (using base case probability of HBsAg seroclearance estimate)</w:t>
            </w:r>
            <w:r w:rsidRPr="4904BCD2">
              <w:rPr>
                <w:b/>
              </w:rPr>
              <w:t xml:space="preserve"> (#4)</w:t>
            </w:r>
          </w:p>
        </w:tc>
        <w:tc>
          <w:tcPr>
            <w:tcW w:w="551" w:type="pct"/>
            <w:tcBorders>
              <w:top w:val="nil"/>
            </w:tcBorders>
            <w:shd w:val="solid" w:color="000000" w:fill="000000"/>
            <w:noWrap/>
            <w:vAlign w:val="center"/>
          </w:tcPr>
          <w:p w14:paraId="49398454" w14:textId="77777777" w:rsidR="000B266B" w:rsidRPr="00D120E3" w:rsidRDefault="000B266B" w:rsidP="0041700E">
            <w:pPr>
              <w:pStyle w:val="TableText"/>
              <w:jc w:val="right"/>
              <w:rPr>
                <w:highlight w:val="darkGray"/>
              </w:rPr>
            </w:pPr>
            <w:r w:rsidRPr="00AB52EE">
              <w:rPr>
                <w:color w:val="000000"/>
                <w14:textFill>
                  <w14:solidFill>
                    <w14:srgbClr w14:val="000000">
                      <w14:alpha w14:val="100000"/>
                    </w14:srgbClr>
                  </w14:solidFill>
                </w14:textFill>
              </w:rPr>
              <w:t>|</w:t>
            </w:r>
          </w:p>
        </w:tc>
        <w:tc>
          <w:tcPr>
            <w:tcW w:w="581" w:type="pct"/>
            <w:tcBorders>
              <w:top w:val="nil"/>
            </w:tcBorders>
            <w:noWrap/>
            <w:vAlign w:val="center"/>
          </w:tcPr>
          <w:p w14:paraId="3E966EFF" w14:textId="77777777" w:rsidR="000B266B" w:rsidRPr="00A16C9B" w:rsidRDefault="000B266B" w:rsidP="0041700E">
            <w:pPr>
              <w:pStyle w:val="TableText"/>
              <w:jc w:val="right"/>
              <w:rPr>
                <w:rFonts w:cstheme="minorBidi"/>
                <w:highlight w:val="yellow"/>
                <w:lang w:eastAsia="en-US"/>
              </w:rPr>
            </w:pPr>
            <w:r w:rsidRPr="00A16C9B">
              <w:t>2.07</w:t>
            </w:r>
          </w:p>
        </w:tc>
        <w:tc>
          <w:tcPr>
            <w:tcW w:w="652" w:type="pct"/>
            <w:tcBorders>
              <w:top w:val="nil"/>
            </w:tcBorders>
            <w:noWrap/>
            <w:vAlign w:val="center"/>
          </w:tcPr>
          <w:p w14:paraId="2C2CF65E" w14:textId="77777777" w:rsidR="000B266B" w:rsidRPr="00D120E3" w:rsidRDefault="000B266B" w:rsidP="0041700E">
            <w:pPr>
              <w:pStyle w:val="TableText"/>
              <w:jc w:val="right"/>
              <w:rPr>
                <w:rFonts w:cstheme="minorBidi"/>
                <w:highlight w:val="darkGray"/>
                <w:lang w:eastAsia="en-US"/>
              </w:rPr>
            </w:pPr>
            <w:r w:rsidRPr="00AB52EE">
              <w:rPr>
                <w:color w:val="000000"/>
                <w:shd w:val="solid" w:color="000000" w:fill="000000"/>
                <w14:textFill>
                  <w14:solidFill>
                    <w14:srgbClr w14:val="000000">
                      <w14:alpha w14:val="100000"/>
                    </w14:srgbClr>
                  </w14:solidFill>
                </w14:textFill>
              </w:rPr>
              <w:t>|</w:t>
            </w:r>
            <w:r w:rsidRPr="004739C9">
              <w:rPr>
                <w:vertAlign w:val="superscript"/>
              </w:rPr>
              <w:t>2</w:t>
            </w:r>
          </w:p>
        </w:tc>
        <w:tc>
          <w:tcPr>
            <w:tcW w:w="389" w:type="pct"/>
            <w:tcBorders>
              <w:top w:val="nil"/>
            </w:tcBorders>
            <w:noWrap/>
            <w:vAlign w:val="center"/>
          </w:tcPr>
          <w:p w14:paraId="53F443CC" w14:textId="77777777" w:rsidR="000B266B" w:rsidRPr="00A16C9B" w:rsidRDefault="000B266B" w:rsidP="0041700E">
            <w:pPr>
              <w:pStyle w:val="TableText"/>
              <w:jc w:val="right"/>
              <w:rPr>
                <w:rFonts w:cstheme="minorBidi"/>
                <w:highlight w:val="yellow"/>
                <w:lang w:eastAsia="en-US"/>
              </w:rPr>
            </w:pPr>
            <w:r w:rsidRPr="000B266B">
              <w:rPr>
                <w:color w:val="000000"/>
                <w:spacing w:val="84"/>
                <w:shd w:val="solid" w:color="000000" w:fill="000000"/>
                <w:fitText w:val="170" w:id="-649843960"/>
                <w14:textFill>
                  <w14:solidFill>
                    <w14:srgbClr w14:val="000000">
                      <w14:alpha w14:val="100000"/>
                    </w14:srgbClr>
                  </w14:solidFill>
                </w14:textFill>
              </w:rPr>
              <w:t>|</w:t>
            </w:r>
            <w:r w:rsidRPr="000B266B">
              <w:rPr>
                <w:color w:val="000000"/>
                <w:spacing w:val="1"/>
                <w:shd w:val="solid" w:color="000000" w:fill="000000"/>
                <w:fitText w:val="170" w:id="-649843960"/>
                <w14:textFill>
                  <w14:solidFill>
                    <w14:srgbClr w14:val="000000">
                      <w14:alpha w14:val="100000"/>
                    </w14:srgbClr>
                  </w14:solidFill>
                </w14:textFill>
              </w:rPr>
              <w:t>|</w:t>
            </w:r>
            <w:r w:rsidRPr="00A16C9B">
              <w:t>%</w:t>
            </w:r>
          </w:p>
        </w:tc>
      </w:tr>
      <w:tr w:rsidR="000B266B" w:rsidRPr="00A16C9B" w14:paraId="4437C89E" w14:textId="77777777" w:rsidTr="00B678E8">
        <w:trPr>
          <w:trHeight w:val="20"/>
        </w:trPr>
        <w:tc>
          <w:tcPr>
            <w:tcW w:w="2827" w:type="pct"/>
            <w:tcBorders>
              <w:bottom w:val="single" w:sz="4" w:space="0" w:color="auto"/>
              <w:right w:val="nil"/>
            </w:tcBorders>
            <w:noWrap/>
            <w:vAlign w:val="bottom"/>
          </w:tcPr>
          <w:p w14:paraId="29945064" w14:textId="77777777" w:rsidR="000B266B" w:rsidRPr="00A16C9B" w:rsidRDefault="000B266B" w:rsidP="0041700E">
            <w:pPr>
              <w:pStyle w:val="TableText"/>
            </w:pPr>
            <w:r w:rsidRPr="4904BCD2">
              <w:t>HBsAg seroclearance (base case: 1.13% annually)</w:t>
            </w:r>
          </w:p>
        </w:tc>
        <w:tc>
          <w:tcPr>
            <w:tcW w:w="551" w:type="pct"/>
            <w:tcBorders>
              <w:left w:val="nil"/>
              <w:bottom w:val="single" w:sz="4" w:space="0" w:color="auto"/>
              <w:right w:val="nil"/>
            </w:tcBorders>
            <w:noWrap/>
            <w:vAlign w:val="bottom"/>
          </w:tcPr>
          <w:p w14:paraId="39DCCDF7" w14:textId="77777777" w:rsidR="000B266B" w:rsidRPr="00A16C9B" w:rsidRDefault="000B266B" w:rsidP="0041700E">
            <w:pPr>
              <w:pStyle w:val="TableText"/>
              <w:jc w:val="right"/>
              <w:rPr>
                <w:highlight w:val="yellow"/>
              </w:rPr>
            </w:pPr>
          </w:p>
        </w:tc>
        <w:tc>
          <w:tcPr>
            <w:tcW w:w="581" w:type="pct"/>
            <w:tcBorders>
              <w:left w:val="nil"/>
              <w:bottom w:val="single" w:sz="4" w:space="0" w:color="auto"/>
              <w:right w:val="nil"/>
            </w:tcBorders>
            <w:noWrap/>
            <w:vAlign w:val="bottom"/>
          </w:tcPr>
          <w:p w14:paraId="66D65B10" w14:textId="77777777" w:rsidR="000B266B" w:rsidRPr="00A16C9B" w:rsidRDefault="000B266B" w:rsidP="0041700E">
            <w:pPr>
              <w:pStyle w:val="TableText"/>
              <w:jc w:val="right"/>
              <w:rPr>
                <w:highlight w:val="yellow"/>
              </w:rPr>
            </w:pPr>
          </w:p>
        </w:tc>
        <w:tc>
          <w:tcPr>
            <w:tcW w:w="652" w:type="pct"/>
            <w:tcBorders>
              <w:left w:val="nil"/>
              <w:bottom w:val="single" w:sz="4" w:space="0" w:color="auto"/>
              <w:right w:val="nil"/>
            </w:tcBorders>
            <w:noWrap/>
            <w:vAlign w:val="bottom"/>
          </w:tcPr>
          <w:p w14:paraId="487068F3" w14:textId="77777777" w:rsidR="000B266B" w:rsidRPr="00A16C9B" w:rsidRDefault="000B266B" w:rsidP="0041700E">
            <w:pPr>
              <w:pStyle w:val="TableText"/>
              <w:jc w:val="right"/>
              <w:rPr>
                <w:highlight w:val="yellow"/>
              </w:rPr>
            </w:pPr>
          </w:p>
        </w:tc>
        <w:tc>
          <w:tcPr>
            <w:tcW w:w="389" w:type="pct"/>
            <w:tcBorders>
              <w:left w:val="nil"/>
              <w:bottom w:val="single" w:sz="4" w:space="0" w:color="auto"/>
            </w:tcBorders>
            <w:noWrap/>
            <w:vAlign w:val="bottom"/>
          </w:tcPr>
          <w:p w14:paraId="1B7720F3" w14:textId="77777777" w:rsidR="000B266B" w:rsidRPr="00A16C9B" w:rsidRDefault="000B266B" w:rsidP="0041700E">
            <w:pPr>
              <w:pStyle w:val="TableText"/>
              <w:jc w:val="right"/>
              <w:rPr>
                <w:highlight w:val="yellow"/>
              </w:rPr>
            </w:pPr>
          </w:p>
        </w:tc>
      </w:tr>
      <w:tr w:rsidR="000B266B" w:rsidRPr="00A16C9B" w14:paraId="3777367E" w14:textId="77777777" w:rsidTr="00B678E8">
        <w:trPr>
          <w:trHeight w:val="20"/>
        </w:trPr>
        <w:tc>
          <w:tcPr>
            <w:tcW w:w="2827" w:type="pct"/>
            <w:tcBorders>
              <w:bottom w:val="nil"/>
            </w:tcBorders>
            <w:noWrap/>
            <w:vAlign w:val="bottom"/>
          </w:tcPr>
          <w:p w14:paraId="2B183409" w14:textId="77777777" w:rsidR="000B266B" w:rsidRPr="00A16C9B" w:rsidRDefault="000B266B" w:rsidP="0041700E">
            <w:pPr>
              <w:pStyle w:val="TableText"/>
              <w:numPr>
                <w:ilvl w:val="0"/>
                <w:numId w:val="19"/>
              </w:numPr>
              <w:ind w:left="306" w:hanging="142"/>
            </w:pPr>
            <w:r w:rsidRPr="00A16C9B">
              <w:t>0.25% (Romeo et al. 2009)</w:t>
            </w:r>
          </w:p>
        </w:tc>
        <w:tc>
          <w:tcPr>
            <w:tcW w:w="551" w:type="pct"/>
            <w:tcBorders>
              <w:bottom w:val="nil"/>
            </w:tcBorders>
            <w:shd w:val="solid" w:color="000000" w:fill="000000"/>
            <w:noWrap/>
          </w:tcPr>
          <w:p w14:paraId="5A91008E" w14:textId="77777777" w:rsidR="000B266B" w:rsidRPr="00D120E3" w:rsidRDefault="000B266B" w:rsidP="0041700E">
            <w:pPr>
              <w:pStyle w:val="TableText"/>
              <w:jc w:val="right"/>
              <w:rPr>
                <w:highlight w:val="darkGray"/>
              </w:rPr>
            </w:pPr>
            <w:r w:rsidRPr="00AB52EE">
              <w:rPr>
                <w:color w:val="000000"/>
                <w14:textFill>
                  <w14:solidFill>
                    <w14:srgbClr w14:val="000000">
                      <w14:alpha w14:val="100000"/>
                    </w14:srgbClr>
                  </w14:solidFill>
                </w14:textFill>
              </w:rPr>
              <w:t>|</w:t>
            </w:r>
          </w:p>
        </w:tc>
        <w:tc>
          <w:tcPr>
            <w:tcW w:w="581" w:type="pct"/>
            <w:tcBorders>
              <w:bottom w:val="nil"/>
            </w:tcBorders>
            <w:noWrap/>
          </w:tcPr>
          <w:p w14:paraId="07CF25C6" w14:textId="77777777" w:rsidR="000B266B" w:rsidRPr="00A16C9B" w:rsidRDefault="000B266B" w:rsidP="0041700E">
            <w:pPr>
              <w:pStyle w:val="TableText"/>
              <w:jc w:val="right"/>
              <w:rPr>
                <w:highlight w:val="yellow"/>
              </w:rPr>
            </w:pPr>
            <w:r w:rsidRPr="00A16C9B">
              <w:t>3.04</w:t>
            </w:r>
          </w:p>
        </w:tc>
        <w:tc>
          <w:tcPr>
            <w:tcW w:w="652" w:type="pct"/>
            <w:tcBorders>
              <w:bottom w:val="nil"/>
            </w:tcBorders>
            <w:noWrap/>
          </w:tcPr>
          <w:p w14:paraId="30E8DCC5" w14:textId="77777777" w:rsidR="000B266B" w:rsidRPr="00D120E3" w:rsidRDefault="000B266B" w:rsidP="0041700E">
            <w:pPr>
              <w:pStyle w:val="TableText"/>
              <w:jc w:val="right"/>
              <w:rPr>
                <w:highlight w:val="darkGray"/>
              </w:rPr>
            </w:pPr>
            <w:r w:rsidRPr="00AB52EE">
              <w:rPr>
                <w:color w:val="000000"/>
                <w:shd w:val="solid" w:color="000000" w:fill="000000"/>
                <w14:textFill>
                  <w14:solidFill>
                    <w14:srgbClr w14:val="000000">
                      <w14:alpha w14:val="100000"/>
                    </w14:srgbClr>
                  </w14:solidFill>
                </w14:textFill>
              </w:rPr>
              <w:t>|</w:t>
            </w:r>
            <w:r w:rsidRPr="004739C9">
              <w:rPr>
                <w:b/>
                <w:vertAlign w:val="superscript"/>
              </w:rPr>
              <w:t>1</w:t>
            </w:r>
          </w:p>
        </w:tc>
        <w:tc>
          <w:tcPr>
            <w:tcW w:w="389" w:type="pct"/>
            <w:tcBorders>
              <w:bottom w:val="nil"/>
            </w:tcBorders>
            <w:noWrap/>
          </w:tcPr>
          <w:p w14:paraId="706A421D" w14:textId="77777777" w:rsidR="000B266B" w:rsidRPr="00A16C9B" w:rsidRDefault="000B266B" w:rsidP="0041700E">
            <w:pPr>
              <w:pStyle w:val="TableText"/>
              <w:jc w:val="right"/>
              <w:rPr>
                <w:highlight w:val="yellow"/>
              </w:rPr>
            </w:pPr>
            <w:r w:rsidRPr="000B266B">
              <w:rPr>
                <w:color w:val="000000"/>
                <w:spacing w:val="84"/>
                <w:shd w:val="solid" w:color="000000" w:fill="000000"/>
                <w:fitText w:val="170" w:id="-649843959"/>
                <w14:textFill>
                  <w14:solidFill>
                    <w14:srgbClr w14:val="000000">
                      <w14:alpha w14:val="100000"/>
                    </w14:srgbClr>
                  </w14:solidFill>
                </w14:textFill>
              </w:rPr>
              <w:t>|</w:t>
            </w:r>
            <w:r w:rsidRPr="000B266B">
              <w:rPr>
                <w:color w:val="000000"/>
                <w:spacing w:val="1"/>
                <w:shd w:val="solid" w:color="000000" w:fill="000000"/>
                <w:fitText w:val="170" w:id="-649843959"/>
                <w14:textFill>
                  <w14:solidFill>
                    <w14:srgbClr w14:val="000000">
                      <w14:alpha w14:val="100000"/>
                    </w14:srgbClr>
                  </w14:solidFill>
                </w14:textFill>
              </w:rPr>
              <w:t>|</w:t>
            </w:r>
            <w:r w:rsidRPr="00E0158B">
              <w:t>%</w:t>
            </w:r>
          </w:p>
        </w:tc>
      </w:tr>
      <w:tr w:rsidR="000B266B" w:rsidRPr="00A16C9B" w14:paraId="797414D6" w14:textId="77777777" w:rsidTr="00B678E8">
        <w:trPr>
          <w:trHeight w:val="20"/>
        </w:trPr>
        <w:tc>
          <w:tcPr>
            <w:tcW w:w="2827" w:type="pct"/>
            <w:tcBorders>
              <w:top w:val="nil"/>
              <w:bottom w:val="single" w:sz="4" w:space="0" w:color="auto"/>
            </w:tcBorders>
            <w:noWrap/>
            <w:vAlign w:val="bottom"/>
          </w:tcPr>
          <w:p w14:paraId="73723F3C" w14:textId="77777777" w:rsidR="000B266B" w:rsidRPr="00A16C9B" w:rsidRDefault="000B266B" w:rsidP="0041700E">
            <w:pPr>
              <w:pStyle w:val="TableText"/>
              <w:keepNext w:val="0"/>
              <w:numPr>
                <w:ilvl w:val="0"/>
                <w:numId w:val="19"/>
              </w:numPr>
              <w:ind w:left="306" w:hanging="142"/>
            </w:pPr>
            <w:r w:rsidRPr="00A16C9B">
              <w:t>6.7% (Goyal and Murray 2016)</w:t>
            </w:r>
          </w:p>
        </w:tc>
        <w:tc>
          <w:tcPr>
            <w:tcW w:w="551" w:type="pct"/>
            <w:tcBorders>
              <w:top w:val="nil"/>
              <w:bottom w:val="single" w:sz="4" w:space="0" w:color="auto"/>
            </w:tcBorders>
            <w:shd w:val="solid" w:color="000000" w:fill="000000"/>
            <w:noWrap/>
          </w:tcPr>
          <w:p w14:paraId="00F0DB3C" w14:textId="77777777" w:rsidR="000B266B" w:rsidRPr="00D120E3" w:rsidRDefault="000B266B" w:rsidP="0041700E">
            <w:pPr>
              <w:pStyle w:val="TableText"/>
              <w:jc w:val="right"/>
              <w:rPr>
                <w:highlight w:val="darkGray"/>
              </w:rPr>
            </w:pPr>
            <w:r w:rsidRPr="00AB52EE">
              <w:rPr>
                <w:color w:val="000000"/>
                <w14:textFill>
                  <w14:solidFill>
                    <w14:srgbClr w14:val="000000">
                      <w14:alpha w14:val="100000"/>
                    </w14:srgbClr>
                  </w14:solidFill>
                </w14:textFill>
              </w:rPr>
              <w:t>|</w:t>
            </w:r>
          </w:p>
        </w:tc>
        <w:tc>
          <w:tcPr>
            <w:tcW w:w="581" w:type="pct"/>
            <w:tcBorders>
              <w:top w:val="nil"/>
              <w:bottom w:val="single" w:sz="4" w:space="0" w:color="auto"/>
            </w:tcBorders>
            <w:noWrap/>
          </w:tcPr>
          <w:p w14:paraId="331738C8" w14:textId="77777777" w:rsidR="000B266B" w:rsidRPr="00A16C9B" w:rsidRDefault="000B266B" w:rsidP="0041700E">
            <w:pPr>
              <w:pStyle w:val="TableText"/>
              <w:jc w:val="right"/>
              <w:rPr>
                <w:highlight w:val="yellow"/>
              </w:rPr>
            </w:pPr>
            <w:r w:rsidRPr="00A16C9B">
              <w:t>2.43</w:t>
            </w:r>
          </w:p>
        </w:tc>
        <w:tc>
          <w:tcPr>
            <w:tcW w:w="652" w:type="pct"/>
            <w:tcBorders>
              <w:top w:val="nil"/>
              <w:bottom w:val="single" w:sz="4" w:space="0" w:color="auto"/>
            </w:tcBorders>
            <w:noWrap/>
          </w:tcPr>
          <w:p w14:paraId="1CEA1C0A" w14:textId="77777777" w:rsidR="000B266B" w:rsidRPr="00D120E3" w:rsidRDefault="000B266B" w:rsidP="0041700E">
            <w:pPr>
              <w:pStyle w:val="TableText"/>
              <w:jc w:val="right"/>
              <w:rPr>
                <w:highlight w:val="darkGray"/>
              </w:rPr>
            </w:pPr>
            <w:r w:rsidRPr="00AB52EE">
              <w:rPr>
                <w:color w:val="000000"/>
                <w:shd w:val="solid" w:color="000000" w:fill="000000"/>
                <w14:textFill>
                  <w14:solidFill>
                    <w14:srgbClr w14:val="000000">
                      <w14:alpha w14:val="100000"/>
                    </w14:srgbClr>
                  </w14:solidFill>
                </w14:textFill>
              </w:rPr>
              <w:t>|</w:t>
            </w:r>
            <w:r w:rsidRPr="004739C9">
              <w:rPr>
                <w:rFonts w:cs="Calibri"/>
                <w:vertAlign w:val="superscript"/>
              </w:rPr>
              <w:t>5</w:t>
            </w:r>
          </w:p>
        </w:tc>
        <w:tc>
          <w:tcPr>
            <w:tcW w:w="389" w:type="pct"/>
            <w:tcBorders>
              <w:top w:val="nil"/>
              <w:bottom w:val="single" w:sz="4" w:space="0" w:color="auto"/>
            </w:tcBorders>
            <w:noWrap/>
          </w:tcPr>
          <w:p w14:paraId="5C426045" w14:textId="77777777" w:rsidR="000B266B" w:rsidRPr="00A16C9B" w:rsidRDefault="000B266B" w:rsidP="0041700E">
            <w:pPr>
              <w:pStyle w:val="TableText"/>
              <w:jc w:val="right"/>
              <w:rPr>
                <w:highlight w:val="yellow"/>
              </w:rPr>
            </w:pPr>
            <w:r w:rsidRPr="00A16C9B">
              <w:t>-</w:t>
            </w:r>
            <w:r w:rsidRPr="000B266B">
              <w:rPr>
                <w:color w:val="000000"/>
                <w:spacing w:val="84"/>
                <w:shd w:val="solid" w:color="000000" w:fill="000000"/>
                <w:fitText w:val="170" w:id="-649843958"/>
                <w14:textFill>
                  <w14:solidFill>
                    <w14:srgbClr w14:val="000000">
                      <w14:alpha w14:val="100000"/>
                    </w14:srgbClr>
                  </w14:solidFill>
                </w14:textFill>
              </w:rPr>
              <w:t>|</w:t>
            </w:r>
            <w:r w:rsidRPr="000B266B">
              <w:rPr>
                <w:color w:val="000000"/>
                <w:spacing w:val="1"/>
                <w:shd w:val="solid" w:color="000000" w:fill="000000"/>
                <w:fitText w:val="170" w:id="-649843958"/>
                <w14:textFill>
                  <w14:solidFill>
                    <w14:srgbClr w14:val="000000">
                      <w14:alpha w14:val="100000"/>
                    </w14:srgbClr>
                  </w14:solidFill>
                </w14:textFill>
              </w:rPr>
              <w:t>|</w:t>
            </w:r>
            <w:r w:rsidRPr="00A16C9B">
              <w:t>%</w:t>
            </w:r>
          </w:p>
        </w:tc>
      </w:tr>
      <w:tr w:rsidR="000B266B" w:rsidRPr="00A16C9B" w14:paraId="24F8625B" w14:textId="77777777" w:rsidTr="00B678E8">
        <w:trPr>
          <w:trHeight w:val="20"/>
        </w:trPr>
        <w:tc>
          <w:tcPr>
            <w:tcW w:w="5000" w:type="pct"/>
            <w:gridSpan w:val="5"/>
            <w:tcBorders>
              <w:bottom w:val="single" w:sz="4" w:space="0" w:color="auto"/>
            </w:tcBorders>
            <w:noWrap/>
            <w:vAlign w:val="bottom"/>
          </w:tcPr>
          <w:p w14:paraId="75504F20" w14:textId="77777777" w:rsidR="000B266B" w:rsidRPr="00A16C9B" w:rsidRDefault="000B266B" w:rsidP="0041700E">
            <w:pPr>
              <w:pStyle w:val="TableText"/>
              <w:ind w:right="400"/>
            </w:pPr>
            <w:r w:rsidRPr="00A16C9B">
              <w:t>Definition of response (base case: virological response defined as undetectable HDV RNA or reduction in RNA level ≥ 2log</w:t>
            </w:r>
            <w:r w:rsidRPr="00A16C9B">
              <w:rPr>
                <w:vertAlign w:val="subscript"/>
              </w:rPr>
              <w:t xml:space="preserve">10 </w:t>
            </w:r>
            <w:r w:rsidRPr="00A16C9B">
              <w:t>IU/mL from baseline)</w:t>
            </w:r>
          </w:p>
        </w:tc>
      </w:tr>
      <w:tr w:rsidR="000B266B" w:rsidRPr="00A16C9B" w14:paraId="18E0B32A" w14:textId="77777777" w:rsidTr="00B678E8">
        <w:trPr>
          <w:trHeight w:val="20"/>
        </w:trPr>
        <w:tc>
          <w:tcPr>
            <w:tcW w:w="2827" w:type="pct"/>
            <w:tcBorders>
              <w:bottom w:val="nil"/>
            </w:tcBorders>
            <w:noWrap/>
            <w:vAlign w:val="bottom"/>
          </w:tcPr>
          <w:p w14:paraId="67E20DE7" w14:textId="77777777" w:rsidR="000B266B" w:rsidRPr="00A16C9B" w:rsidRDefault="000B266B" w:rsidP="0041700E">
            <w:pPr>
              <w:pStyle w:val="TableText"/>
              <w:numPr>
                <w:ilvl w:val="0"/>
                <w:numId w:val="19"/>
              </w:numPr>
              <w:ind w:left="306" w:hanging="142"/>
            </w:pPr>
            <w:r w:rsidRPr="00A16C9B">
              <w:t xml:space="preserve">Combined (virological response and ALT normalisation) </w:t>
            </w:r>
          </w:p>
        </w:tc>
        <w:tc>
          <w:tcPr>
            <w:tcW w:w="551" w:type="pct"/>
            <w:tcBorders>
              <w:bottom w:val="nil"/>
            </w:tcBorders>
            <w:shd w:val="solid" w:color="000000" w:fill="000000"/>
            <w:noWrap/>
          </w:tcPr>
          <w:p w14:paraId="663C56BE" w14:textId="77777777" w:rsidR="000B266B" w:rsidRPr="00D120E3" w:rsidRDefault="000B266B" w:rsidP="0041700E">
            <w:pPr>
              <w:pStyle w:val="TableText"/>
              <w:jc w:val="right"/>
              <w:rPr>
                <w:highlight w:val="darkGray"/>
              </w:rPr>
            </w:pPr>
            <w:r w:rsidRPr="00AB52EE">
              <w:rPr>
                <w:color w:val="000000"/>
                <w14:textFill>
                  <w14:solidFill>
                    <w14:srgbClr w14:val="000000">
                      <w14:alpha w14:val="100000"/>
                    </w14:srgbClr>
                  </w14:solidFill>
                </w14:textFill>
              </w:rPr>
              <w:t>|</w:t>
            </w:r>
          </w:p>
        </w:tc>
        <w:tc>
          <w:tcPr>
            <w:tcW w:w="581" w:type="pct"/>
            <w:tcBorders>
              <w:bottom w:val="nil"/>
            </w:tcBorders>
            <w:noWrap/>
          </w:tcPr>
          <w:p w14:paraId="33D8B295" w14:textId="77777777" w:rsidR="000B266B" w:rsidRPr="00A16C9B" w:rsidRDefault="000B266B" w:rsidP="0041700E">
            <w:pPr>
              <w:pStyle w:val="TableText"/>
              <w:jc w:val="right"/>
            </w:pPr>
            <w:r w:rsidRPr="00A16C9B">
              <w:t>2.13</w:t>
            </w:r>
          </w:p>
        </w:tc>
        <w:tc>
          <w:tcPr>
            <w:tcW w:w="652" w:type="pct"/>
            <w:tcBorders>
              <w:bottom w:val="nil"/>
            </w:tcBorders>
            <w:noWrap/>
          </w:tcPr>
          <w:p w14:paraId="1B47C5C3" w14:textId="77777777" w:rsidR="000B266B" w:rsidRPr="00D120E3" w:rsidRDefault="000B266B" w:rsidP="0041700E">
            <w:pPr>
              <w:pStyle w:val="TableText"/>
              <w:jc w:val="right"/>
              <w:rPr>
                <w:highlight w:val="darkGray"/>
              </w:rPr>
            </w:pPr>
            <w:r w:rsidRPr="00AB52EE">
              <w:rPr>
                <w:color w:val="000000"/>
                <w:shd w:val="solid" w:color="000000" w:fill="000000"/>
                <w14:textFill>
                  <w14:solidFill>
                    <w14:srgbClr w14:val="000000">
                      <w14:alpha w14:val="100000"/>
                    </w14:srgbClr>
                  </w14:solidFill>
                </w14:textFill>
              </w:rPr>
              <w:t>|</w:t>
            </w:r>
            <w:r w:rsidRPr="004739C9">
              <w:rPr>
                <w:b/>
                <w:vertAlign w:val="superscript"/>
              </w:rPr>
              <w:t>1</w:t>
            </w:r>
          </w:p>
        </w:tc>
        <w:tc>
          <w:tcPr>
            <w:tcW w:w="389" w:type="pct"/>
            <w:tcBorders>
              <w:bottom w:val="nil"/>
            </w:tcBorders>
            <w:noWrap/>
          </w:tcPr>
          <w:p w14:paraId="2B7A9631" w14:textId="77777777" w:rsidR="000B266B" w:rsidRPr="00A16C9B" w:rsidRDefault="000B266B" w:rsidP="0041700E">
            <w:pPr>
              <w:pStyle w:val="TableText"/>
              <w:jc w:val="right"/>
            </w:pPr>
            <w:r w:rsidRPr="000B266B">
              <w:rPr>
                <w:color w:val="000000"/>
                <w:spacing w:val="84"/>
                <w:shd w:val="solid" w:color="000000" w:fill="000000"/>
                <w:fitText w:val="170" w:id="-649843957"/>
                <w14:textFill>
                  <w14:solidFill>
                    <w14:srgbClr w14:val="000000">
                      <w14:alpha w14:val="100000"/>
                    </w14:srgbClr>
                  </w14:solidFill>
                </w14:textFill>
              </w:rPr>
              <w:t>|</w:t>
            </w:r>
            <w:r w:rsidRPr="000B266B">
              <w:rPr>
                <w:color w:val="000000"/>
                <w:spacing w:val="1"/>
                <w:shd w:val="solid" w:color="000000" w:fill="000000"/>
                <w:fitText w:val="170" w:id="-649843957"/>
                <w14:textFill>
                  <w14:solidFill>
                    <w14:srgbClr w14:val="000000">
                      <w14:alpha w14:val="100000"/>
                    </w14:srgbClr>
                  </w14:solidFill>
                </w14:textFill>
              </w:rPr>
              <w:t>|</w:t>
            </w:r>
            <w:r w:rsidRPr="00A16C9B">
              <w:t>%</w:t>
            </w:r>
          </w:p>
        </w:tc>
      </w:tr>
      <w:tr w:rsidR="000B266B" w:rsidRPr="00A16C9B" w14:paraId="31827643" w14:textId="77777777" w:rsidTr="00B678E8">
        <w:trPr>
          <w:trHeight w:val="20"/>
        </w:trPr>
        <w:tc>
          <w:tcPr>
            <w:tcW w:w="2827" w:type="pct"/>
            <w:tcBorders>
              <w:top w:val="nil"/>
            </w:tcBorders>
            <w:noWrap/>
            <w:vAlign w:val="bottom"/>
          </w:tcPr>
          <w:p w14:paraId="7F46122B" w14:textId="77777777" w:rsidR="000B266B" w:rsidRPr="00A16C9B" w:rsidRDefault="000B266B" w:rsidP="0041700E">
            <w:pPr>
              <w:pStyle w:val="TableText"/>
              <w:keepNext w:val="0"/>
              <w:numPr>
                <w:ilvl w:val="0"/>
                <w:numId w:val="19"/>
              </w:numPr>
              <w:ind w:left="306" w:hanging="142"/>
            </w:pPr>
            <w:r w:rsidRPr="00A16C9B">
              <w:t xml:space="preserve">Undetectable HDV RNA </w:t>
            </w:r>
            <w:r w:rsidRPr="00A16C9B">
              <w:rPr>
                <w:b/>
              </w:rPr>
              <w:t>(#2)</w:t>
            </w:r>
          </w:p>
        </w:tc>
        <w:tc>
          <w:tcPr>
            <w:tcW w:w="551" w:type="pct"/>
            <w:tcBorders>
              <w:top w:val="nil"/>
            </w:tcBorders>
            <w:shd w:val="solid" w:color="000000" w:fill="000000"/>
            <w:noWrap/>
          </w:tcPr>
          <w:p w14:paraId="3E33F980" w14:textId="77777777" w:rsidR="000B266B" w:rsidRPr="00D120E3" w:rsidRDefault="000B266B" w:rsidP="0041700E">
            <w:pPr>
              <w:pStyle w:val="TableText"/>
              <w:jc w:val="right"/>
              <w:rPr>
                <w:highlight w:val="darkGray"/>
              </w:rPr>
            </w:pPr>
            <w:r w:rsidRPr="00AB52EE">
              <w:rPr>
                <w:color w:val="000000"/>
                <w14:textFill>
                  <w14:solidFill>
                    <w14:srgbClr w14:val="000000">
                      <w14:alpha w14:val="100000"/>
                    </w14:srgbClr>
                  </w14:solidFill>
                </w14:textFill>
              </w:rPr>
              <w:t>|</w:t>
            </w:r>
          </w:p>
        </w:tc>
        <w:tc>
          <w:tcPr>
            <w:tcW w:w="581" w:type="pct"/>
            <w:tcBorders>
              <w:top w:val="nil"/>
            </w:tcBorders>
            <w:noWrap/>
          </w:tcPr>
          <w:p w14:paraId="6AF78355" w14:textId="77777777" w:rsidR="000B266B" w:rsidRPr="00A16C9B" w:rsidRDefault="000B266B" w:rsidP="0041700E">
            <w:pPr>
              <w:pStyle w:val="TableText"/>
              <w:jc w:val="right"/>
            </w:pPr>
            <w:r w:rsidRPr="00A16C9B">
              <w:t>1.06</w:t>
            </w:r>
          </w:p>
        </w:tc>
        <w:tc>
          <w:tcPr>
            <w:tcW w:w="652" w:type="pct"/>
            <w:tcBorders>
              <w:top w:val="nil"/>
            </w:tcBorders>
            <w:noWrap/>
          </w:tcPr>
          <w:p w14:paraId="347639EF" w14:textId="77777777" w:rsidR="000B266B" w:rsidRPr="00D120E3" w:rsidRDefault="000B266B" w:rsidP="0041700E">
            <w:pPr>
              <w:pStyle w:val="TableText"/>
              <w:jc w:val="right"/>
              <w:rPr>
                <w:highlight w:val="darkGray"/>
              </w:rPr>
            </w:pPr>
            <w:r w:rsidRPr="00AB52EE">
              <w:rPr>
                <w:color w:val="000000"/>
                <w:shd w:val="solid" w:color="000000" w:fill="000000"/>
                <w14:textFill>
                  <w14:solidFill>
                    <w14:srgbClr w14:val="000000">
                      <w14:alpha w14:val="100000"/>
                    </w14:srgbClr>
                  </w14:solidFill>
                </w14:textFill>
              </w:rPr>
              <w:t>|</w:t>
            </w:r>
            <w:r w:rsidRPr="004739C9">
              <w:rPr>
                <w:vertAlign w:val="superscript"/>
              </w:rPr>
              <w:t>6</w:t>
            </w:r>
          </w:p>
        </w:tc>
        <w:tc>
          <w:tcPr>
            <w:tcW w:w="389" w:type="pct"/>
            <w:tcBorders>
              <w:top w:val="nil"/>
            </w:tcBorders>
            <w:noWrap/>
          </w:tcPr>
          <w:p w14:paraId="36994896" w14:textId="77777777" w:rsidR="000B266B" w:rsidRPr="00A16C9B" w:rsidRDefault="000B266B" w:rsidP="0041700E">
            <w:pPr>
              <w:pStyle w:val="TableText"/>
              <w:jc w:val="right"/>
            </w:pPr>
            <w:r w:rsidRPr="000B266B">
              <w:rPr>
                <w:color w:val="000000"/>
                <w:spacing w:val="84"/>
                <w:shd w:val="solid" w:color="000000" w:fill="000000"/>
                <w:fitText w:val="170" w:id="-649843956"/>
                <w14:textFill>
                  <w14:solidFill>
                    <w14:srgbClr w14:val="000000">
                      <w14:alpha w14:val="100000"/>
                    </w14:srgbClr>
                  </w14:solidFill>
                </w14:textFill>
              </w:rPr>
              <w:t>|</w:t>
            </w:r>
            <w:r w:rsidRPr="000B266B">
              <w:rPr>
                <w:color w:val="000000"/>
                <w:spacing w:val="1"/>
                <w:shd w:val="solid" w:color="000000" w:fill="000000"/>
                <w:fitText w:val="170" w:id="-649843956"/>
                <w14:textFill>
                  <w14:solidFill>
                    <w14:srgbClr w14:val="000000">
                      <w14:alpha w14:val="100000"/>
                    </w14:srgbClr>
                  </w14:solidFill>
                </w14:textFill>
              </w:rPr>
              <w:t>|</w:t>
            </w:r>
            <w:r w:rsidRPr="00A16C9B">
              <w:t>%</w:t>
            </w:r>
          </w:p>
        </w:tc>
      </w:tr>
      <w:tr w:rsidR="000B266B" w:rsidRPr="00A16C9B" w14:paraId="13366B79" w14:textId="77777777" w:rsidTr="00B678E8">
        <w:trPr>
          <w:trHeight w:val="20"/>
        </w:trPr>
        <w:tc>
          <w:tcPr>
            <w:tcW w:w="5000" w:type="pct"/>
            <w:gridSpan w:val="5"/>
            <w:tcBorders>
              <w:bottom w:val="single" w:sz="4" w:space="0" w:color="auto"/>
            </w:tcBorders>
            <w:noWrap/>
            <w:vAlign w:val="bottom"/>
          </w:tcPr>
          <w:p w14:paraId="74FFC506" w14:textId="77777777" w:rsidR="000B266B" w:rsidRPr="00A16C9B" w:rsidRDefault="000B266B" w:rsidP="0041700E">
            <w:pPr>
              <w:pStyle w:val="TableText"/>
              <w:rPr>
                <w:rFonts w:cstheme="minorBidi"/>
                <w:highlight w:val="yellow"/>
                <w:lang w:eastAsia="en-US"/>
              </w:rPr>
            </w:pPr>
            <w:r w:rsidRPr="00A16C9B">
              <w:t>HRs of HDV disease progression in responders (base case: meta-analysis by Gish et al. 2024)</w:t>
            </w:r>
          </w:p>
        </w:tc>
      </w:tr>
      <w:tr w:rsidR="000B266B" w:rsidRPr="00A16C9B" w14:paraId="792AF841" w14:textId="77777777" w:rsidTr="00B678E8">
        <w:trPr>
          <w:trHeight w:val="20"/>
        </w:trPr>
        <w:tc>
          <w:tcPr>
            <w:tcW w:w="2827" w:type="pct"/>
            <w:tcBorders>
              <w:bottom w:val="single" w:sz="4" w:space="0" w:color="auto"/>
            </w:tcBorders>
            <w:noWrap/>
            <w:vAlign w:val="bottom"/>
          </w:tcPr>
          <w:p w14:paraId="29C5B0D7" w14:textId="77777777" w:rsidR="000B266B" w:rsidRPr="00A16C9B" w:rsidRDefault="000B266B" w:rsidP="0041700E">
            <w:pPr>
              <w:pStyle w:val="TableText"/>
              <w:numPr>
                <w:ilvl w:val="0"/>
                <w:numId w:val="19"/>
              </w:numPr>
              <w:ind w:left="306" w:hanging="142"/>
              <w:rPr>
                <w:b/>
                <w:bCs w:val="0"/>
              </w:rPr>
            </w:pPr>
            <w:r w:rsidRPr="37C20EEE">
              <w:t>PBAC suggested HRs (Table 11, bulevirtide PSD, March 2024 PBAC meeting)</w:t>
            </w:r>
            <w:r w:rsidRPr="37C20EEE">
              <w:rPr>
                <w:b/>
              </w:rPr>
              <w:t xml:space="preserve"> (#1)</w:t>
            </w:r>
          </w:p>
        </w:tc>
        <w:tc>
          <w:tcPr>
            <w:tcW w:w="551" w:type="pct"/>
            <w:tcBorders>
              <w:bottom w:val="single" w:sz="4" w:space="0" w:color="auto"/>
            </w:tcBorders>
            <w:shd w:val="solid" w:color="000000" w:fill="000000"/>
            <w:noWrap/>
            <w:vAlign w:val="center"/>
          </w:tcPr>
          <w:p w14:paraId="201DDE35" w14:textId="77777777" w:rsidR="000B266B" w:rsidRPr="00A16C9B" w:rsidRDefault="000B266B" w:rsidP="0041700E">
            <w:pPr>
              <w:pStyle w:val="TableText"/>
              <w:jc w:val="right"/>
              <w:rPr>
                <w:highlight w:val="yellow"/>
              </w:rPr>
            </w:pPr>
            <w:r w:rsidRPr="00AB52EE">
              <w:rPr>
                <w:color w:val="000000"/>
                <w14:textFill>
                  <w14:solidFill>
                    <w14:srgbClr w14:val="000000">
                      <w14:alpha w14:val="100000"/>
                    </w14:srgbClr>
                  </w14:solidFill>
                </w14:textFill>
              </w:rPr>
              <w:t>|</w:t>
            </w:r>
          </w:p>
        </w:tc>
        <w:tc>
          <w:tcPr>
            <w:tcW w:w="581" w:type="pct"/>
            <w:tcBorders>
              <w:bottom w:val="single" w:sz="4" w:space="0" w:color="auto"/>
            </w:tcBorders>
            <w:noWrap/>
            <w:vAlign w:val="center"/>
          </w:tcPr>
          <w:p w14:paraId="34E25046" w14:textId="77777777" w:rsidR="000B266B" w:rsidRPr="00A16C9B" w:rsidRDefault="000B266B" w:rsidP="0041700E">
            <w:pPr>
              <w:pStyle w:val="TableText"/>
              <w:jc w:val="right"/>
              <w:rPr>
                <w:rFonts w:cstheme="minorBidi"/>
                <w:highlight w:val="yellow"/>
                <w:lang w:eastAsia="en-US"/>
              </w:rPr>
            </w:pPr>
            <w:r w:rsidRPr="00A16C9B">
              <w:t>2.63</w:t>
            </w:r>
          </w:p>
        </w:tc>
        <w:tc>
          <w:tcPr>
            <w:tcW w:w="652" w:type="pct"/>
            <w:tcBorders>
              <w:bottom w:val="single" w:sz="4" w:space="0" w:color="auto"/>
            </w:tcBorders>
            <w:noWrap/>
            <w:vAlign w:val="center"/>
          </w:tcPr>
          <w:p w14:paraId="692E7008" w14:textId="77777777" w:rsidR="000B266B" w:rsidRPr="00A16C9B" w:rsidRDefault="000B266B" w:rsidP="0041700E">
            <w:pPr>
              <w:pStyle w:val="TableText"/>
              <w:jc w:val="right"/>
              <w:rPr>
                <w:rFonts w:cstheme="minorBidi"/>
                <w:highlight w:val="yellow"/>
                <w:lang w:eastAsia="en-US"/>
              </w:rPr>
            </w:pPr>
            <w:r w:rsidRPr="00AB52EE">
              <w:rPr>
                <w:color w:val="000000"/>
                <w:shd w:val="solid" w:color="000000" w:fill="000000"/>
                <w14:textFill>
                  <w14:solidFill>
                    <w14:srgbClr w14:val="000000">
                      <w14:alpha w14:val="100000"/>
                    </w14:srgbClr>
                  </w14:solidFill>
                </w14:textFill>
              </w:rPr>
              <w:t>|</w:t>
            </w:r>
            <w:r w:rsidRPr="004739C9">
              <w:rPr>
                <w:b/>
                <w:vertAlign w:val="superscript"/>
              </w:rPr>
              <w:t>1</w:t>
            </w:r>
          </w:p>
        </w:tc>
        <w:tc>
          <w:tcPr>
            <w:tcW w:w="389" w:type="pct"/>
            <w:tcBorders>
              <w:bottom w:val="single" w:sz="4" w:space="0" w:color="auto"/>
            </w:tcBorders>
            <w:noWrap/>
            <w:vAlign w:val="center"/>
          </w:tcPr>
          <w:p w14:paraId="358CE49C" w14:textId="77777777" w:rsidR="000B266B" w:rsidRPr="00A16C9B" w:rsidRDefault="000B266B" w:rsidP="0041700E">
            <w:pPr>
              <w:pStyle w:val="TableText"/>
              <w:jc w:val="right"/>
              <w:rPr>
                <w:rFonts w:cstheme="minorBidi"/>
                <w:highlight w:val="yellow"/>
                <w:lang w:eastAsia="en-US"/>
              </w:rPr>
            </w:pPr>
            <w:r w:rsidRPr="000B266B">
              <w:rPr>
                <w:color w:val="000000"/>
                <w:spacing w:val="84"/>
                <w:shd w:val="solid" w:color="000000" w:fill="000000"/>
                <w:fitText w:val="170" w:id="-649843955"/>
                <w14:textFill>
                  <w14:solidFill>
                    <w14:srgbClr w14:val="000000">
                      <w14:alpha w14:val="100000"/>
                    </w14:srgbClr>
                  </w14:solidFill>
                </w14:textFill>
              </w:rPr>
              <w:t>|</w:t>
            </w:r>
            <w:r w:rsidRPr="000B266B">
              <w:rPr>
                <w:color w:val="000000"/>
                <w:spacing w:val="1"/>
                <w:shd w:val="solid" w:color="000000" w:fill="000000"/>
                <w:fitText w:val="170" w:id="-649843955"/>
                <w14:textFill>
                  <w14:solidFill>
                    <w14:srgbClr w14:val="000000">
                      <w14:alpha w14:val="100000"/>
                    </w14:srgbClr>
                  </w14:solidFill>
                </w14:textFill>
              </w:rPr>
              <w:t>|</w:t>
            </w:r>
            <w:r w:rsidRPr="00A16C9B">
              <w:t>%</w:t>
            </w:r>
          </w:p>
        </w:tc>
      </w:tr>
      <w:tr w:rsidR="000B266B" w:rsidRPr="00A16C9B" w14:paraId="3565CF47" w14:textId="77777777" w:rsidTr="00B678E8">
        <w:trPr>
          <w:trHeight w:val="20"/>
        </w:trPr>
        <w:tc>
          <w:tcPr>
            <w:tcW w:w="5000" w:type="pct"/>
            <w:gridSpan w:val="5"/>
            <w:tcBorders>
              <w:bottom w:val="single" w:sz="4" w:space="0" w:color="auto"/>
            </w:tcBorders>
            <w:noWrap/>
            <w:vAlign w:val="bottom"/>
          </w:tcPr>
          <w:p w14:paraId="0082CFAD" w14:textId="77777777" w:rsidR="000B266B" w:rsidRPr="00A16C9B" w:rsidRDefault="000B266B" w:rsidP="0041700E">
            <w:pPr>
              <w:rPr>
                <w:rFonts w:ascii="Arial Narrow" w:hAnsi="Arial Narrow"/>
                <w:sz w:val="20"/>
                <w:highlight w:val="yellow"/>
                <w:lang w:eastAsia="en-US"/>
              </w:rPr>
            </w:pPr>
            <w:r w:rsidRPr="00A16C9B">
              <w:rPr>
                <w:rFonts w:ascii="Arial Narrow" w:hAnsi="Arial Narrow"/>
                <w:sz w:val="20"/>
              </w:rPr>
              <w:t>Annual fibrosis regression probability (base case: F4 to F3: 8.8% (Farci et al, 2004); F3 to F2: 13.3% (Marcellin et al. 2013))</w:t>
            </w:r>
          </w:p>
        </w:tc>
      </w:tr>
      <w:tr w:rsidR="000B266B" w:rsidRPr="00A16C9B" w14:paraId="7A9DB45B" w14:textId="77777777" w:rsidTr="00B678E8">
        <w:trPr>
          <w:trHeight w:val="20"/>
        </w:trPr>
        <w:tc>
          <w:tcPr>
            <w:tcW w:w="2827" w:type="pct"/>
            <w:tcBorders>
              <w:top w:val="single" w:sz="4" w:space="0" w:color="auto"/>
              <w:bottom w:val="nil"/>
            </w:tcBorders>
            <w:noWrap/>
            <w:vAlign w:val="bottom"/>
          </w:tcPr>
          <w:p w14:paraId="1DCDAFD0" w14:textId="77777777" w:rsidR="000B266B" w:rsidRPr="00A16C9B" w:rsidRDefault="000B266B" w:rsidP="0041700E">
            <w:pPr>
              <w:pStyle w:val="TableText"/>
              <w:numPr>
                <w:ilvl w:val="0"/>
                <w:numId w:val="19"/>
              </w:numPr>
              <w:ind w:left="306" w:hanging="142"/>
            </w:pPr>
            <w:r w:rsidRPr="00A16C9B">
              <w:t xml:space="preserve">F4 to F3 regression, 0% </w:t>
            </w:r>
          </w:p>
        </w:tc>
        <w:tc>
          <w:tcPr>
            <w:tcW w:w="551" w:type="pct"/>
            <w:tcBorders>
              <w:top w:val="single" w:sz="4" w:space="0" w:color="auto"/>
              <w:bottom w:val="nil"/>
            </w:tcBorders>
            <w:shd w:val="solid" w:color="000000" w:fill="000000"/>
            <w:noWrap/>
          </w:tcPr>
          <w:p w14:paraId="76DE7568" w14:textId="77777777" w:rsidR="000B266B" w:rsidRPr="00D120E3" w:rsidRDefault="000B266B" w:rsidP="0041700E">
            <w:pPr>
              <w:pStyle w:val="TableText"/>
              <w:jc w:val="right"/>
              <w:rPr>
                <w:rFonts w:cs="Calibri"/>
                <w:highlight w:val="darkGray"/>
              </w:rPr>
            </w:pPr>
            <w:r w:rsidRPr="00AB52EE">
              <w:rPr>
                <w:color w:val="000000"/>
                <w14:textFill>
                  <w14:solidFill>
                    <w14:srgbClr w14:val="000000">
                      <w14:alpha w14:val="100000"/>
                    </w14:srgbClr>
                  </w14:solidFill>
                </w14:textFill>
              </w:rPr>
              <w:t>|</w:t>
            </w:r>
          </w:p>
        </w:tc>
        <w:tc>
          <w:tcPr>
            <w:tcW w:w="581" w:type="pct"/>
            <w:tcBorders>
              <w:top w:val="single" w:sz="4" w:space="0" w:color="auto"/>
              <w:bottom w:val="nil"/>
            </w:tcBorders>
            <w:noWrap/>
          </w:tcPr>
          <w:p w14:paraId="4F4B157C" w14:textId="77777777" w:rsidR="000B266B" w:rsidRPr="00A16C9B" w:rsidRDefault="000B266B" w:rsidP="0041700E">
            <w:pPr>
              <w:pStyle w:val="TableText"/>
              <w:jc w:val="right"/>
              <w:rPr>
                <w:rFonts w:cs="Calibri"/>
              </w:rPr>
            </w:pPr>
            <w:r w:rsidRPr="00A16C9B">
              <w:t>2.41</w:t>
            </w:r>
          </w:p>
        </w:tc>
        <w:tc>
          <w:tcPr>
            <w:tcW w:w="652" w:type="pct"/>
            <w:tcBorders>
              <w:top w:val="single" w:sz="4" w:space="0" w:color="auto"/>
              <w:bottom w:val="nil"/>
            </w:tcBorders>
            <w:noWrap/>
          </w:tcPr>
          <w:p w14:paraId="0E8415E2" w14:textId="77777777" w:rsidR="000B266B" w:rsidRPr="00D120E3" w:rsidRDefault="000B266B" w:rsidP="0041700E">
            <w:pPr>
              <w:pStyle w:val="TableText"/>
              <w:jc w:val="right"/>
              <w:rPr>
                <w:rFonts w:cs="Calibri"/>
                <w:highlight w:val="darkGray"/>
              </w:rPr>
            </w:pPr>
            <w:r w:rsidRPr="00AB52EE">
              <w:rPr>
                <w:color w:val="000000"/>
                <w:shd w:val="solid" w:color="000000" w:fill="000000"/>
                <w14:textFill>
                  <w14:solidFill>
                    <w14:srgbClr w14:val="000000">
                      <w14:alpha w14:val="100000"/>
                    </w14:srgbClr>
                  </w14:solidFill>
                </w14:textFill>
              </w:rPr>
              <w:t>|</w:t>
            </w:r>
            <w:r w:rsidRPr="004739C9">
              <w:rPr>
                <w:b/>
                <w:vertAlign w:val="superscript"/>
              </w:rPr>
              <w:t>1</w:t>
            </w:r>
          </w:p>
        </w:tc>
        <w:tc>
          <w:tcPr>
            <w:tcW w:w="389" w:type="pct"/>
            <w:tcBorders>
              <w:top w:val="single" w:sz="4" w:space="0" w:color="auto"/>
              <w:bottom w:val="nil"/>
            </w:tcBorders>
            <w:noWrap/>
          </w:tcPr>
          <w:p w14:paraId="7C483ECA" w14:textId="77777777" w:rsidR="000B266B" w:rsidRPr="00A16C9B" w:rsidRDefault="000B266B" w:rsidP="0041700E">
            <w:pPr>
              <w:pStyle w:val="TableText"/>
              <w:jc w:val="right"/>
              <w:rPr>
                <w:rFonts w:cs="Calibri"/>
              </w:rPr>
            </w:pPr>
            <w:r w:rsidRPr="000B266B">
              <w:rPr>
                <w:color w:val="000000"/>
                <w:spacing w:val="84"/>
                <w:shd w:val="solid" w:color="000000" w:fill="000000"/>
                <w:fitText w:val="170" w:id="-649843954"/>
                <w14:textFill>
                  <w14:solidFill>
                    <w14:srgbClr w14:val="000000">
                      <w14:alpha w14:val="100000"/>
                    </w14:srgbClr>
                  </w14:solidFill>
                </w14:textFill>
              </w:rPr>
              <w:t>|</w:t>
            </w:r>
            <w:r w:rsidRPr="000B266B">
              <w:rPr>
                <w:color w:val="000000"/>
                <w:spacing w:val="1"/>
                <w:shd w:val="solid" w:color="000000" w:fill="000000"/>
                <w:fitText w:val="170" w:id="-649843954"/>
                <w14:textFill>
                  <w14:solidFill>
                    <w14:srgbClr w14:val="000000">
                      <w14:alpha w14:val="100000"/>
                    </w14:srgbClr>
                  </w14:solidFill>
                </w14:textFill>
              </w:rPr>
              <w:t>|</w:t>
            </w:r>
            <w:r w:rsidRPr="00A16C9B">
              <w:t>%</w:t>
            </w:r>
          </w:p>
        </w:tc>
      </w:tr>
      <w:tr w:rsidR="000B266B" w:rsidRPr="00A16C9B" w14:paraId="6B7A346F" w14:textId="77777777" w:rsidTr="00B678E8">
        <w:trPr>
          <w:trHeight w:val="20"/>
        </w:trPr>
        <w:tc>
          <w:tcPr>
            <w:tcW w:w="2827" w:type="pct"/>
            <w:tcBorders>
              <w:top w:val="nil"/>
              <w:bottom w:val="nil"/>
            </w:tcBorders>
            <w:noWrap/>
            <w:vAlign w:val="bottom"/>
          </w:tcPr>
          <w:p w14:paraId="0F1CF355" w14:textId="77777777" w:rsidR="000B266B" w:rsidRPr="00A16C9B" w:rsidRDefault="000B266B" w:rsidP="0041700E">
            <w:pPr>
              <w:pStyle w:val="TableText"/>
              <w:numPr>
                <w:ilvl w:val="0"/>
                <w:numId w:val="19"/>
              </w:numPr>
              <w:ind w:left="306" w:hanging="142"/>
            </w:pPr>
            <w:r w:rsidRPr="00A16C9B">
              <w:t xml:space="preserve">F3 to F2 regression, 0% </w:t>
            </w:r>
          </w:p>
        </w:tc>
        <w:tc>
          <w:tcPr>
            <w:tcW w:w="551" w:type="pct"/>
            <w:tcBorders>
              <w:top w:val="nil"/>
              <w:bottom w:val="nil"/>
            </w:tcBorders>
            <w:shd w:val="solid" w:color="000000" w:fill="000000"/>
            <w:noWrap/>
          </w:tcPr>
          <w:p w14:paraId="64AFC97C" w14:textId="77777777" w:rsidR="000B266B" w:rsidRPr="00D120E3" w:rsidRDefault="000B266B" w:rsidP="0041700E">
            <w:pPr>
              <w:pStyle w:val="TableText"/>
              <w:jc w:val="right"/>
              <w:rPr>
                <w:rFonts w:cs="Calibri"/>
                <w:highlight w:val="darkGray"/>
              </w:rPr>
            </w:pPr>
            <w:r w:rsidRPr="00AB52EE">
              <w:rPr>
                <w:color w:val="000000"/>
                <w14:textFill>
                  <w14:solidFill>
                    <w14:srgbClr w14:val="000000">
                      <w14:alpha w14:val="100000"/>
                    </w14:srgbClr>
                  </w14:solidFill>
                </w14:textFill>
              </w:rPr>
              <w:t>|</w:t>
            </w:r>
          </w:p>
        </w:tc>
        <w:tc>
          <w:tcPr>
            <w:tcW w:w="581" w:type="pct"/>
            <w:tcBorders>
              <w:top w:val="nil"/>
              <w:bottom w:val="nil"/>
            </w:tcBorders>
            <w:noWrap/>
          </w:tcPr>
          <w:p w14:paraId="46D1906F" w14:textId="77777777" w:rsidR="000B266B" w:rsidRPr="00A16C9B" w:rsidRDefault="000B266B" w:rsidP="0041700E">
            <w:pPr>
              <w:pStyle w:val="TableText"/>
              <w:jc w:val="right"/>
              <w:rPr>
                <w:rFonts w:cs="Calibri"/>
              </w:rPr>
            </w:pPr>
            <w:r w:rsidRPr="00A16C9B">
              <w:t>2.71</w:t>
            </w:r>
          </w:p>
        </w:tc>
        <w:tc>
          <w:tcPr>
            <w:tcW w:w="652" w:type="pct"/>
            <w:tcBorders>
              <w:top w:val="nil"/>
              <w:bottom w:val="nil"/>
            </w:tcBorders>
            <w:noWrap/>
          </w:tcPr>
          <w:p w14:paraId="709ECBDC" w14:textId="77777777" w:rsidR="000B266B" w:rsidRPr="00D120E3" w:rsidRDefault="000B266B" w:rsidP="0041700E">
            <w:pPr>
              <w:pStyle w:val="TableText"/>
              <w:jc w:val="right"/>
              <w:rPr>
                <w:rFonts w:cs="Calibri"/>
                <w:highlight w:val="darkGray"/>
              </w:rPr>
            </w:pPr>
            <w:r w:rsidRPr="00AB52EE">
              <w:rPr>
                <w:color w:val="000000"/>
                <w:shd w:val="solid" w:color="000000" w:fill="000000"/>
                <w14:textFill>
                  <w14:solidFill>
                    <w14:srgbClr w14:val="000000">
                      <w14:alpha w14:val="100000"/>
                    </w14:srgbClr>
                  </w14:solidFill>
                </w14:textFill>
              </w:rPr>
              <w:t>|</w:t>
            </w:r>
            <w:r w:rsidRPr="004739C9">
              <w:rPr>
                <w:b/>
                <w:vertAlign w:val="superscript"/>
              </w:rPr>
              <w:t>1</w:t>
            </w:r>
          </w:p>
        </w:tc>
        <w:tc>
          <w:tcPr>
            <w:tcW w:w="389" w:type="pct"/>
            <w:tcBorders>
              <w:top w:val="nil"/>
              <w:bottom w:val="nil"/>
            </w:tcBorders>
            <w:noWrap/>
          </w:tcPr>
          <w:p w14:paraId="16FFB973" w14:textId="77777777" w:rsidR="000B266B" w:rsidRPr="00A16C9B" w:rsidRDefault="000B266B" w:rsidP="0041700E">
            <w:pPr>
              <w:pStyle w:val="TableText"/>
              <w:jc w:val="right"/>
              <w:rPr>
                <w:rFonts w:cs="Calibri"/>
              </w:rPr>
            </w:pPr>
            <w:r w:rsidRPr="000B266B">
              <w:rPr>
                <w:color w:val="000000"/>
                <w:spacing w:val="84"/>
                <w:shd w:val="solid" w:color="000000" w:fill="000000"/>
                <w:fitText w:val="170" w:id="-649843953"/>
                <w14:textFill>
                  <w14:solidFill>
                    <w14:srgbClr w14:val="000000">
                      <w14:alpha w14:val="100000"/>
                    </w14:srgbClr>
                  </w14:solidFill>
                </w14:textFill>
              </w:rPr>
              <w:t>|</w:t>
            </w:r>
            <w:r w:rsidRPr="000B266B">
              <w:rPr>
                <w:color w:val="000000"/>
                <w:spacing w:val="1"/>
                <w:shd w:val="solid" w:color="000000" w:fill="000000"/>
                <w:fitText w:val="170" w:id="-649843953"/>
                <w14:textFill>
                  <w14:solidFill>
                    <w14:srgbClr w14:val="000000">
                      <w14:alpha w14:val="100000"/>
                    </w14:srgbClr>
                  </w14:solidFill>
                </w14:textFill>
              </w:rPr>
              <w:t>|</w:t>
            </w:r>
            <w:r w:rsidRPr="00A16C9B">
              <w:t>%</w:t>
            </w:r>
          </w:p>
        </w:tc>
      </w:tr>
      <w:tr w:rsidR="000B266B" w:rsidRPr="00A16C9B" w14:paraId="70BE32B1" w14:textId="77777777" w:rsidTr="00B678E8">
        <w:trPr>
          <w:trHeight w:val="20"/>
        </w:trPr>
        <w:tc>
          <w:tcPr>
            <w:tcW w:w="2827" w:type="pct"/>
            <w:tcBorders>
              <w:top w:val="nil"/>
              <w:bottom w:val="single" w:sz="4" w:space="0" w:color="auto"/>
            </w:tcBorders>
            <w:noWrap/>
            <w:vAlign w:val="bottom"/>
          </w:tcPr>
          <w:p w14:paraId="4A3A875A" w14:textId="77777777" w:rsidR="000B266B" w:rsidRPr="00A16C9B" w:rsidRDefault="000B266B" w:rsidP="0041700E">
            <w:pPr>
              <w:pStyle w:val="TableText"/>
              <w:numPr>
                <w:ilvl w:val="0"/>
                <w:numId w:val="19"/>
              </w:numPr>
              <w:ind w:left="306" w:hanging="142"/>
            </w:pPr>
            <w:r w:rsidRPr="00A16C9B">
              <w:t>Exclude regression</w:t>
            </w:r>
          </w:p>
        </w:tc>
        <w:tc>
          <w:tcPr>
            <w:tcW w:w="551" w:type="pct"/>
            <w:tcBorders>
              <w:top w:val="nil"/>
              <w:bottom w:val="single" w:sz="4" w:space="0" w:color="auto"/>
            </w:tcBorders>
            <w:shd w:val="solid" w:color="000000" w:fill="000000"/>
            <w:noWrap/>
          </w:tcPr>
          <w:p w14:paraId="42675971" w14:textId="77777777" w:rsidR="000B266B" w:rsidRPr="00D120E3" w:rsidRDefault="000B266B" w:rsidP="0041700E">
            <w:pPr>
              <w:pStyle w:val="TableText"/>
              <w:jc w:val="right"/>
              <w:rPr>
                <w:rFonts w:cs="Calibri"/>
                <w:highlight w:val="darkGray"/>
              </w:rPr>
            </w:pPr>
            <w:r w:rsidRPr="00AB52EE">
              <w:rPr>
                <w:color w:val="000000"/>
                <w14:textFill>
                  <w14:solidFill>
                    <w14:srgbClr w14:val="000000">
                      <w14:alpha w14:val="100000"/>
                    </w14:srgbClr>
                  </w14:solidFill>
                </w14:textFill>
              </w:rPr>
              <w:t>|</w:t>
            </w:r>
          </w:p>
        </w:tc>
        <w:tc>
          <w:tcPr>
            <w:tcW w:w="581" w:type="pct"/>
            <w:tcBorders>
              <w:top w:val="nil"/>
              <w:bottom w:val="single" w:sz="4" w:space="0" w:color="auto"/>
            </w:tcBorders>
            <w:noWrap/>
          </w:tcPr>
          <w:p w14:paraId="11DF2469" w14:textId="77777777" w:rsidR="000B266B" w:rsidRPr="00A16C9B" w:rsidRDefault="000B266B" w:rsidP="0041700E">
            <w:pPr>
              <w:pStyle w:val="TableText"/>
              <w:jc w:val="right"/>
              <w:rPr>
                <w:rFonts w:cs="Calibri"/>
              </w:rPr>
            </w:pPr>
            <w:r w:rsidRPr="00A16C9B">
              <w:t>2.25</w:t>
            </w:r>
          </w:p>
        </w:tc>
        <w:tc>
          <w:tcPr>
            <w:tcW w:w="652" w:type="pct"/>
            <w:tcBorders>
              <w:top w:val="nil"/>
              <w:bottom w:val="single" w:sz="4" w:space="0" w:color="auto"/>
            </w:tcBorders>
            <w:noWrap/>
          </w:tcPr>
          <w:p w14:paraId="38849A40" w14:textId="77777777" w:rsidR="000B266B" w:rsidRPr="00D120E3" w:rsidRDefault="000B266B" w:rsidP="0041700E">
            <w:pPr>
              <w:pStyle w:val="TableText"/>
              <w:jc w:val="right"/>
              <w:rPr>
                <w:rFonts w:cs="Calibri"/>
                <w:highlight w:val="darkGray"/>
              </w:rPr>
            </w:pPr>
            <w:r w:rsidRPr="00AB52EE">
              <w:rPr>
                <w:color w:val="000000"/>
                <w:shd w:val="solid" w:color="000000" w:fill="000000"/>
                <w14:textFill>
                  <w14:solidFill>
                    <w14:srgbClr w14:val="000000">
                      <w14:alpha w14:val="100000"/>
                    </w14:srgbClr>
                  </w14:solidFill>
                </w14:textFill>
              </w:rPr>
              <w:t>|</w:t>
            </w:r>
            <w:r w:rsidRPr="004739C9">
              <w:rPr>
                <w:vertAlign w:val="superscript"/>
              </w:rPr>
              <w:t>2</w:t>
            </w:r>
          </w:p>
        </w:tc>
        <w:tc>
          <w:tcPr>
            <w:tcW w:w="389" w:type="pct"/>
            <w:tcBorders>
              <w:top w:val="nil"/>
              <w:bottom w:val="single" w:sz="4" w:space="0" w:color="auto"/>
            </w:tcBorders>
            <w:noWrap/>
          </w:tcPr>
          <w:p w14:paraId="521E5560" w14:textId="77777777" w:rsidR="000B266B" w:rsidRPr="00A16C9B" w:rsidRDefault="000B266B" w:rsidP="0041700E">
            <w:pPr>
              <w:pStyle w:val="TableText"/>
              <w:jc w:val="right"/>
              <w:rPr>
                <w:rFonts w:cs="Calibri"/>
              </w:rPr>
            </w:pPr>
            <w:r w:rsidRPr="000B266B">
              <w:rPr>
                <w:color w:val="000000"/>
                <w:spacing w:val="84"/>
                <w:shd w:val="solid" w:color="000000" w:fill="000000"/>
                <w:fitText w:val="170" w:id="-649843952"/>
                <w14:textFill>
                  <w14:solidFill>
                    <w14:srgbClr w14:val="000000">
                      <w14:alpha w14:val="100000"/>
                    </w14:srgbClr>
                  </w14:solidFill>
                </w14:textFill>
              </w:rPr>
              <w:t>|</w:t>
            </w:r>
            <w:r w:rsidRPr="000B266B">
              <w:rPr>
                <w:color w:val="000000"/>
                <w:spacing w:val="1"/>
                <w:shd w:val="solid" w:color="000000" w:fill="000000"/>
                <w:fitText w:val="170" w:id="-649843952"/>
                <w14:textFill>
                  <w14:solidFill>
                    <w14:srgbClr w14:val="000000">
                      <w14:alpha w14:val="100000"/>
                    </w14:srgbClr>
                  </w14:solidFill>
                </w14:textFill>
              </w:rPr>
              <w:t>|</w:t>
            </w:r>
            <w:r w:rsidRPr="00A16C9B">
              <w:t>%</w:t>
            </w:r>
          </w:p>
        </w:tc>
      </w:tr>
      <w:tr w:rsidR="000B266B" w:rsidRPr="00A16C9B" w14:paraId="1296CE19" w14:textId="77777777" w:rsidTr="00B678E8">
        <w:trPr>
          <w:trHeight w:val="20"/>
        </w:trPr>
        <w:tc>
          <w:tcPr>
            <w:tcW w:w="5000" w:type="pct"/>
            <w:gridSpan w:val="5"/>
            <w:tcBorders>
              <w:top w:val="single" w:sz="4" w:space="0" w:color="auto"/>
              <w:bottom w:val="single" w:sz="4" w:space="0" w:color="auto"/>
            </w:tcBorders>
            <w:noWrap/>
            <w:vAlign w:val="bottom"/>
          </w:tcPr>
          <w:p w14:paraId="4BABA2F1" w14:textId="77777777" w:rsidR="000B266B" w:rsidRPr="00A16C9B" w:rsidRDefault="000B266B" w:rsidP="0041700E">
            <w:pPr>
              <w:pStyle w:val="TableText"/>
            </w:pPr>
            <w:r w:rsidRPr="00A16C9B">
              <w:t>Treatment stopping rule in non-responders (base case: Week 144)</w:t>
            </w:r>
          </w:p>
        </w:tc>
      </w:tr>
      <w:tr w:rsidR="000B266B" w:rsidRPr="00A16C9B" w14:paraId="6B3C5481" w14:textId="77777777" w:rsidTr="00B678E8">
        <w:trPr>
          <w:trHeight w:val="20"/>
        </w:trPr>
        <w:tc>
          <w:tcPr>
            <w:tcW w:w="2827" w:type="pct"/>
            <w:tcBorders>
              <w:top w:val="nil"/>
              <w:bottom w:val="nil"/>
            </w:tcBorders>
            <w:noWrap/>
            <w:vAlign w:val="bottom"/>
          </w:tcPr>
          <w:p w14:paraId="3E6D40B1" w14:textId="77777777" w:rsidR="000B266B" w:rsidRPr="00686DD5" w:rsidRDefault="000B266B" w:rsidP="0041700E">
            <w:pPr>
              <w:pStyle w:val="TableText"/>
              <w:keepNext w:val="0"/>
              <w:numPr>
                <w:ilvl w:val="0"/>
                <w:numId w:val="19"/>
              </w:numPr>
              <w:ind w:left="306" w:hanging="142"/>
            </w:pPr>
            <w:r w:rsidRPr="00686DD5">
              <w:t>Week 96</w:t>
            </w:r>
          </w:p>
          <w:p w14:paraId="00579534" w14:textId="77777777" w:rsidR="000B266B" w:rsidRPr="007D7A36" w:rsidRDefault="000B266B" w:rsidP="0041700E">
            <w:pPr>
              <w:pStyle w:val="TableText"/>
              <w:keepNext w:val="0"/>
              <w:numPr>
                <w:ilvl w:val="0"/>
                <w:numId w:val="19"/>
              </w:numPr>
              <w:ind w:left="306" w:hanging="142"/>
            </w:pPr>
            <w:r w:rsidRPr="007D7A36">
              <w:t>Week 48</w:t>
            </w:r>
          </w:p>
        </w:tc>
        <w:tc>
          <w:tcPr>
            <w:tcW w:w="551" w:type="pct"/>
            <w:tcBorders>
              <w:top w:val="nil"/>
              <w:bottom w:val="nil"/>
            </w:tcBorders>
            <w:shd w:val="solid" w:color="000000" w:fill="000000"/>
            <w:noWrap/>
            <w:vAlign w:val="center"/>
          </w:tcPr>
          <w:p w14:paraId="3B03A9A2" w14:textId="77777777" w:rsidR="000B266B" w:rsidRPr="00D120E3" w:rsidRDefault="000B266B" w:rsidP="0041700E">
            <w:pPr>
              <w:pStyle w:val="TableText"/>
              <w:jc w:val="right"/>
              <w:rPr>
                <w:i/>
                <w:highlight w:val="darkGray"/>
              </w:rPr>
            </w:pPr>
            <w:r w:rsidRPr="00AB52EE">
              <w:rPr>
                <w:rFonts w:cs="Calibri"/>
                <w:color w:val="000000"/>
                <w14:textFill>
                  <w14:solidFill>
                    <w14:srgbClr w14:val="000000">
                      <w14:alpha w14:val="100000"/>
                    </w14:srgbClr>
                  </w14:solidFill>
                </w14:textFill>
              </w:rPr>
              <w:t>|</w:t>
            </w:r>
          </w:p>
        </w:tc>
        <w:tc>
          <w:tcPr>
            <w:tcW w:w="581" w:type="pct"/>
            <w:tcBorders>
              <w:top w:val="nil"/>
              <w:bottom w:val="nil"/>
            </w:tcBorders>
            <w:noWrap/>
            <w:vAlign w:val="center"/>
          </w:tcPr>
          <w:p w14:paraId="168F791B" w14:textId="77777777" w:rsidR="000B266B" w:rsidRDefault="000B266B" w:rsidP="0041700E">
            <w:pPr>
              <w:pStyle w:val="TableText"/>
              <w:jc w:val="right"/>
              <w:rPr>
                <w:rFonts w:cs="Calibri"/>
              </w:rPr>
            </w:pPr>
            <w:r w:rsidRPr="00A16C9B">
              <w:rPr>
                <w:rFonts w:cs="Calibri"/>
              </w:rPr>
              <w:t>2.96</w:t>
            </w:r>
          </w:p>
          <w:p w14:paraId="1925CD17" w14:textId="77777777" w:rsidR="000B266B" w:rsidRPr="00B35CC7" w:rsidRDefault="000B266B" w:rsidP="0041700E">
            <w:pPr>
              <w:pStyle w:val="TableText"/>
              <w:jc w:val="right"/>
              <w:rPr>
                <w:i/>
              </w:rPr>
            </w:pPr>
            <w:r w:rsidRPr="00B35CC7">
              <w:rPr>
                <w:rFonts w:cs="Calibri"/>
                <w:i/>
                <w:iCs/>
              </w:rPr>
              <w:t>2.79</w:t>
            </w:r>
          </w:p>
        </w:tc>
        <w:tc>
          <w:tcPr>
            <w:tcW w:w="652" w:type="pct"/>
            <w:tcBorders>
              <w:top w:val="nil"/>
              <w:bottom w:val="nil"/>
            </w:tcBorders>
            <w:noWrap/>
            <w:vAlign w:val="center"/>
          </w:tcPr>
          <w:p w14:paraId="5A399B62" w14:textId="77777777" w:rsidR="000B266B" w:rsidRPr="00D120E3" w:rsidRDefault="000B266B" w:rsidP="0041700E">
            <w:pPr>
              <w:pStyle w:val="TableText"/>
              <w:jc w:val="right"/>
              <w:rPr>
                <w:i/>
                <w:highlight w:val="darkGray"/>
              </w:rPr>
            </w:pPr>
            <w:r w:rsidRPr="000B266B">
              <w:rPr>
                <w:rFonts w:cs="Calibri"/>
                <w:color w:val="000000"/>
                <w:spacing w:val="204"/>
                <w:shd w:val="solid" w:color="000000" w:fill="000000"/>
                <w:fitText w:val="290" w:id="-649843968"/>
                <w14:textFill>
                  <w14:solidFill>
                    <w14:srgbClr w14:val="000000">
                      <w14:alpha w14:val="100000"/>
                    </w14:srgbClr>
                  </w14:solidFill>
                </w14:textFill>
              </w:rPr>
              <w:t>|</w:t>
            </w:r>
            <w:r w:rsidRPr="000B266B">
              <w:rPr>
                <w:rFonts w:cs="Calibri"/>
                <w:color w:val="000000"/>
                <w:spacing w:val="1"/>
                <w:shd w:val="solid" w:color="000000" w:fill="000000"/>
                <w:fitText w:val="290" w:id="-649843968"/>
                <w14:textFill>
                  <w14:solidFill>
                    <w14:srgbClr w14:val="000000">
                      <w14:alpha w14:val="100000"/>
                    </w14:srgbClr>
                  </w14:solidFill>
                </w14:textFill>
              </w:rPr>
              <w:t>|</w:t>
            </w:r>
            <w:r w:rsidRPr="004739C9">
              <w:rPr>
                <w:rFonts w:cs="Calibri"/>
                <w:vertAlign w:val="superscript"/>
              </w:rPr>
              <w:t>5</w:t>
            </w:r>
            <w:r w:rsidRPr="000B266B">
              <w:rPr>
                <w:rFonts w:cs="Calibri"/>
                <w:color w:val="000000"/>
                <w:spacing w:val="46"/>
                <w:shd w:val="solid" w:color="000000" w:fill="000000"/>
                <w:fitText w:val="220" w:id="-649843967"/>
                <w14:textFill>
                  <w14:solidFill>
                    <w14:srgbClr w14:val="000000">
                      <w14:alpha w14:val="100000"/>
                    </w14:srgbClr>
                  </w14:solidFill>
                </w14:textFill>
              </w:rPr>
              <w:t>||</w:t>
            </w:r>
            <w:r w:rsidRPr="000B266B">
              <w:rPr>
                <w:rFonts w:cs="Calibri"/>
                <w:color w:val="000000"/>
                <w:spacing w:val="1"/>
                <w:shd w:val="solid" w:color="000000" w:fill="000000"/>
                <w:fitText w:val="220" w:id="-649843967"/>
                <w14:textFill>
                  <w14:solidFill>
                    <w14:srgbClr w14:val="000000">
                      <w14:alpha w14:val="100000"/>
                    </w14:srgbClr>
                  </w14:solidFill>
                </w14:textFill>
              </w:rPr>
              <w:t>|</w:t>
            </w:r>
            <w:r w:rsidRPr="004739C9">
              <w:rPr>
                <w:rFonts w:cs="Calibri"/>
                <w:vertAlign w:val="superscript"/>
              </w:rPr>
              <w:t>5</w:t>
            </w:r>
          </w:p>
        </w:tc>
        <w:tc>
          <w:tcPr>
            <w:tcW w:w="389" w:type="pct"/>
            <w:tcBorders>
              <w:top w:val="nil"/>
              <w:bottom w:val="nil"/>
            </w:tcBorders>
            <w:noWrap/>
            <w:vAlign w:val="center"/>
          </w:tcPr>
          <w:p w14:paraId="6F0AE8FF" w14:textId="77777777" w:rsidR="000B266B" w:rsidRDefault="000B266B" w:rsidP="0041700E">
            <w:pPr>
              <w:pStyle w:val="TableText"/>
              <w:jc w:val="right"/>
              <w:rPr>
                <w:rFonts w:cs="Calibri"/>
              </w:rPr>
            </w:pPr>
            <w:r w:rsidRPr="00A16C9B">
              <w:rPr>
                <w:rFonts w:cs="Calibri"/>
              </w:rPr>
              <w:t>-</w:t>
            </w:r>
            <w:r w:rsidRPr="000B266B">
              <w:rPr>
                <w:rFonts w:cs="Calibri"/>
                <w:color w:val="000000"/>
                <w:spacing w:val="84"/>
                <w:shd w:val="solid" w:color="000000" w:fill="000000"/>
                <w:fitText w:val="170" w:id="-649843966"/>
                <w14:textFill>
                  <w14:solidFill>
                    <w14:srgbClr w14:val="000000">
                      <w14:alpha w14:val="100000"/>
                    </w14:srgbClr>
                  </w14:solidFill>
                </w14:textFill>
              </w:rPr>
              <w:t>|</w:t>
            </w:r>
            <w:r w:rsidRPr="000B266B">
              <w:rPr>
                <w:rFonts w:cs="Calibri"/>
                <w:color w:val="000000"/>
                <w:spacing w:val="1"/>
                <w:shd w:val="solid" w:color="000000" w:fill="000000"/>
                <w:fitText w:val="170" w:id="-649843966"/>
                <w14:textFill>
                  <w14:solidFill>
                    <w14:srgbClr w14:val="000000">
                      <w14:alpha w14:val="100000"/>
                    </w14:srgbClr>
                  </w14:solidFill>
                </w14:textFill>
              </w:rPr>
              <w:t>|</w:t>
            </w:r>
            <w:r w:rsidRPr="00A16C9B">
              <w:rPr>
                <w:rFonts w:cs="Calibri"/>
              </w:rPr>
              <w:t>%</w:t>
            </w:r>
          </w:p>
          <w:p w14:paraId="10997C25" w14:textId="77777777" w:rsidR="000B266B" w:rsidRPr="00B35CC7" w:rsidRDefault="000B266B" w:rsidP="0041700E">
            <w:pPr>
              <w:pStyle w:val="TableText"/>
              <w:jc w:val="right"/>
              <w:rPr>
                <w:i/>
              </w:rPr>
            </w:pPr>
            <w:r w:rsidRPr="00E0158B">
              <w:rPr>
                <w:rFonts w:cs="Calibri"/>
                <w:i/>
                <w:iCs/>
              </w:rPr>
              <w:t>-</w:t>
            </w:r>
            <w:r w:rsidRPr="000B266B">
              <w:rPr>
                <w:rFonts w:cs="Calibri"/>
                <w:i/>
                <w:iCs/>
                <w:color w:val="000000"/>
                <w:spacing w:val="84"/>
                <w:shd w:val="solid" w:color="000000" w:fill="000000"/>
                <w:fitText w:val="170" w:id="-649843965"/>
                <w14:textFill>
                  <w14:solidFill>
                    <w14:srgbClr w14:val="000000">
                      <w14:alpha w14:val="100000"/>
                    </w14:srgbClr>
                  </w14:solidFill>
                </w14:textFill>
              </w:rPr>
              <w:t>|</w:t>
            </w:r>
            <w:r w:rsidRPr="000B266B">
              <w:rPr>
                <w:rFonts w:cs="Calibri"/>
                <w:i/>
                <w:iCs/>
                <w:color w:val="000000"/>
                <w:spacing w:val="1"/>
                <w:shd w:val="solid" w:color="000000" w:fill="000000"/>
                <w:fitText w:val="170" w:id="-649843965"/>
                <w14:textFill>
                  <w14:solidFill>
                    <w14:srgbClr w14:val="000000">
                      <w14:alpha w14:val="100000"/>
                    </w14:srgbClr>
                  </w14:solidFill>
                </w14:textFill>
              </w:rPr>
              <w:t>|</w:t>
            </w:r>
            <w:r w:rsidRPr="00B35CC7">
              <w:rPr>
                <w:rFonts w:cs="Calibri"/>
                <w:i/>
                <w:iCs/>
              </w:rPr>
              <w:t>%</w:t>
            </w:r>
          </w:p>
        </w:tc>
      </w:tr>
      <w:tr w:rsidR="000B266B" w:rsidRPr="00A16C9B" w14:paraId="6950EBA6" w14:textId="77777777" w:rsidTr="00B678E8">
        <w:trPr>
          <w:trHeight w:val="20"/>
        </w:trPr>
        <w:tc>
          <w:tcPr>
            <w:tcW w:w="2827" w:type="pct"/>
            <w:tcBorders>
              <w:top w:val="nil"/>
              <w:bottom w:val="single" w:sz="4" w:space="0" w:color="auto"/>
            </w:tcBorders>
            <w:noWrap/>
            <w:vAlign w:val="bottom"/>
          </w:tcPr>
          <w:p w14:paraId="0482DA7E" w14:textId="77777777" w:rsidR="000B266B" w:rsidRPr="00A16C9B" w:rsidRDefault="000B266B" w:rsidP="0041700E">
            <w:pPr>
              <w:pStyle w:val="TableText"/>
              <w:keepNext w:val="0"/>
              <w:numPr>
                <w:ilvl w:val="0"/>
                <w:numId w:val="19"/>
              </w:numPr>
              <w:ind w:left="306" w:hanging="142"/>
              <w:rPr>
                <w:vertAlign w:val="superscript"/>
              </w:rPr>
            </w:pPr>
            <w:r w:rsidRPr="4904BCD2">
              <w:t>None applied</w:t>
            </w:r>
            <w:r w:rsidRPr="4904BCD2">
              <w:rPr>
                <w:vertAlign w:val="superscript"/>
              </w:rPr>
              <w:t>a</w:t>
            </w:r>
          </w:p>
        </w:tc>
        <w:tc>
          <w:tcPr>
            <w:tcW w:w="551" w:type="pct"/>
            <w:tcBorders>
              <w:top w:val="nil"/>
              <w:bottom w:val="single" w:sz="4" w:space="0" w:color="auto"/>
            </w:tcBorders>
            <w:shd w:val="solid" w:color="000000" w:fill="000000"/>
            <w:noWrap/>
          </w:tcPr>
          <w:p w14:paraId="2B04D08B" w14:textId="77777777" w:rsidR="000B266B" w:rsidRPr="00D120E3" w:rsidRDefault="000B266B" w:rsidP="0041700E">
            <w:pPr>
              <w:pStyle w:val="TableText"/>
              <w:jc w:val="right"/>
              <w:rPr>
                <w:highlight w:val="darkGray"/>
              </w:rPr>
            </w:pPr>
            <w:r w:rsidRPr="00AB52EE">
              <w:rPr>
                <w:color w:val="000000"/>
                <w14:textFill>
                  <w14:solidFill>
                    <w14:srgbClr w14:val="000000">
                      <w14:alpha w14:val="100000"/>
                    </w14:srgbClr>
                  </w14:solidFill>
                </w14:textFill>
              </w:rPr>
              <w:t>|</w:t>
            </w:r>
          </w:p>
        </w:tc>
        <w:tc>
          <w:tcPr>
            <w:tcW w:w="581" w:type="pct"/>
            <w:tcBorders>
              <w:top w:val="nil"/>
              <w:bottom w:val="single" w:sz="4" w:space="0" w:color="auto"/>
            </w:tcBorders>
            <w:noWrap/>
          </w:tcPr>
          <w:p w14:paraId="72C123E2" w14:textId="77777777" w:rsidR="000B266B" w:rsidRPr="00A16C9B" w:rsidRDefault="000B266B" w:rsidP="0041700E">
            <w:pPr>
              <w:pStyle w:val="TableText"/>
              <w:jc w:val="right"/>
            </w:pPr>
            <w:r w:rsidRPr="00A16C9B">
              <w:t>2.95</w:t>
            </w:r>
          </w:p>
        </w:tc>
        <w:tc>
          <w:tcPr>
            <w:tcW w:w="652" w:type="pct"/>
            <w:tcBorders>
              <w:top w:val="nil"/>
              <w:bottom w:val="single" w:sz="4" w:space="0" w:color="auto"/>
            </w:tcBorders>
            <w:noWrap/>
          </w:tcPr>
          <w:p w14:paraId="768A8890" w14:textId="77777777" w:rsidR="000B266B" w:rsidRPr="00D120E3" w:rsidRDefault="000B266B" w:rsidP="0041700E">
            <w:pPr>
              <w:pStyle w:val="TableText"/>
              <w:jc w:val="right"/>
              <w:rPr>
                <w:highlight w:val="darkGray"/>
              </w:rPr>
            </w:pPr>
            <w:r w:rsidRPr="00AB52EE">
              <w:rPr>
                <w:color w:val="000000"/>
                <w:shd w:val="solid" w:color="000000" w:fill="000000"/>
                <w14:textFill>
                  <w14:solidFill>
                    <w14:srgbClr w14:val="000000">
                      <w14:alpha w14:val="100000"/>
                    </w14:srgbClr>
                  </w14:solidFill>
                </w14:textFill>
              </w:rPr>
              <w:t>|</w:t>
            </w:r>
            <w:r w:rsidRPr="004739C9">
              <w:rPr>
                <w:vertAlign w:val="superscript"/>
              </w:rPr>
              <w:t>2</w:t>
            </w:r>
          </w:p>
        </w:tc>
        <w:tc>
          <w:tcPr>
            <w:tcW w:w="389" w:type="pct"/>
            <w:tcBorders>
              <w:top w:val="nil"/>
              <w:bottom w:val="single" w:sz="4" w:space="0" w:color="auto"/>
            </w:tcBorders>
            <w:noWrap/>
          </w:tcPr>
          <w:p w14:paraId="3BA5F912" w14:textId="77777777" w:rsidR="000B266B" w:rsidRPr="00A16C9B" w:rsidRDefault="000B266B" w:rsidP="0041700E">
            <w:pPr>
              <w:pStyle w:val="TableText"/>
              <w:jc w:val="right"/>
            </w:pPr>
            <w:r w:rsidRPr="000B266B">
              <w:rPr>
                <w:color w:val="000000"/>
                <w:spacing w:val="84"/>
                <w:shd w:val="solid" w:color="000000" w:fill="000000"/>
                <w:fitText w:val="170" w:id="-649843964"/>
                <w14:textFill>
                  <w14:solidFill>
                    <w14:srgbClr w14:val="000000">
                      <w14:alpha w14:val="100000"/>
                    </w14:srgbClr>
                  </w14:solidFill>
                </w14:textFill>
              </w:rPr>
              <w:t>|</w:t>
            </w:r>
            <w:r w:rsidRPr="000B266B">
              <w:rPr>
                <w:color w:val="000000"/>
                <w:spacing w:val="1"/>
                <w:shd w:val="solid" w:color="000000" w:fill="000000"/>
                <w:fitText w:val="170" w:id="-649843964"/>
                <w14:textFill>
                  <w14:solidFill>
                    <w14:srgbClr w14:val="000000">
                      <w14:alpha w14:val="100000"/>
                    </w14:srgbClr>
                  </w14:solidFill>
                </w14:textFill>
              </w:rPr>
              <w:t>|</w:t>
            </w:r>
            <w:r w:rsidRPr="00A16C9B">
              <w:t>%</w:t>
            </w:r>
          </w:p>
        </w:tc>
      </w:tr>
      <w:tr w:rsidR="000B266B" w:rsidRPr="00A16C9B" w14:paraId="550E4ABE" w14:textId="77777777" w:rsidTr="00B678E8">
        <w:trPr>
          <w:trHeight w:val="20"/>
        </w:trPr>
        <w:tc>
          <w:tcPr>
            <w:tcW w:w="5000" w:type="pct"/>
            <w:gridSpan w:val="5"/>
            <w:tcBorders>
              <w:bottom w:val="single" w:sz="4" w:space="0" w:color="auto"/>
            </w:tcBorders>
            <w:noWrap/>
            <w:vAlign w:val="bottom"/>
          </w:tcPr>
          <w:p w14:paraId="606D1D6A" w14:textId="77777777" w:rsidR="000B266B" w:rsidRPr="00A16C9B" w:rsidRDefault="000B266B" w:rsidP="0041700E">
            <w:pPr>
              <w:pStyle w:val="TableText"/>
            </w:pPr>
            <w:r w:rsidRPr="00A16C9B">
              <w:t>Treatment discontinuation (base case: 2.26% per year (MYR301 data at Week 144))</w:t>
            </w:r>
          </w:p>
        </w:tc>
      </w:tr>
      <w:tr w:rsidR="000B266B" w:rsidRPr="00A16C9B" w14:paraId="23A3290F" w14:textId="77777777" w:rsidTr="00B678E8">
        <w:trPr>
          <w:trHeight w:val="20"/>
        </w:trPr>
        <w:tc>
          <w:tcPr>
            <w:tcW w:w="2827" w:type="pct"/>
            <w:tcBorders>
              <w:top w:val="nil"/>
              <w:bottom w:val="single" w:sz="4" w:space="0" w:color="auto"/>
            </w:tcBorders>
            <w:noWrap/>
            <w:vAlign w:val="bottom"/>
          </w:tcPr>
          <w:p w14:paraId="20562FB2" w14:textId="77777777" w:rsidR="000B266B" w:rsidRPr="00A16C9B" w:rsidRDefault="000B266B" w:rsidP="0041700E">
            <w:pPr>
              <w:pStyle w:val="TableText"/>
              <w:keepNext w:val="0"/>
              <w:numPr>
                <w:ilvl w:val="0"/>
                <w:numId w:val="19"/>
              </w:numPr>
              <w:ind w:left="306" w:hanging="142"/>
            </w:pPr>
            <w:r w:rsidRPr="00A16C9B">
              <w:lastRenderedPageBreak/>
              <w:t>14.4% annually (MYR203 permanent discontinuers at Week 48)</w:t>
            </w:r>
          </w:p>
        </w:tc>
        <w:tc>
          <w:tcPr>
            <w:tcW w:w="551" w:type="pct"/>
            <w:tcBorders>
              <w:top w:val="nil"/>
              <w:bottom w:val="single" w:sz="4" w:space="0" w:color="auto"/>
            </w:tcBorders>
            <w:shd w:val="solid" w:color="000000" w:fill="000000"/>
            <w:noWrap/>
          </w:tcPr>
          <w:p w14:paraId="25707CE2" w14:textId="77777777" w:rsidR="000B266B" w:rsidRPr="00A16C9B" w:rsidRDefault="000B266B" w:rsidP="0041700E">
            <w:pPr>
              <w:pStyle w:val="TableText"/>
              <w:jc w:val="right"/>
            </w:pPr>
            <w:r w:rsidRPr="00AB52EE">
              <w:rPr>
                <w:color w:val="000000"/>
                <w14:textFill>
                  <w14:solidFill>
                    <w14:srgbClr w14:val="000000">
                      <w14:alpha w14:val="100000"/>
                    </w14:srgbClr>
                  </w14:solidFill>
                </w14:textFill>
              </w:rPr>
              <w:t>|</w:t>
            </w:r>
          </w:p>
        </w:tc>
        <w:tc>
          <w:tcPr>
            <w:tcW w:w="581" w:type="pct"/>
            <w:tcBorders>
              <w:top w:val="nil"/>
              <w:bottom w:val="single" w:sz="4" w:space="0" w:color="auto"/>
            </w:tcBorders>
            <w:noWrap/>
          </w:tcPr>
          <w:p w14:paraId="6773ACEF" w14:textId="77777777" w:rsidR="000B266B" w:rsidRPr="00A16C9B" w:rsidRDefault="000B266B" w:rsidP="0041700E">
            <w:pPr>
              <w:pStyle w:val="TableText"/>
              <w:jc w:val="right"/>
            </w:pPr>
            <w:r w:rsidRPr="00A16C9B">
              <w:t>1.43</w:t>
            </w:r>
          </w:p>
        </w:tc>
        <w:tc>
          <w:tcPr>
            <w:tcW w:w="652" w:type="pct"/>
            <w:tcBorders>
              <w:top w:val="nil"/>
              <w:bottom w:val="single" w:sz="4" w:space="0" w:color="auto"/>
            </w:tcBorders>
            <w:noWrap/>
          </w:tcPr>
          <w:p w14:paraId="5BBE4DED" w14:textId="77777777" w:rsidR="000B266B" w:rsidRPr="00A16C9B" w:rsidRDefault="000B266B" w:rsidP="0041700E">
            <w:pPr>
              <w:pStyle w:val="TableText"/>
              <w:jc w:val="right"/>
            </w:pPr>
            <w:r w:rsidRPr="00AB52EE">
              <w:rPr>
                <w:color w:val="000000"/>
                <w:shd w:val="solid" w:color="000000" w:fill="000000"/>
                <w14:textFill>
                  <w14:solidFill>
                    <w14:srgbClr w14:val="000000">
                      <w14:alpha w14:val="100000"/>
                    </w14:srgbClr>
                  </w14:solidFill>
                </w14:textFill>
              </w:rPr>
              <w:t>|</w:t>
            </w:r>
            <w:r w:rsidRPr="004739C9">
              <w:rPr>
                <w:b/>
                <w:vertAlign w:val="superscript"/>
              </w:rPr>
              <w:t>1</w:t>
            </w:r>
          </w:p>
        </w:tc>
        <w:tc>
          <w:tcPr>
            <w:tcW w:w="389" w:type="pct"/>
            <w:tcBorders>
              <w:top w:val="nil"/>
              <w:bottom w:val="single" w:sz="4" w:space="0" w:color="auto"/>
            </w:tcBorders>
            <w:noWrap/>
          </w:tcPr>
          <w:p w14:paraId="2EC055AA" w14:textId="77777777" w:rsidR="000B266B" w:rsidRPr="00A16C9B" w:rsidRDefault="000B266B" w:rsidP="0041700E">
            <w:pPr>
              <w:pStyle w:val="TableText"/>
              <w:jc w:val="right"/>
            </w:pPr>
            <w:r w:rsidRPr="000B266B">
              <w:rPr>
                <w:color w:val="000000"/>
                <w:spacing w:val="84"/>
                <w:shd w:val="solid" w:color="000000" w:fill="000000"/>
                <w:fitText w:val="170" w:id="-649843963"/>
                <w14:textFill>
                  <w14:solidFill>
                    <w14:srgbClr w14:val="000000">
                      <w14:alpha w14:val="100000"/>
                    </w14:srgbClr>
                  </w14:solidFill>
                </w14:textFill>
              </w:rPr>
              <w:t>|</w:t>
            </w:r>
            <w:r w:rsidRPr="000B266B">
              <w:rPr>
                <w:color w:val="000000"/>
                <w:spacing w:val="1"/>
                <w:shd w:val="solid" w:color="000000" w:fill="000000"/>
                <w:fitText w:val="170" w:id="-649843963"/>
                <w14:textFill>
                  <w14:solidFill>
                    <w14:srgbClr w14:val="000000">
                      <w14:alpha w14:val="100000"/>
                    </w14:srgbClr>
                  </w14:solidFill>
                </w14:textFill>
              </w:rPr>
              <w:t>|</w:t>
            </w:r>
            <w:r w:rsidRPr="00A16C9B">
              <w:t>%</w:t>
            </w:r>
          </w:p>
        </w:tc>
      </w:tr>
      <w:tr w:rsidR="000B266B" w:rsidRPr="00A16C9B" w14:paraId="33991AD7" w14:textId="77777777" w:rsidTr="00B678E8">
        <w:trPr>
          <w:trHeight w:val="20"/>
        </w:trPr>
        <w:tc>
          <w:tcPr>
            <w:tcW w:w="5000" w:type="pct"/>
            <w:gridSpan w:val="5"/>
            <w:tcBorders>
              <w:bottom w:val="single" w:sz="4" w:space="0" w:color="auto"/>
            </w:tcBorders>
            <w:noWrap/>
            <w:vAlign w:val="bottom"/>
          </w:tcPr>
          <w:p w14:paraId="456AF72C" w14:textId="77777777" w:rsidR="000B266B" w:rsidRPr="00A16C9B" w:rsidRDefault="000B266B" w:rsidP="0041700E">
            <w:pPr>
              <w:pStyle w:val="TableText"/>
            </w:pPr>
            <w:r w:rsidRPr="00A16C9B">
              <w:t xml:space="preserve">Health state utility weights (base case: MYR301, Australian weights for NC and CC; HBV meta-analysis utilities for DCC to PLT) </w:t>
            </w:r>
          </w:p>
        </w:tc>
      </w:tr>
      <w:tr w:rsidR="000B266B" w:rsidRPr="00A16C9B" w14:paraId="345EB3EF" w14:textId="77777777" w:rsidTr="00B678E8">
        <w:trPr>
          <w:trHeight w:val="20"/>
        </w:trPr>
        <w:tc>
          <w:tcPr>
            <w:tcW w:w="2827" w:type="pct"/>
            <w:tcBorders>
              <w:bottom w:val="nil"/>
            </w:tcBorders>
            <w:noWrap/>
            <w:vAlign w:val="bottom"/>
          </w:tcPr>
          <w:p w14:paraId="13A78B5E" w14:textId="77777777" w:rsidR="000B266B" w:rsidRPr="00A16C9B" w:rsidRDefault="000B266B" w:rsidP="0041700E">
            <w:pPr>
              <w:pStyle w:val="TableText"/>
              <w:numPr>
                <w:ilvl w:val="0"/>
                <w:numId w:val="19"/>
              </w:numPr>
              <w:ind w:left="306" w:hanging="142"/>
              <w:rPr>
                <w:vertAlign w:val="superscript"/>
              </w:rPr>
            </w:pPr>
            <w:r w:rsidRPr="4904BCD2">
              <w:t>MYR301, UK weights for NC and CC</w:t>
            </w:r>
            <w:r w:rsidRPr="4904BCD2">
              <w:rPr>
                <w:vertAlign w:val="superscript"/>
              </w:rPr>
              <w:t xml:space="preserve">b </w:t>
            </w:r>
          </w:p>
        </w:tc>
        <w:tc>
          <w:tcPr>
            <w:tcW w:w="551" w:type="pct"/>
            <w:tcBorders>
              <w:bottom w:val="nil"/>
            </w:tcBorders>
            <w:shd w:val="solid" w:color="000000" w:fill="000000"/>
            <w:noWrap/>
            <w:vAlign w:val="center"/>
          </w:tcPr>
          <w:p w14:paraId="1D9A3FC9" w14:textId="77777777" w:rsidR="000B266B" w:rsidRPr="00D120E3" w:rsidRDefault="000B266B" w:rsidP="0041700E">
            <w:pPr>
              <w:pStyle w:val="TableText"/>
              <w:jc w:val="right"/>
              <w:rPr>
                <w:highlight w:val="darkGray"/>
              </w:rPr>
            </w:pPr>
            <w:r w:rsidRPr="00AB52EE">
              <w:rPr>
                <w:rFonts w:cs="Calibri"/>
                <w:color w:val="000000"/>
                <w14:textFill>
                  <w14:solidFill>
                    <w14:srgbClr w14:val="000000">
                      <w14:alpha w14:val="100000"/>
                    </w14:srgbClr>
                  </w14:solidFill>
                </w14:textFill>
              </w:rPr>
              <w:t>|</w:t>
            </w:r>
          </w:p>
        </w:tc>
        <w:tc>
          <w:tcPr>
            <w:tcW w:w="581" w:type="pct"/>
            <w:tcBorders>
              <w:bottom w:val="nil"/>
            </w:tcBorders>
            <w:noWrap/>
            <w:vAlign w:val="center"/>
          </w:tcPr>
          <w:p w14:paraId="418DC30F" w14:textId="77777777" w:rsidR="000B266B" w:rsidRPr="00A16C9B" w:rsidRDefault="000B266B" w:rsidP="0041700E">
            <w:pPr>
              <w:pStyle w:val="TableText"/>
              <w:jc w:val="right"/>
            </w:pPr>
            <w:r w:rsidRPr="00A16C9B">
              <w:rPr>
                <w:rFonts w:cs="Calibri"/>
              </w:rPr>
              <w:t>2.72</w:t>
            </w:r>
          </w:p>
        </w:tc>
        <w:tc>
          <w:tcPr>
            <w:tcW w:w="652" w:type="pct"/>
            <w:tcBorders>
              <w:bottom w:val="nil"/>
            </w:tcBorders>
            <w:noWrap/>
            <w:vAlign w:val="center"/>
          </w:tcPr>
          <w:p w14:paraId="7680E366" w14:textId="77777777" w:rsidR="000B266B" w:rsidRPr="00D120E3" w:rsidRDefault="000B266B" w:rsidP="0041700E">
            <w:pPr>
              <w:pStyle w:val="TableText"/>
              <w:jc w:val="right"/>
              <w:rPr>
                <w:highlight w:val="darkGray"/>
              </w:rPr>
            </w:pPr>
            <w:r w:rsidRPr="00AB52EE">
              <w:rPr>
                <w:rFonts w:cs="Calibri"/>
                <w:color w:val="000000"/>
                <w:shd w:val="solid" w:color="000000" w:fill="000000"/>
                <w14:textFill>
                  <w14:solidFill>
                    <w14:srgbClr w14:val="000000">
                      <w14:alpha w14:val="100000"/>
                    </w14:srgbClr>
                  </w14:solidFill>
                </w14:textFill>
              </w:rPr>
              <w:t>|</w:t>
            </w:r>
            <w:r w:rsidRPr="004739C9">
              <w:rPr>
                <w:b/>
                <w:vertAlign w:val="superscript"/>
              </w:rPr>
              <w:t>1</w:t>
            </w:r>
          </w:p>
        </w:tc>
        <w:tc>
          <w:tcPr>
            <w:tcW w:w="389" w:type="pct"/>
            <w:tcBorders>
              <w:bottom w:val="nil"/>
            </w:tcBorders>
            <w:noWrap/>
            <w:vAlign w:val="center"/>
          </w:tcPr>
          <w:p w14:paraId="49A0AECC" w14:textId="77777777" w:rsidR="000B266B" w:rsidRPr="00A16C9B" w:rsidRDefault="000B266B" w:rsidP="0041700E">
            <w:pPr>
              <w:pStyle w:val="TableText"/>
              <w:jc w:val="right"/>
            </w:pPr>
            <w:r w:rsidRPr="000B266B">
              <w:rPr>
                <w:rFonts w:cs="Calibri"/>
                <w:color w:val="000000"/>
                <w:spacing w:val="84"/>
                <w:shd w:val="solid" w:color="000000" w:fill="000000"/>
                <w:fitText w:val="170" w:id="-649843962"/>
                <w14:textFill>
                  <w14:solidFill>
                    <w14:srgbClr w14:val="000000">
                      <w14:alpha w14:val="100000"/>
                    </w14:srgbClr>
                  </w14:solidFill>
                </w14:textFill>
              </w:rPr>
              <w:t>|</w:t>
            </w:r>
            <w:r w:rsidRPr="000B266B">
              <w:rPr>
                <w:rFonts w:cs="Calibri"/>
                <w:color w:val="000000"/>
                <w:spacing w:val="1"/>
                <w:shd w:val="solid" w:color="000000" w:fill="000000"/>
                <w:fitText w:val="170" w:id="-649843962"/>
                <w14:textFill>
                  <w14:solidFill>
                    <w14:srgbClr w14:val="000000">
                      <w14:alpha w14:val="100000"/>
                    </w14:srgbClr>
                  </w14:solidFill>
                </w14:textFill>
              </w:rPr>
              <w:t>|</w:t>
            </w:r>
            <w:r w:rsidRPr="00A16C9B">
              <w:rPr>
                <w:rFonts w:cs="Calibri"/>
              </w:rPr>
              <w:t>%</w:t>
            </w:r>
          </w:p>
        </w:tc>
      </w:tr>
      <w:tr w:rsidR="000B266B" w:rsidRPr="00A16C9B" w14:paraId="57596E0B" w14:textId="77777777" w:rsidTr="00B678E8">
        <w:trPr>
          <w:trHeight w:val="20"/>
        </w:trPr>
        <w:tc>
          <w:tcPr>
            <w:tcW w:w="2827" w:type="pct"/>
            <w:tcBorders>
              <w:top w:val="nil"/>
              <w:bottom w:val="nil"/>
            </w:tcBorders>
            <w:noWrap/>
            <w:vAlign w:val="bottom"/>
          </w:tcPr>
          <w:p w14:paraId="302999EA" w14:textId="77777777" w:rsidR="000B266B" w:rsidRPr="00A16C9B" w:rsidRDefault="000B266B" w:rsidP="0041700E">
            <w:pPr>
              <w:pStyle w:val="TableText"/>
              <w:keepNext w:val="0"/>
              <w:numPr>
                <w:ilvl w:val="0"/>
                <w:numId w:val="19"/>
              </w:numPr>
              <w:ind w:left="306" w:hanging="142"/>
            </w:pPr>
            <w:r w:rsidRPr="4904BCD2">
              <w:t>Wright et al. 2006 for NC and CC</w:t>
            </w:r>
            <w:r w:rsidRPr="4904BCD2">
              <w:rPr>
                <w:vertAlign w:val="superscript"/>
              </w:rPr>
              <w:t>c</w:t>
            </w:r>
            <w:r w:rsidRPr="4904BCD2">
              <w:t xml:space="preserve"> </w:t>
            </w:r>
          </w:p>
        </w:tc>
        <w:tc>
          <w:tcPr>
            <w:tcW w:w="551" w:type="pct"/>
            <w:tcBorders>
              <w:top w:val="nil"/>
              <w:bottom w:val="nil"/>
            </w:tcBorders>
            <w:shd w:val="solid" w:color="000000" w:fill="000000"/>
            <w:noWrap/>
          </w:tcPr>
          <w:p w14:paraId="4702616D" w14:textId="77777777" w:rsidR="000B266B" w:rsidRPr="00D120E3" w:rsidRDefault="000B266B" w:rsidP="0041700E">
            <w:pPr>
              <w:pStyle w:val="TableText"/>
              <w:jc w:val="right"/>
              <w:rPr>
                <w:rFonts w:cs="Calibri"/>
                <w:highlight w:val="darkGray"/>
              </w:rPr>
            </w:pPr>
            <w:r w:rsidRPr="00AB52EE">
              <w:rPr>
                <w:color w:val="000000"/>
                <w14:textFill>
                  <w14:solidFill>
                    <w14:srgbClr w14:val="000000">
                      <w14:alpha w14:val="100000"/>
                    </w14:srgbClr>
                  </w14:solidFill>
                </w14:textFill>
              </w:rPr>
              <w:t>|</w:t>
            </w:r>
          </w:p>
        </w:tc>
        <w:tc>
          <w:tcPr>
            <w:tcW w:w="581" w:type="pct"/>
            <w:tcBorders>
              <w:top w:val="nil"/>
              <w:bottom w:val="nil"/>
            </w:tcBorders>
            <w:noWrap/>
          </w:tcPr>
          <w:p w14:paraId="41606E03" w14:textId="77777777" w:rsidR="000B266B" w:rsidRPr="00A16C9B" w:rsidRDefault="000B266B" w:rsidP="0041700E">
            <w:pPr>
              <w:pStyle w:val="TableText"/>
              <w:jc w:val="right"/>
              <w:rPr>
                <w:rFonts w:cs="Calibri"/>
              </w:rPr>
            </w:pPr>
            <w:r w:rsidRPr="00A16C9B">
              <w:t>2.29</w:t>
            </w:r>
          </w:p>
        </w:tc>
        <w:tc>
          <w:tcPr>
            <w:tcW w:w="652" w:type="pct"/>
            <w:tcBorders>
              <w:top w:val="nil"/>
              <w:bottom w:val="nil"/>
            </w:tcBorders>
            <w:noWrap/>
          </w:tcPr>
          <w:p w14:paraId="2B6933A5" w14:textId="77777777" w:rsidR="000B266B" w:rsidRPr="00D120E3" w:rsidRDefault="000B266B" w:rsidP="0041700E">
            <w:pPr>
              <w:pStyle w:val="TableText"/>
              <w:jc w:val="right"/>
              <w:rPr>
                <w:rFonts w:cs="Calibri"/>
                <w:highlight w:val="darkGray"/>
              </w:rPr>
            </w:pPr>
            <w:r w:rsidRPr="00AB52EE">
              <w:rPr>
                <w:color w:val="000000"/>
                <w:shd w:val="solid" w:color="000000" w:fill="000000"/>
                <w14:textFill>
                  <w14:solidFill>
                    <w14:srgbClr w14:val="000000">
                      <w14:alpha w14:val="100000"/>
                    </w14:srgbClr>
                  </w14:solidFill>
                </w14:textFill>
              </w:rPr>
              <w:t>|</w:t>
            </w:r>
            <w:r w:rsidRPr="004739C9">
              <w:rPr>
                <w:vertAlign w:val="superscript"/>
              </w:rPr>
              <w:t>2</w:t>
            </w:r>
          </w:p>
        </w:tc>
        <w:tc>
          <w:tcPr>
            <w:tcW w:w="389" w:type="pct"/>
            <w:tcBorders>
              <w:top w:val="nil"/>
              <w:bottom w:val="nil"/>
            </w:tcBorders>
            <w:noWrap/>
          </w:tcPr>
          <w:p w14:paraId="7DEF1083" w14:textId="77777777" w:rsidR="000B266B" w:rsidRPr="00A16C9B" w:rsidRDefault="000B266B" w:rsidP="0041700E">
            <w:pPr>
              <w:pStyle w:val="TableText"/>
              <w:jc w:val="right"/>
              <w:rPr>
                <w:rFonts w:cs="Calibri"/>
              </w:rPr>
            </w:pPr>
            <w:r w:rsidRPr="000B266B">
              <w:rPr>
                <w:color w:val="000000"/>
                <w:spacing w:val="84"/>
                <w:shd w:val="solid" w:color="000000" w:fill="000000"/>
                <w:fitText w:val="170" w:id="-649843961"/>
                <w14:textFill>
                  <w14:solidFill>
                    <w14:srgbClr w14:val="000000">
                      <w14:alpha w14:val="100000"/>
                    </w14:srgbClr>
                  </w14:solidFill>
                </w14:textFill>
              </w:rPr>
              <w:t>|</w:t>
            </w:r>
            <w:r w:rsidRPr="000B266B">
              <w:rPr>
                <w:color w:val="000000"/>
                <w:spacing w:val="1"/>
                <w:shd w:val="solid" w:color="000000" w:fill="000000"/>
                <w:fitText w:val="170" w:id="-649843961"/>
                <w14:textFill>
                  <w14:solidFill>
                    <w14:srgbClr w14:val="000000">
                      <w14:alpha w14:val="100000"/>
                    </w14:srgbClr>
                  </w14:solidFill>
                </w14:textFill>
              </w:rPr>
              <w:t>|</w:t>
            </w:r>
            <w:r w:rsidRPr="00A16C9B">
              <w:t>%</w:t>
            </w:r>
          </w:p>
        </w:tc>
      </w:tr>
      <w:tr w:rsidR="000B266B" w:rsidRPr="00A16C9B" w14:paraId="00D3D042" w14:textId="77777777" w:rsidTr="00B678E8">
        <w:trPr>
          <w:trHeight w:val="20"/>
        </w:trPr>
        <w:tc>
          <w:tcPr>
            <w:tcW w:w="2827" w:type="pct"/>
            <w:tcBorders>
              <w:top w:val="nil"/>
              <w:bottom w:val="single" w:sz="4" w:space="0" w:color="auto"/>
            </w:tcBorders>
            <w:noWrap/>
            <w:vAlign w:val="bottom"/>
          </w:tcPr>
          <w:p w14:paraId="1CDF90F6" w14:textId="77777777" w:rsidR="000B266B" w:rsidRPr="00A16C9B" w:rsidRDefault="000B266B" w:rsidP="0041700E">
            <w:pPr>
              <w:pStyle w:val="TableText"/>
              <w:keepNext w:val="0"/>
              <w:numPr>
                <w:ilvl w:val="0"/>
                <w:numId w:val="19"/>
              </w:numPr>
              <w:ind w:left="306" w:hanging="142"/>
            </w:pPr>
            <w:r w:rsidRPr="4904BCD2">
              <w:t>Wright et al. 2006 for all health states</w:t>
            </w:r>
            <w:r w:rsidRPr="4904BCD2">
              <w:rPr>
                <w:vertAlign w:val="superscript"/>
              </w:rPr>
              <w:t xml:space="preserve">d </w:t>
            </w:r>
            <w:r w:rsidRPr="4904BCD2">
              <w:rPr>
                <w:b/>
              </w:rPr>
              <w:t>(#5)</w:t>
            </w:r>
            <w:r w:rsidRPr="4904BCD2">
              <w:t> </w:t>
            </w:r>
          </w:p>
        </w:tc>
        <w:tc>
          <w:tcPr>
            <w:tcW w:w="551" w:type="pct"/>
            <w:tcBorders>
              <w:top w:val="nil"/>
              <w:bottom w:val="single" w:sz="4" w:space="0" w:color="auto"/>
            </w:tcBorders>
            <w:shd w:val="solid" w:color="000000" w:fill="000000"/>
            <w:noWrap/>
          </w:tcPr>
          <w:p w14:paraId="47C8F599" w14:textId="77777777" w:rsidR="000B266B" w:rsidRPr="00D120E3" w:rsidRDefault="000B266B" w:rsidP="0041700E">
            <w:pPr>
              <w:pStyle w:val="TableText"/>
              <w:jc w:val="right"/>
              <w:rPr>
                <w:highlight w:val="darkGray"/>
              </w:rPr>
            </w:pPr>
            <w:r w:rsidRPr="00AB52EE">
              <w:rPr>
                <w:color w:val="000000"/>
                <w14:textFill>
                  <w14:solidFill>
                    <w14:srgbClr w14:val="000000">
                      <w14:alpha w14:val="100000"/>
                    </w14:srgbClr>
                  </w14:solidFill>
                </w14:textFill>
              </w:rPr>
              <w:t>|</w:t>
            </w:r>
          </w:p>
        </w:tc>
        <w:tc>
          <w:tcPr>
            <w:tcW w:w="581" w:type="pct"/>
            <w:tcBorders>
              <w:top w:val="nil"/>
              <w:bottom w:val="single" w:sz="4" w:space="0" w:color="auto"/>
            </w:tcBorders>
            <w:noWrap/>
          </w:tcPr>
          <w:p w14:paraId="0382CC52" w14:textId="77777777" w:rsidR="000B266B" w:rsidRPr="00A16C9B" w:rsidRDefault="000B266B" w:rsidP="0041700E">
            <w:pPr>
              <w:pStyle w:val="TableText"/>
              <w:jc w:val="right"/>
            </w:pPr>
            <w:r w:rsidRPr="00A16C9B">
              <w:t>2.30</w:t>
            </w:r>
          </w:p>
        </w:tc>
        <w:tc>
          <w:tcPr>
            <w:tcW w:w="652" w:type="pct"/>
            <w:tcBorders>
              <w:top w:val="nil"/>
              <w:bottom w:val="single" w:sz="4" w:space="0" w:color="auto"/>
            </w:tcBorders>
            <w:noWrap/>
          </w:tcPr>
          <w:p w14:paraId="4BE5222E" w14:textId="77777777" w:rsidR="000B266B" w:rsidRPr="00D120E3" w:rsidRDefault="000B266B" w:rsidP="0041700E">
            <w:pPr>
              <w:pStyle w:val="TableText"/>
              <w:jc w:val="right"/>
              <w:rPr>
                <w:highlight w:val="darkGray"/>
              </w:rPr>
            </w:pPr>
            <w:r w:rsidRPr="00AB52EE">
              <w:rPr>
                <w:color w:val="000000"/>
                <w:shd w:val="solid" w:color="000000" w:fill="000000"/>
                <w14:textFill>
                  <w14:solidFill>
                    <w14:srgbClr w14:val="000000">
                      <w14:alpha w14:val="100000"/>
                    </w14:srgbClr>
                  </w14:solidFill>
                </w14:textFill>
              </w:rPr>
              <w:t>|</w:t>
            </w:r>
            <w:r w:rsidRPr="004739C9">
              <w:rPr>
                <w:vertAlign w:val="superscript"/>
              </w:rPr>
              <w:t>2</w:t>
            </w:r>
          </w:p>
        </w:tc>
        <w:tc>
          <w:tcPr>
            <w:tcW w:w="389" w:type="pct"/>
            <w:tcBorders>
              <w:top w:val="nil"/>
              <w:bottom w:val="single" w:sz="4" w:space="0" w:color="auto"/>
            </w:tcBorders>
            <w:noWrap/>
          </w:tcPr>
          <w:p w14:paraId="305D27FD" w14:textId="77777777" w:rsidR="000B266B" w:rsidRPr="00A16C9B" w:rsidRDefault="000B266B" w:rsidP="0041700E">
            <w:pPr>
              <w:pStyle w:val="TableText"/>
              <w:jc w:val="right"/>
            </w:pPr>
            <w:r w:rsidRPr="000B266B">
              <w:rPr>
                <w:color w:val="000000"/>
                <w:spacing w:val="84"/>
                <w:shd w:val="solid" w:color="000000" w:fill="000000"/>
                <w:fitText w:val="170" w:id="-649843960"/>
                <w14:textFill>
                  <w14:solidFill>
                    <w14:srgbClr w14:val="000000">
                      <w14:alpha w14:val="100000"/>
                    </w14:srgbClr>
                  </w14:solidFill>
                </w14:textFill>
              </w:rPr>
              <w:t>|</w:t>
            </w:r>
            <w:r w:rsidRPr="000B266B">
              <w:rPr>
                <w:color w:val="000000"/>
                <w:spacing w:val="1"/>
                <w:shd w:val="solid" w:color="000000" w:fill="000000"/>
                <w:fitText w:val="170" w:id="-649843960"/>
                <w14:textFill>
                  <w14:solidFill>
                    <w14:srgbClr w14:val="000000">
                      <w14:alpha w14:val="100000"/>
                    </w14:srgbClr>
                  </w14:solidFill>
                </w14:textFill>
              </w:rPr>
              <w:t>|</w:t>
            </w:r>
            <w:r w:rsidRPr="00A16C9B">
              <w:t>%</w:t>
            </w:r>
          </w:p>
        </w:tc>
      </w:tr>
      <w:tr w:rsidR="000B266B" w:rsidRPr="00A16C9B" w14:paraId="4A524174" w14:textId="77777777" w:rsidTr="00B678E8">
        <w:trPr>
          <w:trHeight w:val="20"/>
        </w:trPr>
        <w:tc>
          <w:tcPr>
            <w:tcW w:w="2827" w:type="pct"/>
            <w:tcBorders>
              <w:bottom w:val="single" w:sz="4" w:space="0" w:color="auto"/>
              <w:right w:val="nil"/>
            </w:tcBorders>
            <w:noWrap/>
            <w:vAlign w:val="bottom"/>
          </w:tcPr>
          <w:p w14:paraId="58E9220E" w14:textId="77777777" w:rsidR="000B266B" w:rsidRPr="00A16C9B" w:rsidRDefault="000B266B" w:rsidP="0041700E">
            <w:pPr>
              <w:pStyle w:val="TableText"/>
            </w:pPr>
            <w:r w:rsidRPr="00A16C9B">
              <w:t>Utility increment in responders (base case: 0.033)</w:t>
            </w:r>
          </w:p>
        </w:tc>
        <w:tc>
          <w:tcPr>
            <w:tcW w:w="551" w:type="pct"/>
            <w:tcBorders>
              <w:left w:val="nil"/>
              <w:bottom w:val="single" w:sz="4" w:space="0" w:color="auto"/>
              <w:right w:val="nil"/>
            </w:tcBorders>
            <w:noWrap/>
            <w:vAlign w:val="bottom"/>
          </w:tcPr>
          <w:p w14:paraId="02CC6821" w14:textId="77777777" w:rsidR="000B266B" w:rsidRPr="00A16C9B" w:rsidRDefault="000B266B" w:rsidP="0041700E">
            <w:pPr>
              <w:pStyle w:val="TableText"/>
              <w:jc w:val="right"/>
            </w:pPr>
          </w:p>
        </w:tc>
        <w:tc>
          <w:tcPr>
            <w:tcW w:w="581" w:type="pct"/>
            <w:tcBorders>
              <w:left w:val="nil"/>
              <w:bottom w:val="single" w:sz="4" w:space="0" w:color="auto"/>
              <w:right w:val="nil"/>
            </w:tcBorders>
            <w:noWrap/>
            <w:vAlign w:val="bottom"/>
          </w:tcPr>
          <w:p w14:paraId="76C36E49" w14:textId="77777777" w:rsidR="000B266B" w:rsidRPr="00A16C9B" w:rsidRDefault="000B266B" w:rsidP="0041700E">
            <w:pPr>
              <w:pStyle w:val="TableText"/>
              <w:jc w:val="right"/>
            </w:pPr>
          </w:p>
        </w:tc>
        <w:tc>
          <w:tcPr>
            <w:tcW w:w="652" w:type="pct"/>
            <w:tcBorders>
              <w:left w:val="nil"/>
              <w:bottom w:val="single" w:sz="4" w:space="0" w:color="auto"/>
              <w:right w:val="nil"/>
            </w:tcBorders>
            <w:noWrap/>
            <w:vAlign w:val="bottom"/>
          </w:tcPr>
          <w:p w14:paraId="426ADE7B" w14:textId="77777777" w:rsidR="000B266B" w:rsidRPr="00A16C9B" w:rsidRDefault="000B266B" w:rsidP="0041700E">
            <w:pPr>
              <w:pStyle w:val="TableText"/>
              <w:jc w:val="right"/>
            </w:pPr>
          </w:p>
        </w:tc>
        <w:tc>
          <w:tcPr>
            <w:tcW w:w="389" w:type="pct"/>
            <w:tcBorders>
              <w:left w:val="nil"/>
              <w:bottom w:val="single" w:sz="4" w:space="0" w:color="auto"/>
            </w:tcBorders>
            <w:noWrap/>
            <w:vAlign w:val="bottom"/>
          </w:tcPr>
          <w:p w14:paraId="18E5FE1C" w14:textId="77777777" w:rsidR="000B266B" w:rsidRPr="00A16C9B" w:rsidRDefault="000B266B" w:rsidP="0041700E">
            <w:pPr>
              <w:pStyle w:val="TableText"/>
              <w:jc w:val="right"/>
            </w:pPr>
          </w:p>
        </w:tc>
      </w:tr>
      <w:tr w:rsidR="000B266B" w:rsidRPr="00A16C9B" w14:paraId="0F2A5826" w14:textId="77777777" w:rsidTr="00B678E8">
        <w:trPr>
          <w:trHeight w:val="20"/>
        </w:trPr>
        <w:tc>
          <w:tcPr>
            <w:tcW w:w="2827" w:type="pct"/>
            <w:tcBorders>
              <w:bottom w:val="nil"/>
            </w:tcBorders>
            <w:noWrap/>
            <w:vAlign w:val="bottom"/>
          </w:tcPr>
          <w:p w14:paraId="50A5CB58" w14:textId="77777777" w:rsidR="000B266B" w:rsidRPr="00A16C9B" w:rsidRDefault="000B266B" w:rsidP="0041700E">
            <w:pPr>
              <w:pStyle w:val="TableText"/>
              <w:numPr>
                <w:ilvl w:val="0"/>
                <w:numId w:val="19"/>
              </w:numPr>
              <w:ind w:left="306" w:hanging="142"/>
            </w:pPr>
            <w:r w:rsidRPr="00A16C9B">
              <w:t xml:space="preserve">0 </w:t>
            </w:r>
            <w:r w:rsidRPr="00A16C9B">
              <w:rPr>
                <w:b/>
              </w:rPr>
              <w:t>(#6)</w:t>
            </w:r>
          </w:p>
        </w:tc>
        <w:tc>
          <w:tcPr>
            <w:tcW w:w="551" w:type="pct"/>
            <w:tcBorders>
              <w:bottom w:val="nil"/>
            </w:tcBorders>
            <w:shd w:val="solid" w:color="000000" w:fill="000000"/>
            <w:noWrap/>
          </w:tcPr>
          <w:p w14:paraId="0376BE66" w14:textId="77777777" w:rsidR="000B266B" w:rsidRPr="00A16C9B" w:rsidRDefault="000B266B" w:rsidP="0041700E">
            <w:pPr>
              <w:pStyle w:val="TableText"/>
              <w:jc w:val="right"/>
            </w:pPr>
            <w:r w:rsidRPr="00AB52EE">
              <w:rPr>
                <w:color w:val="000000"/>
                <w14:textFill>
                  <w14:solidFill>
                    <w14:srgbClr w14:val="000000">
                      <w14:alpha w14:val="100000"/>
                    </w14:srgbClr>
                  </w14:solidFill>
                </w14:textFill>
              </w:rPr>
              <w:t>|</w:t>
            </w:r>
          </w:p>
        </w:tc>
        <w:tc>
          <w:tcPr>
            <w:tcW w:w="581" w:type="pct"/>
            <w:tcBorders>
              <w:bottom w:val="nil"/>
            </w:tcBorders>
            <w:noWrap/>
          </w:tcPr>
          <w:p w14:paraId="7D72F0D8" w14:textId="77777777" w:rsidR="000B266B" w:rsidRPr="00A16C9B" w:rsidRDefault="000B266B" w:rsidP="0041700E">
            <w:pPr>
              <w:pStyle w:val="TableText"/>
              <w:jc w:val="right"/>
            </w:pPr>
            <w:r w:rsidRPr="00A16C9B">
              <w:t>2.75</w:t>
            </w:r>
          </w:p>
        </w:tc>
        <w:tc>
          <w:tcPr>
            <w:tcW w:w="652" w:type="pct"/>
            <w:tcBorders>
              <w:bottom w:val="nil"/>
            </w:tcBorders>
            <w:noWrap/>
          </w:tcPr>
          <w:p w14:paraId="3D8E8B99" w14:textId="77777777" w:rsidR="000B266B" w:rsidRPr="00D120E3" w:rsidRDefault="000B266B" w:rsidP="0041700E">
            <w:pPr>
              <w:pStyle w:val="TableText"/>
              <w:jc w:val="right"/>
              <w:rPr>
                <w:highlight w:val="darkGray"/>
              </w:rPr>
            </w:pPr>
            <w:r w:rsidRPr="00AB52EE">
              <w:rPr>
                <w:color w:val="000000"/>
                <w:shd w:val="solid" w:color="000000" w:fill="000000"/>
                <w14:textFill>
                  <w14:solidFill>
                    <w14:srgbClr w14:val="000000">
                      <w14:alpha w14:val="100000"/>
                    </w14:srgbClr>
                  </w14:solidFill>
                </w14:textFill>
              </w:rPr>
              <w:t>|</w:t>
            </w:r>
            <w:r w:rsidRPr="004739C9">
              <w:rPr>
                <w:b/>
                <w:vertAlign w:val="superscript"/>
              </w:rPr>
              <w:t>1</w:t>
            </w:r>
          </w:p>
        </w:tc>
        <w:tc>
          <w:tcPr>
            <w:tcW w:w="389" w:type="pct"/>
            <w:tcBorders>
              <w:bottom w:val="nil"/>
            </w:tcBorders>
            <w:noWrap/>
          </w:tcPr>
          <w:p w14:paraId="208E539C" w14:textId="77777777" w:rsidR="000B266B" w:rsidRPr="00A16C9B" w:rsidRDefault="000B266B" w:rsidP="0041700E">
            <w:pPr>
              <w:pStyle w:val="TableText"/>
              <w:jc w:val="right"/>
            </w:pPr>
            <w:r w:rsidRPr="000B266B">
              <w:rPr>
                <w:color w:val="000000"/>
                <w:spacing w:val="84"/>
                <w:shd w:val="solid" w:color="000000" w:fill="000000"/>
                <w:fitText w:val="170" w:id="-649843959"/>
                <w14:textFill>
                  <w14:solidFill>
                    <w14:srgbClr w14:val="000000">
                      <w14:alpha w14:val="100000"/>
                    </w14:srgbClr>
                  </w14:solidFill>
                </w14:textFill>
              </w:rPr>
              <w:t>|</w:t>
            </w:r>
            <w:r w:rsidRPr="000B266B">
              <w:rPr>
                <w:color w:val="000000"/>
                <w:spacing w:val="1"/>
                <w:shd w:val="solid" w:color="000000" w:fill="000000"/>
                <w:fitText w:val="170" w:id="-649843959"/>
                <w14:textFill>
                  <w14:solidFill>
                    <w14:srgbClr w14:val="000000">
                      <w14:alpha w14:val="100000"/>
                    </w14:srgbClr>
                  </w14:solidFill>
                </w14:textFill>
              </w:rPr>
              <w:t>|</w:t>
            </w:r>
            <w:r w:rsidRPr="00A16C9B">
              <w:t>%</w:t>
            </w:r>
          </w:p>
        </w:tc>
      </w:tr>
      <w:tr w:rsidR="000B266B" w:rsidRPr="00A16C9B" w14:paraId="7F741F65" w14:textId="77777777" w:rsidTr="00B678E8">
        <w:trPr>
          <w:trHeight w:val="20"/>
        </w:trPr>
        <w:tc>
          <w:tcPr>
            <w:tcW w:w="5000" w:type="pct"/>
            <w:gridSpan w:val="5"/>
            <w:tcBorders>
              <w:bottom w:val="single" w:sz="4" w:space="0" w:color="auto"/>
            </w:tcBorders>
            <w:noWrap/>
            <w:vAlign w:val="bottom"/>
          </w:tcPr>
          <w:p w14:paraId="6684606D" w14:textId="77777777" w:rsidR="000B266B" w:rsidRPr="00A16C9B" w:rsidRDefault="000B266B" w:rsidP="0041700E">
            <w:pPr>
              <w:pStyle w:val="TableText"/>
            </w:pPr>
            <w:r w:rsidRPr="37C20EEE">
              <w:t>Bulevirtide drug acquisition cost (no price reduction over time; compliance of 90%)</w:t>
            </w:r>
          </w:p>
        </w:tc>
      </w:tr>
      <w:tr w:rsidR="000B266B" w:rsidRPr="00A16C9B" w14:paraId="1EC84274" w14:textId="77777777" w:rsidTr="00B678E8">
        <w:trPr>
          <w:trHeight w:val="20"/>
        </w:trPr>
        <w:tc>
          <w:tcPr>
            <w:tcW w:w="2827" w:type="pct"/>
            <w:tcBorders>
              <w:top w:val="nil"/>
              <w:bottom w:val="nil"/>
            </w:tcBorders>
            <w:noWrap/>
            <w:vAlign w:val="bottom"/>
          </w:tcPr>
          <w:p w14:paraId="24E551D1" w14:textId="77777777" w:rsidR="000B266B" w:rsidRPr="00A16C9B" w:rsidRDefault="000B266B" w:rsidP="0041700E">
            <w:pPr>
              <w:pStyle w:val="TableText"/>
              <w:keepNext w:val="0"/>
              <w:numPr>
                <w:ilvl w:val="0"/>
                <w:numId w:val="19"/>
              </w:numPr>
              <w:ind w:left="306" w:hanging="142"/>
            </w:pPr>
            <w:r w:rsidRPr="00A16C9B">
              <w:t xml:space="preserve">Price reduction of </w:t>
            </w:r>
            <w:r w:rsidRPr="000B266B">
              <w:rPr>
                <w:color w:val="000000"/>
                <w:spacing w:val="84"/>
                <w:shd w:val="solid" w:color="000000" w:fill="000000"/>
                <w:fitText w:val="170" w:id="-649843958"/>
                <w14:textFill>
                  <w14:solidFill>
                    <w14:srgbClr w14:val="000000">
                      <w14:alpha w14:val="100000"/>
                    </w14:srgbClr>
                  </w14:solidFill>
                </w14:textFill>
              </w:rPr>
              <w:t>|</w:t>
            </w:r>
            <w:r w:rsidRPr="000B266B">
              <w:rPr>
                <w:color w:val="000000"/>
                <w:spacing w:val="1"/>
                <w:shd w:val="solid" w:color="000000" w:fill="000000"/>
                <w:fitText w:val="170" w:id="-649843958"/>
                <w14:textFill>
                  <w14:solidFill>
                    <w14:srgbClr w14:val="000000">
                      <w14:alpha w14:val="100000"/>
                    </w14:srgbClr>
                  </w14:solidFill>
                </w14:textFill>
              </w:rPr>
              <w:t>|</w:t>
            </w:r>
            <w:r w:rsidRPr="00A16C9B">
              <w:t xml:space="preserve">% beyond 10 years </w:t>
            </w:r>
          </w:p>
        </w:tc>
        <w:tc>
          <w:tcPr>
            <w:tcW w:w="551" w:type="pct"/>
            <w:tcBorders>
              <w:top w:val="nil"/>
              <w:bottom w:val="nil"/>
            </w:tcBorders>
            <w:shd w:val="solid" w:color="000000" w:fill="000000"/>
            <w:noWrap/>
          </w:tcPr>
          <w:p w14:paraId="0C80769A" w14:textId="77777777" w:rsidR="000B266B" w:rsidRPr="00D120E3" w:rsidRDefault="000B266B" w:rsidP="0041700E">
            <w:pPr>
              <w:pStyle w:val="TableText"/>
              <w:jc w:val="right"/>
              <w:rPr>
                <w:highlight w:val="darkGray"/>
              </w:rPr>
            </w:pPr>
            <w:r w:rsidRPr="00AB52EE">
              <w:rPr>
                <w:color w:val="000000"/>
                <w14:textFill>
                  <w14:solidFill>
                    <w14:srgbClr w14:val="000000">
                      <w14:alpha w14:val="100000"/>
                    </w14:srgbClr>
                  </w14:solidFill>
                </w14:textFill>
              </w:rPr>
              <w:t>|</w:t>
            </w:r>
          </w:p>
        </w:tc>
        <w:tc>
          <w:tcPr>
            <w:tcW w:w="581" w:type="pct"/>
            <w:tcBorders>
              <w:top w:val="nil"/>
              <w:bottom w:val="nil"/>
            </w:tcBorders>
            <w:noWrap/>
          </w:tcPr>
          <w:p w14:paraId="3752A3D9" w14:textId="77777777" w:rsidR="000B266B" w:rsidRPr="00A16C9B" w:rsidRDefault="000B266B" w:rsidP="0041700E">
            <w:pPr>
              <w:pStyle w:val="TableText"/>
              <w:jc w:val="right"/>
            </w:pPr>
            <w:r w:rsidRPr="00A16C9B">
              <w:t>2.95</w:t>
            </w:r>
          </w:p>
        </w:tc>
        <w:tc>
          <w:tcPr>
            <w:tcW w:w="652" w:type="pct"/>
            <w:tcBorders>
              <w:top w:val="nil"/>
              <w:bottom w:val="nil"/>
            </w:tcBorders>
            <w:noWrap/>
          </w:tcPr>
          <w:p w14:paraId="7864949E" w14:textId="77777777" w:rsidR="000B266B" w:rsidRPr="00D120E3" w:rsidRDefault="000B266B" w:rsidP="0041700E">
            <w:pPr>
              <w:pStyle w:val="TableText"/>
              <w:jc w:val="right"/>
              <w:rPr>
                <w:highlight w:val="darkGray"/>
              </w:rPr>
            </w:pPr>
            <w:r w:rsidRPr="00AB52EE">
              <w:rPr>
                <w:color w:val="000000"/>
                <w:shd w:val="solid" w:color="000000" w:fill="000000"/>
                <w14:textFill>
                  <w14:solidFill>
                    <w14:srgbClr w14:val="000000">
                      <w14:alpha w14:val="100000"/>
                    </w14:srgbClr>
                  </w14:solidFill>
                </w14:textFill>
              </w:rPr>
              <w:t>|</w:t>
            </w:r>
            <w:r w:rsidRPr="004739C9">
              <w:rPr>
                <w:rFonts w:cs="Calibri"/>
                <w:vertAlign w:val="superscript"/>
              </w:rPr>
              <w:t>5</w:t>
            </w:r>
          </w:p>
        </w:tc>
        <w:tc>
          <w:tcPr>
            <w:tcW w:w="389" w:type="pct"/>
            <w:tcBorders>
              <w:top w:val="nil"/>
              <w:bottom w:val="nil"/>
            </w:tcBorders>
            <w:noWrap/>
          </w:tcPr>
          <w:p w14:paraId="45A67AF7" w14:textId="77777777" w:rsidR="000B266B" w:rsidRPr="00A16C9B" w:rsidRDefault="000B266B" w:rsidP="0041700E">
            <w:pPr>
              <w:pStyle w:val="TableText"/>
              <w:jc w:val="right"/>
            </w:pPr>
            <w:r w:rsidRPr="00A16C9B">
              <w:t>-</w:t>
            </w:r>
            <w:r w:rsidRPr="000B266B">
              <w:rPr>
                <w:color w:val="000000"/>
                <w:spacing w:val="84"/>
                <w:shd w:val="solid" w:color="000000" w:fill="000000"/>
                <w:fitText w:val="170" w:id="-649843957"/>
                <w14:textFill>
                  <w14:solidFill>
                    <w14:srgbClr w14:val="000000">
                      <w14:alpha w14:val="100000"/>
                    </w14:srgbClr>
                  </w14:solidFill>
                </w14:textFill>
              </w:rPr>
              <w:t>|</w:t>
            </w:r>
            <w:r w:rsidRPr="000B266B">
              <w:rPr>
                <w:color w:val="000000"/>
                <w:spacing w:val="1"/>
                <w:shd w:val="solid" w:color="000000" w:fill="000000"/>
                <w:fitText w:val="170" w:id="-649843957"/>
                <w14:textFill>
                  <w14:solidFill>
                    <w14:srgbClr w14:val="000000">
                      <w14:alpha w14:val="100000"/>
                    </w14:srgbClr>
                  </w14:solidFill>
                </w14:textFill>
              </w:rPr>
              <w:t>|</w:t>
            </w:r>
            <w:r w:rsidRPr="00A16C9B">
              <w:t>%</w:t>
            </w:r>
          </w:p>
        </w:tc>
      </w:tr>
      <w:tr w:rsidR="000B266B" w:rsidRPr="00A16C9B" w14:paraId="0B4D746E" w14:textId="77777777" w:rsidTr="00B678E8">
        <w:trPr>
          <w:trHeight w:val="20"/>
        </w:trPr>
        <w:tc>
          <w:tcPr>
            <w:tcW w:w="2827" w:type="pct"/>
            <w:tcBorders>
              <w:top w:val="nil"/>
              <w:bottom w:val="single" w:sz="4" w:space="0" w:color="auto"/>
            </w:tcBorders>
            <w:noWrap/>
            <w:vAlign w:val="bottom"/>
          </w:tcPr>
          <w:p w14:paraId="03AA2520" w14:textId="77777777" w:rsidR="000B266B" w:rsidRPr="00A16C9B" w:rsidRDefault="000B266B" w:rsidP="0041700E">
            <w:pPr>
              <w:pStyle w:val="TableText"/>
              <w:keepNext w:val="0"/>
              <w:numPr>
                <w:ilvl w:val="0"/>
                <w:numId w:val="19"/>
              </w:numPr>
              <w:ind w:left="306" w:hanging="142"/>
            </w:pPr>
            <w:r w:rsidRPr="00A16C9B">
              <w:t>Compliance, 96.75% (MYR301 data at Week 144)</w:t>
            </w:r>
            <w:r w:rsidRPr="00A16C9B">
              <w:rPr>
                <w:b/>
              </w:rPr>
              <w:t xml:space="preserve"> (#7)</w:t>
            </w:r>
          </w:p>
        </w:tc>
        <w:tc>
          <w:tcPr>
            <w:tcW w:w="551" w:type="pct"/>
            <w:tcBorders>
              <w:top w:val="nil"/>
              <w:bottom w:val="single" w:sz="4" w:space="0" w:color="auto"/>
            </w:tcBorders>
            <w:shd w:val="solid" w:color="000000" w:fill="000000"/>
            <w:noWrap/>
          </w:tcPr>
          <w:p w14:paraId="315EECF4" w14:textId="77777777" w:rsidR="000B266B" w:rsidRPr="00D120E3" w:rsidRDefault="000B266B" w:rsidP="0041700E">
            <w:pPr>
              <w:pStyle w:val="TableText"/>
              <w:jc w:val="right"/>
              <w:rPr>
                <w:highlight w:val="darkGray"/>
              </w:rPr>
            </w:pPr>
            <w:r w:rsidRPr="00AB52EE">
              <w:rPr>
                <w:color w:val="000000"/>
                <w14:textFill>
                  <w14:solidFill>
                    <w14:srgbClr w14:val="000000">
                      <w14:alpha w14:val="100000"/>
                    </w14:srgbClr>
                  </w14:solidFill>
                </w14:textFill>
              </w:rPr>
              <w:t>|</w:t>
            </w:r>
          </w:p>
        </w:tc>
        <w:tc>
          <w:tcPr>
            <w:tcW w:w="581" w:type="pct"/>
            <w:tcBorders>
              <w:top w:val="nil"/>
              <w:bottom w:val="single" w:sz="4" w:space="0" w:color="auto"/>
            </w:tcBorders>
            <w:noWrap/>
          </w:tcPr>
          <w:p w14:paraId="21B52C8D" w14:textId="77777777" w:rsidR="000B266B" w:rsidRPr="00A16C9B" w:rsidRDefault="000B266B" w:rsidP="0041700E">
            <w:pPr>
              <w:pStyle w:val="TableText"/>
              <w:jc w:val="right"/>
            </w:pPr>
            <w:r w:rsidRPr="00A16C9B">
              <w:t>2.95</w:t>
            </w:r>
          </w:p>
        </w:tc>
        <w:tc>
          <w:tcPr>
            <w:tcW w:w="652" w:type="pct"/>
            <w:tcBorders>
              <w:top w:val="nil"/>
              <w:bottom w:val="single" w:sz="4" w:space="0" w:color="auto"/>
            </w:tcBorders>
            <w:noWrap/>
          </w:tcPr>
          <w:p w14:paraId="3E7AE3E1" w14:textId="77777777" w:rsidR="000B266B" w:rsidRPr="00D120E3" w:rsidRDefault="000B266B" w:rsidP="0041700E">
            <w:pPr>
              <w:pStyle w:val="TableText"/>
              <w:jc w:val="right"/>
              <w:rPr>
                <w:highlight w:val="darkGray"/>
              </w:rPr>
            </w:pPr>
            <w:r w:rsidRPr="00AB52EE">
              <w:rPr>
                <w:color w:val="000000"/>
                <w:shd w:val="solid" w:color="000000" w:fill="000000"/>
                <w14:textFill>
                  <w14:solidFill>
                    <w14:srgbClr w14:val="000000">
                      <w14:alpha w14:val="100000"/>
                    </w14:srgbClr>
                  </w14:solidFill>
                </w14:textFill>
              </w:rPr>
              <w:t>|</w:t>
            </w:r>
            <w:r w:rsidRPr="004739C9">
              <w:rPr>
                <w:b/>
                <w:vertAlign w:val="superscript"/>
              </w:rPr>
              <w:t>1</w:t>
            </w:r>
          </w:p>
        </w:tc>
        <w:tc>
          <w:tcPr>
            <w:tcW w:w="389" w:type="pct"/>
            <w:tcBorders>
              <w:top w:val="nil"/>
              <w:bottom w:val="single" w:sz="4" w:space="0" w:color="auto"/>
            </w:tcBorders>
            <w:noWrap/>
          </w:tcPr>
          <w:p w14:paraId="0B851398" w14:textId="77777777" w:rsidR="000B266B" w:rsidRPr="00A16C9B" w:rsidRDefault="000B266B" w:rsidP="0041700E">
            <w:pPr>
              <w:pStyle w:val="TableText"/>
              <w:jc w:val="right"/>
            </w:pPr>
            <w:r w:rsidRPr="000B266B">
              <w:rPr>
                <w:color w:val="000000"/>
                <w:spacing w:val="84"/>
                <w:shd w:val="solid" w:color="000000" w:fill="000000"/>
                <w:fitText w:val="170" w:id="-649843956"/>
                <w14:textFill>
                  <w14:solidFill>
                    <w14:srgbClr w14:val="000000">
                      <w14:alpha w14:val="100000"/>
                    </w14:srgbClr>
                  </w14:solidFill>
                </w14:textFill>
              </w:rPr>
              <w:t>|</w:t>
            </w:r>
            <w:r w:rsidRPr="000B266B">
              <w:rPr>
                <w:color w:val="000000"/>
                <w:spacing w:val="1"/>
                <w:shd w:val="solid" w:color="000000" w:fill="000000"/>
                <w:fitText w:val="170" w:id="-649843956"/>
                <w14:textFill>
                  <w14:solidFill>
                    <w14:srgbClr w14:val="000000">
                      <w14:alpha w14:val="100000"/>
                    </w14:srgbClr>
                  </w14:solidFill>
                </w14:textFill>
              </w:rPr>
              <w:t>|</w:t>
            </w:r>
            <w:r w:rsidRPr="00A16C9B">
              <w:t>%</w:t>
            </w:r>
          </w:p>
        </w:tc>
      </w:tr>
      <w:tr w:rsidR="000B266B" w:rsidRPr="00A16C9B" w14:paraId="717FD93D" w14:textId="77777777" w:rsidTr="00B678E8">
        <w:trPr>
          <w:trHeight w:val="20"/>
        </w:trPr>
        <w:tc>
          <w:tcPr>
            <w:tcW w:w="2827" w:type="pct"/>
            <w:noWrap/>
          </w:tcPr>
          <w:p w14:paraId="35785B01" w14:textId="77777777" w:rsidR="000B266B" w:rsidRPr="00A16C9B" w:rsidRDefault="000B266B" w:rsidP="0041700E">
            <w:pPr>
              <w:pStyle w:val="TableText"/>
              <w:rPr>
                <w:b/>
                <w:bCs w:val="0"/>
              </w:rPr>
            </w:pPr>
            <w:r w:rsidRPr="00A16C9B">
              <w:rPr>
                <w:b/>
              </w:rPr>
              <w:t>Multivariate analyses</w:t>
            </w:r>
          </w:p>
        </w:tc>
        <w:tc>
          <w:tcPr>
            <w:tcW w:w="551" w:type="pct"/>
            <w:tcBorders>
              <w:bottom w:val="single" w:sz="4" w:space="0" w:color="auto"/>
            </w:tcBorders>
            <w:noWrap/>
          </w:tcPr>
          <w:p w14:paraId="6548144C" w14:textId="77777777" w:rsidR="000B266B" w:rsidRPr="00A16C9B" w:rsidRDefault="000B266B" w:rsidP="0041700E">
            <w:pPr>
              <w:pStyle w:val="TableText"/>
              <w:jc w:val="right"/>
              <w:rPr>
                <w:b/>
                <w:bCs w:val="0"/>
              </w:rPr>
            </w:pPr>
          </w:p>
        </w:tc>
        <w:tc>
          <w:tcPr>
            <w:tcW w:w="581" w:type="pct"/>
            <w:noWrap/>
          </w:tcPr>
          <w:p w14:paraId="193F86C5" w14:textId="77777777" w:rsidR="000B266B" w:rsidRPr="00A16C9B" w:rsidRDefault="000B266B" w:rsidP="0041700E">
            <w:pPr>
              <w:pStyle w:val="TableText"/>
              <w:jc w:val="right"/>
              <w:rPr>
                <w:b/>
                <w:bCs w:val="0"/>
              </w:rPr>
            </w:pPr>
          </w:p>
        </w:tc>
        <w:tc>
          <w:tcPr>
            <w:tcW w:w="652" w:type="pct"/>
            <w:noWrap/>
          </w:tcPr>
          <w:p w14:paraId="35220145" w14:textId="77777777" w:rsidR="000B266B" w:rsidRPr="00A16C9B" w:rsidRDefault="000B266B" w:rsidP="0041700E">
            <w:pPr>
              <w:pStyle w:val="TableText"/>
              <w:jc w:val="right"/>
              <w:rPr>
                <w:b/>
                <w:bCs w:val="0"/>
              </w:rPr>
            </w:pPr>
          </w:p>
        </w:tc>
        <w:tc>
          <w:tcPr>
            <w:tcW w:w="389" w:type="pct"/>
            <w:noWrap/>
          </w:tcPr>
          <w:p w14:paraId="74977567" w14:textId="77777777" w:rsidR="000B266B" w:rsidRPr="00A16C9B" w:rsidRDefault="000B266B" w:rsidP="0041700E">
            <w:pPr>
              <w:pStyle w:val="TableText"/>
              <w:jc w:val="right"/>
              <w:rPr>
                <w:b/>
                <w:bCs w:val="0"/>
              </w:rPr>
            </w:pPr>
          </w:p>
        </w:tc>
      </w:tr>
      <w:tr w:rsidR="000B266B" w:rsidRPr="00A16C9B" w14:paraId="392AA1DC" w14:textId="77777777" w:rsidTr="00B678E8">
        <w:trPr>
          <w:trHeight w:val="20"/>
        </w:trPr>
        <w:tc>
          <w:tcPr>
            <w:tcW w:w="2827" w:type="pct"/>
            <w:noWrap/>
          </w:tcPr>
          <w:p w14:paraId="50BDFDDC" w14:textId="77777777" w:rsidR="000B266B" w:rsidRPr="00A16C9B" w:rsidRDefault="000B266B" w:rsidP="0041700E">
            <w:pPr>
              <w:pStyle w:val="TableText"/>
            </w:pPr>
            <w:r w:rsidRPr="00A16C9B">
              <w:t>#1 AND #2</w:t>
            </w:r>
          </w:p>
        </w:tc>
        <w:tc>
          <w:tcPr>
            <w:tcW w:w="551" w:type="pct"/>
            <w:tcBorders>
              <w:bottom w:val="single" w:sz="4" w:space="0" w:color="auto"/>
            </w:tcBorders>
            <w:shd w:val="solid" w:color="000000" w:fill="000000"/>
            <w:noWrap/>
          </w:tcPr>
          <w:p w14:paraId="23C0AEC6" w14:textId="77777777" w:rsidR="000B266B" w:rsidRPr="00D120E3" w:rsidRDefault="000B266B" w:rsidP="0041700E">
            <w:pPr>
              <w:pStyle w:val="TableText"/>
              <w:jc w:val="right"/>
              <w:rPr>
                <w:highlight w:val="darkGray"/>
              </w:rPr>
            </w:pPr>
            <w:r w:rsidRPr="00AB52EE">
              <w:rPr>
                <w:color w:val="000000"/>
                <w14:textFill>
                  <w14:solidFill>
                    <w14:srgbClr w14:val="000000">
                      <w14:alpha w14:val="100000"/>
                    </w14:srgbClr>
                  </w14:solidFill>
                </w14:textFill>
              </w:rPr>
              <w:t>|</w:t>
            </w:r>
          </w:p>
        </w:tc>
        <w:tc>
          <w:tcPr>
            <w:tcW w:w="581" w:type="pct"/>
            <w:noWrap/>
          </w:tcPr>
          <w:p w14:paraId="31FDB134" w14:textId="77777777" w:rsidR="000B266B" w:rsidRPr="00A16C9B" w:rsidRDefault="000B266B" w:rsidP="0041700E">
            <w:pPr>
              <w:pStyle w:val="TableText"/>
              <w:jc w:val="right"/>
            </w:pPr>
            <w:r w:rsidRPr="00A16C9B">
              <w:t>0.95</w:t>
            </w:r>
          </w:p>
        </w:tc>
        <w:tc>
          <w:tcPr>
            <w:tcW w:w="652" w:type="pct"/>
            <w:noWrap/>
          </w:tcPr>
          <w:p w14:paraId="6C83F879" w14:textId="77777777" w:rsidR="000B266B" w:rsidRPr="00D120E3" w:rsidRDefault="000B266B" w:rsidP="0041700E">
            <w:pPr>
              <w:pStyle w:val="TableText"/>
              <w:jc w:val="right"/>
              <w:rPr>
                <w:highlight w:val="darkGray"/>
              </w:rPr>
            </w:pPr>
            <w:r w:rsidRPr="00AB52EE">
              <w:rPr>
                <w:color w:val="000000"/>
                <w:shd w:val="solid" w:color="000000" w:fill="000000"/>
                <w14:textFill>
                  <w14:solidFill>
                    <w14:srgbClr w14:val="000000">
                      <w14:alpha w14:val="100000"/>
                    </w14:srgbClr>
                  </w14:solidFill>
                </w14:textFill>
              </w:rPr>
              <w:t>|</w:t>
            </w:r>
            <w:r w:rsidRPr="004739C9">
              <w:rPr>
                <w:vertAlign w:val="superscript"/>
              </w:rPr>
              <w:t>3</w:t>
            </w:r>
          </w:p>
        </w:tc>
        <w:tc>
          <w:tcPr>
            <w:tcW w:w="389" w:type="pct"/>
            <w:noWrap/>
          </w:tcPr>
          <w:p w14:paraId="1DE018F8" w14:textId="77777777" w:rsidR="000B266B" w:rsidRPr="00A16C9B" w:rsidRDefault="000B266B" w:rsidP="0041700E">
            <w:pPr>
              <w:pStyle w:val="TableText"/>
              <w:jc w:val="right"/>
            </w:pPr>
            <w:r w:rsidRPr="000B266B">
              <w:rPr>
                <w:color w:val="000000"/>
                <w:spacing w:val="84"/>
                <w:shd w:val="solid" w:color="000000" w:fill="000000"/>
                <w:fitText w:val="170" w:id="-649843955"/>
                <w14:textFill>
                  <w14:solidFill>
                    <w14:srgbClr w14:val="000000">
                      <w14:alpha w14:val="100000"/>
                    </w14:srgbClr>
                  </w14:solidFill>
                </w14:textFill>
              </w:rPr>
              <w:t>|</w:t>
            </w:r>
            <w:r w:rsidRPr="000B266B">
              <w:rPr>
                <w:color w:val="000000"/>
                <w:spacing w:val="1"/>
                <w:shd w:val="solid" w:color="000000" w:fill="000000"/>
                <w:fitText w:val="170" w:id="-649843955"/>
                <w14:textFill>
                  <w14:solidFill>
                    <w14:srgbClr w14:val="000000">
                      <w14:alpha w14:val="100000"/>
                    </w14:srgbClr>
                  </w14:solidFill>
                </w14:textFill>
              </w:rPr>
              <w:t>|</w:t>
            </w:r>
            <w:r w:rsidRPr="00A16C9B">
              <w:t>%</w:t>
            </w:r>
          </w:p>
        </w:tc>
      </w:tr>
      <w:tr w:rsidR="000B266B" w:rsidRPr="00A16C9B" w14:paraId="40AA3CB5" w14:textId="77777777" w:rsidTr="00B678E8">
        <w:trPr>
          <w:trHeight w:val="20"/>
        </w:trPr>
        <w:tc>
          <w:tcPr>
            <w:tcW w:w="2827" w:type="pct"/>
            <w:noWrap/>
          </w:tcPr>
          <w:p w14:paraId="33903E81" w14:textId="77777777" w:rsidR="000B266B" w:rsidRPr="00A16C9B" w:rsidRDefault="000B266B" w:rsidP="0041700E">
            <w:pPr>
              <w:pStyle w:val="TableText"/>
            </w:pPr>
            <w:r w:rsidRPr="00A16C9B">
              <w:t>#1, #2 AND #3</w:t>
            </w:r>
          </w:p>
        </w:tc>
        <w:tc>
          <w:tcPr>
            <w:tcW w:w="551" w:type="pct"/>
            <w:tcBorders>
              <w:bottom w:val="single" w:sz="4" w:space="0" w:color="auto"/>
            </w:tcBorders>
            <w:shd w:val="solid" w:color="000000" w:fill="000000"/>
            <w:noWrap/>
          </w:tcPr>
          <w:p w14:paraId="3FBA9C93" w14:textId="77777777" w:rsidR="000B266B" w:rsidRPr="00D120E3" w:rsidRDefault="000B266B" w:rsidP="0041700E">
            <w:pPr>
              <w:pStyle w:val="TableText"/>
              <w:jc w:val="right"/>
              <w:rPr>
                <w:highlight w:val="darkGray"/>
              </w:rPr>
            </w:pPr>
            <w:r w:rsidRPr="00AB52EE">
              <w:rPr>
                <w:color w:val="000000"/>
                <w14:textFill>
                  <w14:solidFill>
                    <w14:srgbClr w14:val="000000">
                      <w14:alpha w14:val="100000"/>
                    </w14:srgbClr>
                  </w14:solidFill>
                </w14:textFill>
              </w:rPr>
              <w:t>|</w:t>
            </w:r>
          </w:p>
        </w:tc>
        <w:tc>
          <w:tcPr>
            <w:tcW w:w="581" w:type="pct"/>
            <w:noWrap/>
          </w:tcPr>
          <w:p w14:paraId="751598B4" w14:textId="77777777" w:rsidR="000B266B" w:rsidRPr="00A16C9B" w:rsidRDefault="000B266B" w:rsidP="0041700E">
            <w:pPr>
              <w:pStyle w:val="TableText"/>
              <w:jc w:val="right"/>
            </w:pPr>
            <w:r w:rsidRPr="00A16C9B">
              <w:t>0.62</w:t>
            </w:r>
          </w:p>
        </w:tc>
        <w:tc>
          <w:tcPr>
            <w:tcW w:w="652" w:type="pct"/>
            <w:noWrap/>
          </w:tcPr>
          <w:p w14:paraId="58902168" w14:textId="77777777" w:rsidR="000B266B" w:rsidRPr="00D120E3" w:rsidRDefault="000B266B" w:rsidP="0041700E">
            <w:pPr>
              <w:pStyle w:val="TableText"/>
              <w:jc w:val="right"/>
              <w:rPr>
                <w:highlight w:val="darkGray"/>
              </w:rPr>
            </w:pPr>
            <w:r w:rsidRPr="00AB52EE">
              <w:rPr>
                <w:color w:val="000000"/>
                <w:shd w:val="solid" w:color="000000" w:fill="000000"/>
                <w14:textFill>
                  <w14:solidFill>
                    <w14:srgbClr w14:val="000000">
                      <w14:alpha w14:val="100000"/>
                    </w14:srgbClr>
                  </w14:solidFill>
                </w14:textFill>
              </w:rPr>
              <w:t>|</w:t>
            </w:r>
            <w:r w:rsidRPr="004739C9">
              <w:rPr>
                <w:vertAlign w:val="superscript"/>
              </w:rPr>
              <w:t>3</w:t>
            </w:r>
          </w:p>
        </w:tc>
        <w:tc>
          <w:tcPr>
            <w:tcW w:w="389" w:type="pct"/>
            <w:noWrap/>
          </w:tcPr>
          <w:p w14:paraId="2C5E81E7" w14:textId="77777777" w:rsidR="000B266B" w:rsidRPr="00A16C9B" w:rsidRDefault="000B266B" w:rsidP="0041700E">
            <w:pPr>
              <w:pStyle w:val="TableText"/>
              <w:jc w:val="right"/>
            </w:pPr>
            <w:r w:rsidRPr="000B266B">
              <w:rPr>
                <w:color w:val="000000"/>
                <w:spacing w:val="84"/>
                <w:shd w:val="solid" w:color="000000" w:fill="000000"/>
                <w:fitText w:val="170" w:id="-649843954"/>
                <w14:textFill>
                  <w14:solidFill>
                    <w14:srgbClr w14:val="000000">
                      <w14:alpha w14:val="100000"/>
                    </w14:srgbClr>
                  </w14:solidFill>
                </w14:textFill>
              </w:rPr>
              <w:t>|</w:t>
            </w:r>
            <w:r w:rsidRPr="000B266B">
              <w:rPr>
                <w:color w:val="000000"/>
                <w:spacing w:val="1"/>
                <w:shd w:val="solid" w:color="000000" w:fill="000000"/>
                <w:fitText w:val="170" w:id="-649843954"/>
                <w14:textFill>
                  <w14:solidFill>
                    <w14:srgbClr w14:val="000000">
                      <w14:alpha w14:val="100000"/>
                    </w14:srgbClr>
                  </w14:solidFill>
                </w14:textFill>
              </w:rPr>
              <w:t>|</w:t>
            </w:r>
            <w:r w:rsidRPr="00A16C9B">
              <w:t>%</w:t>
            </w:r>
          </w:p>
        </w:tc>
      </w:tr>
      <w:tr w:rsidR="000B266B" w:rsidRPr="00A16C9B" w14:paraId="2D1DBD5A" w14:textId="77777777" w:rsidTr="00B678E8">
        <w:trPr>
          <w:trHeight w:val="20"/>
        </w:trPr>
        <w:tc>
          <w:tcPr>
            <w:tcW w:w="2827" w:type="pct"/>
            <w:noWrap/>
          </w:tcPr>
          <w:p w14:paraId="5DE7B1A9" w14:textId="77777777" w:rsidR="000B266B" w:rsidRPr="00A16C9B" w:rsidRDefault="000B266B" w:rsidP="0041700E">
            <w:pPr>
              <w:pStyle w:val="TableText"/>
            </w:pPr>
            <w:r w:rsidRPr="00A16C9B">
              <w:t>#1, #2, #3 AND #4</w:t>
            </w:r>
          </w:p>
        </w:tc>
        <w:tc>
          <w:tcPr>
            <w:tcW w:w="551" w:type="pct"/>
            <w:tcBorders>
              <w:bottom w:val="single" w:sz="4" w:space="0" w:color="auto"/>
            </w:tcBorders>
            <w:shd w:val="solid" w:color="000000" w:fill="000000"/>
            <w:noWrap/>
          </w:tcPr>
          <w:p w14:paraId="1C978C4B" w14:textId="77777777" w:rsidR="000B266B" w:rsidRPr="00D120E3" w:rsidRDefault="000B266B" w:rsidP="0041700E">
            <w:pPr>
              <w:pStyle w:val="TableText"/>
              <w:jc w:val="right"/>
              <w:rPr>
                <w:highlight w:val="darkGray"/>
              </w:rPr>
            </w:pPr>
            <w:r w:rsidRPr="00AB52EE">
              <w:rPr>
                <w:color w:val="000000"/>
                <w14:textFill>
                  <w14:solidFill>
                    <w14:srgbClr w14:val="000000">
                      <w14:alpha w14:val="100000"/>
                    </w14:srgbClr>
                  </w14:solidFill>
                </w14:textFill>
              </w:rPr>
              <w:t>|</w:t>
            </w:r>
          </w:p>
        </w:tc>
        <w:tc>
          <w:tcPr>
            <w:tcW w:w="581" w:type="pct"/>
            <w:noWrap/>
          </w:tcPr>
          <w:p w14:paraId="7CEDE24C" w14:textId="77777777" w:rsidR="000B266B" w:rsidRPr="00A16C9B" w:rsidRDefault="000B266B" w:rsidP="0041700E">
            <w:pPr>
              <w:pStyle w:val="TableText"/>
              <w:jc w:val="right"/>
            </w:pPr>
            <w:r w:rsidRPr="00A16C9B">
              <w:t>0.40</w:t>
            </w:r>
          </w:p>
        </w:tc>
        <w:tc>
          <w:tcPr>
            <w:tcW w:w="652" w:type="pct"/>
            <w:noWrap/>
          </w:tcPr>
          <w:p w14:paraId="4D0F81A2" w14:textId="77777777" w:rsidR="000B266B" w:rsidRPr="00D120E3" w:rsidRDefault="000B266B" w:rsidP="0041700E">
            <w:pPr>
              <w:pStyle w:val="TableText"/>
              <w:jc w:val="right"/>
              <w:rPr>
                <w:highlight w:val="darkGray"/>
              </w:rPr>
            </w:pPr>
            <w:r w:rsidRPr="00AB52EE">
              <w:rPr>
                <w:color w:val="000000"/>
                <w:shd w:val="solid" w:color="000000" w:fill="000000"/>
                <w14:textFill>
                  <w14:solidFill>
                    <w14:srgbClr w14:val="000000">
                      <w14:alpha w14:val="100000"/>
                    </w14:srgbClr>
                  </w14:solidFill>
                </w14:textFill>
              </w:rPr>
              <w:t>|</w:t>
            </w:r>
            <w:r w:rsidRPr="00D120E3">
              <w:rPr>
                <w:vertAlign w:val="superscript"/>
              </w:rPr>
              <w:t>7</w:t>
            </w:r>
          </w:p>
        </w:tc>
        <w:tc>
          <w:tcPr>
            <w:tcW w:w="389" w:type="pct"/>
            <w:noWrap/>
          </w:tcPr>
          <w:p w14:paraId="66ECFFC9" w14:textId="77777777" w:rsidR="000B266B" w:rsidRPr="00A16C9B" w:rsidRDefault="000B266B" w:rsidP="0041700E">
            <w:pPr>
              <w:pStyle w:val="TableText"/>
              <w:jc w:val="right"/>
            </w:pPr>
            <w:r w:rsidRPr="000B266B">
              <w:rPr>
                <w:color w:val="000000"/>
                <w:spacing w:val="84"/>
                <w:shd w:val="solid" w:color="000000" w:fill="000000"/>
                <w:fitText w:val="170" w:id="-649843953"/>
                <w14:textFill>
                  <w14:solidFill>
                    <w14:srgbClr w14:val="000000">
                      <w14:alpha w14:val="100000"/>
                    </w14:srgbClr>
                  </w14:solidFill>
                </w14:textFill>
              </w:rPr>
              <w:t>|</w:t>
            </w:r>
            <w:r w:rsidRPr="000B266B">
              <w:rPr>
                <w:color w:val="000000"/>
                <w:spacing w:val="1"/>
                <w:shd w:val="solid" w:color="000000" w:fill="000000"/>
                <w:fitText w:val="170" w:id="-649843953"/>
                <w14:textFill>
                  <w14:solidFill>
                    <w14:srgbClr w14:val="000000">
                      <w14:alpha w14:val="100000"/>
                    </w14:srgbClr>
                  </w14:solidFill>
                </w14:textFill>
              </w:rPr>
              <w:t>|</w:t>
            </w:r>
            <w:r w:rsidRPr="00A16C9B">
              <w:t>%</w:t>
            </w:r>
          </w:p>
        </w:tc>
      </w:tr>
      <w:tr w:rsidR="000B266B" w:rsidRPr="00A16C9B" w14:paraId="54E185D9" w14:textId="77777777" w:rsidTr="00B678E8">
        <w:trPr>
          <w:trHeight w:val="20"/>
        </w:trPr>
        <w:tc>
          <w:tcPr>
            <w:tcW w:w="2827" w:type="pct"/>
            <w:noWrap/>
          </w:tcPr>
          <w:p w14:paraId="68F5FEC8" w14:textId="77777777" w:rsidR="000B266B" w:rsidRPr="00A16C9B" w:rsidRDefault="000B266B" w:rsidP="0041700E">
            <w:pPr>
              <w:pStyle w:val="TableText"/>
            </w:pPr>
            <w:r w:rsidRPr="00A16C9B">
              <w:t>#1, #2, #3, #4 AND #5</w:t>
            </w:r>
          </w:p>
        </w:tc>
        <w:tc>
          <w:tcPr>
            <w:tcW w:w="551" w:type="pct"/>
            <w:tcBorders>
              <w:bottom w:val="single" w:sz="4" w:space="0" w:color="auto"/>
            </w:tcBorders>
            <w:shd w:val="solid" w:color="000000" w:fill="000000"/>
            <w:noWrap/>
          </w:tcPr>
          <w:p w14:paraId="403C3DBC" w14:textId="77777777" w:rsidR="000B266B" w:rsidRPr="00D120E3" w:rsidRDefault="000B266B" w:rsidP="0041700E">
            <w:pPr>
              <w:pStyle w:val="TableText"/>
              <w:jc w:val="right"/>
              <w:rPr>
                <w:highlight w:val="darkGray"/>
              </w:rPr>
            </w:pPr>
            <w:r w:rsidRPr="00AB52EE">
              <w:rPr>
                <w:color w:val="000000"/>
                <w14:textFill>
                  <w14:solidFill>
                    <w14:srgbClr w14:val="000000">
                      <w14:alpha w14:val="100000"/>
                    </w14:srgbClr>
                  </w14:solidFill>
                </w14:textFill>
              </w:rPr>
              <w:t>|</w:t>
            </w:r>
          </w:p>
        </w:tc>
        <w:tc>
          <w:tcPr>
            <w:tcW w:w="581" w:type="pct"/>
            <w:noWrap/>
          </w:tcPr>
          <w:p w14:paraId="62193188" w14:textId="77777777" w:rsidR="000B266B" w:rsidRPr="00A16C9B" w:rsidRDefault="000B266B" w:rsidP="0041700E">
            <w:pPr>
              <w:pStyle w:val="TableText"/>
              <w:jc w:val="right"/>
              <w:rPr>
                <w:highlight w:val="yellow"/>
              </w:rPr>
            </w:pPr>
            <w:r w:rsidRPr="00A16C9B">
              <w:t>0.32</w:t>
            </w:r>
          </w:p>
        </w:tc>
        <w:tc>
          <w:tcPr>
            <w:tcW w:w="652" w:type="pct"/>
            <w:noWrap/>
          </w:tcPr>
          <w:p w14:paraId="7B8E1F3F" w14:textId="77777777" w:rsidR="000B266B" w:rsidRPr="00D120E3" w:rsidRDefault="000B266B" w:rsidP="0041700E">
            <w:pPr>
              <w:pStyle w:val="TableText"/>
              <w:jc w:val="right"/>
              <w:rPr>
                <w:highlight w:val="darkGray"/>
              </w:rPr>
            </w:pPr>
            <w:r w:rsidRPr="00AB52EE">
              <w:rPr>
                <w:color w:val="000000"/>
                <w:shd w:val="solid" w:color="000000" w:fill="000000"/>
                <w14:textFill>
                  <w14:solidFill>
                    <w14:srgbClr w14:val="000000">
                      <w14:alpha w14:val="100000"/>
                    </w14:srgbClr>
                  </w14:solidFill>
                </w14:textFill>
              </w:rPr>
              <w:t>|</w:t>
            </w:r>
            <w:r w:rsidRPr="00D120E3">
              <w:rPr>
                <w:vertAlign w:val="superscript"/>
              </w:rPr>
              <w:t>8</w:t>
            </w:r>
          </w:p>
        </w:tc>
        <w:tc>
          <w:tcPr>
            <w:tcW w:w="389" w:type="pct"/>
            <w:noWrap/>
          </w:tcPr>
          <w:p w14:paraId="1651A2DC" w14:textId="77777777" w:rsidR="000B266B" w:rsidRPr="00A16C9B" w:rsidRDefault="000B266B" w:rsidP="0041700E">
            <w:pPr>
              <w:pStyle w:val="TableText"/>
              <w:jc w:val="right"/>
              <w:rPr>
                <w:highlight w:val="yellow"/>
              </w:rPr>
            </w:pPr>
            <w:r w:rsidRPr="000B266B">
              <w:rPr>
                <w:color w:val="000000"/>
                <w:spacing w:val="84"/>
                <w:shd w:val="solid" w:color="000000" w:fill="000000"/>
                <w:fitText w:val="170" w:id="-649843952"/>
                <w14:textFill>
                  <w14:solidFill>
                    <w14:srgbClr w14:val="000000">
                      <w14:alpha w14:val="100000"/>
                    </w14:srgbClr>
                  </w14:solidFill>
                </w14:textFill>
              </w:rPr>
              <w:t>|</w:t>
            </w:r>
            <w:r w:rsidRPr="000B266B">
              <w:rPr>
                <w:color w:val="000000"/>
                <w:spacing w:val="1"/>
                <w:shd w:val="solid" w:color="000000" w:fill="000000"/>
                <w:fitText w:val="170" w:id="-649843952"/>
                <w14:textFill>
                  <w14:solidFill>
                    <w14:srgbClr w14:val="000000">
                      <w14:alpha w14:val="100000"/>
                    </w14:srgbClr>
                  </w14:solidFill>
                </w14:textFill>
              </w:rPr>
              <w:t>|</w:t>
            </w:r>
            <w:r w:rsidRPr="00A16C9B">
              <w:t>%</w:t>
            </w:r>
          </w:p>
        </w:tc>
      </w:tr>
      <w:tr w:rsidR="000B266B" w:rsidRPr="00A16C9B" w14:paraId="2E088014" w14:textId="77777777" w:rsidTr="00B678E8">
        <w:trPr>
          <w:trHeight w:val="20"/>
        </w:trPr>
        <w:tc>
          <w:tcPr>
            <w:tcW w:w="2827" w:type="pct"/>
            <w:noWrap/>
          </w:tcPr>
          <w:p w14:paraId="6AD8AAF3" w14:textId="77777777" w:rsidR="000B266B" w:rsidRPr="00A16C9B" w:rsidRDefault="000B266B" w:rsidP="0041700E">
            <w:pPr>
              <w:pStyle w:val="TableText"/>
            </w:pPr>
            <w:r w:rsidRPr="00A16C9B">
              <w:t>#1, #2, #3, #4, #5 AND #6</w:t>
            </w:r>
          </w:p>
        </w:tc>
        <w:tc>
          <w:tcPr>
            <w:tcW w:w="551" w:type="pct"/>
            <w:tcBorders>
              <w:bottom w:val="single" w:sz="4" w:space="0" w:color="auto"/>
            </w:tcBorders>
            <w:shd w:val="solid" w:color="000000" w:fill="000000"/>
            <w:noWrap/>
          </w:tcPr>
          <w:p w14:paraId="1523134F" w14:textId="77777777" w:rsidR="000B266B" w:rsidRPr="00D120E3" w:rsidRDefault="000B266B" w:rsidP="0041700E">
            <w:pPr>
              <w:pStyle w:val="TableText"/>
              <w:jc w:val="right"/>
              <w:rPr>
                <w:highlight w:val="darkGray"/>
              </w:rPr>
            </w:pPr>
            <w:r w:rsidRPr="00AB52EE">
              <w:rPr>
                <w:color w:val="000000"/>
                <w14:textFill>
                  <w14:solidFill>
                    <w14:srgbClr w14:val="000000">
                      <w14:alpha w14:val="100000"/>
                    </w14:srgbClr>
                  </w14:solidFill>
                </w14:textFill>
              </w:rPr>
              <w:t>|</w:t>
            </w:r>
          </w:p>
        </w:tc>
        <w:tc>
          <w:tcPr>
            <w:tcW w:w="581" w:type="pct"/>
            <w:noWrap/>
          </w:tcPr>
          <w:p w14:paraId="7DA867E1" w14:textId="77777777" w:rsidR="000B266B" w:rsidRPr="00A16C9B" w:rsidRDefault="000B266B" w:rsidP="0041700E">
            <w:pPr>
              <w:pStyle w:val="TableText"/>
              <w:jc w:val="right"/>
              <w:rPr>
                <w:highlight w:val="yellow"/>
              </w:rPr>
            </w:pPr>
            <w:r w:rsidRPr="00A16C9B">
              <w:t>0.27</w:t>
            </w:r>
          </w:p>
        </w:tc>
        <w:tc>
          <w:tcPr>
            <w:tcW w:w="652" w:type="pct"/>
            <w:noWrap/>
          </w:tcPr>
          <w:p w14:paraId="40A62D0E" w14:textId="77777777" w:rsidR="000B266B" w:rsidRPr="00D120E3" w:rsidRDefault="000B266B" w:rsidP="0041700E">
            <w:pPr>
              <w:pStyle w:val="TableText"/>
              <w:jc w:val="right"/>
              <w:rPr>
                <w:highlight w:val="darkGray"/>
              </w:rPr>
            </w:pPr>
            <w:r w:rsidRPr="00AB52EE">
              <w:rPr>
                <w:color w:val="000000"/>
                <w:shd w:val="solid" w:color="000000" w:fill="000000"/>
                <w14:textFill>
                  <w14:solidFill>
                    <w14:srgbClr w14:val="000000">
                      <w14:alpha w14:val="100000"/>
                    </w14:srgbClr>
                  </w14:solidFill>
                </w14:textFill>
              </w:rPr>
              <w:t>|</w:t>
            </w:r>
            <w:r w:rsidRPr="004739C9">
              <w:rPr>
                <w:vertAlign w:val="superscript"/>
              </w:rPr>
              <w:t>8</w:t>
            </w:r>
          </w:p>
        </w:tc>
        <w:tc>
          <w:tcPr>
            <w:tcW w:w="389" w:type="pct"/>
            <w:noWrap/>
          </w:tcPr>
          <w:p w14:paraId="421B57EA" w14:textId="77777777" w:rsidR="000B266B" w:rsidRPr="00A16C9B" w:rsidRDefault="000B266B" w:rsidP="0041700E">
            <w:pPr>
              <w:pStyle w:val="TableText"/>
              <w:jc w:val="right"/>
              <w:rPr>
                <w:highlight w:val="yellow"/>
              </w:rPr>
            </w:pPr>
            <w:r w:rsidRPr="000B266B">
              <w:rPr>
                <w:color w:val="000000"/>
                <w:spacing w:val="84"/>
                <w:shd w:val="solid" w:color="000000" w:fill="000000"/>
                <w:fitText w:val="170" w:id="-649843968"/>
                <w14:textFill>
                  <w14:solidFill>
                    <w14:srgbClr w14:val="000000">
                      <w14:alpha w14:val="100000"/>
                    </w14:srgbClr>
                  </w14:solidFill>
                </w14:textFill>
              </w:rPr>
              <w:t>|</w:t>
            </w:r>
            <w:r w:rsidRPr="000B266B">
              <w:rPr>
                <w:color w:val="000000"/>
                <w:spacing w:val="1"/>
                <w:shd w:val="solid" w:color="000000" w:fill="000000"/>
                <w:fitText w:val="170" w:id="-649843968"/>
                <w14:textFill>
                  <w14:solidFill>
                    <w14:srgbClr w14:val="000000">
                      <w14:alpha w14:val="100000"/>
                    </w14:srgbClr>
                  </w14:solidFill>
                </w14:textFill>
              </w:rPr>
              <w:t>|</w:t>
            </w:r>
            <w:r w:rsidRPr="00A16C9B">
              <w:t>%</w:t>
            </w:r>
          </w:p>
        </w:tc>
      </w:tr>
      <w:tr w:rsidR="000B266B" w:rsidRPr="00A16C9B" w14:paraId="07E79E8C" w14:textId="77777777" w:rsidTr="00B678E8">
        <w:trPr>
          <w:trHeight w:val="20"/>
        </w:trPr>
        <w:tc>
          <w:tcPr>
            <w:tcW w:w="2827" w:type="pct"/>
            <w:noWrap/>
          </w:tcPr>
          <w:p w14:paraId="17265177" w14:textId="77777777" w:rsidR="000B266B" w:rsidRPr="00A16C9B" w:rsidRDefault="000B266B" w:rsidP="0041700E">
            <w:pPr>
              <w:pStyle w:val="TableText"/>
              <w:rPr>
                <w:b/>
                <w:bCs w:val="0"/>
              </w:rPr>
            </w:pPr>
            <w:r w:rsidRPr="00A16C9B">
              <w:rPr>
                <w:b/>
              </w:rPr>
              <w:t>#1, #2, #3, #4, #5, #6 AND #7</w:t>
            </w:r>
            <w:r w:rsidRPr="00A16C9B">
              <w:rPr>
                <w:b/>
                <w:vertAlign w:val="superscript"/>
              </w:rPr>
              <w:t>e</w:t>
            </w:r>
          </w:p>
        </w:tc>
        <w:tc>
          <w:tcPr>
            <w:tcW w:w="551" w:type="pct"/>
            <w:tcBorders>
              <w:bottom w:val="single" w:sz="4" w:space="0" w:color="auto"/>
            </w:tcBorders>
            <w:shd w:val="solid" w:color="000000" w:fill="000000"/>
            <w:noWrap/>
          </w:tcPr>
          <w:p w14:paraId="340FFFAC" w14:textId="77777777" w:rsidR="000B266B" w:rsidRPr="00D120E3" w:rsidRDefault="000B266B" w:rsidP="0041700E">
            <w:pPr>
              <w:pStyle w:val="TableText"/>
              <w:jc w:val="right"/>
              <w:rPr>
                <w:b/>
                <w:bCs w:val="0"/>
                <w:highlight w:val="darkGray"/>
              </w:rPr>
            </w:pPr>
            <w:r w:rsidRPr="000B266B">
              <w:rPr>
                <w:rFonts w:hint="eastAsia"/>
                <w:b/>
                <w:color w:val="000000"/>
                <w:w w:val="15"/>
                <w:fitText w:val="60" w:id="-649843967"/>
                <w14:textFill>
                  <w14:solidFill>
                    <w14:srgbClr w14:val="000000">
                      <w14:alpha w14:val="100000"/>
                    </w14:srgbClr>
                  </w14:solidFill>
                </w14:textFill>
              </w:rPr>
              <w:t xml:space="preserve">　</w:t>
            </w:r>
            <w:r w:rsidRPr="000B266B">
              <w:rPr>
                <w:b/>
                <w:color w:val="000000"/>
                <w:w w:val="15"/>
                <w:fitText w:val="60" w:id="-649843967"/>
                <w14:textFill>
                  <w14:solidFill>
                    <w14:srgbClr w14:val="000000">
                      <w14:alpha w14:val="100000"/>
                    </w14:srgbClr>
                  </w14:solidFill>
                </w14:textFill>
              </w:rPr>
              <w:t>|</w:t>
            </w:r>
            <w:r w:rsidRPr="000B266B">
              <w:rPr>
                <w:rFonts w:hint="eastAsia"/>
                <w:b/>
                <w:color w:val="000000"/>
                <w:w w:val="15"/>
                <w:fitText w:val="60" w:id="-649843967"/>
                <w14:textFill>
                  <w14:solidFill>
                    <w14:srgbClr w14:val="000000">
                      <w14:alpha w14:val="100000"/>
                    </w14:srgbClr>
                  </w14:solidFill>
                </w14:textFill>
              </w:rPr>
              <w:t xml:space="preserve">　</w:t>
            </w:r>
          </w:p>
        </w:tc>
        <w:tc>
          <w:tcPr>
            <w:tcW w:w="581" w:type="pct"/>
            <w:noWrap/>
          </w:tcPr>
          <w:p w14:paraId="64D04139" w14:textId="77777777" w:rsidR="000B266B" w:rsidRPr="00A16C9B" w:rsidRDefault="000B266B" w:rsidP="0041700E">
            <w:pPr>
              <w:pStyle w:val="TableText"/>
              <w:jc w:val="right"/>
              <w:rPr>
                <w:b/>
                <w:bCs w:val="0"/>
                <w:highlight w:val="yellow"/>
              </w:rPr>
            </w:pPr>
            <w:r w:rsidRPr="00A16C9B">
              <w:rPr>
                <w:b/>
              </w:rPr>
              <w:t>0.27</w:t>
            </w:r>
          </w:p>
        </w:tc>
        <w:tc>
          <w:tcPr>
            <w:tcW w:w="652" w:type="pct"/>
            <w:noWrap/>
          </w:tcPr>
          <w:p w14:paraId="24631C73" w14:textId="77777777" w:rsidR="000B266B" w:rsidRPr="00D120E3" w:rsidRDefault="000B266B" w:rsidP="0041700E">
            <w:pPr>
              <w:pStyle w:val="TableText"/>
              <w:jc w:val="right"/>
              <w:rPr>
                <w:b/>
                <w:bCs w:val="0"/>
                <w:highlight w:val="darkGray"/>
              </w:rPr>
            </w:pPr>
            <w:r w:rsidRPr="00AB52EE">
              <w:rPr>
                <w:b/>
                <w:color w:val="000000"/>
                <w:shd w:val="solid" w:color="000000" w:fill="000000"/>
                <w14:textFill>
                  <w14:solidFill>
                    <w14:srgbClr w14:val="000000">
                      <w14:alpha w14:val="100000"/>
                    </w14:srgbClr>
                  </w14:solidFill>
                </w14:textFill>
              </w:rPr>
              <w:t>|</w:t>
            </w:r>
            <w:r w:rsidRPr="00D120E3">
              <w:rPr>
                <w:b/>
                <w:vertAlign w:val="superscript"/>
              </w:rPr>
              <w:t>9</w:t>
            </w:r>
          </w:p>
        </w:tc>
        <w:tc>
          <w:tcPr>
            <w:tcW w:w="389" w:type="pct"/>
            <w:noWrap/>
          </w:tcPr>
          <w:p w14:paraId="09471B1B" w14:textId="77777777" w:rsidR="000B266B" w:rsidRPr="00A16C9B" w:rsidRDefault="000B266B" w:rsidP="0041700E">
            <w:pPr>
              <w:pStyle w:val="TableText"/>
              <w:jc w:val="right"/>
              <w:rPr>
                <w:b/>
                <w:bCs w:val="0"/>
                <w:highlight w:val="yellow"/>
              </w:rPr>
            </w:pPr>
            <w:r w:rsidRPr="000B266B">
              <w:rPr>
                <w:b/>
                <w:color w:val="000000"/>
                <w:spacing w:val="46"/>
                <w:shd w:val="solid" w:color="000000" w:fill="000000"/>
                <w:fitText w:val="230" w:id="-649843966"/>
                <w14:textFill>
                  <w14:solidFill>
                    <w14:srgbClr w14:val="000000">
                      <w14:alpha w14:val="100000"/>
                    </w14:srgbClr>
                  </w14:solidFill>
                </w14:textFill>
              </w:rPr>
              <w:t>||</w:t>
            </w:r>
            <w:r w:rsidRPr="000B266B">
              <w:rPr>
                <w:b/>
                <w:color w:val="000000"/>
                <w:spacing w:val="1"/>
                <w:shd w:val="solid" w:color="000000" w:fill="000000"/>
                <w:fitText w:val="230" w:id="-649843966"/>
                <w14:textFill>
                  <w14:solidFill>
                    <w14:srgbClr w14:val="000000">
                      <w14:alpha w14:val="100000"/>
                    </w14:srgbClr>
                  </w14:solidFill>
                </w14:textFill>
              </w:rPr>
              <w:t>|</w:t>
            </w:r>
            <w:r w:rsidRPr="00A16C9B">
              <w:rPr>
                <w:b/>
              </w:rPr>
              <w:t>%</w:t>
            </w:r>
          </w:p>
        </w:tc>
      </w:tr>
      <w:tr w:rsidR="000B266B" w:rsidRPr="00E41B54" w14:paraId="018F1EE5" w14:textId="77777777" w:rsidTr="00B678E8">
        <w:trPr>
          <w:trHeight w:val="20"/>
        </w:trPr>
        <w:tc>
          <w:tcPr>
            <w:tcW w:w="2827" w:type="pct"/>
            <w:noWrap/>
          </w:tcPr>
          <w:p w14:paraId="5BBA1C20" w14:textId="77777777" w:rsidR="000B266B" w:rsidRPr="007D7A36" w:rsidRDefault="000B266B" w:rsidP="0041700E">
            <w:pPr>
              <w:pStyle w:val="TableText"/>
              <w:rPr>
                <w:bCs w:val="0"/>
              </w:rPr>
            </w:pPr>
            <w:r w:rsidRPr="007D7A36">
              <w:rPr>
                <w:bCs w:val="0"/>
              </w:rPr>
              <w:t>As above, with input #2 revised to combined definition of response</w:t>
            </w:r>
          </w:p>
        </w:tc>
        <w:tc>
          <w:tcPr>
            <w:tcW w:w="551" w:type="pct"/>
            <w:tcBorders>
              <w:bottom w:val="single" w:sz="4" w:space="0" w:color="auto"/>
            </w:tcBorders>
            <w:shd w:val="solid" w:color="000000" w:fill="000000"/>
            <w:noWrap/>
          </w:tcPr>
          <w:p w14:paraId="0DD5EB78" w14:textId="77777777" w:rsidR="000B266B" w:rsidRPr="00D120E3" w:rsidRDefault="000B266B" w:rsidP="0041700E">
            <w:pPr>
              <w:pStyle w:val="TableText"/>
              <w:jc w:val="right"/>
              <w:rPr>
                <w:bCs w:val="0"/>
                <w:highlight w:val="darkGray"/>
              </w:rPr>
            </w:pPr>
            <w:r w:rsidRPr="00AB52EE">
              <w:rPr>
                <w:bCs w:val="0"/>
                <w:color w:val="000000"/>
                <w14:textFill>
                  <w14:solidFill>
                    <w14:srgbClr w14:val="000000">
                      <w14:alpha w14:val="100000"/>
                    </w14:srgbClr>
                  </w14:solidFill>
                </w14:textFill>
              </w:rPr>
              <w:t>|</w:t>
            </w:r>
          </w:p>
        </w:tc>
        <w:tc>
          <w:tcPr>
            <w:tcW w:w="581" w:type="pct"/>
            <w:noWrap/>
          </w:tcPr>
          <w:p w14:paraId="62B70706" w14:textId="77777777" w:rsidR="000B266B" w:rsidRPr="007D7A36" w:rsidRDefault="000B266B" w:rsidP="0041700E">
            <w:pPr>
              <w:pStyle w:val="TableText"/>
              <w:jc w:val="right"/>
              <w:rPr>
                <w:bCs w:val="0"/>
              </w:rPr>
            </w:pPr>
            <w:r>
              <w:rPr>
                <w:bCs w:val="0"/>
              </w:rPr>
              <w:t>0.60</w:t>
            </w:r>
          </w:p>
        </w:tc>
        <w:tc>
          <w:tcPr>
            <w:tcW w:w="652" w:type="pct"/>
            <w:noWrap/>
          </w:tcPr>
          <w:p w14:paraId="2295665F" w14:textId="77777777" w:rsidR="000B266B" w:rsidRPr="00D120E3" w:rsidRDefault="000B266B" w:rsidP="0041700E">
            <w:pPr>
              <w:pStyle w:val="TableText"/>
              <w:jc w:val="right"/>
              <w:rPr>
                <w:bCs w:val="0"/>
                <w:highlight w:val="darkGray"/>
              </w:rPr>
            </w:pPr>
            <w:r w:rsidRPr="00AB52EE">
              <w:rPr>
                <w:bCs w:val="0"/>
                <w:color w:val="000000"/>
                <w:shd w:val="solid" w:color="000000" w:fill="000000"/>
                <w14:textFill>
                  <w14:solidFill>
                    <w14:srgbClr w14:val="000000">
                      <w14:alpha w14:val="100000"/>
                    </w14:srgbClr>
                  </w14:solidFill>
                </w14:textFill>
              </w:rPr>
              <w:t>|</w:t>
            </w:r>
            <w:r w:rsidRPr="004739C9">
              <w:rPr>
                <w:vertAlign w:val="superscript"/>
              </w:rPr>
              <w:t>7</w:t>
            </w:r>
          </w:p>
        </w:tc>
        <w:tc>
          <w:tcPr>
            <w:tcW w:w="389" w:type="pct"/>
            <w:noWrap/>
          </w:tcPr>
          <w:p w14:paraId="58850148" w14:textId="77777777" w:rsidR="000B266B" w:rsidRPr="007D7A36" w:rsidRDefault="000B266B" w:rsidP="0041700E">
            <w:pPr>
              <w:pStyle w:val="TableText"/>
              <w:jc w:val="right"/>
              <w:rPr>
                <w:bCs w:val="0"/>
              </w:rPr>
            </w:pPr>
            <w:r w:rsidRPr="000B266B">
              <w:rPr>
                <w:bCs w:val="0"/>
                <w:color w:val="000000"/>
                <w:spacing w:val="84"/>
                <w:shd w:val="solid" w:color="000000" w:fill="000000"/>
                <w:fitText w:val="170" w:id="-649843965"/>
                <w14:textFill>
                  <w14:solidFill>
                    <w14:srgbClr w14:val="000000">
                      <w14:alpha w14:val="100000"/>
                    </w14:srgbClr>
                  </w14:solidFill>
                </w14:textFill>
              </w:rPr>
              <w:t>|</w:t>
            </w:r>
            <w:r w:rsidRPr="000B266B">
              <w:rPr>
                <w:bCs w:val="0"/>
                <w:color w:val="000000"/>
                <w:spacing w:val="1"/>
                <w:shd w:val="solid" w:color="000000" w:fill="000000"/>
                <w:fitText w:val="170" w:id="-649843965"/>
                <w14:textFill>
                  <w14:solidFill>
                    <w14:srgbClr w14:val="000000">
                      <w14:alpha w14:val="100000"/>
                    </w14:srgbClr>
                  </w14:solidFill>
                </w14:textFill>
              </w:rPr>
              <w:t>|</w:t>
            </w:r>
            <w:r>
              <w:rPr>
                <w:bCs w:val="0"/>
              </w:rPr>
              <w:t>%</w:t>
            </w:r>
          </w:p>
        </w:tc>
      </w:tr>
      <w:tr w:rsidR="000B266B" w:rsidRPr="00E41B54" w14:paraId="0A07C944" w14:textId="77777777" w:rsidTr="00B678E8">
        <w:trPr>
          <w:trHeight w:val="20"/>
        </w:trPr>
        <w:tc>
          <w:tcPr>
            <w:tcW w:w="2827" w:type="pct"/>
            <w:noWrap/>
          </w:tcPr>
          <w:p w14:paraId="6AA0F4B5" w14:textId="77777777" w:rsidR="000B266B" w:rsidRPr="009F1410" w:rsidRDefault="000B266B" w:rsidP="0041700E">
            <w:pPr>
              <w:pStyle w:val="TableText"/>
              <w:rPr>
                <w:bCs w:val="0"/>
              </w:rPr>
            </w:pPr>
            <w:r>
              <w:rPr>
                <w:bCs w:val="0"/>
              </w:rPr>
              <w:t>As above, with pre-PBAC proposed price for bulevirtide ($</w:t>
            </w:r>
            <w:r w:rsidRPr="000B266B">
              <w:rPr>
                <w:bCs w:val="0"/>
                <w:color w:val="000000"/>
                <w:spacing w:val="53"/>
                <w:shd w:val="solid" w:color="000000" w:fill="000000"/>
                <w:fitText w:val="330" w:id="-649843964"/>
                <w14:textFill>
                  <w14:solidFill>
                    <w14:srgbClr w14:val="000000">
                      <w14:alpha w14:val="100000"/>
                    </w14:srgbClr>
                  </w14:solidFill>
                </w14:textFill>
              </w:rPr>
              <w:t>|||</w:t>
            </w:r>
            <w:r w:rsidRPr="000B266B">
              <w:rPr>
                <w:bCs w:val="0"/>
                <w:color w:val="000000"/>
                <w:spacing w:val="1"/>
                <w:shd w:val="solid" w:color="000000" w:fill="000000"/>
                <w:fitText w:val="330" w:id="-649843964"/>
                <w14:textFill>
                  <w14:solidFill>
                    <w14:srgbClr w14:val="000000">
                      <w14:alpha w14:val="100000"/>
                    </w14:srgbClr>
                  </w14:solidFill>
                </w14:textFill>
              </w:rPr>
              <w:t>|</w:t>
            </w:r>
            <w:r>
              <w:rPr>
                <w:bCs w:val="0"/>
              </w:rPr>
              <w:t xml:space="preserve"> AEMP)</w:t>
            </w:r>
          </w:p>
        </w:tc>
        <w:tc>
          <w:tcPr>
            <w:tcW w:w="551" w:type="pct"/>
            <w:shd w:val="solid" w:color="000000" w:fill="000000"/>
            <w:noWrap/>
          </w:tcPr>
          <w:p w14:paraId="3BD8A277" w14:textId="77777777" w:rsidR="000B266B" w:rsidRPr="00D120E3" w:rsidRDefault="000B266B" w:rsidP="0041700E">
            <w:pPr>
              <w:pStyle w:val="TableText"/>
              <w:jc w:val="right"/>
              <w:rPr>
                <w:bCs w:val="0"/>
                <w:highlight w:val="darkGray"/>
              </w:rPr>
            </w:pPr>
            <w:r w:rsidRPr="00AB52EE">
              <w:rPr>
                <w:bCs w:val="0"/>
                <w:color w:val="000000"/>
                <w14:textFill>
                  <w14:solidFill>
                    <w14:srgbClr w14:val="000000">
                      <w14:alpha w14:val="100000"/>
                    </w14:srgbClr>
                  </w14:solidFill>
                </w14:textFill>
              </w:rPr>
              <w:t>|</w:t>
            </w:r>
          </w:p>
        </w:tc>
        <w:tc>
          <w:tcPr>
            <w:tcW w:w="581" w:type="pct"/>
            <w:noWrap/>
          </w:tcPr>
          <w:p w14:paraId="00DD84F4" w14:textId="77777777" w:rsidR="000B266B" w:rsidRDefault="000B266B" w:rsidP="0041700E">
            <w:pPr>
              <w:pStyle w:val="TableText"/>
              <w:jc w:val="right"/>
              <w:rPr>
                <w:bCs w:val="0"/>
              </w:rPr>
            </w:pPr>
            <w:r>
              <w:rPr>
                <w:bCs w:val="0"/>
              </w:rPr>
              <w:t>0.60</w:t>
            </w:r>
          </w:p>
        </w:tc>
        <w:tc>
          <w:tcPr>
            <w:tcW w:w="652" w:type="pct"/>
            <w:noWrap/>
          </w:tcPr>
          <w:p w14:paraId="4D423053" w14:textId="77777777" w:rsidR="000B266B" w:rsidRPr="00D120E3" w:rsidRDefault="000B266B" w:rsidP="0041700E">
            <w:pPr>
              <w:pStyle w:val="TableText"/>
              <w:jc w:val="right"/>
              <w:rPr>
                <w:bCs w:val="0"/>
                <w:highlight w:val="darkGray"/>
              </w:rPr>
            </w:pPr>
            <w:r w:rsidRPr="00AB52EE">
              <w:rPr>
                <w:bCs w:val="0"/>
                <w:color w:val="000000"/>
                <w:shd w:val="solid" w:color="000000" w:fill="000000"/>
                <w14:textFill>
                  <w14:solidFill>
                    <w14:srgbClr w14:val="000000">
                      <w14:alpha w14:val="100000"/>
                    </w14:srgbClr>
                  </w14:solidFill>
                </w14:textFill>
              </w:rPr>
              <w:t>|</w:t>
            </w:r>
            <w:r w:rsidRPr="004739C9">
              <w:rPr>
                <w:vertAlign w:val="superscript"/>
              </w:rPr>
              <w:t>7</w:t>
            </w:r>
          </w:p>
        </w:tc>
        <w:tc>
          <w:tcPr>
            <w:tcW w:w="389" w:type="pct"/>
            <w:noWrap/>
          </w:tcPr>
          <w:p w14:paraId="7F44B605" w14:textId="77777777" w:rsidR="000B266B" w:rsidRDefault="000B266B" w:rsidP="0041700E">
            <w:pPr>
              <w:pStyle w:val="TableText"/>
              <w:jc w:val="right"/>
              <w:rPr>
                <w:bCs w:val="0"/>
              </w:rPr>
            </w:pPr>
            <w:r w:rsidRPr="000B266B">
              <w:rPr>
                <w:bCs w:val="0"/>
                <w:color w:val="000000"/>
                <w:spacing w:val="84"/>
                <w:shd w:val="solid" w:color="000000" w:fill="000000"/>
                <w:fitText w:val="170" w:id="-649843963"/>
                <w14:textFill>
                  <w14:solidFill>
                    <w14:srgbClr w14:val="000000">
                      <w14:alpha w14:val="100000"/>
                    </w14:srgbClr>
                  </w14:solidFill>
                </w14:textFill>
              </w:rPr>
              <w:t>|</w:t>
            </w:r>
            <w:r w:rsidRPr="000B266B">
              <w:rPr>
                <w:bCs w:val="0"/>
                <w:color w:val="000000"/>
                <w:spacing w:val="1"/>
                <w:shd w:val="solid" w:color="000000" w:fill="000000"/>
                <w:fitText w:val="170" w:id="-649843963"/>
                <w14:textFill>
                  <w14:solidFill>
                    <w14:srgbClr w14:val="000000">
                      <w14:alpha w14:val="100000"/>
                    </w14:srgbClr>
                  </w14:solidFill>
                </w14:textFill>
              </w:rPr>
              <w:t>|</w:t>
            </w:r>
            <w:r>
              <w:rPr>
                <w:bCs w:val="0"/>
              </w:rPr>
              <w:t>%</w:t>
            </w:r>
          </w:p>
        </w:tc>
      </w:tr>
    </w:tbl>
    <w:p w14:paraId="67C0FB76" w14:textId="77777777" w:rsidR="000B266B" w:rsidRPr="00A16C9B" w:rsidRDefault="000B266B" w:rsidP="0041700E">
      <w:pPr>
        <w:pStyle w:val="TableFigureFooter"/>
        <w:rPr>
          <w:rStyle w:val="CommentReference"/>
          <w:b/>
        </w:rPr>
      </w:pPr>
      <w:r>
        <w:br w:type="textWrapping" w:clear="all"/>
      </w:r>
      <w:r w:rsidRPr="4904BCD2">
        <w:t>Source: Table 3.9-2, of the resubmission and “Attachment 17 - Hepcludex HDV Section 3A Cost-Eff Model Resubmission_vfinal.xlsm” Excel workbook.</w:t>
      </w:r>
    </w:p>
    <w:p w14:paraId="717BBBD3" w14:textId="77777777" w:rsidR="000B266B" w:rsidRPr="00A16C9B" w:rsidRDefault="000B266B" w:rsidP="0041700E">
      <w:pPr>
        <w:pStyle w:val="TableFigureFooter"/>
      </w:pPr>
      <w:r w:rsidRPr="00A16C9B">
        <w:t>ALT = alanine aminotransferase; BSC = best supportive care; CC = compensated cirrhosis; DCC = decompensated cirrhosis; HBsAg = hepatitis B surface antigen; HBV = hepatitis B virus; HCC = hepatocellular carcinoma; HDV = hepatitis D virus; HR = hazard ratio; ICER = incremental cost effectiveness ratio; NC = non-cirrhosis; PLT = post-liver transplantation; PSD = public summary document; QALY = quality adjusted life year; RNA = ribonucleic acid.</w:t>
      </w:r>
    </w:p>
    <w:p w14:paraId="32E18550" w14:textId="77777777" w:rsidR="000B266B" w:rsidRPr="00A16C9B" w:rsidRDefault="000B266B" w:rsidP="0041700E">
      <w:pPr>
        <w:pStyle w:val="TableFigureFooter"/>
        <w:spacing w:after="0"/>
        <w:ind w:left="284" w:hanging="284"/>
      </w:pPr>
      <w:r w:rsidRPr="00A16C9B">
        <w:t>Notes: Analyses in italics were conducted during the evaluation.</w:t>
      </w:r>
    </w:p>
    <w:p w14:paraId="10C42B0D" w14:textId="77777777" w:rsidR="000B266B" w:rsidRPr="00A16C9B" w:rsidRDefault="000B266B" w:rsidP="0041700E">
      <w:pPr>
        <w:pStyle w:val="TableFooter"/>
        <w:widowControl/>
      </w:pPr>
      <w:r w:rsidRPr="00A16C9B">
        <w:rPr>
          <w:vertAlign w:val="superscript"/>
        </w:rPr>
        <w:t>a</w:t>
      </w:r>
      <w:r w:rsidRPr="00A16C9B">
        <w:t xml:space="preserve"> Assuming no effect on response rates </w:t>
      </w:r>
    </w:p>
    <w:p w14:paraId="50B45528" w14:textId="77777777" w:rsidR="000B266B" w:rsidRPr="00A16C9B" w:rsidRDefault="000B266B" w:rsidP="0041700E">
      <w:pPr>
        <w:pStyle w:val="TableFooter"/>
        <w:widowControl/>
      </w:pPr>
      <w:r w:rsidRPr="00A16C9B">
        <w:rPr>
          <w:vertAlign w:val="superscript"/>
        </w:rPr>
        <w:t>b</w:t>
      </w:r>
      <w:r w:rsidRPr="00A16C9B">
        <w:t xml:space="preserve"> F0-F3: 0.813, CC: 0.812. A utility increment of 0.057 is applied to responders.</w:t>
      </w:r>
    </w:p>
    <w:p w14:paraId="3133CBA7" w14:textId="77777777" w:rsidR="000B266B" w:rsidRPr="00A16C9B" w:rsidRDefault="000B266B" w:rsidP="0041700E">
      <w:pPr>
        <w:pStyle w:val="TableFooter"/>
        <w:widowControl/>
      </w:pPr>
      <w:r w:rsidRPr="4904BCD2">
        <w:rPr>
          <w:vertAlign w:val="superscript"/>
        </w:rPr>
        <w:t xml:space="preserve">c </w:t>
      </w:r>
      <w:r w:rsidRPr="4904BCD2">
        <w:t xml:space="preserve">F0-2: 0.77, F3: 0.66, CC: 0.55. The utility increment in responders remains the same as in the base case (0.033). </w:t>
      </w:r>
    </w:p>
    <w:p w14:paraId="2B18A3A1" w14:textId="77777777" w:rsidR="000B266B" w:rsidRPr="00A16C9B" w:rsidRDefault="000B266B" w:rsidP="0041700E">
      <w:pPr>
        <w:pStyle w:val="TableFooter"/>
        <w:widowControl/>
      </w:pPr>
      <w:r w:rsidRPr="4904BCD2">
        <w:rPr>
          <w:vertAlign w:val="superscript"/>
        </w:rPr>
        <w:t>d</w:t>
      </w:r>
      <w:r w:rsidRPr="4904BCD2">
        <w:t xml:space="preserve"> F0-2: 0.77, F3: 0.66, CC: 0.55, DCC: 0.45, HCC: 0.45, LT: 0.45 and PLT: 0.67. The utility increment in responders remains the same as in the base case (0.033).</w:t>
      </w:r>
    </w:p>
    <w:p w14:paraId="6B4A28C8" w14:textId="77777777" w:rsidR="000B266B" w:rsidRDefault="000B266B" w:rsidP="0041700E">
      <w:pPr>
        <w:pStyle w:val="TableFooter"/>
        <w:widowControl/>
      </w:pPr>
      <w:r w:rsidRPr="00A16C9B">
        <w:rPr>
          <w:vertAlign w:val="superscript"/>
        </w:rPr>
        <w:t xml:space="preserve">e </w:t>
      </w:r>
      <w:r w:rsidRPr="00A16C9B">
        <w:t>Multivariate analysis reflects cumulative changes for consistency with previous PBAC decision making (time horizon, source for health state utilities and exclusion of utility increment in responders), internal consistency (definition of response and treatment compliance) and where the inclusion of studies was inadequately justified in the resubmission (source for transition probabilities and studies included in the meta-analyses demonstrating the effect of response on liver-related outcomes).</w:t>
      </w:r>
      <w:r w:rsidRPr="00000066">
        <w:t xml:space="preserve"> </w:t>
      </w:r>
    </w:p>
    <w:p w14:paraId="170B83EF" w14:textId="77777777" w:rsidR="000B266B" w:rsidRPr="00D4016A" w:rsidRDefault="000B266B" w:rsidP="0041700E">
      <w:pPr>
        <w:pStyle w:val="TableFooter"/>
        <w:widowControl/>
        <w:rPr>
          <w:i/>
          <w:iCs/>
        </w:rPr>
      </w:pPr>
      <w:r w:rsidRPr="00D4016A">
        <w:rPr>
          <w:i/>
          <w:iCs/>
        </w:rPr>
        <w:t>The redacted values correspond to the following ranges:</w:t>
      </w:r>
    </w:p>
    <w:p w14:paraId="2FD1244B" w14:textId="77777777" w:rsidR="000B266B" w:rsidRPr="00D4016A" w:rsidRDefault="000B266B" w:rsidP="0041700E">
      <w:pPr>
        <w:pStyle w:val="TableFooter"/>
        <w:widowControl/>
        <w:rPr>
          <w:i/>
          <w:iCs/>
        </w:rPr>
      </w:pPr>
      <w:r w:rsidRPr="00D4016A">
        <w:rPr>
          <w:i/>
          <w:iCs/>
          <w:vertAlign w:val="superscript"/>
        </w:rPr>
        <w:t>1</w:t>
      </w:r>
      <w:r w:rsidRPr="00D4016A">
        <w:rPr>
          <w:i/>
          <w:iCs/>
        </w:rPr>
        <w:t xml:space="preserve"> $95,000 to &lt; $115,000</w:t>
      </w:r>
    </w:p>
    <w:p w14:paraId="056A1B21" w14:textId="77777777" w:rsidR="000B266B" w:rsidRPr="00D4016A" w:rsidRDefault="000B266B" w:rsidP="0041700E">
      <w:pPr>
        <w:pStyle w:val="TableFooter"/>
        <w:widowControl/>
        <w:rPr>
          <w:i/>
          <w:iCs/>
        </w:rPr>
      </w:pPr>
      <w:r w:rsidRPr="00D4016A">
        <w:rPr>
          <w:i/>
          <w:iCs/>
          <w:vertAlign w:val="superscript"/>
        </w:rPr>
        <w:t>2</w:t>
      </w:r>
      <w:r w:rsidRPr="00D4016A">
        <w:rPr>
          <w:i/>
          <w:iCs/>
        </w:rPr>
        <w:t xml:space="preserve"> $115,000 to &lt; $135,000 </w:t>
      </w:r>
    </w:p>
    <w:p w14:paraId="529F7836" w14:textId="77777777" w:rsidR="000B266B" w:rsidRPr="00D4016A" w:rsidRDefault="000B266B" w:rsidP="0041700E">
      <w:pPr>
        <w:pStyle w:val="TableFooter"/>
        <w:widowControl/>
        <w:rPr>
          <w:i/>
          <w:iCs/>
        </w:rPr>
      </w:pPr>
      <w:r w:rsidRPr="00D4016A">
        <w:rPr>
          <w:i/>
          <w:iCs/>
          <w:vertAlign w:val="superscript"/>
        </w:rPr>
        <w:t>3</w:t>
      </w:r>
      <w:r w:rsidRPr="00D4016A">
        <w:rPr>
          <w:i/>
          <w:iCs/>
        </w:rPr>
        <w:t xml:space="preserve"> $155,000 to &lt; $255,000 </w:t>
      </w:r>
    </w:p>
    <w:p w14:paraId="4AD38470" w14:textId="77777777" w:rsidR="000B266B" w:rsidRPr="00D4016A" w:rsidRDefault="000B266B" w:rsidP="0041700E">
      <w:pPr>
        <w:pStyle w:val="TableFooter"/>
        <w:widowControl/>
        <w:rPr>
          <w:i/>
          <w:iCs/>
        </w:rPr>
      </w:pPr>
      <w:r w:rsidRPr="00D4016A">
        <w:rPr>
          <w:i/>
          <w:iCs/>
          <w:vertAlign w:val="superscript"/>
        </w:rPr>
        <w:t>4</w:t>
      </w:r>
      <w:r w:rsidRPr="00D4016A">
        <w:rPr>
          <w:i/>
          <w:iCs/>
        </w:rPr>
        <w:t xml:space="preserve"> $55,000 to &lt; $75,000 </w:t>
      </w:r>
    </w:p>
    <w:p w14:paraId="2F8C87D8" w14:textId="77777777" w:rsidR="000B266B" w:rsidRPr="00D4016A" w:rsidRDefault="000B266B" w:rsidP="0041700E">
      <w:pPr>
        <w:pStyle w:val="TableFooter"/>
        <w:widowControl/>
        <w:rPr>
          <w:i/>
          <w:iCs/>
        </w:rPr>
      </w:pPr>
      <w:r w:rsidRPr="00D4016A">
        <w:rPr>
          <w:i/>
          <w:iCs/>
          <w:vertAlign w:val="superscript"/>
        </w:rPr>
        <w:t>5</w:t>
      </w:r>
      <w:r w:rsidRPr="00D4016A">
        <w:rPr>
          <w:i/>
          <w:iCs/>
        </w:rPr>
        <w:t xml:space="preserve"> $75,000 to &lt; $95,000 </w:t>
      </w:r>
    </w:p>
    <w:p w14:paraId="3D442410" w14:textId="77777777" w:rsidR="000B266B" w:rsidRPr="00D4016A" w:rsidRDefault="000B266B" w:rsidP="0041700E">
      <w:pPr>
        <w:pStyle w:val="TableFooter"/>
        <w:widowControl/>
        <w:rPr>
          <w:i/>
          <w:iCs/>
        </w:rPr>
      </w:pPr>
      <w:r w:rsidRPr="00D4016A">
        <w:rPr>
          <w:i/>
          <w:iCs/>
          <w:vertAlign w:val="superscript"/>
        </w:rPr>
        <w:t>6</w:t>
      </w:r>
      <w:r w:rsidRPr="00D4016A">
        <w:rPr>
          <w:i/>
          <w:iCs/>
        </w:rPr>
        <w:t xml:space="preserve"> $135,000 to &lt; $155,000 </w:t>
      </w:r>
    </w:p>
    <w:p w14:paraId="7A28554C" w14:textId="77777777" w:rsidR="000B266B" w:rsidRPr="00D4016A" w:rsidRDefault="000B266B" w:rsidP="0041700E">
      <w:pPr>
        <w:pStyle w:val="TableFooter"/>
        <w:widowControl/>
        <w:rPr>
          <w:i/>
          <w:iCs/>
        </w:rPr>
      </w:pPr>
      <w:r w:rsidRPr="00D4016A">
        <w:rPr>
          <w:i/>
          <w:iCs/>
          <w:vertAlign w:val="superscript"/>
        </w:rPr>
        <w:t>7</w:t>
      </w:r>
      <w:r w:rsidRPr="00D4016A">
        <w:rPr>
          <w:i/>
          <w:iCs/>
        </w:rPr>
        <w:t xml:space="preserve"> $255,000 to &lt; $355,000 </w:t>
      </w:r>
    </w:p>
    <w:p w14:paraId="785D3C7E" w14:textId="77777777" w:rsidR="000B266B" w:rsidRPr="00D4016A" w:rsidRDefault="000B266B" w:rsidP="0041700E">
      <w:pPr>
        <w:pStyle w:val="TableFooter"/>
        <w:widowControl/>
        <w:rPr>
          <w:i/>
          <w:iCs/>
        </w:rPr>
      </w:pPr>
      <w:r w:rsidRPr="00D4016A">
        <w:rPr>
          <w:i/>
          <w:iCs/>
          <w:vertAlign w:val="superscript"/>
        </w:rPr>
        <w:t>8</w:t>
      </w:r>
      <w:r w:rsidRPr="00D4016A">
        <w:rPr>
          <w:i/>
          <w:iCs/>
        </w:rPr>
        <w:t xml:space="preserve"> $355,000 to &lt; $455,000 </w:t>
      </w:r>
    </w:p>
    <w:p w14:paraId="2BE69F97" w14:textId="77777777" w:rsidR="000B266B" w:rsidRPr="00D4016A" w:rsidRDefault="000B266B" w:rsidP="0041700E">
      <w:pPr>
        <w:pStyle w:val="TableFooter"/>
        <w:widowControl/>
        <w:spacing w:after="120"/>
        <w:rPr>
          <w:i/>
          <w:iCs/>
        </w:rPr>
      </w:pPr>
      <w:r w:rsidRPr="00D4016A">
        <w:rPr>
          <w:i/>
          <w:iCs/>
          <w:vertAlign w:val="superscript"/>
        </w:rPr>
        <w:t xml:space="preserve">9 </w:t>
      </w:r>
      <w:r w:rsidRPr="00D4016A">
        <w:rPr>
          <w:i/>
          <w:iCs/>
        </w:rPr>
        <w:t xml:space="preserve">$455,000 to &lt; $555,000 </w:t>
      </w:r>
    </w:p>
    <w:p w14:paraId="49853A66" w14:textId="77777777" w:rsidR="000B266B" w:rsidRPr="00A16C9B" w:rsidRDefault="000B266B" w:rsidP="0041700E">
      <w:pPr>
        <w:pStyle w:val="3-BodyText"/>
        <w:spacing w:before="120" w:after="120"/>
      </w:pPr>
      <w:r w:rsidRPr="4904BCD2">
        <w:t xml:space="preserve">Results of the univariate sensitivity analyses show that the ICER is very sensitive to the definition of response, the source used to model CHD disease progression, and time </w:t>
      </w:r>
      <w:r w:rsidRPr="4904BCD2">
        <w:lastRenderedPageBreak/>
        <w:t xml:space="preserve">horizon. Changes in health state utilities for NC and CC, utility increment in responders, compliance of treatment, and HRs for disease progression in responders moderately affect the result. These were areas of uncertainties previously noted by the PBAC and by the current evaluation. In addition, variables such as discounting rate, HBsAg seroclearance rate, and fibrosis regression rate in responders also have a big impact on the ICER. </w:t>
      </w:r>
    </w:p>
    <w:p w14:paraId="171E2D07" w14:textId="77777777" w:rsidR="000B266B" w:rsidRDefault="000B266B" w:rsidP="0041700E">
      <w:pPr>
        <w:pStyle w:val="3-BodyText"/>
        <w:spacing w:before="120" w:after="120"/>
      </w:pPr>
      <w:r w:rsidRPr="4904BCD2">
        <w:t>When the previous submission was considered, the PBAC agreed with the ESC that it would likely be a long time before the patient-relevant impacts of bulevirtide treatment are well-characterised, and considered there remains uncertainty regarding how bulevirtide is likely to be used in clinical practice. As such, the PBAC considered the most appropriate way to manage the substantial uncertainties would be to adopt a conservative approach to the model inputs and advised that a revised economic model would be required (para</w:t>
      </w:r>
      <w:r>
        <w:t>graph</w:t>
      </w:r>
      <w:r w:rsidRPr="4904BCD2">
        <w:t xml:space="preserve"> 7.14, bulevirtide PSD, March 2024 PBAC meeting). Results from stepped multivariate analyses demonstrate that the ICER is highly sensitive to cumulative changes in the model, increasing from </w:t>
      </w:r>
      <w:r w:rsidRPr="00254922">
        <w:t>$95,000 to &lt;</w:t>
      </w:r>
      <w:r>
        <w:t> </w:t>
      </w:r>
      <w:r w:rsidRPr="00254922">
        <w:t>$115,000</w:t>
      </w:r>
      <w:r w:rsidRPr="4904BCD2">
        <w:t xml:space="preserve">/QALY gained in base case to </w:t>
      </w:r>
      <w:r w:rsidRPr="00981B92">
        <w:t>$455,000 to &lt; $555,000</w:t>
      </w:r>
      <w:r w:rsidRPr="4904BCD2">
        <w:t>/QALY gained when a number of model inputs are revised for consistency with previous PBAC decision making (time horizon, source for health state utilities and exclusion of utility increment in responders), internal consistency (definition of response and treatment compliance).</w:t>
      </w:r>
      <w:r>
        <w:t xml:space="preserve"> When the definition of response was changed to the combined outcome the ICER for this multivariate analysis was reduced to </w:t>
      </w:r>
      <w:r w:rsidRPr="00DA0111">
        <w:t>$255,000 to &lt; $355,000</w:t>
      </w:r>
      <w:r>
        <w:t xml:space="preserve"> per QALY.</w:t>
      </w:r>
    </w:p>
    <w:p w14:paraId="7BB23470" w14:textId="4159CB6B" w:rsidR="000B266B" w:rsidRPr="000A7735" w:rsidRDefault="000B266B" w:rsidP="0041700E">
      <w:pPr>
        <w:pStyle w:val="3-BodyText"/>
        <w:spacing w:before="120" w:after="120"/>
      </w:pPr>
      <w:r w:rsidRPr="000A7735">
        <w:t>The ESCs noted that the PSCR presented alternative multivariate sensitivity analyses, but considered that the selected inputs for these analyses were not well-justified.</w:t>
      </w:r>
      <w:r>
        <w:t xml:space="preserve"> The pre-PBAC also presented an alternative base case with revisions to the source used to model natural history of CHD, revised utility values, and increased compliance (see paragraph </w:t>
      </w:r>
      <w:r>
        <w:fldChar w:fldCharType="begin"/>
      </w:r>
      <w:r>
        <w:instrText xml:space="preserve"> REF _Ref195516122 \r \h </w:instrText>
      </w:r>
      <w:r>
        <w:fldChar w:fldCharType="separate"/>
      </w:r>
      <w:r w:rsidR="007848CD">
        <w:t>6.53</w:t>
      </w:r>
      <w:r>
        <w:fldChar w:fldCharType="end"/>
      </w:r>
      <w:r>
        <w:t>) and a reduced cost for bulevirtide ($</w:t>
      </w:r>
      <w:r w:rsidRPr="007848CD">
        <w:rPr>
          <w:color w:val="000000"/>
          <w:w w:val="15"/>
          <w:shd w:val="solid" w:color="000000" w:fill="000000"/>
          <w:fitText w:val="-20" w:id="-694941440"/>
          <w14:textFill>
            <w14:solidFill>
              <w14:srgbClr w14:val="000000">
                <w14:alpha w14:val="100000"/>
              </w14:srgbClr>
            </w14:solidFill>
          </w14:textFill>
        </w:rPr>
        <w:t>|</w:t>
      </w:r>
      <w:r w:rsidR="00D70DBB" w:rsidRPr="007848CD">
        <w:rPr>
          <w:color w:val="000000"/>
          <w:w w:val="15"/>
          <w:shd w:val="solid" w:color="000000" w:fill="000000"/>
          <w:fitText w:val="-20" w:id="-694941440"/>
          <w14:textFill>
            <w14:solidFill>
              <w14:srgbClr w14:val="000000">
                <w14:alpha w14:val="100000"/>
              </w14:srgbClr>
            </w14:solidFill>
          </w14:textFill>
        </w:rPr>
        <w:t xml:space="preserve"> </w:t>
      </w:r>
      <w:r w:rsidRPr="007848CD">
        <w:rPr>
          <w:color w:val="000000"/>
          <w:spacing w:val="-61"/>
          <w:w w:val="15"/>
          <w:shd w:val="solid" w:color="000000" w:fill="000000"/>
          <w:fitText w:val="-20" w:id="-694941440"/>
          <w14:textFill>
            <w14:solidFill>
              <w14:srgbClr w14:val="000000">
                <w14:alpha w14:val="100000"/>
              </w14:srgbClr>
            </w14:solidFill>
          </w14:textFill>
        </w:rPr>
        <w:t>|</w:t>
      </w:r>
      <w:r>
        <w:t xml:space="preserve"> AEMP). This resulted in an ICER of </w:t>
      </w:r>
      <w:r w:rsidRPr="00D70484">
        <w:t>$75,000 to &lt; $95,000</w:t>
      </w:r>
      <w:r>
        <w:t xml:space="preserve"> per QALY. The pre-PBAC response argued that other changes to the model inputs were not justified. </w:t>
      </w:r>
    </w:p>
    <w:p w14:paraId="7E92B727" w14:textId="77777777" w:rsidR="000B266B" w:rsidRPr="00FD70DE" w:rsidRDefault="000B266B" w:rsidP="0041700E">
      <w:pPr>
        <w:pStyle w:val="4-SubsectionHeading"/>
        <w:rPr>
          <w:rFonts w:cstheme="minorHAnsi"/>
        </w:rPr>
      </w:pPr>
      <w:bookmarkStart w:id="59" w:name="_Toc188360803"/>
      <w:r w:rsidRPr="00F50184">
        <w:t>Drug cost/patient/course</w:t>
      </w:r>
      <w:bookmarkEnd w:id="59"/>
    </w:p>
    <w:p w14:paraId="5D8946C8" w14:textId="4ED4B62F" w:rsidR="000B266B" w:rsidRPr="00CC7D4F" w:rsidRDefault="000B266B" w:rsidP="0041700E">
      <w:pPr>
        <w:pStyle w:val="TableFigureHeading"/>
        <w:rPr>
          <w:rStyle w:val="CommentReference"/>
          <w:sz w:val="20"/>
          <w:szCs w:val="24"/>
        </w:rPr>
      </w:pPr>
      <w:r w:rsidRPr="00CC7D4F">
        <w:t xml:space="preserve">Table </w:t>
      </w:r>
      <w:r w:rsidRPr="00CC7D4F">
        <w:fldChar w:fldCharType="begin"/>
      </w:r>
      <w:r w:rsidRPr="00CC7D4F">
        <w:instrText>SEQ Table_PBAC. \* ARABIC</w:instrText>
      </w:r>
      <w:r w:rsidRPr="00CC7D4F">
        <w:fldChar w:fldCharType="separate"/>
      </w:r>
      <w:r w:rsidR="007848CD">
        <w:rPr>
          <w:noProof/>
        </w:rPr>
        <w:t>17</w:t>
      </w:r>
      <w:r w:rsidRPr="00CC7D4F">
        <w:fldChar w:fldCharType="end"/>
      </w:r>
      <w:r>
        <w:t>:</w:t>
      </w:r>
      <w:r w:rsidRPr="00CC7D4F">
        <w:t xml:space="preserve"> </w:t>
      </w:r>
      <w:r w:rsidRPr="00CC7D4F">
        <w:rPr>
          <w:rStyle w:val="CommentReference"/>
          <w:sz w:val="20"/>
          <w:szCs w:val="24"/>
        </w:rPr>
        <w:t>Drug cost per patient for bulevirtide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7: Drug cost per patient for bulevirtide"/>
      </w:tblPr>
      <w:tblGrid>
        <w:gridCol w:w="1696"/>
        <w:gridCol w:w="2440"/>
        <w:gridCol w:w="2440"/>
        <w:gridCol w:w="2440"/>
      </w:tblGrid>
      <w:tr w:rsidR="000B266B" w:rsidRPr="00FD70DE" w14:paraId="785BAAD2" w14:textId="77777777" w:rsidTr="00B678E8">
        <w:trPr>
          <w:cantSplit/>
          <w:tblHeader/>
          <w:jc w:val="center"/>
        </w:trPr>
        <w:tc>
          <w:tcPr>
            <w:tcW w:w="941" w:type="pct"/>
            <w:vAlign w:val="center"/>
          </w:tcPr>
          <w:p w14:paraId="766D4AFB" w14:textId="77777777" w:rsidR="000B266B" w:rsidRPr="00FD70DE" w:rsidRDefault="000B266B" w:rsidP="0041700E">
            <w:pPr>
              <w:pStyle w:val="In-tableHeading"/>
              <w:jc w:val="center"/>
              <w:rPr>
                <w:lang w:val="en-AU"/>
              </w:rPr>
            </w:pPr>
          </w:p>
        </w:tc>
        <w:tc>
          <w:tcPr>
            <w:tcW w:w="1353" w:type="pct"/>
            <w:vAlign w:val="center"/>
          </w:tcPr>
          <w:p w14:paraId="59E287B4" w14:textId="77777777" w:rsidR="000B266B" w:rsidRPr="00FD70DE" w:rsidRDefault="000B266B" w:rsidP="0041700E">
            <w:pPr>
              <w:pStyle w:val="In-tableHeading"/>
              <w:jc w:val="center"/>
              <w:rPr>
                <w:lang w:val="en-AU"/>
              </w:rPr>
            </w:pPr>
            <w:r w:rsidRPr="00FD70DE">
              <w:rPr>
                <w:lang w:val="en-AU"/>
              </w:rPr>
              <w:t>Trial dose and duration</w:t>
            </w:r>
          </w:p>
        </w:tc>
        <w:tc>
          <w:tcPr>
            <w:tcW w:w="1353" w:type="pct"/>
            <w:vAlign w:val="center"/>
          </w:tcPr>
          <w:p w14:paraId="627CDC6E" w14:textId="77777777" w:rsidR="000B266B" w:rsidRPr="00FD70DE" w:rsidRDefault="000B266B" w:rsidP="0041700E">
            <w:pPr>
              <w:pStyle w:val="In-tableHeading"/>
              <w:jc w:val="center"/>
              <w:rPr>
                <w:lang w:val="en-AU"/>
              </w:rPr>
            </w:pPr>
            <w:r w:rsidRPr="00FD70DE">
              <w:rPr>
                <w:lang w:val="en-AU"/>
              </w:rPr>
              <w:t>Model</w:t>
            </w:r>
          </w:p>
        </w:tc>
        <w:tc>
          <w:tcPr>
            <w:tcW w:w="1353" w:type="pct"/>
            <w:vAlign w:val="center"/>
          </w:tcPr>
          <w:p w14:paraId="6B215235" w14:textId="77777777" w:rsidR="000B266B" w:rsidRPr="00FD70DE" w:rsidRDefault="000B266B" w:rsidP="0041700E">
            <w:pPr>
              <w:pStyle w:val="In-tableHeading"/>
              <w:jc w:val="center"/>
              <w:rPr>
                <w:lang w:val="en-AU"/>
              </w:rPr>
            </w:pPr>
            <w:r w:rsidRPr="00FD70DE">
              <w:rPr>
                <w:lang w:val="en-AU"/>
              </w:rPr>
              <w:t>Financial estimates</w:t>
            </w:r>
          </w:p>
        </w:tc>
      </w:tr>
      <w:tr w:rsidR="000B266B" w:rsidRPr="00FD70DE" w14:paraId="75FDF88D" w14:textId="77777777" w:rsidTr="00B678E8">
        <w:trPr>
          <w:cantSplit/>
          <w:jc w:val="center"/>
        </w:trPr>
        <w:tc>
          <w:tcPr>
            <w:tcW w:w="941" w:type="pct"/>
            <w:vAlign w:val="center"/>
          </w:tcPr>
          <w:p w14:paraId="6FB525F5" w14:textId="77777777" w:rsidR="000B266B" w:rsidRPr="00FD70DE" w:rsidRDefault="000B266B" w:rsidP="0041700E">
            <w:pPr>
              <w:pStyle w:val="TableText"/>
            </w:pPr>
            <w:r w:rsidRPr="00FD70DE">
              <w:t>Mean dose</w:t>
            </w:r>
          </w:p>
        </w:tc>
        <w:tc>
          <w:tcPr>
            <w:tcW w:w="1353" w:type="pct"/>
            <w:vAlign w:val="center"/>
          </w:tcPr>
          <w:p w14:paraId="137E28F5" w14:textId="77777777" w:rsidR="000B266B" w:rsidRPr="00FD70DE" w:rsidRDefault="000B266B" w:rsidP="0041700E">
            <w:pPr>
              <w:pStyle w:val="TableText"/>
              <w:jc w:val="center"/>
              <w:rPr>
                <w:bCs w:val="0"/>
              </w:rPr>
            </w:pPr>
            <w:r w:rsidRPr="00FD70DE">
              <w:t>2 mg per day</w:t>
            </w:r>
            <w:r w:rsidRPr="00FD70DE">
              <w:br/>
              <w:t>Average compliance 96.75%</w:t>
            </w:r>
          </w:p>
        </w:tc>
        <w:tc>
          <w:tcPr>
            <w:tcW w:w="1353" w:type="pct"/>
            <w:vAlign w:val="center"/>
          </w:tcPr>
          <w:p w14:paraId="69F609B5" w14:textId="77777777" w:rsidR="000B266B" w:rsidRPr="00FD70DE" w:rsidRDefault="000B266B" w:rsidP="0041700E">
            <w:pPr>
              <w:pStyle w:val="TableText"/>
              <w:jc w:val="center"/>
              <w:rPr>
                <w:bCs w:val="0"/>
              </w:rPr>
            </w:pPr>
            <w:r w:rsidRPr="00FD70DE">
              <w:t>2 mg per day</w:t>
            </w:r>
            <w:r w:rsidRPr="00FD70DE">
              <w:br/>
              <w:t>Average compliance 90%</w:t>
            </w:r>
          </w:p>
        </w:tc>
        <w:tc>
          <w:tcPr>
            <w:tcW w:w="1353" w:type="pct"/>
            <w:vAlign w:val="center"/>
          </w:tcPr>
          <w:p w14:paraId="1EDF4244" w14:textId="77777777" w:rsidR="000B266B" w:rsidRPr="00FD70DE" w:rsidRDefault="000B266B" w:rsidP="0041700E">
            <w:pPr>
              <w:pStyle w:val="TableText"/>
              <w:jc w:val="center"/>
              <w:rPr>
                <w:bCs w:val="0"/>
              </w:rPr>
            </w:pPr>
            <w:r w:rsidRPr="00FD70DE">
              <w:t>2 mg per day</w:t>
            </w:r>
            <w:r w:rsidRPr="00FD70DE">
              <w:br/>
              <w:t>Average compliance 90%</w:t>
            </w:r>
          </w:p>
        </w:tc>
      </w:tr>
      <w:tr w:rsidR="000B266B" w:rsidRPr="00FD70DE" w14:paraId="4D050D10" w14:textId="77777777" w:rsidTr="00B678E8">
        <w:trPr>
          <w:cantSplit/>
          <w:jc w:val="center"/>
        </w:trPr>
        <w:tc>
          <w:tcPr>
            <w:tcW w:w="941" w:type="pct"/>
            <w:vAlign w:val="center"/>
          </w:tcPr>
          <w:p w14:paraId="2B352EDD" w14:textId="77777777" w:rsidR="000B266B" w:rsidRPr="00FD70DE" w:rsidRDefault="000B266B" w:rsidP="0041700E">
            <w:pPr>
              <w:pStyle w:val="TableText"/>
            </w:pPr>
            <w:r w:rsidRPr="00FD70DE">
              <w:t>Mean duration</w:t>
            </w:r>
          </w:p>
        </w:tc>
        <w:tc>
          <w:tcPr>
            <w:tcW w:w="1353" w:type="pct"/>
            <w:vAlign w:val="center"/>
          </w:tcPr>
          <w:p w14:paraId="32538EA8" w14:textId="77777777" w:rsidR="000B266B" w:rsidRPr="00FD70DE" w:rsidRDefault="000B266B" w:rsidP="0041700E">
            <w:pPr>
              <w:pStyle w:val="TableText"/>
              <w:jc w:val="center"/>
              <w:rPr>
                <w:bCs w:val="0"/>
              </w:rPr>
            </w:pPr>
            <w:r w:rsidRPr="00FD70DE">
              <w:t>139.8 weeks (2.7 years)</w:t>
            </w:r>
            <w:r w:rsidRPr="00FD70DE">
              <w:br/>
              <w:t>(15.8 scripts) </w:t>
            </w:r>
            <w:r w:rsidRPr="00FD70DE">
              <w:rPr>
                <w:vertAlign w:val="superscript"/>
              </w:rPr>
              <w:t>a</w:t>
            </w:r>
          </w:p>
        </w:tc>
        <w:tc>
          <w:tcPr>
            <w:tcW w:w="1353" w:type="pct"/>
            <w:vAlign w:val="center"/>
          </w:tcPr>
          <w:p w14:paraId="4A94899D" w14:textId="77777777" w:rsidR="000B266B" w:rsidRPr="00FD70DE" w:rsidRDefault="000B266B" w:rsidP="0041700E">
            <w:pPr>
              <w:pStyle w:val="TableText"/>
              <w:jc w:val="center"/>
              <w:rPr>
                <w:bCs w:val="0"/>
              </w:rPr>
            </w:pPr>
            <w:r w:rsidRPr="00FD70DE">
              <w:t>641.7 weeks (12.3 years)</w:t>
            </w:r>
            <w:r w:rsidRPr="00FD70DE">
              <w:br/>
              <w:t>(67.4 scripts) </w:t>
            </w:r>
            <w:r w:rsidRPr="00FD70DE">
              <w:rPr>
                <w:vertAlign w:val="superscript"/>
              </w:rPr>
              <w:t>a</w:t>
            </w:r>
          </w:p>
        </w:tc>
        <w:tc>
          <w:tcPr>
            <w:tcW w:w="1353" w:type="pct"/>
            <w:vAlign w:val="center"/>
          </w:tcPr>
          <w:p w14:paraId="3F7029EC" w14:textId="77777777" w:rsidR="000B266B" w:rsidRPr="00FD70DE" w:rsidRDefault="000B266B" w:rsidP="0041700E">
            <w:pPr>
              <w:pStyle w:val="TableText"/>
              <w:jc w:val="center"/>
              <w:rPr>
                <w:bCs w:val="0"/>
              </w:rPr>
            </w:pPr>
            <w:r w:rsidRPr="00FD70DE">
              <w:t>312 weeks (6 years)</w:t>
            </w:r>
            <w:r w:rsidRPr="00FD70DE">
              <w:br/>
              <w:t>(32.87 scripts) </w:t>
            </w:r>
            <w:r w:rsidRPr="00FD70DE">
              <w:rPr>
                <w:vertAlign w:val="superscript"/>
              </w:rPr>
              <w:t>b</w:t>
            </w:r>
          </w:p>
        </w:tc>
      </w:tr>
      <w:tr w:rsidR="000B266B" w:rsidRPr="00FD70DE" w14:paraId="204D4377" w14:textId="77777777" w:rsidTr="00B678E8">
        <w:trPr>
          <w:cantSplit/>
          <w:jc w:val="center"/>
        </w:trPr>
        <w:tc>
          <w:tcPr>
            <w:tcW w:w="941" w:type="pct"/>
            <w:vAlign w:val="center"/>
          </w:tcPr>
          <w:p w14:paraId="55D2FFD8" w14:textId="77777777" w:rsidR="000B266B" w:rsidRPr="00FD70DE" w:rsidRDefault="000B266B" w:rsidP="0041700E">
            <w:pPr>
              <w:pStyle w:val="TableText"/>
            </w:pPr>
            <w:r w:rsidRPr="00FD70DE">
              <w:t>Cost per script</w:t>
            </w:r>
          </w:p>
        </w:tc>
        <w:tc>
          <w:tcPr>
            <w:tcW w:w="1353" w:type="pct"/>
            <w:vAlign w:val="center"/>
          </w:tcPr>
          <w:p w14:paraId="1AADE3ED" w14:textId="77777777" w:rsidR="000B266B" w:rsidRPr="00FD70DE" w:rsidRDefault="000B266B" w:rsidP="0041700E">
            <w:pPr>
              <w:pStyle w:val="TableText"/>
              <w:jc w:val="center"/>
              <w:rPr>
                <w:vertAlign w:val="superscript"/>
              </w:rPr>
            </w:pPr>
            <w:r w:rsidRPr="00FD70DE">
              <w:t>$</w:t>
            </w:r>
            <w:r w:rsidRPr="00AB52EE">
              <w:rPr>
                <w:color w:val="000000"/>
                <w:shd w:val="solid" w:color="000000" w:fill="000000"/>
                <w14:textFill>
                  <w14:solidFill>
                    <w14:srgbClr w14:val="000000">
                      <w14:alpha w14:val="100000"/>
                    </w14:srgbClr>
                  </w14:solidFill>
                </w14:textFill>
              </w:rPr>
              <w:t>|</w:t>
            </w:r>
            <w:r w:rsidRPr="00FD70DE">
              <w:t xml:space="preserve"> </w:t>
            </w:r>
            <w:r w:rsidRPr="00FD70DE">
              <w:rPr>
                <w:vertAlign w:val="superscript"/>
              </w:rPr>
              <w:t>c</w:t>
            </w:r>
          </w:p>
        </w:tc>
        <w:tc>
          <w:tcPr>
            <w:tcW w:w="1353" w:type="pct"/>
            <w:vAlign w:val="center"/>
          </w:tcPr>
          <w:p w14:paraId="1C0DC880" w14:textId="77777777" w:rsidR="000B266B" w:rsidRPr="00FD70DE" w:rsidRDefault="000B266B" w:rsidP="0041700E">
            <w:pPr>
              <w:pStyle w:val="TableText"/>
              <w:jc w:val="center"/>
              <w:rPr>
                <w:vertAlign w:val="superscript"/>
              </w:rPr>
            </w:pPr>
            <w:r w:rsidRPr="00FD70DE">
              <w:t>$</w:t>
            </w:r>
            <w:r w:rsidRPr="00AB52EE">
              <w:rPr>
                <w:color w:val="000000"/>
                <w:shd w:val="solid" w:color="000000" w:fill="000000"/>
                <w14:textFill>
                  <w14:solidFill>
                    <w14:srgbClr w14:val="000000">
                      <w14:alpha w14:val="100000"/>
                    </w14:srgbClr>
                  </w14:solidFill>
                </w14:textFill>
              </w:rPr>
              <w:t>|</w:t>
            </w:r>
            <w:r w:rsidRPr="00FD70DE">
              <w:t xml:space="preserve"> </w:t>
            </w:r>
            <w:r w:rsidRPr="00FD70DE">
              <w:rPr>
                <w:vertAlign w:val="superscript"/>
              </w:rPr>
              <w:t>c</w:t>
            </w:r>
          </w:p>
        </w:tc>
        <w:tc>
          <w:tcPr>
            <w:tcW w:w="1353" w:type="pct"/>
            <w:vAlign w:val="center"/>
          </w:tcPr>
          <w:p w14:paraId="57D1A254" w14:textId="77777777" w:rsidR="000B266B" w:rsidRPr="00FD70DE" w:rsidRDefault="000B266B" w:rsidP="0041700E">
            <w:pPr>
              <w:pStyle w:val="TableText"/>
              <w:jc w:val="center"/>
            </w:pPr>
            <w:r w:rsidRPr="00FD70DE">
              <w:t>$</w:t>
            </w:r>
            <w:r w:rsidRPr="00AB52EE">
              <w:rPr>
                <w:color w:val="000000"/>
                <w:shd w:val="solid" w:color="000000" w:fill="000000"/>
                <w14:textFill>
                  <w14:solidFill>
                    <w14:srgbClr w14:val="000000">
                      <w14:alpha w14:val="100000"/>
                    </w14:srgbClr>
                  </w14:solidFill>
                </w14:textFill>
              </w:rPr>
              <w:t>|</w:t>
            </w:r>
            <w:r w:rsidRPr="00FD70DE">
              <w:rPr>
                <w:vertAlign w:val="superscript"/>
              </w:rPr>
              <w:t xml:space="preserve"> c</w:t>
            </w:r>
          </w:p>
        </w:tc>
      </w:tr>
      <w:tr w:rsidR="000B266B" w:rsidRPr="00FD70DE" w14:paraId="279E93DC" w14:textId="77777777" w:rsidTr="00B678E8">
        <w:trPr>
          <w:cantSplit/>
          <w:jc w:val="center"/>
        </w:trPr>
        <w:tc>
          <w:tcPr>
            <w:tcW w:w="941" w:type="pct"/>
            <w:vAlign w:val="center"/>
          </w:tcPr>
          <w:p w14:paraId="4F21E2A1" w14:textId="77777777" w:rsidR="000B266B" w:rsidRPr="00FD70DE" w:rsidRDefault="000B266B" w:rsidP="0041700E">
            <w:pPr>
              <w:pStyle w:val="TableText"/>
            </w:pPr>
            <w:r w:rsidRPr="00FD70DE">
              <w:t>Cost/patient/course</w:t>
            </w:r>
          </w:p>
        </w:tc>
        <w:tc>
          <w:tcPr>
            <w:tcW w:w="1353" w:type="pct"/>
            <w:vAlign w:val="center"/>
          </w:tcPr>
          <w:p w14:paraId="62000F61" w14:textId="77777777" w:rsidR="000B266B" w:rsidRPr="00FD70DE" w:rsidRDefault="000B266B" w:rsidP="0041700E">
            <w:pPr>
              <w:pStyle w:val="TableText"/>
              <w:jc w:val="center"/>
            </w:pPr>
            <w:r w:rsidRPr="00FD70DE">
              <w:t>$</w:t>
            </w:r>
            <w:r w:rsidRPr="00AB52EE">
              <w:rPr>
                <w:color w:val="000000"/>
                <w:shd w:val="solid" w:color="000000" w:fill="000000"/>
                <w14:textFill>
                  <w14:solidFill>
                    <w14:srgbClr w14:val="000000">
                      <w14:alpha w14:val="100000"/>
                    </w14:srgbClr>
                  </w14:solidFill>
                </w14:textFill>
              </w:rPr>
              <w:t>|</w:t>
            </w:r>
          </w:p>
        </w:tc>
        <w:tc>
          <w:tcPr>
            <w:tcW w:w="1353" w:type="pct"/>
            <w:vAlign w:val="center"/>
          </w:tcPr>
          <w:p w14:paraId="375AF4B9" w14:textId="77777777" w:rsidR="000B266B" w:rsidRPr="00FD70DE" w:rsidRDefault="000B266B" w:rsidP="0041700E">
            <w:pPr>
              <w:pStyle w:val="TableText"/>
              <w:jc w:val="center"/>
            </w:pPr>
            <w:r w:rsidRPr="00FD70DE">
              <w:t>$</w:t>
            </w:r>
            <w:r w:rsidRPr="00AB52EE">
              <w:rPr>
                <w:color w:val="000000"/>
                <w:shd w:val="solid" w:color="000000" w:fill="000000"/>
                <w14:textFill>
                  <w14:solidFill>
                    <w14:srgbClr w14:val="000000">
                      <w14:alpha w14:val="100000"/>
                    </w14:srgbClr>
                  </w14:solidFill>
                </w14:textFill>
              </w:rPr>
              <w:t>|</w:t>
            </w:r>
          </w:p>
        </w:tc>
        <w:tc>
          <w:tcPr>
            <w:tcW w:w="1353" w:type="pct"/>
            <w:vAlign w:val="center"/>
          </w:tcPr>
          <w:p w14:paraId="376B3A0B" w14:textId="77777777" w:rsidR="000B266B" w:rsidRPr="00FD70DE" w:rsidRDefault="000B266B" w:rsidP="0041700E">
            <w:pPr>
              <w:pStyle w:val="TableText"/>
              <w:jc w:val="center"/>
            </w:pPr>
            <w:r w:rsidRPr="00FD70DE">
              <w:t>$</w:t>
            </w:r>
            <w:r w:rsidRPr="00AB52EE">
              <w:rPr>
                <w:color w:val="000000"/>
                <w:shd w:val="solid" w:color="000000" w:fill="000000"/>
                <w14:textFill>
                  <w14:solidFill>
                    <w14:srgbClr w14:val="000000">
                      <w14:alpha w14:val="100000"/>
                    </w14:srgbClr>
                  </w14:solidFill>
                </w14:textFill>
              </w:rPr>
              <w:t>|</w:t>
            </w:r>
          </w:p>
        </w:tc>
      </w:tr>
    </w:tbl>
    <w:p w14:paraId="099B2CED" w14:textId="77777777" w:rsidR="000B266B" w:rsidRPr="00FD70DE" w:rsidRDefault="000B266B" w:rsidP="0041700E">
      <w:pPr>
        <w:pStyle w:val="TableFigureFooter"/>
      </w:pPr>
      <w:r w:rsidRPr="4904BCD2">
        <w:t>Source: Compiled during the evaluation from the ‘Attachment 10 - Hepcludex HDV Section 3A Cost-Eff Model_vfinal.xlsm’ and ‘Attachment 14 - HEPCLUDEX HDV CoDep Section 4_final.xlsm’ files included with the submission.</w:t>
      </w:r>
    </w:p>
    <w:p w14:paraId="211736F3" w14:textId="77777777" w:rsidR="000B266B" w:rsidRPr="00FD70DE" w:rsidRDefault="000B266B" w:rsidP="0041700E">
      <w:pPr>
        <w:pStyle w:val="TableFigureFooter"/>
      </w:pPr>
      <w:r w:rsidRPr="00FD70DE">
        <w:rPr>
          <w:vertAlign w:val="superscript"/>
        </w:rPr>
        <w:t>a</w:t>
      </w:r>
      <w:r w:rsidRPr="00FD70DE">
        <w:t xml:space="preserve"> Duration of treatment (years) x compliance x (52 x 7) days per year / 60 days per script</w:t>
      </w:r>
    </w:p>
    <w:p w14:paraId="12A3BA42" w14:textId="3189F801" w:rsidR="000B266B" w:rsidRPr="00FD70DE" w:rsidRDefault="000B266B" w:rsidP="0041700E">
      <w:pPr>
        <w:pStyle w:val="TableFigureFooter"/>
        <w:rPr>
          <w:i/>
          <w:iCs/>
        </w:rPr>
      </w:pPr>
      <w:r w:rsidRPr="4904BCD2">
        <w:rPr>
          <w:vertAlign w:val="superscript"/>
        </w:rPr>
        <w:t>b</w:t>
      </w:r>
      <w:r w:rsidRPr="4904BCD2">
        <w:t xml:space="preserve"> Duration of treatment (years) x compliance / 60 days per script. </w:t>
      </w:r>
      <w:r w:rsidR="007D0196" w:rsidRPr="00A55D22">
        <w:t>However,</w:t>
      </w:r>
      <w:r w:rsidRPr="00A55D22">
        <w:t xml:space="preserve"> discontinuation is applied consistent with the model, 47.7% of patients discontinue by year 6.</w:t>
      </w:r>
    </w:p>
    <w:p w14:paraId="2E2D2F60" w14:textId="77777777" w:rsidR="000B266B" w:rsidRPr="00FD70DE" w:rsidRDefault="000B266B" w:rsidP="0041700E">
      <w:pPr>
        <w:pStyle w:val="TableFigureFooter"/>
      </w:pPr>
      <w:r w:rsidRPr="00FD70DE">
        <w:rPr>
          <w:vertAlign w:val="superscript"/>
        </w:rPr>
        <w:lastRenderedPageBreak/>
        <w:t>c</w:t>
      </w:r>
      <w:r w:rsidRPr="00FD70DE">
        <w:t xml:space="preserve"> Weighted dispensed price by assuming 80% of the scripts will be dispensed in a private/community setting and the remaining 20% in a public setting. </w:t>
      </w:r>
    </w:p>
    <w:p w14:paraId="167F2E99" w14:textId="5FFF5EDD" w:rsidR="000B266B" w:rsidRPr="00FD70DE" w:rsidRDefault="000B266B" w:rsidP="0041700E">
      <w:pPr>
        <w:pStyle w:val="3-BodyText"/>
        <w:spacing w:before="120" w:after="120"/>
      </w:pPr>
      <w:r w:rsidRPr="4904BCD2">
        <w:t>The cost per course of bulevirtide treatment modelled is $</w:t>
      </w:r>
      <w:r w:rsidRPr="00D70DBB">
        <w:rPr>
          <w:color w:val="000000"/>
          <w:spacing w:val="6"/>
          <w:w w:val="60"/>
          <w:shd w:val="solid" w:color="000000" w:fill="000000"/>
          <w:fitText w:val="470" w:id="-649843962"/>
          <w14:textFill>
            <w14:solidFill>
              <w14:srgbClr w14:val="000000">
                <w14:alpha w14:val="100000"/>
              </w14:srgbClr>
            </w14:solidFill>
          </w14:textFill>
        </w:rPr>
        <w:t>|||</w:t>
      </w:r>
      <w:r w:rsidR="00D70DBB" w:rsidRPr="00D70DBB">
        <w:rPr>
          <w:color w:val="000000"/>
          <w:spacing w:val="6"/>
          <w:w w:val="60"/>
          <w:shd w:val="solid" w:color="000000" w:fill="000000"/>
          <w:fitText w:val="470" w:id="-649843962"/>
          <w14:textFill>
            <w14:solidFill>
              <w14:srgbClr w14:val="000000">
                <w14:alpha w14:val="100000"/>
              </w14:srgbClr>
            </w14:solidFill>
          </w14:textFill>
        </w:rPr>
        <w:t xml:space="preserve"> </w:t>
      </w:r>
      <w:r w:rsidRPr="00D70DBB">
        <w:rPr>
          <w:color w:val="000000"/>
          <w:spacing w:val="6"/>
          <w:w w:val="60"/>
          <w:shd w:val="solid" w:color="000000" w:fill="000000"/>
          <w:fitText w:val="470" w:id="-649843962"/>
          <w14:textFill>
            <w14:solidFill>
              <w14:srgbClr w14:val="000000">
                <w14:alpha w14:val="100000"/>
              </w14:srgbClr>
            </w14:solidFill>
          </w14:textFill>
        </w:rPr>
        <w:t>||</w:t>
      </w:r>
      <w:r w:rsidRPr="00D70DBB">
        <w:rPr>
          <w:color w:val="000000"/>
          <w:spacing w:val="4"/>
          <w:w w:val="60"/>
          <w:shd w:val="solid" w:color="000000" w:fill="000000"/>
          <w:fitText w:val="470" w:id="-649843962"/>
          <w14:textFill>
            <w14:solidFill>
              <w14:srgbClr w14:val="000000">
                <w14:alpha w14:val="100000"/>
              </w14:srgbClr>
            </w14:solidFill>
          </w14:textFill>
        </w:rPr>
        <w:t>|</w:t>
      </w:r>
      <w:r w:rsidRPr="4904BCD2">
        <w:t xml:space="preserve"> (undiscounted). This was based on an average duration of treatment of 12.3 years (equivalent to 67.4</w:t>
      </w:r>
      <w:r>
        <w:t> </w:t>
      </w:r>
      <w:r w:rsidRPr="4904BCD2">
        <w:t>scripts)</w:t>
      </w:r>
      <w:r w:rsidRPr="4904BCD2">
        <w:rPr>
          <w:rStyle w:val="FootnoteReference"/>
        </w:rPr>
        <w:footnoteReference w:id="10"/>
      </w:r>
      <w:r w:rsidRPr="4904BCD2">
        <w:t xml:space="preserve"> assuming 90% compliance and a weighted cost per script of $</w:t>
      </w:r>
      <w:r w:rsidRPr="007848CD">
        <w:rPr>
          <w:color w:val="000000"/>
          <w:w w:val="15"/>
          <w:shd w:val="solid" w:color="000000" w:fill="000000"/>
          <w:fitText w:val="-20" w:id="-694941438"/>
          <w14:textFill>
            <w14:solidFill>
              <w14:srgbClr w14:val="000000">
                <w14:alpha w14:val="100000"/>
              </w14:srgbClr>
            </w14:solidFill>
          </w14:textFill>
        </w:rPr>
        <w:t>|</w:t>
      </w:r>
      <w:r w:rsidR="00D70DBB" w:rsidRPr="007848CD">
        <w:rPr>
          <w:color w:val="000000"/>
          <w:w w:val="15"/>
          <w:shd w:val="solid" w:color="000000" w:fill="000000"/>
          <w:fitText w:val="-20" w:id="-694941438"/>
          <w14:textFill>
            <w14:solidFill>
              <w14:srgbClr w14:val="000000">
                <w14:alpha w14:val="100000"/>
              </w14:srgbClr>
            </w14:solidFill>
          </w14:textFill>
        </w:rPr>
        <w:t xml:space="preserve"> </w:t>
      </w:r>
      <w:r w:rsidRPr="007848CD">
        <w:rPr>
          <w:color w:val="000000"/>
          <w:spacing w:val="-61"/>
          <w:w w:val="15"/>
          <w:shd w:val="solid" w:color="000000" w:fill="000000"/>
          <w:fitText w:val="-20" w:id="-694941438"/>
          <w14:textFill>
            <w14:solidFill>
              <w14:srgbClr w14:val="000000">
                <w14:alpha w14:val="100000"/>
              </w14:srgbClr>
            </w14:solidFill>
          </w14:textFill>
        </w:rPr>
        <w:t>|</w:t>
      </w:r>
      <w:r w:rsidRPr="4904BCD2">
        <w:t>.</w:t>
      </w:r>
    </w:p>
    <w:p w14:paraId="282B6A51" w14:textId="77777777" w:rsidR="000B266B" w:rsidRPr="00F50184" w:rsidRDefault="000B266B" w:rsidP="0041700E">
      <w:pPr>
        <w:pStyle w:val="4-SubsectionHeading"/>
      </w:pPr>
      <w:bookmarkStart w:id="60" w:name="_Toc413139284"/>
      <w:bookmarkStart w:id="61" w:name="_Toc188360804"/>
      <w:bookmarkStart w:id="62" w:name="_Toc413139286"/>
      <w:bookmarkEnd w:id="46"/>
      <w:r w:rsidRPr="00F50184">
        <w:t>Estimated PBS usage &amp; financial implications</w:t>
      </w:r>
      <w:bookmarkEnd w:id="60"/>
      <w:bookmarkEnd w:id="61"/>
    </w:p>
    <w:p w14:paraId="249A6AE3" w14:textId="5CA25C91" w:rsidR="000B266B" w:rsidRPr="00A16C9B" w:rsidRDefault="000B266B" w:rsidP="0041700E">
      <w:pPr>
        <w:pStyle w:val="3-BodyText"/>
        <w:spacing w:before="120" w:after="120"/>
      </w:pPr>
      <w:bookmarkStart w:id="63" w:name="_Toc413139287"/>
      <w:bookmarkEnd w:id="62"/>
      <w:r w:rsidRPr="4904BCD2">
        <w:t xml:space="preserve">The resubmission was not considered by DUSC. The sponsor retained the epidemiological approach taken in the submission considered at the March 2024 PBAC meeting. A summary of the data sources and parameter values used to estimate the utilisation and financial implications associated with the listing of HDV RNA testing and bulevirtide treatment for chronic HDV is presented below in </w:t>
      </w:r>
      <w:r w:rsidRPr="00A16C9B">
        <w:fldChar w:fldCharType="begin"/>
      </w:r>
      <w:r w:rsidRPr="00A16C9B">
        <w:instrText xml:space="preserve"> REF _Ref183598828 \h  \* MERGEFORMAT </w:instrText>
      </w:r>
      <w:r w:rsidRPr="00A16C9B">
        <w:fldChar w:fldCharType="separate"/>
      </w:r>
      <w:r w:rsidR="007848CD" w:rsidRPr="00CC7D4F">
        <w:t xml:space="preserve">Table </w:t>
      </w:r>
      <w:r w:rsidR="007848CD">
        <w:t>18</w:t>
      </w:r>
      <w:r w:rsidRPr="00A16C9B">
        <w:fldChar w:fldCharType="end"/>
      </w:r>
      <w:r w:rsidRPr="4904BCD2">
        <w:t xml:space="preserve">. </w:t>
      </w:r>
    </w:p>
    <w:p w14:paraId="5303488D" w14:textId="77777777" w:rsidR="000B266B" w:rsidRPr="00CC7D4F" w:rsidRDefault="000B266B" w:rsidP="0041700E">
      <w:pPr>
        <w:pStyle w:val="TableFigureHeading"/>
        <w:keepNext w:val="0"/>
        <w:rPr>
          <w:rStyle w:val="CommentReference"/>
          <w:rFonts w:asciiTheme="minorHAnsi" w:eastAsiaTheme="minorHAnsi" w:hAnsiTheme="minorHAnsi" w:cstheme="minorBidi"/>
          <w:b w:val="0"/>
          <w:bCs w:val="0"/>
          <w:sz w:val="20"/>
          <w:szCs w:val="24"/>
        </w:rPr>
      </w:pPr>
      <w:bookmarkStart w:id="64" w:name="_Ref183598828"/>
      <w:bookmarkStart w:id="65" w:name="_Ref183598823"/>
      <w:r w:rsidRPr="00CC7D4F">
        <w:t xml:space="preserve">Table </w:t>
      </w:r>
      <w:r>
        <w:t>18</w:t>
      </w:r>
      <w:bookmarkEnd w:id="64"/>
      <w:r>
        <w:t xml:space="preserve">: </w:t>
      </w:r>
      <w:r w:rsidRPr="00CC7D4F">
        <w:rPr>
          <w:rStyle w:val="CommentReference"/>
          <w:sz w:val="20"/>
          <w:szCs w:val="24"/>
        </w:rPr>
        <w:t>Key inputs for financial estimates</w:t>
      </w:r>
      <w:bookmarkEnd w:id="65"/>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8: Key inputs for financial estimates"/>
      </w:tblPr>
      <w:tblGrid>
        <w:gridCol w:w="2263"/>
        <w:gridCol w:w="1701"/>
        <w:gridCol w:w="2127"/>
        <w:gridCol w:w="3089"/>
      </w:tblGrid>
      <w:tr w:rsidR="000B266B" w:rsidRPr="00A16C9B" w14:paraId="4E988BE0" w14:textId="77777777" w:rsidTr="00B678E8">
        <w:trPr>
          <w:cantSplit/>
          <w:tblHeader/>
        </w:trPr>
        <w:tc>
          <w:tcPr>
            <w:tcW w:w="2263" w:type="dxa"/>
            <w:vAlign w:val="center"/>
          </w:tcPr>
          <w:p w14:paraId="40032B01" w14:textId="77777777" w:rsidR="000B266B" w:rsidRPr="00A16C9B" w:rsidRDefault="000B266B" w:rsidP="0041700E">
            <w:pPr>
              <w:pStyle w:val="In-tableHeading"/>
              <w:keepNext w:val="0"/>
              <w:jc w:val="center"/>
              <w:rPr>
                <w:lang w:eastAsia="en-AU"/>
              </w:rPr>
            </w:pPr>
            <w:r w:rsidRPr="00A16C9B">
              <w:rPr>
                <w:lang w:eastAsia="en-AU"/>
              </w:rPr>
              <w:t>Data</w:t>
            </w:r>
          </w:p>
        </w:tc>
        <w:tc>
          <w:tcPr>
            <w:tcW w:w="1701" w:type="dxa"/>
            <w:vAlign w:val="center"/>
          </w:tcPr>
          <w:p w14:paraId="5495A0C6" w14:textId="77777777" w:rsidR="000B266B" w:rsidRPr="00A16C9B" w:rsidRDefault="000B266B" w:rsidP="0041700E">
            <w:pPr>
              <w:pStyle w:val="In-tableHeading"/>
              <w:keepNext w:val="0"/>
              <w:jc w:val="center"/>
              <w:rPr>
                <w:lang w:eastAsia="en-AU"/>
              </w:rPr>
            </w:pPr>
            <w:r w:rsidRPr="00A16C9B">
              <w:rPr>
                <w:lang w:eastAsia="en-AU"/>
              </w:rPr>
              <w:t>Value</w:t>
            </w:r>
          </w:p>
        </w:tc>
        <w:tc>
          <w:tcPr>
            <w:tcW w:w="2127" w:type="dxa"/>
            <w:vAlign w:val="center"/>
          </w:tcPr>
          <w:p w14:paraId="0B45BCDA" w14:textId="77777777" w:rsidR="000B266B" w:rsidRPr="00A16C9B" w:rsidRDefault="000B266B" w:rsidP="0041700E">
            <w:pPr>
              <w:pStyle w:val="In-tableHeading"/>
              <w:keepNext w:val="0"/>
              <w:jc w:val="center"/>
              <w:rPr>
                <w:lang w:eastAsia="en-AU"/>
              </w:rPr>
            </w:pPr>
            <w:r w:rsidRPr="00A16C9B">
              <w:rPr>
                <w:lang w:eastAsia="en-AU"/>
              </w:rPr>
              <w:t>Source</w:t>
            </w:r>
          </w:p>
        </w:tc>
        <w:tc>
          <w:tcPr>
            <w:tcW w:w="3089" w:type="dxa"/>
            <w:vAlign w:val="center"/>
          </w:tcPr>
          <w:p w14:paraId="0D6AA069" w14:textId="77777777" w:rsidR="000B266B" w:rsidRPr="00A16C9B" w:rsidRDefault="000B266B" w:rsidP="0041700E">
            <w:pPr>
              <w:pStyle w:val="In-tableHeading"/>
              <w:keepNext w:val="0"/>
              <w:jc w:val="center"/>
              <w:rPr>
                <w:lang w:eastAsia="en-AU"/>
              </w:rPr>
            </w:pPr>
            <w:r w:rsidRPr="00A16C9B">
              <w:rPr>
                <w:lang w:eastAsia="en-AU"/>
              </w:rPr>
              <w:t>Comment</w:t>
            </w:r>
          </w:p>
        </w:tc>
      </w:tr>
      <w:tr w:rsidR="000B266B" w:rsidRPr="001A7F6E" w14:paraId="6686052E" w14:textId="77777777" w:rsidTr="00B678E8">
        <w:trPr>
          <w:cantSplit/>
        </w:trPr>
        <w:tc>
          <w:tcPr>
            <w:tcW w:w="9180" w:type="dxa"/>
            <w:gridSpan w:val="4"/>
            <w:tcBorders>
              <w:bottom w:val="single" w:sz="4" w:space="0" w:color="auto"/>
            </w:tcBorders>
            <w:vAlign w:val="center"/>
          </w:tcPr>
          <w:p w14:paraId="4D3ADEE6" w14:textId="77777777" w:rsidR="000B266B" w:rsidRPr="007D7A36" w:rsidRDefault="000B266B" w:rsidP="0041700E">
            <w:pPr>
              <w:pStyle w:val="TableText"/>
              <w:keepNext w:val="0"/>
              <w:rPr>
                <w:b/>
                <w:bCs w:val="0"/>
                <w:lang w:eastAsia="en-AU"/>
              </w:rPr>
            </w:pPr>
            <w:r w:rsidRPr="007D7A36">
              <w:rPr>
                <w:b/>
                <w:bCs w:val="0"/>
                <w:lang w:eastAsia="en-AU"/>
              </w:rPr>
              <w:t>Eligible population</w:t>
            </w:r>
          </w:p>
        </w:tc>
      </w:tr>
      <w:tr w:rsidR="000B266B" w:rsidRPr="00A16C9B" w14:paraId="7E36404B" w14:textId="77777777" w:rsidTr="00B678E8">
        <w:trPr>
          <w:cantSplit/>
        </w:trPr>
        <w:tc>
          <w:tcPr>
            <w:tcW w:w="2263" w:type="dxa"/>
            <w:vAlign w:val="center"/>
          </w:tcPr>
          <w:p w14:paraId="3E819791" w14:textId="77777777" w:rsidR="000B266B" w:rsidRPr="00A16C9B" w:rsidRDefault="000B266B" w:rsidP="0041700E">
            <w:pPr>
              <w:pStyle w:val="TableText"/>
              <w:keepNext w:val="0"/>
            </w:pPr>
            <w:r w:rsidRPr="00A16C9B">
              <w:t>Population projections, 2025−2030</w:t>
            </w:r>
          </w:p>
        </w:tc>
        <w:tc>
          <w:tcPr>
            <w:tcW w:w="1701" w:type="dxa"/>
            <w:vAlign w:val="center"/>
          </w:tcPr>
          <w:p w14:paraId="0CA0780F" w14:textId="77777777" w:rsidR="000B266B" w:rsidRPr="00A16C9B" w:rsidRDefault="000B266B" w:rsidP="0041700E">
            <w:pPr>
              <w:pStyle w:val="TableText"/>
              <w:keepNext w:val="0"/>
            </w:pPr>
            <w:r w:rsidRPr="00A16C9B">
              <w:t>27,970,435 in 2025, increasing to 29,931,725 in 2030</w:t>
            </w:r>
          </w:p>
        </w:tc>
        <w:tc>
          <w:tcPr>
            <w:tcW w:w="2127" w:type="dxa"/>
            <w:vAlign w:val="center"/>
          </w:tcPr>
          <w:p w14:paraId="032A9DE3" w14:textId="77777777" w:rsidR="000B266B" w:rsidRPr="00A16C9B" w:rsidRDefault="000B266B" w:rsidP="0041700E">
            <w:pPr>
              <w:pStyle w:val="TableText"/>
              <w:keepNext w:val="0"/>
            </w:pPr>
            <w:r w:rsidRPr="00A16C9B">
              <w:t>ABS Australian population projections, ages 0−100+</w:t>
            </w:r>
          </w:p>
        </w:tc>
        <w:tc>
          <w:tcPr>
            <w:tcW w:w="3089" w:type="dxa"/>
            <w:vAlign w:val="center"/>
          </w:tcPr>
          <w:p w14:paraId="14F7B70E" w14:textId="77777777" w:rsidR="000B266B" w:rsidRPr="00A16C9B" w:rsidRDefault="000B266B" w:rsidP="0041700E">
            <w:pPr>
              <w:pStyle w:val="TableText"/>
              <w:keepNext w:val="0"/>
              <w:rPr>
                <w:szCs w:val="20"/>
              </w:rPr>
            </w:pPr>
            <w:r w:rsidRPr="4904BCD2">
              <w:rPr>
                <w:szCs w:val="20"/>
              </w:rPr>
              <w:t>The reported HBV prevalence estimates also applied across all ages, so this population is appropriate, however the resubmission does not consider that bulevirtide is proposed in adults only.</w:t>
            </w:r>
          </w:p>
        </w:tc>
      </w:tr>
      <w:tr w:rsidR="000B266B" w:rsidRPr="001A7F6E" w14:paraId="707C65D6" w14:textId="77777777" w:rsidTr="00B678E8">
        <w:trPr>
          <w:cantSplit/>
        </w:trPr>
        <w:tc>
          <w:tcPr>
            <w:tcW w:w="9180" w:type="dxa"/>
            <w:gridSpan w:val="4"/>
            <w:vAlign w:val="center"/>
          </w:tcPr>
          <w:p w14:paraId="024D7489" w14:textId="77777777" w:rsidR="000B266B" w:rsidRPr="007D7A36" w:rsidRDefault="000B266B" w:rsidP="0041700E">
            <w:pPr>
              <w:pStyle w:val="TableText"/>
              <w:keepNext w:val="0"/>
              <w:rPr>
                <w:b/>
                <w:bCs w:val="0"/>
              </w:rPr>
            </w:pPr>
            <w:r w:rsidRPr="007D7A36">
              <w:rPr>
                <w:b/>
                <w:bCs w:val="0"/>
              </w:rPr>
              <w:t>Prevalent population – known HDV</w:t>
            </w:r>
          </w:p>
        </w:tc>
      </w:tr>
      <w:tr w:rsidR="000B266B" w:rsidRPr="00A16C9B" w14:paraId="5B824E70" w14:textId="77777777" w:rsidTr="00B678E8">
        <w:trPr>
          <w:cantSplit/>
        </w:trPr>
        <w:tc>
          <w:tcPr>
            <w:tcW w:w="2263" w:type="dxa"/>
            <w:vAlign w:val="center"/>
          </w:tcPr>
          <w:p w14:paraId="6F5BBA2D" w14:textId="77777777" w:rsidR="000B266B" w:rsidRPr="00A16C9B" w:rsidRDefault="000B266B" w:rsidP="0041700E">
            <w:pPr>
              <w:pStyle w:val="TableText"/>
              <w:keepNext w:val="0"/>
            </w:pPr>
            <w:r w:rsidRPr="00A16C9B">
              <w:t>Prevalence of chronic HBV in 2023</w:t>
            </w:r>
          </w:p>
        </w:tc>
        <w:tc>
          <w:tcPr>
            <w:tcW w:w="1701" w:type="dxa"/>
            <w:vAlign w:val="center"/>
          </w:tcPr>
          <w:p w14:paraId="2D0255CC" w14:textId="77777777" w:rsidR="000B266B" w:rsidRPr="00A16C9B" w:rsidRDefault="000B266B" w:rsidP="0041700E">
            <w:pPr>
              <w:pStyle w:val="TableText"/>
              <w:keepNext w:val="0"/>
            </w:pPr>
            <w:r w:rsidRPr="00A16C9B">
              <w:t>0.77%</w:t>
            </w:r>
          </w:p>
        </w:tc>
        <w:tc>
          <w:tcPr>
            <w:tcW w:w="2127" w:type="dxa"/>
            <w:vMerge w:val="restart"/>
            <w:vAlign w:val="center"/>
          </w:tcPr>
          <w:p w14:paraId="4DA239EB" w14:textId="77777777" w:rsidR="000B266B" w:rsidRPr="00A16C9B" w:rsidRDefault="000B266B" w:rsidP="0041700E">
            <w:pPr>
              <w:pStyle w:val="TableText"/>
              <w:keepNext w:val="0"/>
            </w:pPr>
            <w:r w:rsidRPr="00A16C9B">
              <w:t>Nguyen 2024, MacLachlan 2024</w:t>
            </w:r>
          </w:p>
        </w:tc>
        <w:tc>
          <w:tcPr>
            <w:tcW w:w="3089" w:type="dxa"/>
            <w:vMerge w:val="restart"/>
            <w:vAlign w:val="center"/>
          </w:tcPr>
          <w:p w14:paraId="6394B8CC" w14:textId="77777777" w:rsidR="000B266B" w:rsidRPr="00A16C9B" w:rsidRDefault="000B266B" w:rsidP="0041700E">
            <w:pPr>
              <w:pStyle w:val="TableText"/>
              <w:keepNext w:val="0"/>
            </w:pPr>
            <w:r w:rsidRPr="00A16C9B">
              <w:t>In line with the DUSC estimate, this updated value was taken from the same data source as the March 2024 submission but updated to use most recent 2002 prevalence evidence.</w:t>
            </w:r>
          </w:p>
        </w:tc>
      </w:tr>
      <w:tr w:rsidR="000B266B" w:rsidRPr="00A16C9B" w14:paraId="38F1E7DF" w14:textId="77777777" w:rsidTr="00B678E8">
        <w:trPr>
          <w:cantSplit/>
        </w:trPr>
        <w:tc>
          <w:tcPr>
            <w:tcW w:w="2263" w:type="dxa"/>
            <w:vAlign w:val="center"/>
          </w:tcPr>
          <w:p w14:paraId="310800D8" w14:textId="77777777" w:rsidR="000B266B" w:rsidRPr="00A16C9B" w:rsidRDefault="000B266B" w:rsidP="0041700E">
            <w:pPr>
              <w:pStyle w:val="TableText"/>
              <w:keepNext w:val="0"/>
            </w:pPr>
            <w:r w:rsidRPr="00A16C9B">
              <w:t>Prevalent chronic HBV diagnosed</w:t>
            </w:r>
          </w:p>
        </w:tc>
        <w:tc>
          <w:tcPr>
            <w:tcW w:w="1701" w:type="dxa"/>
            <w:vAlign w:val="center"/>
          </w:tcPr>
          <w:p w14:paraId="1B15365D" w14:textId="77777777" w:rsidR="000B266B" w:rsidRPr="00A16C9B" w:rsidRDefault="000B266B" w:rsidP="0041700E">
            <w:pPr>
              <w:pStyle w:val="TableText"/>
              <w:keepNext w:val="0"/>
            </w:pPr>
            <w:r w:rsidRPr="00A16C9B">
              <w:t>72.1%</w:t>
            </w:r>
          </w:p>
        </w:tc>
        <w:tc>
          <w:tcPr>
            <w:tcW w:w="2127" w:type="dxa"/>
            <w:vMerge/>
            <w:vAlign w:val="center"/>
          </w:tcPr>
          <w:p w14:paraId="17D343BC" w14:textId="77777777" w:rsidR="000B266B" w:rsidRPr="00A16C9B" w:rsidRDefault="000B266B" w:rsidP="0041700E">
            <w:pPr>
              <w:pStyle w:val="TableText"/>
              <w:keepNext w:val="0"/>
            </w:pPr>
          </w:p>
        </w:tc>
        <w:tc>
          <w:tcPr>
            <w:tcW w:w="3089" w:type="dxa"/>
            <w:vMerge/>
            <w:vAlign w:val="center"/>
          </w:tcPr>
          <w:p w14:paraId="1EDA54BF" w14:textId="77777777" w:rsidR="000B266B" w:rsidRPr="00A16C9B" w:rsidRDefault="000B266B" w:rsidP="0041700E">
            <w:pPr>
              <w:pStyle w:val="TableText"/>
              <w:keepNext w:val="0"/>
            </w:pPr>
          </w:p>
        </w:tc>
      </w:tr>
      <w:tr w:rsidR="000B266B" w:rsidRPr="00A16C9B" w14:paraId="08F05F3D" w14:textId="77777777" w:rsidTr="00B678E8">
        <w:trPr>
          <w:cantSplit/>
        </w:trPr>
        <w:tc>
          <w:tcPr>
            <w:tcW w:w="2263" w:type="dxa"/>
            <w:vAlign w:val="center"/>
          </w:tcPr>
          <w:p w14:paraId="3359309A" w14:textId="77777777" w:rsidR="000B266B" w:rsidRPr="00A16C9B" w:rsidRDefault="000B266B" w:rsidP="0041700E">
            <w:pPr>
              <w:pStyle w:val="TableText"/>
              <w:keepNext w:val="0"/>
            </w:pPr>
            <w:r w:rsidRPr="00A16C9B">
              <w:t>Prevalent chronic HBV patients diagnosed &amp; engaged in care</w:t>
            </w:r>
          </w:p>
        </w:tc>
        <w:tc>
          <w:tcPr>
            <w:tcW w:w="1701" w:type="dxa"/>
            <w:vAlign w:val="center"/>
          </w:tcPr>
          <w:p w14:paraId="7FAA4E92" w14:textId="77777777" w:rsidR="000B266B" w:rsidRPr="00A16C9B" w:rsidRDefault="000B266B" w:rsidP="0041700E">
            <w:pPr>
              <w:pStyle w:val="TableText"/>
              <w:keepNext w:val="0"/>
            </w:pPr>
            <w:r w:rsidRPr="00A16C9B">
              <w:t>35.4%</w:t>
            </w:r>
          </w:p>
        </w:tc>
        <w:tc>
          <w:tcPr>
            <w:tcW w:w="2127" w:type="dxa"/>
            <w:vMerge/>
            <w:vAlign w:val="center"/>
          </w:tcPr>
          <w:p w14:paraId="439533F2" w14:textId="77777777" w:rsidR="000B266B" w:rsidRPr="00A16C9B" w:rsidRDefault="000B266B" w:rsidP="0041700E">
            <w:pPr>
              <w:pStyle w:val="TableText"/>
              <w:keepNext w:val="0"/>
            </w:pPr>
          </w:p>
        </w:tc>
        <w:tc>
          <w:tcPr>
            <w:tcW w:w="3089" w:type="dxa"/>
            <w:vAlign w:val="center"/>
          </w:tcPr>
          <w:p w14:paraId="4DF69CF6" w14:textId="77777777" w:rsidR="000B266B" w:rsidRPr="00A16C9B" w:rsidRDefault="000B266B" w:rsidP="0041700E">
            <w:pPr>
              <w:pStyle w:val="TableText"/>
              <w:keepNext w:val="0"/>
              <w:rPr>
                <w:szCs w:val="20"/>
              </w:rPr>
            </w:pPr>
            <w:r w:rsidRPr="4904BCD2">
              <w:rPr>
                <w:szCs w:val="20"/>
              </w:rPr>
              <w:t>In considering the March 2024 submission, the PBAC noted more recent estimates are somewhat higher (35.9% of diagnosed patients in MacLachlan 2023) than the value provided (30.9%).</w:t>
            </w:r>
          </w:p>
        </w:tc>
      </w:tr>
      <w:tr w:rsidR="000B266B" w:rsidRPr="00A16C9B" w14:paraId="129CDF08" w14:textId="77777777" w:rsidTr="00B678E8">
        <w:trPr>
          <w:cantSplit/>
        </w:trPr>
        <w:tc>
          <w:tcPr>
            <w:tcW w:w="2263" w:type="dxa"/>
            <w:shd w:val="clear" w:color="auto" w:fill="DEEAF6" w:themeFill="accent1" w:themeFillTint="33"/>
            <w:vAlign w:val="center"/>
          </w:tcPr>
          <w:p w14:paraId="088260C9" w14:textId="77777777" w:rsidR="000B266B" w:rsidRPr="00A16C9B" w:rsidRDefault="000B266B" w:rsidP="0041700E">
            <w:pPr>
              <w:pStyle w:val="TableText"/>
              <w:keepNext w:val="0"/>
              <w:rPr>
                <w:szCs w:val="20"/>
              </w:rPr>
            </w:pPr>
            <w:r w:rsidRPr="37C20EEE">
              <w:rPr>
                <w:szCs w:val="20"/>
              </w:rPr>
              <w:t>Chronic HBV patients tested for anti-HDV prior to bulevirtide listed</w:t>
            </w:r>
          </w:p>
        </w:tc>
        <w:tc>
          <w:tcPr>
            <w:tcW w:w="1701" w:type="dxa"/>
            <w:shd w:val="clear" w:color="auto" w:fill="DEEAF6" w:themeFill="accent1" w:themeFillTint="33"/>
            <w:vAlign w:val="center"/>
          </w:tcPr>
          <w:p w14:paraId="0CC7A649" w14:textId="77777777" w:rsidR="000B266B" w:rsidRPr="00A16C9B" w:rsidRDefault="000B266B" w:rsidP="0041700E">
            <w:pPr>
              <w:pStyle w:val="TableText"/>
              <w:keepNext w:val="0"/>
            </w:pPr>
            <w:r w:rsidRPr="00A16C9B">
              <w:t>35.0%</w:t>
            </w:r>
          </w:p>
        </w:tc>
        <w:tc>
          <w:tcPr>
            <w:tcW w:w="2127" w:type="dxa"/>
            <w:shd w:val="clear" w:color="auto" w:fill="DEEAF6" w:themeFill="accent1" w:themeFillTint="33"/>
            <w:vAlign w:val="center"/>
          </w:tcPr>
          <w:p w14:paraId="6242F8E3" w14:textId="77777777" w:rsidR="000B266B" w:rsidRPr="00A16C9B" w:rsidRDefault="000B266B" w:rsidP="0041700E">
            <w:pPr>
              <w:pStyle w:val="TableText"/>
              <w:keepNext w:val="0"/>
            </w:pPr>
            <w:r w:rsidRPr="00A16C9B">
              <w:t>UK NICE submission, confirmed by clinicians</w:t>
            </w:r>
          </w:p>
        </w:tc>
        <w:tc>
          <w:tcPr>
            <w:tcW w:w="3089" w:type="dxa"/>
            <w:shd w:val="clear" w:color="auto" w:fill="DEEAF6" w:themeFill="accent1" w:themeFillTint="33"/>
            <w:vAlign w:val="center"/>
          </w:tcPr>
          <w:p w14:paraId="3E530969" w14:textId="77777777" w:rsidR="000B266B" w:rsidRPr="00A16C9B" w:rsidRDefault="000B266B" w:rsidP="0041700E">
            <w:pPr>
              <w:pStyle w:val="TableText"/>
              <w:keepNext w:val="0"/>
              <w:rPr>
                <w:szCs w:val="20"/>
              </w:rPr>
            </w:pPr>
            <w:r w:rsidRPr="4904BCD2">
              <w:rPr>
                <w:szCs w:val="20"/>
              </w:rPr>
              <w:t>While local clinicians were consulted, the DUSC considered the proportion of CHB patients tested for anti-HDV antibodies prior to bulevirtide being available was likely a substantial overestimate as it would only occur when clinically indicated. The resubmission noted that no alternative sources had been suggested during the March 2024 PBAC submission process and the value remains unchanged.</w:t>
            </w:r>
          </w:p>
        </w:tc>
      </w:tr>
      <w:tr w:rsidR="000B266B" w:rsidRPr="00A16C9B" w14:paraId="623DDD3F" w14:textId="77777777" w:rsidTr="00B678E8">
        <w:trPr>
          <w:cantSplit/>
        </w:trPr>
        <w:tc>
          <w:tcPr>
            <w:tcW w:w="2263" w:type="dxa"/>
            <w:vAlign w:val="center"/>
          </w:tcPr>
          <w:p w14:paraId="2725003D" w14:textId="77777777" w:rsidR="000B266B" w:rsidRPr="00A16C9B" w:rsidRDefault="000B266B" w:rsidP="0041700E">
            <w:pPr>
              <w:pStyle w:val="TableText"/>
              <w:keepLines/>
            </w:pPr>
            <w:r w:rsidRPr="00A16C9B">
              <w:lastRenderedPageBreak/>
              <w:t>Chronic HBV patients tested who are anti-HDV positive</w:t>
            </w:r>
          </w:p>
        </w:tc>
        <w:tc>
          <w:tcPr>
            <w:tcW w:w="1701" w:type="dxa"/>
            <w:vAlign w:val="center"/>
          </w:tcPr>
          <w:p w14:paraId="5186DED4" w14:textId="77777777" w:rsidR="000B266B" w:rsidRPr="00A16C9B" w:rsidRDefault="000B266B" w:rsidP="0041700E">
            <w:pPr>
              <w:pStyle w:val="TableText"/>
              <w:keepLines/>
            </w:pPr>
            <w:r w:rsidRPr="00A16C9B">
              <w:t>4.21%</w:t>
            </w:r>
          </w:p>
        </w:tc>
        <w:tc>
          <w:tcPr>
            <w:tcW w:w="2127" w:type="dxa"/>
            <w:vMerge w:val="restart"/>
            <w:vAlign w:val="center"/>
          </w:tcPr>
          <w:p w14:paraId="3E1F4D79" w14:textId="77777777" w:rsidR="000B266B" w:rsidRPr="00A16C9B" w:rsidRDefault="000B266B" w:rsidP="0041700E">
            <w:pPr>
              <w:pStyle w:val="TableText"/>
              <w:keepLines/>
              <w:rPr>
                <w:szCs w:val="20"/>
              </w:rPr>
            </w:pPr>
            <w:r w:rsidRPr="4904BCD2">
              <w:rPr>
                <w:szCs w:val="20"/>
              </w:rPr>
              <w:t>Weighted average from Coghill et al, Jackson et al. (2018) and Shadur et al.</w:t>
            </w:r>
            <w:r w:rsidRPr="4904BCD2">
              <w:rPr>
                <w:b/>
              </w:rPr>
              <w:t xml:space="preserve"> </w:t>
            </w:r>
            <w:r w:rsidRPr="4904BCD2">
              <w:rPr>
                <w:szCs w:val="20"/>
              </w:rPr>
              <w:t>(2013)</w:t>
            </w:r>
          </w:p>
        </w:tc>
        <w:tc>
          <w:tcPr>
            <w:tcW w:w="3089" w:type="dxa"/>
            <w:vAlign w:val="center"/>
          </w:tcPr>
          <w:p w14:paraId="51EBE85B" w14:textId="77777777" w:rsidR="000B266B" w:rsidRPr="00A16C9B" w:rsidRDefault="000B266B" w:rsidP="0041700E">
            <w:pPr>
              <w:pStyle w:val="TableText"/>
              <w:keepLines/>
              <w:rPr>
                <w:szCs w:val="20"/>
              </w:rPr>
            </w:pPr>
            <w:r w:rsidRPr="4904BCD2">
              <w:rPr>
                <w:szCs w:val="20"/>
              </w:rPr>
              <w:t>Based on the DUSC estimate of weighted value from Coghill, Jackson and Shadur.</w:t>
            </w:r>
          </w:p>
        </w:tc>
      </w:tr>
      <w:tr w:rsidR="000B266B" w:rsidRPr="00A16C9B" w14:paraId="2DDACA2E" w14:textId="77777777" w:rsidTr="00B678E8">
        <w:trPr>
          <w:cantSplit/>
        </w:trPr>
        <w:tc>
          <w:tcPr>
            <w:tcW w:w="2263" w:type="dxa"/>
            <w:shd w:val="clear" w:color="auto" w:fill="DEEAF6" w:themeFill="accent1" w:themeFillTint="33"/>
            <w:vAlign w:val="center"/>
          </w:tcPr>
          <w:p w14:paraId="7A5DB331" w14:textId="77777777" w:rsidR="000B266B" w:rsidRPr="00A16C9B" w:rsidRDefault="000B266B" w:rsidP="0041700E">
            <w:pPr>
              <w:pStyle w:val="TableText"/>
              <w:keepNext w:val="0"/>
              <w:rPr>
                <w:szCs w:val="20"/>
              </w:rPr>
            </w:pPr>
            <w:r w:rsidRPr="37C20EEE">
              <w:rPr>
                <w:szCs w:val="20"/>
              </w:rPr>
              <w:t>Uptake of RNA testing in anti-HDV positive patients prior to bulevirtide listed</w:t>
            </w:r>
          </w:p>
        </w:tc>
        <w:tc>
          <w:tcPr>
            <w:tcW w:w="1701" w:type="dxa"/>
            <w:shd w:val="clear" w:color="auto" w:fill="DEEAF6" w:themeFill="accent1" w:themeFillTint="33"/>
            <w:vAlign w:val="center"/>
          </w:tcPr>
          <w:p w14:paraId="77B061EC" w14:textId="77777777" w:rsidR="000B266B" w:rsidRPr="00A16C9B" w:rsidRDefault="000B266B" w:rsidP="0041700E">
            <w:pPr>
              <w:pStyle w:val="TableText"/>
              <w:keepNext w:val="0"/>
            </w:pPr>
            <w:r w:rsidRPr="00A16C9B">
              <w:t>44.4%</w:t>
            </w:r>
          </w:p>
        </w:tc>
        <w:tc>
          <w:tcPr>
            <w:tcW w:w="2127" w:type="dxa"/>
            <w:vMerge/>
            <w:vAlign w:val="center"/>
          </w:tcPr>
          <w:p w14:paraId="44A99624" w14:textId="77777777" w:rsidR="000B266B" w:rsidRPr="00A16C9B" w:rsidRDefault="000B266B" w:rsidP="0041700E">
            <w:pPr>
              <w:pStyle w:val="TableText"/>
              <w:keepNext w:val="0"/>
            </w:pPr>
          </w:p>
        </w:tc>
        <w:tc>
          <w:tcPr>
            <w:tcW w:w="3089" w:type="dxa"/>
            <w:shd w:val="clear" w:color="auto" w:fill="DEEAF6" w:themeFill="accent1" w:themeFillTint="33"/>
            <w:vAlign w:val="center"/>
          </w:tcPr>
          <w:p w14:paraId="38F1C336" w14:textId="77777777" w:rsidR="000B266B" w:rsidRPr="00A16C9B" w:rsidRDefault="000B266B" w:rsidP="0041700E">
            <w:pPr>
              <w:pStyle w:val="TableText"/>
              <w:keepNext w:val="0"/>
            </w:pPr>
            <w:r w:rsidRPr="00A16C9B">
              <w:t>Given that only a small number of labs currently provide HDV RNA testing, it is unclear whether the estimates derived from these studies apply across the country.</w:t>
            </w:r>
          </w:p>
        </w:tc>
      </w:tr>
      <w:tr w:rsidR="000B266B" w:rsidRPr="001A7F6E" w14:paraId="1D38D53A" w14:textId="77777777" w:rsidTr="00B678E8">
        <w:trPr>
          <w:cantSplit/>
        </w:trPr>
        <w:tc>
          <w:tcPr>
            <w:tcW w:w="9180" w:type="dxa"/>
            <w:gridSpan w:val="4"/>
            <w:vAlign w:val="center"/>
          </w:tcPr>
          <w:p w14:paraId="3D8B1F34" w14:textId="77777777" w:rsidR="000B266B" w:rsidRPr="007D7A36" w:rsidRDefault="000B266B" w:rsidP="0041700E">
            <w:pPr>
              <w:pStyle w:val="TableText"/>
              <w:keepNext w:val="0"/>
              <w:rPr>
                <w:b/>
                <w:bCs w:val="0"/>
              </w:rPr>
            </w:pPr>
            <w:r w:rsidRPr="007D7A36">
              <w:rPr>
                <w:b/>
                <w:bCs w:val="0"/>
              </w:rPr>
              <w:t>Prevalent population – unknown HDV</w:t>
            </w:r>
          </w:p>
        </w:tc>
      </w:tr>
      <w:tr w:rsidR="000B266B" w:rsidRPr="00A16C9B" w14:paraId="2510C6D6" w14:textId="77777777" w:rsidTr="00B678E8">
        <w:trPr>
          <w:cantSplit/>
        </w:trPr>
        <w:tc>
          <w:tcPr>
            <w:tcW w:w="2263" w:type="dxa"/>
            <w:tcBorders>
              <w:bottom w:val="single" w:sz="4" w:space="0" w:color="auto"/>
            </w:tcBorders>
            <w:vAlign w:val="center"/>
          </w:tcPr>
          <w:p w14:paraId="2858C28D" w14:textId="77777777" w:rsidR="000B266B" w:rsidRPr="00A16C9B" w:rsidRDefault="000B266B" w:rsidP="0041700E">
            <w:pPr>
              <w:pStyle w:val="TableText"/>
              <w:keepNext w:val="0"/>
              <w:rPr>
                <w:szCs w:val="20"/>
              </w:rPr>
            </w:pPr>
            <w:r w:rsidRPr="37C20EEE">
              <w:rPr>
                <w:szCs w:val="20"/>
              </w:rPr>
              <w:t>Prevalent chronic HBV patients who are engaged in care that are tested for anti-HDV after bulevirtide listed</w:t>
            </w:r>
          </w:p>
        </w:tc>
        <w:tc>
          <w:tcPr>
            <w:tcW w:w="1701" w:type="dxa"/>
            <w:tcBorders>
              <w:bottom w:val="single" w:sz="4" w:space="0" w:color="auto"/>
            </w:tcBorders>
            <w:vAlign w:val="center"/>
          </w:tcPr>
          <w:p w14:paraId="702C62B4" w14:textId="77777777" w:rsidR="000B266B" w:rsidRPr="00A16C9B" w:rsidRDefault="000B266B" w:rsidP="0041700E">
            <w:pPr>
              <w:pStyle w:val="TableText"/>
              <w:keepNext w:val="0"/>
            </w:pPr>
            <w:r w:rsidRPr="00A16C9B">
              <w:t xml:space="preserve">Year 1: </w:t>
            </w:r>
            <w:r w:rsidRPr="000B266B">
              <w:rPr>
                <w:color w:val="000000"/>
                <w:spacing w:val="53"/>
                <w:shd w:val="solid" w:color="000000" w:fill="000000"/>
                <w:fitText w:val="330" w:id="-649843961"/>
                <w14:textFill>
                  <w14:solidFill>
                    <w14:srgbClr w14:val="000000">
                      <w14:alpha w14:val="100000"/>
                    </w14:srgbClr>
                  </w14:solidFill>
                </w14:textFill>
              </w:rPr>
              <w:t>|||</w:t>
            </w:r>
            <w:r w:rsidRPr="000B266B">
              <w:rPr>
                <w:color w:val="000000"/>
                <w:spacing w:val="1"/>
                <w:shd w:val="solid" w:color="000000" w:fill="000000"/>
                <w:fitText w:val="330" w:id="-649843961"/>
                <w14:textFill>
                  <w14:solidFill>
                    <w14:srgbClr w14:val="000000">
                      <w14:alpha w14:val="100000"/>
                    </w14:srgbClr>
                  </w14:solidFill>
                </w14:textFill>
              </w:rPr>
              <w:t>|</w:t>
            </w:r>
            <w:r w:rsidRPr="00A16C9B">
              <w:t xml:space="preserve">% × </w:t>
            </w:r>
            <w:r w:rsidRPr="000B266B">
              <w:rPr>
                <w:color w:val="000000"/>
                <w:spacing w:val="53"/>
                <w:shd w:val="solid" w:color="000000" w:fill="000000"/>
                <w:fitText w:val="330" w:id="-649843960"/>
                <w14:textFill>
                  <w14:solidFill>
                    <w14:srgbClr w14:val="000000">
                      <w14:alpha w14:val="100000"/>
                    </w14:srgbClr>
                  </w14:solidFill>
                </w14:textFill>
              </w:rPr>
              <w:t>|||</w:t>
            </w:r>
            <w:r w:rsidRPr="000B266B">
              <w:rPr>
                <w:color w:val="000000"/>
                <w:spacing w:val="1"/>
                <w:shd w:val="solid" w:color="000000" w:fill="000000"/>
                <w:fitText w:val="330" w:id="-649843960"/>
                <w14:textFill>
                  <w14:solidFill>
                    <w14:srgbClr w14:val="000000">
                      <w14:alpha w14:val="100000"/>
                    </w14:srgbClr>
                  </w14:solidFill>
                </w14:textFill>
              </w:rPr>
              <w:t>|</w:t>
            </w:r>
            <w:r w:rsidRPr="00A16C9B">
              <w:t>%</w:t>
            </w:r>
          </w:p>
          <w:p w14:paraId="71D3782B" w14:textId="77777777" w:rsidR="000B266B" w:rsidRPr="00A16C9B" w:rsidRDefault="000B266B" w:rsidP="0041700E">
            <w:pPr>
              <w:pStyle w:val="TableText"/>
              <w:keepNext w:val="0"/>
            </w:pPr>
            <w:r w:rsidRPr="00A16C9B">
              <w:t xml:space="preserve">Year 2: </w:t>
            </w:r>
            <w:r w:rsidRPr="000B266B">
              <w:rPr>
                <w:color w:val="000000"/>
                <w:spacing w:val="53"/>
                <w:shd w:val="solid" w:color="000000" w:fill="000000"/>
                <w:fitText w:val="330" w:id="-649843959"/>
                <w14:textFill>
                  <w14:solidFill>
                    <w14:srgbClr w14:val="000000">
                      <w14:alpha w14:val="100000"/>
                    </w14:srgbClr>
                  </w14:solidFill>
                </w14:textFill>
              </w:rPr>
              <w:t>|||</w:t>
            </w:r>
            <w:r w:rsidRPr="000B266B">
              <w:rPr>
                <w:color w:val="000000"/>
                <w:spacing w:val="1"/>
                <w:shd w:val="solid" w:color="000000" w:fill="000000"/>
                <w:fitText w:val="330" w:id="-649843959"/>
                <w14:textFill>
                  <w14:solidFill>
                    <w14:srgbClr w14:val="000000">
                      <w14:alpha w14:val="100000"/>
                    </w14:srgbClr>
                  </w14:solidFill>
                </w14:textFill>
              </w:rPr>
              <w:t>|</w:t>
            </w:r>
            <w:r w:rsidRPr="00A16C9B">
              <w:t xml:space="preserve">% × </w:t>
            </w:r>
            <w:r w:rsidRPr="000B266B">
              <w:rPr>
                <w:color w:val="000000"/>
                <w:spacing w:val="53"/>
                <w:shd w:val="solid" w:color="000000" w:fill="000000"/>
                <w:fitText w:val="330" w:id="-649843958"/>
                <w14:textFill>
                  <w14:solidFill>
                    <w14:srgbClr w14:val="000000">
                      <w14:alpha w14:val="100000"/>
                    </w14:srgbClr>
                  </w14:solidFill>
                </w14:textFill>
              </w:rPr>
              <w:t>|||</w:t>
            </w:r>
            <w:r w:rsidRPr="000B266B">
              <w:rPr>
                <w:color w:val="000000"/>
                <w:spacing w:val="1"/>
                <w:shd w:val="solid" w:color="000000" w:fill="000000"/>
                <w:fitText w:val="330" w:id="-649843958"/>
                <w14:textFill>
                  <w14:solidFill>
                    <w14:srgbClr w14:val="000000">
                      <w14:alpha w14:val="100000"/>
                    </w14:srgbClr>
                  </w14:solidFill>
                </w14:textFill>
              </w:rPr>
              <w:t>|</w:t>
            </w:r>
            <w:r w:rsidRPr="00A16C9B">
              <w:t>%</w:t>
            </w:r>
          </w:p>
          <w:p w14:paraId="58B5EF4C" w14:textId="77777777" w:rsidR="000B266B" w:rsidRPr="00A16C9B" w:rsidRDefault="000B266B" w:rsidP="0041700E">
            <w:pPr>
              <w:pStyle w:val="TableText"/>
              <w:keepNext w:val="0"/>
            </w:pPr>
            <w:r w:rsidRPr="00A16C9B">
              <w:t xml:space="preserve">Year 3: </w:t>
            </w:r>
            <w:r w:rsidRPr="000B266B">
              <w:rPr>
                <w:color w:val="000000"/>
                <w:spacing w:val="53"/>
                <w:shd w:val="solid" w:color="000000" w:fill="000000"/>
                <w:fitText w:val="330" w:id="-649843957"/>
                <w14:textFill>
                  <w14:solidFill>
                    <w14:srgbClr w14:val="000000">
                      <w14:alpha w14:val="100000"/>
                    </w14:srgbClr>
                  </w14:solidFill>
                </w14:textFill>
              </w:rPr>
              <w:t>|||</w:t>
            </w:r>
            <w:r w:rsidRPr="000B266B">
              <w:rPr>
                <w:color w:val="000000"/>
                <w:spacing w:val="1"/>
                <w:shd w:val="solid" w:color="000000" w:fill="000000"/>
                <w:fitText w:val="330" w:id="-649843957"/>
                <w14:textFill>
                  <w14:solidFill>
                    <w14:srgbClr w14:val="000000">
                      <w14:alpha w14:val="100000"/>
                    </w14:srgbClr>
                  </w14:solidFill>
                </w14:textFill>
              </w:rPr>
              <w:t>|</w:t>
            </w:r>
            <w:r w:rsidRPr="00A16C9B">
              <w:t xml:space="preserve">% × </w:t>
            </w:r>
            <w:r w:rsidRPr="000B266B">
              <w:rPr>
                <w:color w:val="000000"/>
                <w:spacing w:val="53"/>
                <w:shd w:val="solid" w:color="000000" w:fill="000000"/>
                <w:fitText w:val="330" w:id="-649843956"/>
                <w14:textFill>
                  <w14:solidFill>
                    <w14:srgbClr w14:val="000000">
                      <w14:alpha w14:val="100000"/>
                    </w14:srgbClr>
                  </w14:solidFill>
                </w14:textFill>
              </w:rPr>
              <w:t>|||</w:t>
            </w:r>
            <w:r w:rsidRPr="000B266B">
              <w:rPr>
                <w:color w:val="000000"/>
                <w:spacing w:val="1"/>
                <w:shd w:val="solid" w:color="000000" w:fill="000000"/>
                <w:fitText w:val="330" w:id="-649843956"/>
                <w14:textFill>
                  <w14:solidFill>
                    <w14:srgbClr w14:val="000000">
                      <w14:alpha w14:val="100000"/>
                    </w14:srgbClr>
                  </w14:solidFill>
                </w14:textFill>
              </w:rPr>
              <w:t>|</w:t>
            </w:r>
            <w:r w:rsidRPr="00A16C9B">
              <w:t>%</w:t>
            </w:r>
          </w:p>
        </w:tc>
        <w:tc>
          <w:tcPr>
            <w:tcW w:w="2127" w:type="dxa"/>
            <w:tcBorders>
              <w:bottom w:val="single" w:sz="4" w:space="0" w:color="auto"/>
            </w:tcBorders>
            <w:vAlign w:val="center"/>
          </w:tcPr>
          <w:p w14:paraId="56AA232E" w14:textId="77777777" w:rsidR="000B266B" w:rsidRPr="00A16C9B" w:rsidRDefault="000B266B" w:rsidP="0041700E">
            <w:pPr>
              <w:pStyle w:val="TableText"/>
              <w:keepNext w:val="0"/>
            </w:pPr>
            <w:r w:rsidRPr="00A16C9B">
              <w:t>Assuming 80% uptake in those not previously tested for anti-HDV testing, over the first three years of listing</w:t>
            </w:r>
          </w:p>
        </w:tc>
        <w:tc>
          <w:tcPr>
            <w:tcW w:w="3089" w:type="dxa"/>
            <w:tcBorders>
              <w:bottom w:val="single" w:sz="4" w:space="0" w:color="auto"/>
            </w:tcBorders>
            <w:vAlign w:val="center"/>
          </w:tcPr>
          <w:p w14:paraId="58147D1E" w14:textId="77777777" w:rsidR="000B266B" w:rsidRPr="00A16C9B" w:rsidRDefault="000B266B" w:rsidP="0041700E">
            <w:pPr>
              <w:pStyle w:val="TableText"/>
              <w:keepNext w:val="0"/>
            </w:pPr>
            <w:r w:rsidRPr="00A16C9B">
              <w:t>Assumes unchanged overall 80% uptake as March 2024 submission but distribution amended for higher uptake in Year 1.</w:t>
            </w:r>
          </w:p>
        </w:tc>
      </w:tr>
      <w:tr w:rsidR="000B266B" w:rsidRPr="00A16C9B" w14:paraId="62C5E29D" w14:textId="77777777" w:rsidTr="00B678E8">
        <w:trPr>
          <w:cantSplit/>
        </w:trPr>
        <w:tc>
          <w:tcPr>
            <w:tcW w:w="2263" w:type="dxa"/>
            <w:vAlign w:val="center"/>
          </w:tcPr>
          <w:p w14:paraId="0FA8B88B" w14:textId="77777777" w:rsidR="000B266B" w:rsidRPr="00A16C9B" w:rsidRDefault="000B266B" w:rsidP="0041700E">
            <w:pPr>
              <w:pStyle w:val="TableText"/>
              <w:keepNext w:val="0"/>
              <w:rPr>
                <w:szCs w:val="20"/>
              </w:rPr>
            </w:pPr>
            <w:r w:rsidRPr="37C20EEE">
              <w:rPr>
                <w:szCs w:val="20"/>
              </w:rPr>
              <w:t>Uptake of RNA testing in anti-HDV positive patients after bulevirtide listed</w:t>
            </w:r>
          </w:p>
        </w:tc>
        <w:tc>
          <w:tcPr>
            <w:tcW w:w="1701" w:type="dxa"/>
            <w:vAlign w:val="center"/>
          </w:tcPr>
          <w:p w14:paraId="56BC53D5" w14:textId="77777777" w:rsidR="000B266B" w:rsidRPr="00A16C9B" w:rsidRDefault="000B266B" w:rsidP="0041700E">
            <w:pPr>
              <w:pStyle w:val="TableText"/>
              <w:keepNext w:val="0"/>
            </w:pPr>
            <w:r w:rsidRPr="000B266B">
              <w:rPr>
                <w:color w:val="000000"/>
                <w:spacing w:val="53"/>
                <w:shd w:val="solid" w:color="000000" w:fill="000000"/>
                <w:fitText w:val="330" w:id="-649843955"/>
                <w14:textFill>
                  <w14:solidFill>
                    <w14:srgbClr w14:val="000000">
                      <w14:alpha w14:val="100000"/>
                    </w14:srgbClr>
                  </w14:solidFill>
                </w14:textFill>
              </w:rPr>
              <w:t>|||</w:t>
            </w:r>
            <w:r w:rsidRPr="000B266B">
              <w:rPr>
                <w:color w:val="000000"/>
                <w:spacing w:val="1"/>
                <w:shd w:val="solid" w:color="000000" w:fill="000000"/>
                <w:fitText w:val="330" w:id="-649843955"/>
                <w14:textFill>
                  <w14:solidFill>
                    <w14:srgbClr w14:val="000000">
                      <w14:alpha w14:val="100000"/>
                    </w14:srgbClr>
                  </w14:solidFill>
                </w14:textFill>
              </w:rPr>
              <w:t>|</w:t>
            </w:r>
            <w:r w:rsidRPr="00A16C9B">
              <w:t xml:space="preserve">% in Year 1 increasing to </w:t>
            </w:r>
            <w:r w:rsidRPr="000B266B">
              <w:rPr>
                <w:color w:val="000000"/>
                <w:spacing w:val="53"/>
                <w:shd w:val="solid" w:color="000000" w:fill="000000"/>
                <w:fitText w:val="330" w:id="-649843954"/>
                <w14:textFill>
                  <w14:solidFill>
                    <w14:srgbClr w14:val="000000">
                      <w14:alpha w14:val="100000"/>
                    </w14:srgbClr>
                  </w14:solidFill>
                </w14:textFill>
              </w:rPr>
              <w:t>|||</w:t>
            </w:r>
            <w:r w:rsidRPr="000B266B">
              <w:rPr>
                <w:color w:val="000000"/>
                <w:spacing w:val="1"/>
                <w:shd w:val="solid" w:color="000000" w:fill="000000"/>
                <w:fitText w:val="330" w:id="-649843954"/>
                <w14:textFill>
                  <w14:solidFill>
                    <w14:srgbClr w14:val="000000">
                      <w14:alpha w14:val="100000"/>
                    </w14:srgbClr>
                  </w14:solidFill>
                </w14:textFill>
              </w:rPr>
              <w:t>|</w:t>
            </w:r>
            <w:r w:rsidRPr="00A16C9B">
              <w:t>% from Year 3</w:t>
            </w:r>
          </w:p>
        </w:tc>
        <w:tc>
          <w:tcPr>
            <w:tcW w:w="2127" w:type="dxa"/>
            <w:vAlign w:val="center"/>
          </w:tcPr>
          <w:p w14:paraId="11E8FA15" w14:textId="77777777" w:rsidR="000B266B" w:rsidRPr="00A16C9B" w:rsidRDefault="000B266B" w:rsidP="0041700E">
            <w:pPr>
              <w:pStyle w:val="TableText"/>
              <w:keepNext w:val="0"/>
            </w:pPr>
            <w:r w:rsidRPr="00A16C9B">
              <w:t>Assumption, supported by clinician discussions.</w:t>
            </w:r>
          </w:p>
        </w:tc>
        <w:tc>
          <w:tcPr>
            <w:tcW w:w="3089" w:type="dxa"/>
            <w:vAlign w:val="center"/>
          </w:tcPr>
          <w:p w14:paraId="31CEBA17" w14:textId="62C8C9D4" w:rsidR="000B266B" w:rsidRPr="00A16C9B" w:rsidRDefault="000B266B" w:rsidP="0041700E">
            <w:pPr>
              <w:pStyle w:val="TableText"/>
              <w:keepNext w:val="0"/>
              <w:rPr>
                <w:szCs w:val="20"/>
                <w:highlight w:val="red"/>
              </w:rPr>
            </w:pPr>
            <w:r w:rsidRPr="4904BCD2">
              <w:rPr>
                <w:szCs w:val="20"/>
              </w:rPr>
              <w:t xml:space="preserve">As described in Table 16, Bulevirtide, PBAC </w:t>
            </w:r>
            <w:r w:rsidR="00810143">
              <w:rPr>
                <w:szCs w:val="20"/>
              </w:rPr>
              <w:t>PSD</w:t>
            </w:r>
            <w:r w:rsidRPr="4904BCD2">
              <w:rPr>
                <w:szCs w:val="20"/>
              </w:rPr>
              <w:t xml:space="preserve"> March 2024, the uptake in the initial years has been increased.</w:t>
            </w:r>
          </w:p>
        </w:tc>
      </w:tr>
      <w:tr w:rsidR="000B266B" w:rsidRPr="00A16C9B" w14:paraId="0544CCC7" w14:textId="77777777" w:rsidTr="00B678E8">
        <w:trPr>
          <w:cantSplit/>
        </w:trPr>
        <w:tc>
          <w:tcPr>
            <w:tcW w:w="2263" w:type="dxa"/>
            <w:vAlign w:val="center"/>
          </w:tcPr>
          <w:p w14:paraId="5C938E34" w14:textId="77777777" w:rsidR="000B266B" w:rsidRPr="00A16C9B" w:rsidRDefault="000B266B" w:rsidP="0041700E">
            <w:pPr>
              <w:pStyle w:val="TableText"/>
              <w:keepNext w:val="0"/>
            </w:pPr>
            <w:r w:rsidRPr="00A16C9B">
              <w:t>Prevalent patients not currently engaged in care</w:t>
            </w:r>
          </w:p>
        </w:tc>
        <w:tc>
          <w:tcPr>
            <w:tcW w:w="1701" w:type="dxa"/>
            <w:vAlign w:val="center"/>
          </w:tcPr>
          <w:p w14:paraId="23C353AF" w14:textId="77777777" w:rsidR="000B266B" w:rsidRPr="00A16C9B" w:rsidRDefault="000B266B" w:rsidP="0041700E">
            <w:pPr>
              <w:pStyle w:val="TableText"/>
              <w:keepNext w:val="0"/>
            </w:pPr>
            <w:r w:rsidRPr="00A16C9B">
              <w:t>64.6%</w:t>
            </w:r>
          </w:p>
        </w:tc>
        <w:tc>
          <w:tcPr>
            <w:tcW w:w="2127" w:type="dxa"/>
            <w:vAlign w:val="center"/>
          </w:tcPr>
          <w:p w14:paraId="176E1E8B" w14:textId="77777777" w:rsidR="000B266B" w:rsidRPr="00A16C9B" w:rsidRDefault="000B266B" w:rsidP="0041700E">
            <w:pPr>
              <w:pStyle w:val="TableText"/>
              <w:keepNext w:val="0"/>
            </w:pPr>
            <w:r w:rsidRPr="00A16C9B">
              <w:t>100% - 35.4% (% diagnosed and engaged in care)</w:t>
            </w:r>
          </w:p>
        </w:tc>
        <w:tc>
          <w:tcPr>
            <w:tcW w:w="3089" w:type="dxa"/>
            <w:vAlign w:val="center"/>
          </w:tcPr>
          <w:p w14:paraId="76967649" w14:textId="77777777" w:rsidR="000B266B" w:rsidRPr="00A16C9B" w:rsidRDefault="000B266B" w:rsidP="0041700E">
            <w:pPr>
              <w:pStyle w:val="TableText"/>
              <w:keepNext w:val="0"/>
              <w:rPr>
                <w:szCs w:val="20"/>
              </w:rPr>
            </w:pPr>
            <w:r w:rsidRPr="37C20EEE">
              <w:rPr>
                <w:szCs w:val="20"/>
              </w:rPr>
              <w:t>As described in Table 16, Bulevirtide, PSD March 2024, the uptake accounts for prevalent patients not currently being treated.</w:t>
            </w:r>
          </w:p>
        </w:tc>
      </w:tr>
      <w:tr w:rsidR="000B266B" w:rsidRPr="00A16C9B" w14:paraId="6CDE1DF2" w14:textId="77777777" w:rsidTr="00B678E8">
        <w:trPr>
          <w:cantSplit/>
        </w:trPr>
        <w:tc>
          <w:tcPr>
            <w:tcW w:w="2263" w:type="dxa"/>
            <w:vAlign w:val="center"/>
          </w:tcPr>
          <w:p w14:paraId="3B70A451" w14:textId="77777777" w:rsidR="000B266B" w:rsidRPr="00A16C9B" w:rsidRDefault="000B266B" w:rsidP="0041700E">
            <w:pPr>
              <w:pStyle w:val="TableText"/>
              <w:keepNext w:val="0"/>
            </w:pPr>
            <w:r w:rsidRPr="00A16C9B">
              <w:t>Prevalent patients not currently engaged in care</w:t>
            </w:r>
          </w:p>
        </w:tc>
        <w:tc>
          <w:tcPr>
            <w:tcW w:w="1701" w:type="dxa"/>
            <w:vAlign w:val="center"/>
          </w:tcPr>
          <w:p w14:paraId="6B5C8FD7" w14:textId="77777777" w:rsidR="000B266B" w:rsidRPr="00A16C9B" w:rsidRDefault="000B266B" w:rsidP="0041700E">
            <w:pPr>
              <w:pStyle w:val="TableText"/>
              <w:keepNext w:val="0"/>
            </w:pPr>
            <w:r w:rsidRPr="00A16C9B">
              <w:t>1.00%</w:t>
            </w:r>
          </w:p>
        </w:tc>
        <w:tc>
          <w:tcPr>
            <w:tcW w:w="2127" w:type="dxa"/>
            <w:vAlign w:val="center"/>
          </w:tcPr>
          <w:p w14:paraId="590711D5" w14:textId="77777777" w:rsidR="000B266B" w:rsidRPr="00A16C9B" w:rsidRDefault="000B266B" w:rsidP="0041700E">
            <w:pPr>
              <w:pStyle w:val="TableText"/>
              <w:keepNext w:val="0"/>
            </w:pPr>
            <w:r w:rsidRPr="00A16C9B">
              <w:t>Nguyen 2024, page 14, Table 4</w:t>
            </w:r>
          </w:p>
        </w:tc>
        <w:tc>
          <w:tcPr>
            <w:tcW w:w="3089" w:type="dxa"/>
            <w:vAlign w:val="center"/>
          </w:tcPr>
          <w:p w14:paraId="7F43F36A" w14:textId="77777777" w:rsidR="000B266B" w:rsidRPr="00A16C9B" w:rsidRDefault="000B266B" w:rsidP="0041700E">
            <w:pPr>
              <w:pStyle w:val="TableText"/>
              <w:keepNext w:val="0"/>
              <w:rPr>
                <w:szCs w:val="20"/>
              </w:rPr>
            </w:pPr>
            <w:r w:rsidRPr="37C20EEE">
              <w:rPr>
                <w:szCs w:val="20"/>
              </w:rPr>
              <w:t>As described in Table 16, Bulevirtide, PSD March 2024, the uptake accounts for prevalent patients not currently being treated. This population is currently diagnosed prevalent patient who re-engage with care.</w:t>
            </w:r>
          </w:p>
        </w:tc>
      </w:tr>
      <w:tr w:rsidR="000B266B" w:rsidRPr="001A7F6E" w14:paraId="07353121" w14:textId="77777777" w:rsidTr="00B678E8">
        <w:trPr>
          <w:cantSplit/>
        </w:trPr>
        <w:tc>
          <w:tcPr>
            <w:tcW w:w="2263" w:type="dxa"/>
            <w:tcBorders>
              <w:right w:val="nil"/>
            </w:tcBorders>
            <w:vAlign w:val="center"/>
          </w:tcPr>
          <w:p w14:paraId="202FB13F" w14:textId="77777777" w:rsidR="000B266B" w:rsidRPr="007D7A36" w:rsidRDefault="000B266B" w:rsidP="0041700E">
            <w:pPr>
              <w:pStyle w:val="TableText"/>
              <w:keepNext w:val="0"/>
              <w:rPr>
                <w:b/>
                <w:bCs w:val="0"/>
              </w:rPr>
            </w:pPr>
            <w:r w:rsidRPr="007D7A36">
              <w:rPr>
                <w:b/>
                <w:bCs w:val="0"/>
              </w:rPr>
              <w:t>Incident population</w:t>
            </w:r>
          </w:p>
        </w:tc>
        <w:tc>
          <w:tcPr>
            <w:tcW w:w="1701" w:type="dxa"/>
            <w:tcBorders>
              <w:left w:val="nil"/>
              <w:right w:val="nil"/>
            </w:tcBorders>
            <w:vAlign w:val="center"/>
          </w:tcPr>
          <w:p w14:paraId="60AF79C1" w14:textId="77777777" w:rsidR="000B266B" w:rsidRPr="007D7A36" w:rsidRDefault="000B266B" w:rsidP="0041700E">
            <w:pPr>
              <w:pStyle w:val="TableText"/>
              <w:keepNext w:val="0"/>
              <w:rPr>
                <w:b/>
                <w:bCs w:val="0"/>
              </w:rPr>
            </w:pPr>
          </w:p>
        </w:tc>
        <w:tc>
          <w:tcPr>
            <w:tcW w:w="2127" w:type="dxa"/>
            <w:tcBorders>
              <w:left w:val="nil"/>
              <w:right w:val="nil"/>
            </w:tcBorders>
            <w:vAlign w:val="center"/>
          </w:tcPr>
          <w:p w14:paraId="46DEBFF9" w14:textId="77777777" w:rsidR="000B266B" w:rsidRPr="007D7A36" w:rsidRDefault="000B266B" w:rsidP="0041700E">
            <w:pPr>
              <w:pStyle w:val="TableText"/>
              <w:keepNext w:val="0"/>
              <w:rPr>
                <w:b/>
                <w:bCs w:val="0"/>
              </w:rPr>
            </w:pPr>
          </w:p>
        </w:tc>
        <w:tc>
          <w:tcPr>
            <w:tcW w:w="3089" w:type="dxa"/>
            <w:tcBorders>
              <w:left w:val="nil"/>
            </w:tcBorders>
            <w:vAlign w:val="center"/>
          </w:tcPr>
          <w:p w14:paraId="6A778BA5" w14:textId="77777777" w:rsidR="000B266B" w:rsidRPr="007D7A36" w:rsidRDefault="000B266B" w:rsidP="0041700E">
            <w:pPr>
              <w:pStyle w:val="TableText"/>
              <w:keepNext w:val="0"/>
              <w:rPr>
                <w:b/>
                <w:bCs w:val="0"/>
              </w:rPr>
            </w:pPr>
          </w:p>
        </w:tc>
      </w:tr>
      <w:tr w:rsidR="000B266B" w:rsidRPr="00A16C9B" w14:paraId="19011146" w14:textId="77777777" w:rsidTr="00B678E8">
        <w:trPr>
          <w:cantSplit/>
        </w:trPr>
        <w:tc>
          <w:tcPr>
            <w:tcW w:w="2263" w:type="dxa"/>
            <w:vAlign w:val="center"/>
          </w:tcPr>
          <w:p w14:paraId="1EAA7FF4" w14:textId="77777777" w:rsidR="000B266B" w:rsidRPr="00A16C9B" w:rsidRDefault="000B266B" w:rsidP="0041700E">
            <w:pPr>
              <w:pStyle w:val="TableText"/>
              <w:keepNext w:val="0"/>
            </w:pPr>
            <w:r w:rsidRPr="00A16C9B">
              <w:t>Incidence of chronic HBV</w:t>
            </w:r>
          </w:p>
        </w:tc>
        <w:tc>
          <w:tcPr>
            <w:tcW w:w="1701" w:type="dxa"/>
            <w:vAlign w:val="center"/>
          </w:tcPr>
          <w:p w14:paraId="0DFB79A1" w14:textId="77777777" w:rsidR="000B266B" w:rsidRPr="00A16C9B" w:rsidRDefault="000B266B" w:rsidP="0041700E">
            <w:pPr>
              <w:pStyle w:val="TableText"/>
              <w:keepNext w:val="0"/>
            </w:pPr>
            <w:r w:rsidRPr="00A16C9B">
              <w:t>0.0198%</w:t>
            </w:r>
          </w:p>
        </w:tc>
        <w:tc>
          <w:tcPr>
            <w:tcW w:w="2127" w:type="dxa"/>
            <w:vAlign w:val="center"/>
          </w:tcPr>
          <w:p w14:paraId="0375BBA1" w14:textId="77777777" w:rsidR="000B266B" w:rsidRPr="00A16C9B" w:rsidRDefault="000B266B" w:rsidP="0041700E">
            <w:pPr>
              <w:pStyle w:val="TableText"/>
              <w:keepNext w:val="0"/>
            </w:pPr>
            <w:r w:rsidRPr="00A16C9B">
              <w:t>Communicable Diseases Dashboard for 2023 </w:t>
            </w:r>
            <w:r w:rsidRPr="00A16C9B">
              <w:rPr>
                <w:vertAlign w:val="superscript"/>
              </w:rPr>
              <w:t>a</w:t>
            </w:r>
          </w:p>
        </w:tc>
        <w:tc>
          <w:tcPr>
            <w:tcW w:w="3089" w:type="dxa"/>
            <w:vAlign w:val="center"/>
          </w:tcPr>
          <w:p w14:paraId="56ABD46C" w14:textId="77777777" w:rsidR="000B266B" w:rsidRPr="00A16C9B" w:rsidRDefault="000B266B" w:rsidP="0041700E">
            <w:pPr>
              <w:pStyle w:val="TableText"/>
              <w:keepNext w:val="0"/>
            </w:pPr>
            <w:r w:rsidRPr="00A16C9B">
              <w:t>Previously accepted source, updated to 2023 evidence.</w:t>
            </w:r>
          </w:p>
        </w:tc>
      </w:tr>
      <w:tr w:rsidR="000B266B" w:rsidRPr="00A16C9B" w14:paraId="5537A65B" w14:textId="77777777" w:rsidTr="00B678E8">
        <w:trPr>
          <w:cantSplit/>
        </w:trPr>
        <w:tc>
          <w:tcPr>
            <w:tcW w:w="2263" w:type="dxa"/>
            <w:shd w:val="clear" w:color="auto" w:fill="DEEAF6" w:themeFill="accent1" w:themeFillTint="33"/>
            <w:vAlign w:val="center"/>
          </w:tcPr>
          <w:p w14:paraId="59005C55" w14:textId="77777777" w:rsidR="000B266B" w:rsidRPr="00A16C9B" w:rsidRDefault="000B266B" w:rsidP="0041700E">
            <w:pPr>
              <w:pStyle w:val="TableText"/>
              <w:keepNext w:val="0"/>
            </w:pPr>
            <w:r w:rsidRPr="00A16C9B">
              <w:t>Incident chronic HBV patients diagnosed &amp; engaged in care</w:t>
            </w:r>
          </w:p>
        </w:tc>
        <w:tc>
          <w:tcPr>
            <w:tcW w:w="1701" w:type="dxa"/>
            <w:shd w:val="clear" w:color="auto" w:fill="DEEAF6" w:themeFill="accent1" w:themeFillTint="33"/>
            <w:vAlign w:val="center"/>
          </w:tcPr>
          <w:p w14:paraId="7DE301AA" w14:textId="77777777" w:rsidR="000B266B" w:rsidRPr="00A16C9B" w:rsidRDefault="000B266B" w:rsidP="0041700E">
            <w:pPr>
              <w:pStyle w:val="TableText"/>
              <w:keepNext w:val="0"/>
            </w:pPr>
            <w:r w:rsidRPr="00A16C9B">
              <w:t>90.0%</w:t>
            </w:r>
          </w:p>
        </w:tc>
        <w:tc>
          <w:tcPr>
            <w:tcW w:w="2127" w:type="dxa"/>
            <w:shd w:val="clear" w:color="auto" w:fill="DEEAF6" w:themeFill="accent1" w:themeFillTint="33"/>
            <w:vAlign w:val="center"/>
          </w:tcPr>
          <w:p w14:paraId="08C3E054" w14:textId="77777777" w:rsidR="000B266B" w:rsidRPr="00A16C9B" w:rsidRDefault="000B266B" w:rsidP="0041700E">
            <w:pPr>
              <w:pStyle w:val="TableText"/>
              <w:keepNext w:val="0"/>
            </w:pPr>
            <w:r w:rsidRPr="00A16C9B">
              <w:t>Assumption</w:t>
            </w:r>
          </w:p>
        </w:tc>
        <w:tc>
          <w:tcPr>
            <w:tcW w:w="3089" w:type="dxa"/>
            <w:shd w:val="clear" w:color="auto" w:fill="DEEAF6" w:themeFill="accent1" w:themeFillTint="33"/>
          </w:tcPr>
          <w:p w14:paraId="5D81BCDF" w14:textId="77777777" w:rsidR="000B266B" w:rsidRPr="00A16C9B" w:rsidRDefault="000B266B" w:rsidP="0041700E">
            <w:pPr>
              <w:pStyle w:val="TableText"/>
              <w:keepNext w:val="0"/>
            </w:pPr>
            <w:r w:rsidRPr="00A16C9B">
              <w:t>As this was an assumption, there is likely to be uncertainty around this estimate.</w:t>
            </w:r>
          </w:p>
        </w:tc>
      </w:tr>
      <w:tr w:rsidR="000B266B" w:rsidRPr="00A16C9B" w14:paraId="08FE28FA" w14:textId="77777777" w:rsidTr="00B678E8">
        <w:trPr>
          <w:cantSplit/>
        </w:trPr>
        <w:tc>
          <w:tcPr>
            <w:tcW w:w="2263" w:type="dxa"/>
            <w:shd w:val="clear" w:color="auto" w:fill="DEEAF6" w:themeFill="accent1" w:themeFillTint="33"/>
            <w:vAlign w:val="center"/>
          </w:tcPr>
          <w:p w14:paraId="52F5C7C0" w14:textId="77777777" w:rsidR="000B266B" w:rsidRPr="00A16C9B" w:rsidRDefault="000B266B" w:rsidP="0041700E">
            <w:pPr>
              <w:pStyle w:val="TableText"/>
              <w:keepNext w:val="0"/>
              <w:rPr>
                <w:szCs w:val="20"/>
              </w:rPr>
            </w:pPr>
            <w:r w:rsidRPr="37C20EEE">
              <w:rPr>
                <w:szCs w:val="20"/>
              </w:rPr>
              <w:t>Incident chronic HBV patients tested for anti-HDV after bulevirtide listed</w:t>
            </w:r>
          </w:p>
        </w:tc>
        <w:tc>
          <w:tcPr>
            <w:tcW w:w="1701" w:type="dxa"/>
            <w:shd w:val="clear" w:color="auto" w:fill="DEEAF6" w:themeFill="accent1" w:themeFillTint="33"/>
            <w:vAlign w:val="center"/>
          </w:tcPr>
          <w:p w14:paraId="39FCF0A9" w14:textId="77777777" w:rsidR="000B266B" w:rsidRPr="00A16C9B" w:rsidRDefault="000B266B" w:rsidP="0041700E">
            <w:pPr>
              <w:pStyle w:val="TableText"/>
              <w:keepNext w:val="0"/>
            </w:pPr>
            <w:r w:rsidRPr="000B266B">
              <w:rPr>
                <w:color w:val="000000"/>
                <w:spacing w:val="53"/>
                <w:shd w:val="solid" w:color="000000" w:fill="000000"/>
                <w:fitText w:val="330" w:id="-649843953"/>
                <w14:textFill>
                  <w14:solidFill>
                    <w14:srgbClr w14:val="000000">
                      <w14:alpha w14:val="100000"/>
                    </w14:srgbClr>
                  </w14:solidFill>
                </w14:textFill>
              </w:rPr>
              <w:t>|||</w:t>
            </w:r>
            <w:r w:rsidRPr="000B266B">
              <w:rPr>
                <w:color w:val="000000"/>
                <w:spacing w:val="1"/>
                <w:shd w:val="solid" w:color="000000" w:fill="000000"/>
                <w:fitText w:val="330" w:id="-649843953"/>
                <w14:textFill>
                  <w14:solidFill>
                    <w14:srgbClr w14:val="000000">
                      <w14:alpha w14:val="100000"/>
                    </w14:srgbClr>
                  </w14:solidFill>
                </w14:textFill>
              </w:rPr>
              <w:t>|</w:t>
            </w:r>
            <w:r w:rsidRPr="00A16C9B">
              <w:t xml:space="preserve">% in Year 1 increasing to </w:t>
            </w:r>
            <w:r w:rsidRPr="000B266B">
              <w:rPr>
                <w:color w:val="000000"/>
                <w:spacing w:val="53"/>
                <w:shd w:val="solid" w:color="000000" w:fill="000000"/>
                <w:fitText w:val="330" w:id="-649843952"/>
                <w14:textFill>
                  <w14:solidFill>
                    <w14:srgbClr w14:val="000000">
                      <w14:alpha w14:val="100000"/>
                    </w14:srgbClr>
                  </w14:solidFill>
                </w14:textFill>
              </w:rPr>
              <w:t>|||</w:t>
            </w:r>
            <w:r w:rsidRPr="000B266B">
              <w:rPr>
                <w:color w:val="000000"/>
                <w:spacing w:val="1"/>
                <w:shd w:val="solid" w:color="000000" w:fill="000000"/>
                <w:fitText w:val="330" w:id="-649843952"/>
                <w14:textFill>
                  <w14:solidFill>
                    <w14:srgbClr w14:val="000000">
                      <w14:alpha w14:val="100000"/>
                    </w14:srgbClr>
                  </w14:solidFill>
                </w14:textFill>
              </w:rPr>
              <w:t>|</w:t>
            </w:r>
            <w:r w:rsidRPr="00A16C9B">
              <w:t>% from Year 3</w:t>
            </w:r>
          </w:p>
        </w:tc>
        <w:tc>
          <w:tcPr>
            <w:tcW w:w="2127" w:type="dxa"/>
            <w:shd w:val="clear" w:color="auto" w:fill="DEEAF6" w:themeFill="accent1" w:themeFillTint="33"/>
            <w:vAlign w:val="center"/>
          </w:tcPr>
          <w:p w14:paraId="37A94A0E" w14:textId="77777777" w:rsidR="000B266B" w:rsidRPr="00A16C9B" w:rsidRDefault="000B266B" w:rsidP="0041700E">
            <w:pPr>
              <w:pStyle w:val="TableText"/>
              <w:keepNext w:val="0"/>
            </w:pPr>
            <w:r w:rsidRPr="00A16C9B">
              <w:t>Assumption</w:t>
            </w:r>
          </w:p>
        </w:tc>
        <w:tc>
          <w:tcPr>
            <w:tcW w:w="3089" w:type="dxa"/>
            <w:shd w:val="clear" w:color="auto" w:fill="DEEAF6" w:themeFill="accent1" w:themeFillTint="33"/>
          </w:tcPr>
          <w:p w14:paraId="748AB993" w14:textId="77777777" w:rsidR="000B266B" w:rsidRPr="00A16C9B" w:rsidRDefault="000B266B" w:rsidP="0041700E">
            <w:pPr>
              <w:pStyle w:val="TableText"/>
              <w:keepNext w:val="0"/>
            </w:pPr>
            <w:r w:rsidRPr="00A16C9B">
              <w:t>As this was an assumption, there is likely to be uncertainty around this estimate.</w:t>
            </w:r>
          </w:p>
        </w:tc>
      </w:tr>
      <w:tr w:rsidR="000B266B" w:rsidRPr="00A16C9B" w14:paraId="5F912240" w14:textId="77777777" w:rsidTr="00B678E8">
        <w:trPr>
          <w:cantSplit/>
        </w:trPr>
        <w:tc>
          <w:tcPr>
            <w:tcW w:w="2263" w:type="dxa"/>
            <w:vAlign w:val="center"/>
          </w:tcPr>
          <w:p w14:paraId="1976B9F1" w14:textId="77777777" w:rsidR="000B266B" w:rsidRPr="00A16C9B" w:rsidRDefault="000B266B" w:rsidP="0041700E">
            <w:pPr>
              <w:pStyle w:val="TableText"/>
              <w:keepNext w:val="0"/>
            </w:pPr>
            <w:r w:rsidRPr="00A16C9B">
              <w:t>HDV RNA positive</w:t>
            </w:r>
          </w:p>
        </w:tc>
        <w:tc>
          <w:tcPr>
            <w:tcW w:w="1701" w:type="dxa"/>
            <w:vAlign w:val="center"/>
          </w:tcPr>
          <w:p w14:paraId="7AC81216" w14:textId="77777777" w:rsidR="000B266B" w:rsidRPr="00A16C9B" w:rsidRDefault="000B266B" w:rsidP="0041700E">
            <w:pPr>
              <w:pStyle w:val="TableText"/>
              <w:keepNext w:val="0"/>
            </w:pPr>
            <w:r w:rsidRPr="00A16C9B">
              <w:t>54.4%</w:t>
            </w:r>
          </w:p>
        </w:tc>
        <w:tc>
          <w:tcPr>
            <w:tcW w:w="2127" w:type="dxa"/>
            <w:vAlign w:val="center"/>
          </w:tcPr>
          <w:p w14:paraId="686AD764" w14:textId="77777777" w:rsidR="000B266B" w:rsidRPr="00A16C9B" w:rsidRDefault="000B266B" w:rsidP="0041700E">
            <w:pPr>
              <w:pStyle w:val="TableText"/>
              <w:keepNext w:val="0"/>
            </w:pPr>
            <w:r w:rsidRPr="00A16C9B">
              <w:t>Section 3 Economic model</w:t>
            </w:r>
          </w:p>
        </w:tc>
        <w:tc>
          <w:tcPr>
            <w:tcW w:w="3089" w:type="dxa"/>
            <w:vAlign w:val="center"/>
          </w:tcPr>
          <w:p w14:paraId="65D60BD7" w14:textId="77777777" w:rsidR="000B266B" w:rsidRPr="00A16C9B" w:rsidRDefault="000B266B" w:rsidP="0041700E">
            <w:pPr>
              <w:pStyle w:val="TableText"/>
              <w:keepNext w:val="0"/>
            </w:pPr>
            <w:r w:rsidRPr="00A16C9B">
              <w:t>Updated as suggested during evaluation of the March 2024 submission.</w:t>
            </w:r>
          </w:p>
        </w:tc>
      </w:tr>
      <w:tr w:rsidR="000B266B" w:rsidRPr="00A16C9B" w14:paraId="6B36487E" w14:textId="77777777" w:rsidTr="00B678E8">
        <w:trPr>
          <w:cantSplit/>
        </w:trPr>
        <w:tc>
          <w:tcPr>
            <w:tcW w:w="2263" w:type="dxa"/>
            <w:shd w:val="clear" w:color="auto" w:fill="DEEAF6" w:themeFill="accent1" w:themeFillTint="33"/>
            <w:vAlign w:val="center"/>
          </w:tcPr>
          <w:p w14:paraId="5DDBE7B6" w14:textId="77777777" w:rsidR="000B266B" w:rsidRPr="00A16C9B" w:rsidRDefault="000B266B" w:rsidP="0041700E">
            <w:pPr>
              <w:pStyle w:val="TableText"/>
              <w:keepNext w:val="0"/>
              <w:rPr>
                <w:szCs w:val="20"/>
              </w:rPr>
            </w:pPr>
            <w:r w:rsidRPr="37C20EEE">
              <w:rPr>
                <w:szCs w:val="20"/>
              </w:rPr>
              <w:t>Proportion HDV RNA positive patients eligible for bulevirtide</w:t>
            </w:r>
          </w:p>
        </w:tc>
        <w:tc>
          <w:tcPr>
            <w:tcW w:w="1701" w:type="dxa"/>
            <w:shd w:val="clear" w:color="auto" w:fill="DEEAF6" w:themeFill="accent1" w:themeFillTint="33"/>
            <w:vAlign w:val="center"/>
          </w:tcPr>
          <w:p w14:paraId="585511A0" w14:textId="77777777" w:rsidR="000B266B" w:rsidRPr="00A16C9B" w:rsidRDefault="000B266B" w:rsidP="0041700E">
            <w:pPr>
              <w:pStyle w:val="TableText"/>
              <w:keepNext w:val="0"/>
            </w:pPr>
            <w:r w:rsidRPr="00A16C9B">
              <w:t>82.0%</w:t>
            </w:r>
          </w:p>
        </w:tc>
        <w:tc>
          <w:tcPr>
            <w:tcW w:w="2127" w:type="dxa"/>
            <w:shd w:val="clear" w:color="auto" w:fill="DEEAF6" w:themeFill="accent1" w:themeFillTint="33"/>
            <w:vAlign w:val="center"/>
          </w:tcPr>
          <w:p w14:paraId="5291FF2A" w14:textId="77777777" w:rsidR="000B266B" w:rsidRPr="00A16C9B" w:rsidRDefault="000B266B" w:rsidP="0041700E">
            <w:pPr>
              <w:pStyle w:val="TableText"/>
              <w:keepNext w:val="0"/>
            </w:pPr>
            <w:r w:rsidRPr="00A16C9B">
              <w:t>MYR301</w:t>
            </w:r>
          </w:p>
        </w:tc>
        <w:tc>
          <w:tcPr>
            <w:tcW w:w="3089" w:type="dxa"/>
            <w:shd w:val="clear" w:color="auto" w:fill="DEEAF6" w:themeFill="accent1" w:themeFillTint="33"/>
            <w:vAlign w:val="center"/>
          </w:tcPr>
          <w:p w14:paraId="45F6D882" w14:textId="77777777" w:rsidR="000B266B" w:rsidRPr="00A16C9B" w:rsidRDefault="000B266B" w:rsidP="0041700E">
            <w:pPr>
              <w:pStyle w:val="TableText"/>
              <w:keepNext w:val="0"/>
              <w:rPr>
                <w:szCs w:val="20"/>
              </w:rPr>
            </w:pPr>
            <w:r w:rsidRPr="4904BCD2">
              <w:rPr>
                <w:szCs w:val="20"/>
              </w:rPr>
              <w:t>The DUSC considered the proportion of HDV RNA positive patients being eligible for bulevirtide may be overestimated.</w:t>
            </w:r>
          </w:p>
          <w:p w14:paraId="29DCBC6F" w14:textId="77777777" w:rsidR="000B266B" w:rsidRPr="00A16C9B" w:rsidRDefault="000B266B" w:rsidP="0041700E">
            <w:pPr>
              <w:pStyle w:val="TableText"/>
              <w:keepNext w:val="0"/>
            </w:pPr>
          </w:p>
          <w:p w14:paraId="1435B390" w14:textId="77777777" w:rsidR="000B266B" w:rsidRPr="00A16C9B" w:rsidRDefault="000B266B" w:rsidP="0041700E">
            <w:pPr>
              <w:pStyle w:val="TableText"/>
              <w:keepNext w:val="0"/>
              <w:rPr>
                <w:szCs w:val="20"/>
              </w:rPr>
            </w:pPr>
            <w:r w:rsidRPr="4904BCD2">
              <w:rPr>
                <w:szCs w:val="20"/>
              </w:rPr>
              <w:t>The Pre-PBAC response clarified the intended population is patients with Child Pugh Class A disease (no restriction on liver fibrosis), therefore the requested PBS population is aligned with the MYR301 trial.</w:t>
            </w:r>
          </w:p>
        </w:tc>
      </w:tr>
      <w:tr w:rsidR="000B266B" w:rsidRPr="00A16C9B" w14:paraId="273ECCD0" w14:textId="77777777" w:rsidTr="00B678E8">
        <w:trPr>
          <w:cantSplit/>
        </w:trPr>
        <w:tc>
          <w:tcPr>
            <w:tcW w:w="9180" w:type="dxa"/>
            <w:gridSpan w:val="4"/>
            <w:vAlign w:val="center"/>
          </w:tcPr>
          <w:p w14:paraId="1C87F7EC" w14:textId="77777777" w:rsidR="000B266B" w:rsidRPr="00A16C9B" w:rsidRDefault="000B266B" w:rsidP="0041700E">
            <w:pPr>
              <w:pStyle w:val="TableText"/>
              <w:rPr>
                <w:b/>
              </w:rPr>
            </w:pPr>
            <w:r w:rsidRPr="00A16C9B">
              <w:rPr>
                <w:b/>
              </w:rPr>
              <w:lastRenderedPageBreak/>
              <w:t>Treatment utilisation</w:t>
            </w:r>
          </w:p>
        </w:tc>
      </w:tr>
      <w:tr w:rsidR="000B266B" w:rsidRPr="00A16C9B" w14:paraId="165CC240" w14:textId="77777777" w:rsidTr="00B678E8">
        <w:trPr>
          <w:cantSplit/>
        </w:trPr>
        <w:tc>
          <w:tcPr>
            <w:tcW w:w="2263" w:type="dxa"/>
            <w:vAlign w:val="center"/>
          </w:tcPr>
          <w:p w14:paraId="2F440441" w14:textId="77777777" w:rsidR="000B266B" w:rsidRPr="00A16C9B" w:rsidRDefault="000B266B" w:rsidP="0041700E">
            <w:pPr>
              <w:pStyle w:val="TableText"/>
              <w:keepNext w:val="0"/>
            </w:pPr>
            <w:r w:rsidRPr="00A16C9B">
              <w:t>Uptake rate</w:t>
            </w:r>
          </w:p>
        </w:tc>
        <w:tc>
          <w:tcPr>
            <w:tcW w:w="1701" w:type="dxa"/>
            <w:vAlign w:val="center"/>
          </w:tcPr>
          <w:p w14:paraId="5F641065" w14:textId="77777777" w:rsidR="000B266B" w:rsidRPr="00A16C9B" w:rsidRDefault="000B266B" w:rsidP="0041700E">
            <w:pPr>
              <w:pStyle w:val="TableText"/>
              <w:keepNext w:val="0"/>
            </w:pPr>
            <w:r w:rsidRPr="000B266B">
              <w:rPr>
                <w:color w:val="000000"/>
                <w:spacing w:val="53"/>
                <w:shd w:val="solid" w:color="000000" w:fill="000000"/>
                <w:fitText w:val="330" w:id="-649843968"/>
                <w14:textFill>
                  <w14:solidFill>
                    <w14:srgbClr w14:val="000000">
                      <w14:alpha w14:val="100000"/>
                    </w14:srgbClr>
                  </w14:solidFill>
                </w14:textFill>
              </w:rPr>
              <w:t>|||</w:t>
            </w:r>
            <w:r w:rsidRPr="000B266B">
              <w:rPr>
                <w:color w:val="000000"/>
                <w:spacing w:val="1"/>
                <w:shd w:val="solid" w:color="000000" w:fill="000000"/>
                <w:fitText w:val="330" w:id="-649843968"/>
                <w14:textFill>
                  <w14:solidFill>
                    <w14:srgbClr w14:val="000000">
                      <w14:alpha w14:val="100000"/>
                    </w14:srgbClr>
                  </w14:solidFill>
                </w14:textFill>
              </w:rPr>
              <w:t>|</w:t>
            </w:r>
            <w:r w:rsidRPr="00A16C9B">
              <w:t xml:space="preserve">% in Year 1, increasing to </w:t>
            </w:r>
            <w:r w:rsidRPr="000B266B">
              <w:rPr>
                <w:color w:val="000000"/>
                <w:spacing w:val="53"/>
                <w:shd w:val="solid" w:color="000000" w:fill="000000"/>
                <w:fitText w:val="330" w:id="-649843967"/>
                <w14:textFill>
                  <w14:solidFill>
                    <w14:srgbClr w14:val="000000">
                      <w14:alpha w14:val="100000"/>
                    </w14:srgbClr>
                  </w14:solidFill>
                </w14:textFill>
              </w:rPr>
              <w:t>|||</w:t>
            </w:r>
            <w:r w:rsidRPr="000B266B">
              <w:rPr>
                <w:color w:val="000000"/>
                <w:spacing w:val="1"/>
                <w:shd w:val="solid" w:color="000000" w:fill="000000"/>
                <w:fitText w:val="330" w:id="-649843967"/>
                <w14:textFill>
                  <w14:solidFill>
                    <w14:srgbClr w14:val="000000">
                      <w14:alpha w14:val="100000"/>
                    </w14:srgbClr>
                  </w14:solidFill>
                </w14:textFill>
              </w:rPr>
              <w:t>|</w:t>
            </w:r>
            <w:r w:rsidRPr="00A16C9B">
              <w:t>% from Year 4</w:t>
            </w:r>
          </w:p>
        </w:tc>
        <w:tc>
          <w:tcPr>
            <w:tcW w:w="2127" w:type="dxa"/>
            <w:vAlign w:val="center"/>
          </w:tcPr>
          <w:p w14:paraId="1CD5EA48" w14:textId="77777777" w:rsidR="000B266B" w:rsidRPr="00A16C9B" w:rsidRDefault="000B266B" w:rsidP="0041700E">
            <w:pPr>
              <w:pStyle w:val="TableText"/>
              <w:keepNext w:val="0"/>
            </w:pPr>
            <w:r w:rsidRPr="00A16C9B">
              <w:t>Assumptions based on discussions with clinicians</w:t>
            </w:r>
          </w:p>
        </w:tc>
        <w:tc>
          <w:tcPr>
            <w:tcW w:w="3089" w:type="dxa"/>
            <w:vAlign w:val="center"/>
          </w:tcPr>
          <w:p w14:paraId="55897BBC" w14:textId="77777777" w:rsidR="000B266B" w:rsidRPr="00A16C9B" w:rsidRDefault="000B266B" w:rsidP="0041700E">
            <w:pPr>
              <w:pStyle w:val="TableText"/>
              <w:keepNext w:val="0"/>
            </w:pPr>
            <w:r w:rsidRPr="00A16C9B">
              <w:t>Updated as suggested during evaluation of the March 2024 submission.</w:t>
            </w:r>
          </w:p>
        </w:tc>
      </w:tr>
      <w:tr w:rsidR="000B266B" w:rsidRPr="00A16C9B" w14:paraId="667BA744" w14:textId="77777777" w:rsidTr="00B678E8">
        <w:trPr>
          <w:cantSplit/>
        </w:trPr>
        <w:tc>
          <w:tcPr>
            <w:tcW w:w="2263" w:type="dxa"/>
            <w:vAlign w:val="center"/>
          </w:tcPr>
          <w:p w14:paraId="7F94DAC0" w14:textId="77777777" w:rsidR="000B266B" w:rsidRPr="00A16C9B" w:rsidRDefault="000B266B" w:rsidP="0041700E">
            <w:pPr>
              <w:pStyle w:val="TableText"/>
              <w:keepNext w:val="0"/>
              <w:rPr>
                <w:szCs w:val="20"/>
              </w:rPr>
            </w:pPr>
            <w:r w:rsidRPr="4904BCD2">
              <w:rPr>
                <w:szCs w:val="20"/>
              </w:rPr>
              <w:t>Proportion of patients remaining on treatment per year</w:t>
            </w:r>
          </w:p>
        </w:tc>
        <w:tc>
          <w:tcPr>
            <w:tcW w:w="1701" w:type="dxa"/>
            <w:vAlign w:val="center"/>
          </w:tcPr>
          <w:p w14:paraId="0C98FF39" w14:textId="77777777" w:rsidR="000B266B" w:rsidRPr="00A16C9B" w:rsidRDefault="000B266B" w:rsidP="0041700E">
            <w:pPr>
              <w:pStyle w:val="TableText"/>
              <w:keepNext w:val="0"/>
            </w:pPr>
            <w:r w:rsidRPr="00A16C9B">
              <w:t>Year 1: 93.8%</w:t>
            </w:r>
          </w:p>
          <w:p w14:paraId="6483F0C4" w14:textId="77777777" w:rsidR="000B266B" w:rsidRPr="00A16C9B" w:rsidRDefault="000B266B" w:rsidP="0041700E">
            <w:pPr>
              <w:pStyle w:val="TableText"/>
              <w:keepNext w:val="0"/>
            </w:pPr>
            <w:r w:rsidRPr="00A16C9B">
              <w:t>Year 2: 86.3%</w:t>
            </w:r>
          </w:p>
          <w:p w14:paraId="34B87ED9" w14:textId="77777777" w:rsidR="000B266B" w:rsidRPr="00A16C9B" w:rsidRDefault="000B266B" w:rsidP="0041700E">
            <w:pPr>
              <w:pStyle w:val="TableText"/>
              <w:keepNext w:val="0"/>
            </w:pPr>
            <w:r w:rsidRPr="00A16C9B">
              <w:t>Year 3: 76.9%</w:t>
            </w:r>
          </w:p>
          <w:p w14:paraId="24E71709" w14:textId="77777777" w:rsidR="000B266B" w:rsidRPr="00A16C9B" w:rsidRDefault="000B266B" w:rsidP="0041700E">
            <w:pPr>
              <w:pStyle w:val="TableText"/>
              <w:keepNext w:val="0"/>
            </w:pPr>
            <w:r w:rsidRPr="00A16C9B">
              <w:t>Year 4: 59.3%</w:t>
            </w:r>
          </w:p>
          <w:p w14:paraId="506B83B1" w14:textId="77777777" w:rsidR="000B266B" w:rsidRPr="00A16C9B" w:rsidRDefault="000B266B" w:rsidP="0041700E">
            <w:pPr>
              <w:pStyle w:val="TableText"/>
              <w:keepNext w:val="0"/>
            </w:pPr>
            <w:r w:rsidRPr="00A16C9B">
              <w:t>Year 5: 55.7%</w:t>
            </w:r>
          </w:p>
          <w:p w14:paraId="47A80BD2" w14:textId="77777777" w:rsidR="000B266B" w:rsidRPr="00A16C9B" w:rsidRDefault="000B266B" w:rsidP="0041700E">
            <w:pPr>
              <w:pStyle w:val="TableText"/>
              <w:keepNext w:val="0"/>
            </w:pPr>
            <w:r w:rsidRPr="00A16C9B">
              <w:t>Year 6: 52.3%</w:t>
            </w:r>
          </w:p>
        </w:tc>
        <w:tc>
          <w:tcPr>
            <w:tcW w:w="2127" w:type="dxa"/>
            <w:vAlign w:val="center"/>
          </w:tcPr>
          <w:p w14:paraId="14DA4E0F" w14:textId="77777777" w:rsidR="000B266B" w:rsidRPr="00A16C9B" w:rsidRDefault="000B266B" w:rsidP="0041700E">
            <w:pPr>
              <w:pStyle w:val="TableText"/>
              <w:keepNext w:val="0"/>
            </w:pPr>
            <w:r w:rsidRPr="00A16C9B">
              <w:t>Section 3 economic model</w:t>
            </w:r>
          </w:p>
        </w:tc>
        <w:tc>
          <w:tcPr>
            <w:tcW w:w="3089" w:type="dxa"/>
            <w:vAlign w:val="center"/>
          </w:tcPr>
          <w:p w14:paraId="15F155F7" w14:textId="77777777" w:rsidR="000B266B" w:rsidRPr="00A16C9B" w:rsidRDefault="000B266B" w:rsidP="0041700E">
            <w:pPr>
              <w:pStyle w:val="TableText"/>
              <w:keepNext w:val="0"/>
            </w:pPr>
            <w:r w:rsidRPr="00A16C9B">
              <w:t>Updated to reflect the Section 3 economic model.</w:t>
            </w:r>
          </w:p>
        </w:tc>
      </w:tr>
      <w:tr w:rsidR="000B266B" w:rsidRPr="00A16C9B" w14:paraId="42DF5244" w14:textId="77777777" w:rsidTr="00B678E8">
        <w:trPr>
          <w:cantSplit/>
        </w:trPr>
        <w:tc>
          <w:tcPr>
            <w:tcW w:w="2263" w:type="dxa"/>
            <w:shd w:val="clear" w:color="auto" w:fill="DEEAF6" w:themeFill="accent1" w:themeFillTint="33"/>
            <w:vAlign w:val="center"/>
          </w:tcPr>
          <w:p w14:paraId="30CCC0EF" w14:textId="77777777" w:rsidR="000B266B" w:rsidRPr="00A16C9B" w:rsidRDefault="000B266B" w:rsidP="0041700E">
            <w:pPr>
              <w:pStyle w:val="TableText"/>
              <w:keepNext w:val="0"/>
            </w:pPr>
            <w:r w:rsidRPr="00A16C9B">
              <w:t>Scripts dispensed per patient per year</w:t>
            </w:r>
          </w:p>
        </w:tc>
        <w:tc>
          <w:tcPr>
            <w:tcW w:w="1701" w:type="dxa"/>
            <w:shd w:val="clear" w:color="auto" w:fill="DEEAF6" w:themeFill="accent1" w:themeFillTint="33"/>
            <w:vAlign w:val="center"/>
          </w:tcPr>
          <w:p w14:paraId="3A125383" w14:textId="77777777" w:rsidR="000B266B" w:rsidRPr="00A16C9B" w:rsidRDefault="000B266B" w:rsidP="0041700E">
            <w:pPr>
              <w:pStyle w:val="TableText"/>
              <w:keepNext w:val="0"/>
            </w:pPr>
            <w:r w:rsidRPr="00A16C9B">
              <w:t>5.48</w:t>
            </w:r>
          </w:p>
        </w:tc>
        <w:tc>
          <w:tcPr>
            <w:tcW w:w="2127" w:type="dxa"/>
            <w:shd w:val="clear" w:color="auto" w:fill="DEEAF6" w:themeFill="accent1" w:themeFillTint="33"/>
            <w:vAlign w:val="center"/>
          </w:tcPr>
          <w:p w14:paraId="6C1A9564" w14:textId="77777777" w:rsidR="000B266B" w:rsidRPr="00A16C9B" w:rsidRDefault="000B266B" w:rsidP="0041700E">
            <w:pPr>
              <w:pStyle w:val="TableText"/>
              <w:keepNext w:val="0"/>
            </w:pPr>
            <w:r w:rsidRPr="00A16C9B">
              <w:t>6.09 scripts per year (365.25/60), assuming 90% compliance</w:t>
            </w:r>
          </w:p>
        </w:tc>
        <w:tc>
          <w:tcPr>
            <w:tcW w:w="3089" w:type="dxa"/>
            <w:shd w:val="clear" w:color="auto" w:fill="DEEAF6" w:themeFill="accent1" w:themeFillTint="33"/>
            <w:vAlign w:val="center"/>
          </w:tcPr>
          <w:p w14:paraId="52E1FE22" w14:textId="77777777" w:rsidR="000B266B" w:rsidRPr="00A16C9B" w:rsidRDefault="000B266B" w:rsidP="0041700E">
            <w:pPr>
              <w:pStyle w:val="TableText"/>
              <w:keepNext w:val="0"/>
              <w:rPr>
                <w:szCs w:val="20"/>
              </w:rPr>
            </w:pPr>
            <w:r w:rsidRPr="4904BCD2">
              <w:rPr>
                <w:szCs w:val="20"/>
              </w:rPr>
              <w:t>DUSC considered 90% may be an overestimate of compliance for PBS utilisation - a real-world retrospective cohort study (2019-2021) by De Ledinghen V et al suggested 91% at 6 months, 88% at 12 months and 78% at 24 months.</w:t>
            </w:r>
          </w:p>
        </w:tc>
      </w:tr>
      <w:tr w:rsidR="000B266B" w:rsidRPr="00A16C9B" w14:paraId="6CDACA4B" w14:textId="77777777" w:rsidTr="00B678E8">
        <w:trPr>
          <w:cantSplit/>
        </w:trPr>
        <w:tc>
          <w:tcPr>
            <w:tcW w:w="9180" w:type="dxa"/>
            <w:gridSpan w:val="4"/>
            <w:vAlign w:val="center"/>
          </w:tcPr>
          <w:p w14:paraId="0C63D478" w14:textId="77777777" w:rsidR="000B266B" w:rsidRPr="00A16C9B" w:rsidRDefault="000B266B" w:rsidP="0041700E">
            <w:pPr>
              <w:pStyle w:val="TableText"/>
              <w:keepNext w:val="0"/>
              <w:rPr>
                <w:b/>
              </w:rPr>
            </w:pPr>
            <w:r w:rsidRPr="00A16C9B">
              <w:rPr>
                <w:b/>
              </w:rPr>
              <w:t>Costs</w:t>
            </w:r>
          </w:p>
        </w:tc>
      </w:tr>
      <w:tr w:rsidR="000B266B" w:rsidRPr="00A16C9B" w14:paraId="151ED20C" w14:textId="77777777" w:rsidTr="00B678E8">
        <w:trPr>
          <w:cantSplit/>
        </w:trPr>
        <w:tc>
          <w:tcPr>
            <w:tcW w:w="2263" w:type="dxa"/>
            <w:vAlign w:val="center"/>
          </w:tcPr>
          <w:p w14:paraId="208FA31F" w14:textId="77777777" w:rsidR="000B266B" w:rsidRPr="00A16C9B" w:rsidRDefault="000B266B" w:rsidP="0041700E">
            <w:pPr>
              <w:pStyle w:val="TableText"/>
              <w:keepNext w:val="0"/>
              <w:rPr>
                <w:szCs w:val="20"/>
              </w:rPr>
            </w:pPr>
            <w:r w:rsidRPr="37C20EEE">
              <w:rPr>
                <w:szCs w:val="20"/>
              </w:rPr>
              <w:t>Bulevirtide</w:t>
            </w:r>
          </w:p>
        </w:tc>
        <w:tc>
          <w:tcPr>
            <w:tcW w:w="1701" w:type="dxa"/>
            <w:vAlign w:val="center"/>
          </w:tcPr>
          <w:p w14:paraId="4171AA1D" w14:textId="77777777" w:rsidR="000B266B" w:rsidRPr="00A16C9B" w:rsidRDefault="000B266B" w:rsidP="0041700E">
            <w:pPr>
              <w:pStyle w:val="TableText"/>
              <w:keepNext w:val="0"/>
            </w:pPr>
            <w:r w:rsidRPr="00A16C9B">
              <w:t>Effective prices</w:t>
            </w:r>
            <w:r>
              <w:t xml:space="preserve"> (DPMQ)</w:t>
            </w:r>
          </w:p>
          <w:p w14:paraId="4097E9CF" w14:textId="77777777" w:rsidR="000B266B" w:rsidRPr="00A16C9B" w:rsidRDefault="000B266B" w:rsidP="0041700E">
            <w:pPr>
              <w:pStyle w:val="TableText"/>
              <w:keepNext w:val="0"/>
            </w:pPr>
            <w:r w:rsidRPr="00A16C9B">
              <w:t>$</w:t>
            </w:r>
            <w:r w:rsidRPr="000B266B">
              <w:rPr>
                <w:color w:val="000000"/>
                <w:spacing w:val="53"/>
                <w:shd w:val="solid" w:color="000000" w:fill="000000"/>
                <w:fitText w:val="330" w:id="-649843966"/>
                <w14:textFill>
                  <w14:solidFill>
                    <w14:srgbClr w14:val="000000">
                      <w14:alpha w14:val="100000"/>
                    </w14:srgbClr>
                  </w14:solidFill>
                </w14:textFill>
              </w:rPr>
              <w:t>|||</w:t>
            </w:r>
            <w:r w:rsidRPr="000B266B">
              <w:rPr>
                <w:color w:val="000000"/>
                <w:spacing w:val="1"/>
                <w:shd w:val="solid" w:color="000000" w:fill="000000"/>
                <w:fitText w:val="330" w:id="-649843966"/>
                <w14:textFill>
                  <w14:solidFill>
                    <w14:srgbClr w14:val="000000">
                      <w14:alpha w14:val="100000"/>
                    </w14:srgbClr>
                  </w14:solidFill>
                </w14:textFill>
              </w:rPr>
              <w:t>|</w:t>
            </w:r>
            <w:r w:rsidRPr="00A16C9B">
              <w:t xml:space="preserve"> public</w:t>
            </w:r>
          </w:p>
          <w:p w14:paraId="1EF18AC9" w14:textId="77777777" w:rsidR="000B266B" w:rsidRPr="00A16C9B" w:rsidRDefault="000B266B" w:rsidP="0041700E">
            <w:pPr>
              <w:pStyle w:val="TableText"/>
              <w:keepNext w:val="0"/>
            </w:pPr>
            <w:r w:rsidRPr="00A16C9B">
              <w:t>$</w:t>
            </w:r>
            <w:r w:rsidRPr="000B266B">
              <w:rPr>
                <w:color w:val="000000"/>
                <w:spacing w:val="53"/>
                <w:shd w:val="solid" w:color="000000" w:fill="000000"/>
                <w:fitText w:val="330" w:id="-649843965"/>
                <w14:textFill>
                  <w14:solidFill>
                    <w14:srgbClr w14:val="000000">
                      <w14:alpha w14:val="100000"/>
                    </w14:srgbClr>
                  </w14:solidFill>
                </w14:textFill>
              </w:rPr>
              <w:t>|||</w:t>
            </w:r>
            <w:r w:rsidRPr="000B266B">
              <w:rPr>
                <w:color w:val="000000"/>
                <w:spacing w:val="1"/>
                <w:shd w:val="solid" w:color="000000" w:fill="000000"/>
                <w:fitText w:val="330" w:id="-649843965"/>
                <w14:textFill>
                  <w14:solidFill>
                    <w14:srgbClr w14:val="000000">
                      <w14:alpha w14:val="100000"/>
                    </w14:srgbClr>
                  </w14:solidFill>
                </w14:textFill>
              </w:rPr>
              <w:t>|</w:t>
            </w:r>
            <w:r w:rsidRPr="00A16C9B">
              <w:t xml:space="preserve"> private</w:t>
            </w:r>
          </w:p>
        </w:tc>
        <w:tc>
          <w:tcPr>
            <w:tcW w:w="2127" w:type="dxa"/>
            <w:vAlign w:val="center"/>
          </w:tcPr>
          <w:p w14:paraId="3365F9AB" w14:textId="77777777" w:rsidR="000B266B" w:rsidRPr="00A16C9B" w:rsidRDefault="000B266B" w:rsidP="0041700E">
            <w:pPr>
              <w:pStyle w:val="TableText"/>
              <w:keepNext w:val="0"/>
            </w:pPr>
            <w:r w:rsidRPr="00A16C9B">
              <w:t>Proposed Section 100 HSD Public /Private and Community Access DPMQ</w:t>
            </w:r>
          </w:p>
        </w:tc>
        <w:tc>
          <w:tcPr>
            <w:tcW w:w="3089" w:type="dxa"/>
          </w:tcPr>
          <w:p w14:paraId="6A27D4E2" w14:textId="77777777" w:rsidR="000B266B" w:rsidRPr="00A16C9B" w:rsidRDefault="000B266B" w:rsidP="0041700E">
            <w:pPr>
              <w:pStyle w:val="TableText"/>
              <w:keepNext w:val="0"/>
            </w:pPr>
            <w:r w:rsidRPr="00A16C9B">
              <w:t>Updated to be consistent with Section 3 which assumed 20% of scripts would be dispensed in a public hospital.</w:t>
            </w:r>
          </w:p>
        </w:tc>
      </w:tr>
      <w:tr w:rsidR="000B266B" w:rsidRPr="00A16C9B" w14:paraId="597A0884" w14:textId="77777777" w:rsidTr="00B678E8">
        <w:trPr>
          <w:cantSplit/>
        </w:trPr>
        <w:tc>
          <w:tcPr>
            <w:tcW w:w="2263" w:type="dxa"/>
            <w:tcBorders>
              <w:bottom w:val="single" w:sz="4" w:space="0" w:color="auto"/>
            </w:tcBorders>
            <w:vAlign w:val="center"/>
          </w:tcPr>
          <w:p w14:paraId="5A6CD812" w14:textId="77777777" w:rsidR="000B266B" w:rsidRPr="00A16C9B" w:rsidRDefault="000B266B" w:rsidP="0041700E">
            <w:pPr>
              <w:pStyle w:val="TableText"/>
              <w:keepNext w:val="0"/>
            </w:pPr>
            <w:r w:rsidRPr="00A16C9B">
              <w:t>Patient copayment</w:t>
            </w:r>
          </w:p>
        </w:tc>
        <w:tc>
          <w:tcPr>
            <w:tcW w:w="1701" w:type="dxa"/>
            <w:tcBorders>
              <w:bottom w:val="single" w:sz="4" w:space="0" w:color="auto"/>
            </w:tcBorders>
            <w:vAlign w:val="center"/>
          </w:tcPr>
          <w:p w14:paraId="1CAA0FD8" w14:textId="77777777" w:rsidR="000B266B" w:rsidRPr="00A16C9B" w:rsidRDefault="000B266B" w:rsidP="0041700E">
            <w:pPr>
              <w:pStyle w:val="TableText"/>
              <w:keepNext w:val="0"/>
            </w:pPr>
            <w:r w:rsidRPr="00A16C9B">
              <w:t>$24.44</w:t>
            </w:r>
          </w:p>
        </w:tc>
        <w:tc>
          <w:tcPr>
            <w:tcW w:w="2127" w:type="dxa"/>
            <w:tcBorders>
              <w:bottom w:val="single" w:sz="4" w:space="0" w:color="auto"/>
            </w:tcBorders>
            <w:vAlign w:val="center"/>
          </w:tcPr>
          <w:p w14:paraId="432E9B20" w14:textId="77777777" w:rsidR="000B266B" w:rsidRPr="00A16C9B" w:rsidRDefault="000B266B" w:rsidP="0041700E">
            <w:pPr>
              <w:pStyle w:val="TableText"/>
              <w:keepNext w:val="0"/>
            </w:pPr>
            <w:r w:rsidRPr="00A16C9B">
              <w:t>PBS items 10310P, 11142K and 11155D, assuming only PBS copayments</w:t>
            </w:r>
          </w:p>
        </w:tc>
        <w:tc>
          <w:tcPr>
            <w:tcW w:w="3089" w:type="dxa"/>
            <w:tcBorders>
              <w:bottom w:val="single" w:sz="4" w:space="0" w:color="auto"/>
            </w:tcBorders>
          </w:tcPr>
          <w:p w14:paraId="6E01E34E" w14:textId="77777777" w:rsidR="000B266B" w:rsidRPr="00A16C9B" w:rsidRDefault="000B266B" w:rsidP="0041700E">
            <w:pPr>
              <w:pStyle w:val="TableText"/>
              <w:keepNext w:val="0"/>
              <w:rPr>
                <w:szCs w:val="20"/>
              </w:rPr>
            </w:pPr>
            <w:r w:rsidRPr="4904BCD2">
              <w:rPr>
                <w:szCs w:val="20"/>
              </w:rPr>
              <w:t>This was appropriate.</w:t>
            </w:r>
          </w:p>
        </w:tc>
      </w:tr>
      <w:tr w:rsidR="000B266B" w:rsidRPr="00A16C9B" w14:paraId="43888BDD" w14:textId="77777777" w:rsidTr="00B678E8">
        <w:trPr>
          <w:cantSplit/>
        </w:trPr>
        <w:tc>
          <w:tcPr>
            <w:tcW w:w="2263" w:type="dxa"/>
            <w:tcBorders>
              <w:bottom w:val="single" w:sz="4" w:space="0" w:color="auto"/>
              <w:right w:val="nil"/>
            </w:tcBorders>
            <w:vAlign w:val="center"/>
          </w:tcPr>
          <w:p w14:paraId="39A5A06C" w14:textId="77777777" w:rsidR="000B266B" w:rsidRPr="00D120E3" w:rsidRDefault="000B266B" w:rsidP="0041700E">
            <w:pPr>
              <w:pStyle w:val="TableText"/>
              <w:keepNext w:val="0"/>
              <w:rPr>
                <w:b/>
                <w:bCs w:val="0"/>
              </w:rPr>
            </w:pPr>
            <w:r w:rsidRPr="00D120E3">
              <w:rPr>
                <w:b/>
                <w:bCs w:val="0"/>
              </w:rPr>
              <w:t>MBS costs</w:t>
            </w:r>
          </w:p>
        </w:tc>
        <w:tc>
          <w:tcPr>
            <w:tcW w:w="1701" w:type="dxa"/>
            <w:tcBorders>
              <w:left w:val="nil"/>
              <w:bottom w:val="single" w:sz="4" w:space="0" w:color="auto"/>
              <w:right w:val="nil"/>
            </w:tcBorders>
            <w:vAlign w:val="center"/>
          </w:tcPr>
          <w:p w14:paraId="22081B5D" w14:textId="77777777" w:rsidR="000B266B" w:rsidRPr="00A16C9B" w:rsidRDefault="000B266B" w:rsidP="0041700E">
            <w:pPr>
              <w:pStyle w:val="TableText"/>
              <w:keepNext w:val="0"/>
            </w:pPr>
          </w:p>
        </w:tc>
        <w:tc>
          <w:tcPr>
            <w:tcW w:w="2127" w:type="dxa"/>
            <w:tcBorders>
              <w:left w:val="nil"/>
              <w:bottom w:val="single" w:sz="4" w:space="0" w:color="auto"/>
              <w:right w:val="nil"/>
            </w:tcBorders>
            <w:vAlign w:val="center"/>
          </w:tcPr>
          <w:p w14:paraId="2C0E873E" w14:textId="77777777" w:rsidR="000B266B" w:rsidRPr="00A16C9B" w:rsidRDefault="000B266B" w:rsidP="0041700E">
            <w:pPr>
              <w:pStyle w:val="TableText"/>
              <w:keepNext w:val="0"/>
            </w:pPr>
          </w:p>
        </w:tc>
        <w:tc>
          <w:tcPr>
            <w:tcW w:w="3089" w:type="dxa"/>
            <w:tcBorders>
              <w:left w:val="nil"/>
              <w:bottom w:val="single" w:sz="4" w:space="0" w:color="auto"/>
            </w:tcBorders>
            <w:vAlign w:val="center"/>
          </w:tcPr>
          <w:p w14:paraId="446721CD" w14:textId="77777777" w:rsidR="000B266B" w:rsidRPr="00A16C9B" w:rsidRDefault="000B266B" w:rsidP="0041700E">
            <w:pPr>
              <w:pStyle w:val="TableText"/>
              <w:keepNext w:val="0"/>
            </w:pPr>
          </w:p>
        </w:tc>
      </w:tr>
      <w:tr w:rsidR="000B266B" w:rsidRPr="00A16C9B" w14:paraId="62075C5E" w14:textId="77777777" w:rsidTr="00B678E8">
        <w:trPr>
          <w:cantSplit/>
        </w:trPr>
        <w:tc>
          <w:tcPr>
            <w:tcW w:w="2263" w:type="dxa"/>
            <w:tcBorders>
              <w:top w:val="nil"/>
            </w:tcBorders>
            <w:shd w:val="clear" w:color="auto" w:fill="DEEAF6" w:themeFill="accent1" w:themeFillTint="33"/>
            <w:vAlign w:val="center"/>
          </w:tcPr>
          <w:p w14:paraId="686A87AE" w14:textId="77777777" w:rsidR="000B266B" w:rsidRPr="00A16C9B" w:rsidRDefault="000B266B" w:rsidP="0041700E">
            <w:pPr>
              <w:pStyle w:val="TableText"/>
              <w:keepNext w:val="0"/>
            </w:pPr>
            <w:r w:rsidRPr="00A16C9B">
              <w:t>HDV RNA PCR testing</w:t>
            </w:r>
          </w:p>
        </w:tc>
        <w:tc>
          <w:tcPr>
            <w:tcW w:w="1701" w:type="dxa"/>
            <w:tcBorders>
              <w:top w:val="nil"/>
            </w:tcBorders>
            <w:shd w:val="clear" w:color="auto" w:fill="DEEAF6" w:themeFill="accent1" w:themeFillTint="33"/>
            <w:vAlign w:val="center"/>
          </w:tcPr>
          <w:p w14:paraId="59E41BB7" w14:textId="77777777" w:rsidR="000B266B" w:rsidRPr="00A16C9B" w:rsidRDefault="000B266B" w:rsidP="0041700E">
            <w:pPr>
              <w:pStyle w:val="TableText"/>
              <w:keepNext w:val="0"/>
            </w:pPr>
            <w:r w:rsidRPr="00A16C9B">
              <w:t>$129.30</w:t>
            </w:r>
          </w:p>
        </w:tc>
        <w:tc>
          <w:tcPr>
            <w:tcW w:w="2127" w:type="dxa"/>
            <w:tcBorders>
              <w:top w:val="nil"/>
            </w:tcBorders>
            <w:shd w:val="clear" w:color="auto" w:fill="DEEAF6" w:themeFill="accent1" w:themeFillTint="33"/>
            <w:vAlign w:val="center"/>
          </w:tcPr>
          <w:p w14:paraId="1F081ED6" w14:textId="77777777" w:rsidR="000B266B" w:rsidRPr="00A16C9B" w:rsidRDefault="000B266B" w:rsidP="0041700E">
            <w:pPr>
              <w:pStyle w:val="TableText"/>
              <w:keepNext w:val="0"/>
            </w:pPr>
            <w:r w:rsidRPr="00A16C9B">
              <w:t>Proposed MBS item fee, assuming 85% benefit</w:t>
            </w:r>
          </w:p>
        </w:tc>
        <w:tc>
          <w:tcPr>
            <w:tcW w:w="3089" w:type="dxa"/>
            <w:tcBorders>
              <w:top w:val="nil"/>
            </w:tcBorders>
            <w:shd w:val="clear" w:color="auto" w:fill="DEEAF6" w:themeFill="accent1" w:themeFillTint="33"/>
          </w:tcPr>
          <w:p w14:paraId="1593CC0A" w14:textId="77777777" w:rsidR="000B266B" w:rsidRPr="00A16C9B" w:rsidRDefault="000B266B" w:rsidP="0041700E">
            <w:pPr>
              <w:pStyle w:val="TableText"/>
              <w:keepNext w:val="0"/>
            </w:pPr>
            <w:r w:rsidRPr="00A16C9B">
              <w:t>Considered reasonable in the March 2024 submission.</w:t>
            </w:r>
          </w:p>
        </w:tc>
      </w:tr>
      <w:tr w:rsidR="000B266B" w:rsidRPr="00A16C9B" w14:paraId="6BF5045D" w14:textId="77777777" w:rsidTr="00B678E8">
        <w:trPr>
          <w:cantSplit/>
        </w:trPr>
        <w:tc>
          <w:tcPr>
            <w:tcW w:w="2263" w:type="dxa"/>
            <w:shd w:val="clear" w:color="auto" w:fill="DEEAF6" w:themeFill="accent1" w:themeFillTint="33"/>
            <w:vAlign w:val="center"/>
          </w:tcPr>
          <w:p w14:paraId="4F6F7FF4" w14:textId="77777777" w:rsidR="000B266B" w:rsidRPr="00A16C9B" w:rsidRDefault="000B266B" w:rsidP="0041700E">
            <w:pPr>
              <w:pStyle w:val="TableText"/>
              <w:keepNext w:val="0"/>
            </w:pPr>
            <w:r w:rsidRPr="00A16C9B">
              <w:t>Anti-HDV antibody testing</w:t>
            </w:r>
          </w:p>
        </w:tc>
        <w:tc>
          <w:tcPr>
            <w:tcW w:w="1701" w:type="dxa"/>
            <w:shd w:val="clear" w:color="auto" w:fill="DEEAF6" w:themeFill="accent1" w:themeFillTint="33"/>
            <w:vAlign w:val="center"/>
          </w:tcPr>
          <w:p w14:paraId="038C8C82" w14:textId="77777777" w:rsidR="000B266B" w:rsidRPr="00A16C9B" w:rsidRDefault="000B266B" w:rsidP="0041700E">
            <w:pPr>
              <w:pStyle w:val="TableText"/>
              <w:keepNext w:val="0"/>
            </w:pPr>
            <w:r w:rsidRPr="00A16C9B">
              <w:t>$13.35</w:t>
            </w:r>
          </w:p>
        </w:tc>
        <w:tc>
          <w:tcPr>
            <w:tcW w:w="2127" w:type="dxa"/>
            <w:shd w:val="clear" w:color="auto" w:fill="DEEAF6" w:themeFill="accent1" w:themeFillTint="33"/>
            <w:vAlign w:val="center"/>
          </w:tcPr>
          <w:p w14:paraId="41F71B09" w14:textId="77777777" w:rsidR="000B266B" w:rsidRPr="00A16C9B" w:rsidRDefault="000B266B" w:rsidP="0041700E">
            <w:pPr>
              <w:pStyle w:val="TableText"/>
              <w:keepNext w:val="0"/>
            </w:pPr>
            <w:r w:rsidRPr="00A16C9B">
              <w:t>MBS item 69475, assuming 85% benefit</w:t>
            </w:r>
          </w:p>
        </w:tc>
        <w:tc>
          <w:tcPr>
            <w:tcW w:w="3089" w:type="dxa"/>
            <w:shd w:val="clear" w:color="auto" w:fill="DEEAF6" w:themeFill="accent1" w:themeFillTint="33"/>
          </w:tcPr>
          <w:p w14:paraId="3FD510DF" w14:textId="77777777" w:rsidR="000B266B" w:rsidRPr="00A16C9B" w:rsidRDefault="000B266B" w:rsidP="0041700E">
            <w:pPr>
              <w:pStyle w:val="TableText"/>
              <w:keepNext w:val="0"/>
            </w:pPr>
            <w:r w:rsidRPr="00A16C9B">
              <w:t>Considered reasonable in the March 2024 submission.</w:t>
            </w:r>
          </w:p>
        </w:tc>
      </w:tr>
    </w:tbl>
    <w:p w14:paraId="31B55D52" w14:textId="77777777" w:rsidR="000B266B" w:rsidRPr="00A16C9B" w:rsidRDefault="000B266B" w:rsidP="0041700E">
      <w:pPr>
        <w:pStyle w:val="TableFigureFooter"/>
      </w:pPr>
      <w:r w:rsidRPr="00A16C9B">
        <w:t>Source: Table 4.1−1, pp150−3 of the resubmission.</w:t>
      </w:r>
    </w:p>
    <w:p w14:paraId="15C9DE3F" w14:textId="77777777" w:rsidR="000B266B" w:rsidRPr="00A16C9B" w:rsidRDefault="000B266B" w:rsidP="0041700E">
      <w:pPr>
        <w:pStyle w:val="TableFigureFooter"/>
      </w:pPr>
      <w:r w:rsidRPr="00A16C9B">
        <w:t xml:space="preserve">DCC = decompensated cirrhosis, HBV = hepatitis B virus, HDV = hepatitis D virus; RNA = ribonucleic acid. </w:t>
      </w:r>
    </w:p>
    <w:p w14:paraId="7C5FC6FD" w14:textId="77777777" w:rsidR="000B266B" w:rsidRPr="00CB6108" w:rsidRDefault="000B266B" w:rsidP="0041700E">
      <w:pPr>
        <w:pStyle w:val="TableFigureFooter"/>
        <w:rPr>
          <w:szCs w:val="18"/>
        </w:rPr>
      </w:pPr>
      <w:r w:rsidRPr="00CB6108">
        <w:rPr>
          <w:szCs w:val="18"/>
          <w:vertAlign w:val="superscript"/>
        </w:rPr>
        <w:t>a</w:t>
      </w:r>
      <w:r w:rsidRPr="00CB6108">
        <w:rPr>
          <w:szCs w:val="18"/>
        </w:rPr>
        <w:t xml:space="preserve"> </w:t>
      </w:r>
      <w:hyperlink r:id="rId12" w:history="1">
        <w:r w:rsidRPr="00CB6108">
          <w:rPr>
            <w:szCs w:val="18"/>
            <w:u w:val="single"/>
          </w:rPr>
          <w:t>https://nindss.health.gov.au/pbi-dashboard/</w:t>
        </w:r>
      </w:hyperlink>
    </w:p>
    <w:p w14:paraId="0161C948" w14:textId="77777777" w:rsidR="000B266B" w:rsidRPr="00CB6108" w:rsidRDefault="000B266B" w:rsidP="0041700E">
      <w:pPr>
        <w:pStyle w:val="TableFigureFooter"/>
        <w:rPr>
          <w:szCs w:val="18"/>
        </w:rPr>
      </w:pPr>
      <w:r w:rsidRPr="4904BCD2">
        <w:rPr>
          <w:szCs w:val="18"/>
          <w:shd w:val="clear" w:color="auto" w:fill="BDD6EE" w:themeFill="accent1" w:themeFillTint="66"/>
        </w:rPr>
        <w:t>Blue</w:t>
      </w:r>
      <w:r w:rsidRPr="4904BCD2">
        <w:rPr>
          <w:szCs w:val="18"/>
        </w:rPr>
        <w:t xml:space="preserve"> shaded rows are unchanged from the previous submission.</w:t>
      </w:r>
    </w:p>
    <w:p w14:paraId="1F737BE4" w14:textId="77777777" w:rsidR="000B266B" w:rsidRPr="00A16C9B" w:rsidRDefault="000B266B" w:rsidP="0041700E">
      <w:pPr>
        <w:pStyle w:val="3-BodyText"/>
        <w:spacing w:before="120" w:after="120"/>
      </w:pPr>
      <w:r w:rsidRPr="4904BCD2">
        <w:t>The table below summarises the service volumes and financial impact on the MBS and PBS/RPBS of the listing of the HDV RNA test and bulevirtide. The overall impact presented in the March 2024 submission is also presented for comparison.</w:t>
      </w:r>
    </w:p>
    <w:p w14:paraId="2C649E2A" w14:textId="77777777" w:rsidR="000B266B" w:rsidRPr="00A16C9B" w:rsidRDefault="000B266B" w:rsidP="0041700E">
      <w:pPr>
        <w:pStyle w:val="TableFigureHeading"/>
        <w:rPr>
          <w:i/>
        </w:rPr>
      </w:pPr>
      <w:r w:rsidRPr="00B92157">
        <w:lastRenderedPageBreak/>
        <w:t>Table 19</w:t>
      </w:r>
      <w:r>
        <w:t xml:space="preserve">: </w:t>
      </w:r>
      <w:r w:rsidRPr="00A16C9B">
        <w:t>Estimated use and financial implications</w:t>
      </w: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9: Estimated use and financial implications"/>
      </w:tblPr>
      <w:tblGrid>
        <w:gridCol w:w="2005"/>
        <w:gridCol w:w="11"/>
        <w:gridCol w:w="1148"/>
        <w:gridCol w:w="11"/>
        <w:gridCol w:w="1144"/>
        <w:gridCol w:w="20"/>
        <w:gridCol w:w="1135"/>
        <w:gridCol w:w="32"/>
        <w:gridCol w:w="1122"/>
        <w:gridCol w:w="45"/>
        <w:gridCol w:w="1110"/>
        <w:gridCol w:w="55"/>
        <w:gridCol w:w="1099"/>
      </w:tblGrid>
      <w:tr w:rsidR="000B266B" w:rsidRPr="00A16C9B" w14:paraId="7333D295" w14:textId="77777777" w:rsidTr="00B678E8">
        <w:trPr>
          <w:tblHeader/>
        </w:trPr>
        <w:tc>
          <w:tcPr>
            <w:tcW w:w="1122" w:type="pct"/>
            <w:vAlign w:val="center"/>
          </w:tcPr>
          <w:p w14:paraId="2B14896A" w14:textId="77777777" w:rsidR="000B266B" w:rsidRPr="00A16C9B" w:rsidRDefault="000B266B" w:rsidP="0041700E">
            <w:pPr>
              <w:pStyle w:val="TableText"/>
              <w:keepLines/>
              <w:jc w:val="center"/>
              <w:rPr>
                <w:b/>
              </w:rPr>
            </w:pPr>
          </w:p>
        </w:tc>
        <w:tc>
          <w:tcPr>
            <w:tcW w:w="648" w:type="pct"/>
            <w:gridSpan w:val="2"/>
            <w:vAlign w:val="center"/>
          </w:tcPr>
          <w:p w14:paraId="4DE862AA" w14:textId="77777777" w:rsidR="000B266B" w:rsidRPr="00A16C9B" w:rsidRDefault="000B266B" w:rsidP="0041700E">
            <w:pPr>
              <w:pStyle w:val="TableText"/>
              <w:keepLines/>
              <w:jc w:val="center"/>
              <w:rPr>
                <w:b/>
              </w:rPr>
            </w:pPr>
            <w:r w:rsidRPr="00A16C9B">
              <w:rPr>
                <w:b/>
              </w:rPr>
              <w:t>Year 1</w:t>
            </w:r>
          </w:p>
        </w:tc>
        <w:tc>
          <w:tcPr>
            <w:tcW w:w="646" w:type="pct"/>
            <w:gridSpan w:val="2"/>
            <w:vAlign w:val="center"/>
          </w:tcPr>
          <w:p w14:paraId="671DE9F6" w14:textId="77777777" w:rsidR="000B266B" w:rsidRPr="00A16C9B" w:rsidRDefault="000B266B" w:rsidP="0041700E">
            <w:pPr>
              <w:pStyle w:val="TableText"/>
              <w:keepLines/>
              <w:jc w:val="center"/>
              <w:rPr>
                <w:b/>
              </w:rPr>
            </w:pPr>
            <w:r w:rsidRPr="00A16C9B">
              <w:rPr>
                <w:b/>
              </w:rPr>
              <w:t>Year 2</w:t>
            </w:r>
          </w:p>
        </w:tc>
        <w:tc>
          <w:tcPr>
            <w:tcW w:w="646" w:type="pct"/>
            <w:gridSpan w:val="2"/>
            <w:vAlign w:val="center"/>
          </w:tcPr>
          <w:p w14:paraId="01A56E91" w14:textId="77777777" w:rsidR="000B266B" w:rsidRPr="00A16C9B" w:rsidRDefault="000B266B" w:rsidP="0041700E">
            <w:pPr>
              <w:pStyle w:val="TableText"/>
              <w:keepLines/>
              <w:jc w:val="center"/>
              <w:rPr>
                <w:b/>
              </w:rPr>
            </w:pPr>
            <w:r w:rsidRPr="00A16C9B">
              <w:rPr>
                <w:b/>
              </w:rPr>
              <w:t>Year 3</w:t>
            </w:r>
          </w:p>
        </w:tc>
        <w:tc>
          <w:tcPr>
            <w:tcW w:w="646" w:type="pct"/>
            <w:gridSpan w:val="2"/>
            <w:vAlign w:val="center"/>
          </w:tcPr>
          <w:p w14:paraId="428F6F3E" w14:textId="77777777" w:rsidR="000B266B" w:rsidRPr="00A16C9B" w:rsidRDefault="000B266B" w:rsidP="0041700E">
            <w:pPr>
              <w:pStyle w:val="TableText"/>
              <w:keepLines/>
              <w:jc w:val="center"/>
              <w:rPr>
                <w:b/>
              </w:rPr>
            </w:pPr>
            <w:r w:rsidRPr="00A16C9B">
              <w:rPr>
                <w:b/>
              </w:rPr>
              <w:t>Year 4</w:t>
            </w:r>
          </w:p>
        </w:tc>
        <w:tc>
          <w:tcPr>
            <w:tcW w:w="646" w:type="pct"/>
            <w:gridSpan w:val="2"/>
            <w:vAlign w:val="center"/>
          </w:tcPr>
          <w:p w14:paraId="13AB6AB4" w14:textId="77777777" w:rsidR="000B266B" w:rsidRPr="00A16C9B" w:rsidRDefault="000B266B" w:rsidP="0041700E">
            <w:pPr>
              <w:pStyle w:val="TableText"/>
              <w:keepLines/>
              <w:jc w:val="center"/>
              <w:rPr>
                <w:b/>
              </w:rPr>
            </w:pPr>
            <w:r w:rsidRPr="00A16C9B">
              <w:rPr>
                <w:b/>
              </w:rPr>
              <w:t>Year 5</w:t>
            </w:r>
          </w:p>
        </w:tc>
        <w:tc>
          <w:tcPr>
            <w:tcW w:w="646" w:type="pct"/>
            <w:gridSpan w:val="2"/>
          </w:tcPr>
          <w:p w14:paraId="32293DC7" w14:textId="77777777" w:rsidR="000B266B" w:rsidRPr="00A16C9B" w:rsidRDefault="000B266B" w:rsidP="0041700E">
            <w:pPr>
              <w:pStyle w:val="TableText"/>
              <w:keepLines/>
              <w:jc w:val="center"/>
              <w:rPr>
                <w:b/>
              </w:rPr>
            </w:pPr>
            <w:r w:rsidRPr="00A16C9B">
              <w:rPr>
                <w:b/>
              </w:rPr>
              <w:t>Year 6</w:t>
            </w:r>
          </w:p>
        </w:tc>
      </w:tr>
      <w:tr w:rsidR="000B266B" w:rsidRPr="00A16C9B" w14:paraId="16E4EE4A" w14:textId="77777777" w:rsidTr="00B678E8">
        <w:tc>
          <w:tcPr>
            <w:tcW w:w="5000" w:type="pct"/>
            <w:gridSpan w:val="13"/>
            <w:vAlign w:val="center"/>
          </w:tcPr>
          <w:p w14:paraId="26228F6C" w14:textId="77777777" w:rsidR="000B266B" w:rsidRPr="00A16C9B" w:rsidRDefault="000B266B" w:rsidP="0041700E">
            <w:pPr>
              <w:pStyle w:val="TableText"/>
              <w:keepLines/>
              <w:rPr>
                <w:b/>
              </w:rPr>
            </w:pPr>
            <w:r w:rsidRPr="00A16C9B">
              <w:rPr>
                <w:b/>
              </w:rPr>
              <w:t>Estimated extent of use of the HDV RNA test</w:t>
            </w:r>
          </w:p>
        </w:tc>
      </w:tr>
      <w:tr w:rsidR="000B266B" w:rsidRPr="00A16C9B" w14:paraId="7C51F212" w14:textId="77777777" w:rsidTr="00B678E8">
        <w:tc>
          <w:tcPr>
            <w:tcW w:w="1122" w:type="pct"/>
            <w:vAlign w:val="center"/>
          </w:tcPr>
          <w:p w14:paraId="67964E5E" w14:textId="77777777" w:rsidR="000B266B" w:rsidRPr="00A16C9B" w:rsidRDefault="000B266B" w:rsidP="0041700E">
            <w:pPr>
              <w:pStyle w:val="TableText"/>
              <w:keepLines/>
            </w:pPr>
            <w:r w:rsidRPr="00A16C9B">
              <w:t>Number of patients tested</w:t>
            </w:r>
          </w:p>
        </w:tc>
        <w:tc>
          <w:tcPr>
            <w:tcW w:w="648" w:type="pct"/>
            <w:gridSpan w:val="2"/>
          </w:tcPr>
          <w:p w14:paraId="0C4962EA" w14:textId="77777777" w:rsidR="000B266B" w:rsidRPr="00D120E3" w:rsidRDefault="000B266B" w:rsidP="0041700E">
            <w:pPr>
              <w:pStyle w:val="TableNumber"/>
              <w:keepNext/>
              <w:keepLines/>
              <w:widowControl/>
              <w:rPr>
                <w:highlight w:val="darkGray"/>
              </w:rPr>
            </w:pPr>
            <w:r w:rsidRPr="000B266B">
              <w:rPr>
                <w:rFonts w:hint="eastAsia"/>
                <w:color w:val="000000"/>
                <w:w w:val="15"/>
                <w:shd w:val="solid" w:color="000000" w:fill="000000"/>
                <w:fitText w:val="30" w:id="-649843964"/>
                <w14:textFill>
                  <w14:solidFill>
                    <w14:srgbClr w14:val="000000">
                      <w14:alpha w14:val="100000"/>
                    </w14:srgbClr>
                  </w14:solidFill>
                </w14:textFill>
              </w:rPr>
              <w:t xml:space="preserve">　</w:t>
            </w:r>
            <w:r w:rsidRPr="000B266B">
              <w:rPr>
                <w:color w:val="000000"/>
                <w:w w:val="15"/>
                <w:shd w:val="solid" w:color="000000" w:fill="000000"/>
                <w:fitText w:val="30" w:id="-649843964"/>
                <w14:textFill>
                  <w14:solidFill>
                    <w14:srgbClr w14:val="000000">
                      <w14:alpha w14:val="100000"/>
                    </w14:srgbClr>
                  </w14:solidFill>
                </w14:textFill>
              </w:rPr>
              <w:t>|</w:t>
            </w:r>
            <w:r w:rsidRPr="000B266B">
              <w:rPr>
                <w:rFonts w:hint="eastAsia"/>
                <w:color w:val="000000"/>
                <w:spacing w:val="-35"/>
                <w:w w:val="15"/>
                <w:shd w:val="solid" w:color="000000" w:fill="000000"/>
                <w:fitText w:val="30" w:id="-649843964"/>
                <w14:textFill>
                  <w14:solidFill>
                    <w14:srgbClr w14:val="000000">
                      <w14:alpha w14:val="100000"/>
                    </w14:srgbClr>
                  </w14:solidFill>
                </w14:textFill>
              </w:rPr>
              <w:t xml:space="preserve">　</w:t>
            </w:r>
            <w:r w:rsidRPr="00D120E3">
              <w:rPr>
                <w:vertAlign w:val="superscript"/>
              </w:rPr>
              <w:t>1</w:t>
            </w:r>
          </w:p>
        </w:tc>
        <w:tc>
          <w:tcPr>
            <w:tcW w:w="646" w:type="pct"/>
            <w:gridSpan w:val="2"/>
          </w:tcPr>
          <w:p w14:paraId="76645AA9" w14:textId="77777777" w:rsidR="000B266B" w:rsidRPr="00D120E3" w:rsidRDefault="000B266B" w:rsidP="0041700E">
            <w:pPr>
              <w:pStyle w:val="TableText"/>
              <w:keepLines/>
              <w:tabs>
                <w:tab w:val="decimal" w:pos="396"/>
              </w:tabs>
              <w:jc w:val="center"/>
              <w:rPr>
                <w:highlight w:val="darkGray"/>
              </w:rPr>
            </w:pPr>
            <w:r w:rsidRPr="000B266B">
              <w:rPr>
                <w:rFonts w:hint="eastAsia"/>
                <w:color w:val="000000"/>
                <w:w w:val="15"/>
                <w:shd w:val="solid" w:color="000000" w:fill="000000"/>
                <w:fitText w:val="30" w:id="-649843963"/>
                <w14:textFill>
                  <w14:solidFill>
                    <w14:srgbClr w14:val="000000">
                      <w14:alpha w14:val="100000"/>
                    </w14:srgbClr>
                  </w14:solidFill>
                </w14:textFill>
              </w:rPr>
              <w:t xml:space="preserve">　</w:t>
            </w:r>
            <w:r w:rsidRPr="000B266B">
              <w:rPr>
                <w:color w:val="000000"/>
                <w:w w:val="15"/>
                <w:shd w:val="solid" w:color="000000" w:fill="000000"/>
                <w:fitText w:val="30" w:id="-649843963"/>
                <w14:textFill>
                  <w14:solidFill>
                    <w14:srgbClr w14:val="000000">
                      <w14:alpha w14:val="100000"/>
                    </w14:srgbClr>
                  </w14:solidFill>
                </w14:textFill>
              </w:rPr>
              <w:t>|</w:t>
            </w:r>
            <w:r w:rsidRPr="000B266B">
              <w:rPr>
                <w:rFonts w:hint="eastAsia"/>
                <w:color w:val="000000"/>
                <w:spacing w:val="-35"/>
                <w:w w:val="15"/>
                <w:shd w:val="solid" w:color="000000" w:fill="000000"/>
                <w:fitText w:val="30" w:id="-649843963"/>
                <w14:textFill>
                  <w14:solidFill>
                    <w14:srgbClr w14:val="000000">
                      <w14:alpha w14:val="100000"/>
                    </w14:srgbClr>
                  </w14:solidFill>
                </w14:textFill>
              </w:rPr>
              <w:t xml:space="preserve">　</w:t>
            </w:r>
            <w:r w:rsidRPr="00D120E3">
              <w:rPr>
                <w:vertAlign w:val="superscript"/>
              </w:rPr>
              <w:t>2</w:t>
            </w:r>
          </w:p>
        </w:tc>
        <w:tc>
          <w:tcPr>
            <w:tcW w:w="646" w:type="pct"/>
            <w:gridSpan w:val="2"/>
          </w:tcPr>
          <w:p w14:paraId="02F6F352" w14:textId="77777777" w:rsidR="000B266B" w:rsidRPr="00D120E3" w:rsidRDefault="000B266B" w:rsidP="0041700E">
            <w:pPr>
              <w:pStyle w:val="TableText"/>
              <w:keepLines/>
              <w:tabs>
                <w:tab w:val="decimal" w:pos="396"/>
              </w:tabs>
              <w:jc w:val="center"/>
              <w:rPr>
                <w:highlight w:val="darkGray"/>
              </w:rPr>
            </w:pPr>
            <w:r w:rsidRPr="000B266B">
              <w:rPr>
                <w:rFonts w:hint="eastAsia"/>
                <w:color w:val="000000"/>
                <w:w w:val="15"/>
                <w:shd w:val="solid" w:color="000000" w:fill="000000"/>
                <w:fitText w:val="30" w:id="-649843962"/>
                <w14:textFill>
                  <w14:solidFill>
                    <w14:srgbClr w14:val="000000">
                      <w14:alpha w14:val="100000"/>
                    </w14:srgbClr>
                  </w14:solidFill>
                </w14:textFill>
              </w:rPr>
              <w:t xml:space="preserve">　</w:t>
            </w:r>
            <w:r w:rsidRPr="000B266B">
              <w:rPr>
                <w:color w:val="000000"/>
                <w:w w:val="15"/>
                <w:shd w:val="solid" w:color="000000" w:fill="000000"/>
                <w:fitText w:val="30" w:id="-649843962"/>
                <w14:textFill>
                  <w14:solidFill>
                    <w14:srgbClr w14:val="000000">
                      <w14:alpha w14:val="100000"/>
                    </w14:srgbClr>
                  </w14:solidFill>
                </w14:textFill>
              </w:rPr>
              <w:t>|</w:t>
            </w:r>
            <w:r w:rsidRPr="000B266B">
              <w:rPr>
                <w:rFonts w:hint="eastAsia"/>
                <w:color w:val="000000"/>
                <w:spacing w:val="-35"/>
                <w:w w:val="15"/>
                <w:shd w:val="solid" w:color="000000" w:fill="000000"/>
                <w:fitText w:val="30" w:id="-649843962"/>
                <w14:textFill>
                  <w14:solidFill>
                    <w14:srgbClr w14:val="000000">
                      <w14:alpha w14:val="100000"/>
                    </w14:srgbClr>
                  </w14:solidFill>
                </w14:textFill>
              </w:rPr>
              <w:t xml:space="preserve">　</w:t>
            </w:r>
            <w:r w:rsidRPr="004739C9">
              <w:rPr>
                <w:vertAlign w:val="superscript"/>
              </w:rPr>
              <w:t>2</w:t>
            </w:r>
          </w:p>
        </w:tc>
        <w:tc>
          <w:tcPr>
            <w:tcW w:w="646" w:type="pct"/>
            <w:gridSpan w:val="2"/>
          </w:tcPr>
          <w:p w14:paraId="56E12FE2" w14:textId="77777777" w:rsidR="000B266B" w:rsidRPr="00D120E3" w:rsidRDefault="000B266B" w:rsidP="0041700E">
            <w:pPr>
              <w:pStyle w:val="TableText"/>
              <w:keepLines/>
              <w:tabs>
                <w:tab w:val="decimal" w:pos="396"/>
              </w:tabs>
              <w:jc w:val="center"/>
              <w:rPr>
                <w:highlight w:val="darkGray"/>
              </w:rPr>
            </w:pPr>
            <w:r w:rsidRPr="000B266B">
              <w:rPr>
                <w:rFonts w:hint="eastAsia"/>
                <w:color w:val="000000"/>
                <w:w w:val="15"/>
                <w:shd w:val="solid" w:color="000000" w:fill="000000"/>
                <w:fitText w:val="30" w:id="-649843961"/>
                <w14:textFill>
                  <w14:solidFill>
                    <w14:srgbClr w14:val="000000">
                      <w14:alpha w14:val="100000"/>
                    </w14:srgbClr>
                  </w14:solidFill>
                </w14:textFill>
              </w:rPr>
              <w:t xml:space="preserve">　</w:t>
            </w:r>
            <w:r w:rsidRPr="000B266B">
              <w:rPr>
                <w:color w:val="000000"/>
                <w:w w:val="15"/>
                <w:shd w:val="solid" w:color="000000" w:fill="000000"/>
                <w:fitText w:val="30" w:id="-649843961"/>
                <w14:textFill>
                  <w14:solidFill>
                    <w14:srgbClr w14:val="000000">
                      <w14:alpha w14:val="100000"/>
                    </w14:srgbClr>
                  </w14:solidFill>
                </w14:textFill>
              </w:rPr>
              <w:t>|</w:t>
            </w:r>
            <w:r w:rsidRPr="000B266B">
              <w:rPr>
                <w:rFonts w:hint="eastAsia"/>
                <w:color w:val="000000"/>
                <w:spacing w:val="-35"/>
                <w:w w:val="15"/>
                <w:shd w:val="solid" w:color="000000" w:fill="000000"/>
                <w:fitText w:val="30" w:id="-649843961"/>
                <w14:textFill>
                  <w14:solidFill>
                    <w14:srgbClr w14:val="000000">
                      <w14:alpha w14:val="100000"/>
                    </w14:srgbClr>
                  </w14:solidFill>
                </w14:textFill>
              </w:rPr>
              <w:t xml:space="preserve">　</w:t>
            </w:r>
            <w:r w:rsidRPr="004739C9">
              <w:rPr>
                <w:vertAlign w:val="superscript"/>
              </w:rPr>
              <w:t>2</w:t>
            </w:r>
          </w:p>
        </w:tc>
        <w:tc>
          <w:tcPr>
            <w:tcW w:w="646" w:type="pct"/>
            <w:gridSpan w:val="2"/>
          </w:tcPr>
          <w:p w14:paraId="17F6D98F" w14:textId="77777777" w:rsidR="000B266B" w:rsidRPr="00D120E3" w:rsidRDefault="000B266B" w:rsidP="0041700E">
            <w:pPr>
              <w:pStyle w:val="TableText"/>
              <w:keepLines/>
              <w:tabs>
                <w:tab w:val="decimal" w:pos="396"/>
              </w:tabs>
              <w:jc w:val="center"/>
              <w:rPr>
                <w:highlight w:val="darkGray"/>
              </w:rPr>
            </w:pPr>
            <w:r w:rsidRPr="000B266B">
              <w:rPr>
                <w:rFonts w:hint="eastAsia"/>
                <w:color w:val="000000"/>
                <w:w w:val="15"/>
                <w:shd w:val="solid" w:color="000000" w:fill="000000"/>
                <w:fitText w:val="30" w:id="-649843960"/>
                <w14:textFill>
                  <w14:solidFill>
                    <w14:srgbClr w14:val="000000">
                      <w14:alpha w14:val="100000"/>
                    </w14:srgbClr>
                  </w14:solidFill>
                </w14:textFill>
              </w:rPr>
              <w:t xml:space="preserve">　</w:t>
            </w:r>
            <w:r w:rsidRPr="000B266B">
              <w:rPr>
                <w:color w:val="000000"/>
                <w:w w:val="15"/>
                <w:shd w:val="solid" w:color="000000" w:fill="000000"/>
                <w:fitText w:val="30" w:id="-649843960"/>
                <w14:textFill>
                  <w14:solidFill>
                    <w14:srgbClr w14:val="000000">
                      <w14:alpha w14:val="100000"/>
                    </w14:srgbClr>
                  </w14:solidFill>
                </w14:textFill>
              </w:rPr>
              <w:t>|</w:t>
            </w:r>
            <w:r w:rsidRPr="000B266B">
              <w:rPr>
                <w:rFonts w:hint="eastAsia"/>
                <w:color w:val="000000"/>
                <w:spacing w:val="-35"/>
                <w:w w:val="15"/>
                <w:shd w:val="solid" w:color="000000" w:fill="000000"/>
                <w:fitText w:val="30" w:id="-649843960"/>
                <w14:textFill>
                  <w14:solidFill>
                    <w14:srgbClr w14:val="000000">
                      <w14:alpha w14:val="100000"/>
                    </w14:srgbClr>
                  </w14:solidFill>
                </w14:textFill>
              </w:rPr>
              <w:t xml:space="preserve">　</w:t>
            </w:r>
            <w:r w:rsidRPr="004739C9">
              <w:rPr>
                <w:vertAlign w:val="superscript"/>
              </w:rPr>
              <w:t>2</w:t>
            </w:r>
          </w:p>
        </w:tc>
        <w:tc>
          <w:tcPr>
            <w:tcW w:w="646" w:type="pct"/>
            <w:gridSpan w:val="2"/>
          </w:tcPr>
          <w:p w14:paraId="7404EF01" w14:textId="77777777" w:rsidR="000B266B" w:rsidRPr="00D120E3" w:rsidRDefault="000B266B" w:rsidP="0041700E">
            <w:pPr>
              <w:pStyle w:val="TableText"/>
              <w:keepLines/>
              <w:tabs>
                <w:tab w:val="decimal" w:pos="396"/>
              </w:tabs>
              <w:jc w:val="center"/>
              <w:rPr>
                <w:highlight w:val="darkGray"/>
              </w:rPr>
            </w:pPr>
            <w:r w:rsidRPr="000B266B">
              <w:rPr>
                <w:rFonts w:hint="eastAsia"/>
                <w:color w:val="000000"/>
                <w:w w:val="15"/>
                <w:shd w:val="solid" w:color="000000" w:fill="000000"/>
                <w:fitText w:val="30" w:id="-649843959"/>
                <w14:textFill>
                  <w14:solidFill>
                    <w14:srgbClr w14:val="000000">
                      <w14:alpha w14:val="100000"/>
                    </w14:srgbClr>
                  </w14:solidFill>
                </w14:textFill>
              </w:rPr>
              <w:t xml:space="preserve">　</w:t>
            </w:r>
            <w:r w:rsidRPr="000B266B">
              <w:rPr>
                <w:color w:val="000000"/>
                <w:w w:val="15"/>
                <w:shd w:val="solid" w:color="000000" w:fill="000000"/>
                <w:fitText w:val="30" w:id="-649843959"/>
                <w14:textFill>
                  <w14:solidFill>
                    <w14:srgbClr w14:val="000000">
                      <w14:alpha w14:val="100000"/>
                    </w14:srgbClr>
                  </w14:solidFill>
                </w14:textFill>
              </w:rPr>
              <w:t>|</w:t>
            </w:r>
            <w:r w:rsidRPr="000B266B">
              <w:rPr>
                <w:rFonts w:hint="eastAsia"/>
                <w:color w:val="000000"/>
                <w:spacing w:val="-35"/>
                <w:w w:val="15"/>
                <w:shd w:val="solid" w:color="000000" w:fill="000000"/>
                <w:fitText w:val="30" w:id="-649843959"/>
                <w14:textFill>
                  <w14:solidFill>
                    <w14:srgbClr w14:val="000000">
                      <w14:alpha w14:val="100000"/>
                    </w14:srgbClr>
                  </w14:solidFill>
                </w14:textFill>
              </w:rPr>
              <w:t xml:space="preserve">　</w:t>
            </w:r>
            <w:r w:rsidRPr="004739C9">
              <w:rPr>
                <w:vertAlign w:val="superscript"/>
              </w:rPr>
              <w:t>2</w:t>
            </w:r>
          </w:p>
        </w:tc>
      </w:tr>
      <w:tr w:rsidR="000B266B" w:rsidRPr="00A16C9B" w14:paraId="2EC22464" w14:textId="77777777" w:rsidTr="00B678E8">
        <w:tc>
          <w:tcPr>
            <w:tcW w:w="1122" w:type="pct"/>
            <w:vAlign w:val="center"/>
          </w:tcPr>
          <w:p w14:paraId="6EC08E5A" w14:textId="77777777" w:rsidR="000B266B" w:rsidRPr="00A16C9B" w:rsidRDefault="000B266B" w:rsidP="0041700E">
            <w:pPr>
              <w:pStyle w:val="TableText"/>
              <w:keepLines/>
            </w:pPr>
            <w:r w:rsidRPr="00A16C9B">
              <w:t>Number of patients likely to receive a positive test result (54.4%)</w:t>
            </w:r>
          </w:p>
        </w:tc>
        <w:tc>
          <w:tcPr>
            <w:tcW w:w="648" w:type="pct"/>
            <w:gridSpan w:val="2"/>
          </w:tcPr>
          <w:p w14:paraId="6C220F99" w14:textId="77777777" w:rsidR="000B266B" w:rsidRPr="00D120E3" w:rsidRDefault="000B266B" w:rsidP="0041700E">
            <w:pPr>
              <w:pStyle w:val="TableNumber"/>
              <w:keepNext/>
              <w:keepLines/>
              <w:widowControl/>
              <w:rPr>
                <w:highlight w:val="darkGray"/>
              </w:rPr>
            </w:pPr>
            <w:r w:rsidRPr="000B266B">
              <w:rPr>
                <w:rFonts w:hint="eastAsia"/>
                <w:color w:val="000000"/>
                <w:w w:val="15"/>
                <w:shd w:val="solid" w:color="000000" w:fill="000000"/>
                <w:fitText w:val="30" w:id="-649843958"/>
                <w14:textFill>
                  <w14:solidFill>
                    <w14:srgbClr w14:val="000000">
                      <w14:alpha w14:val="100000"/>
                    </w14:srgbClr>
                  </w14:solidFill>
                </w14:textFill>
              </w:rPr>
              <w:t xml:space="preserve">　</w:t>
            </w:r>
            <w:r w:rsidRPr="000B266B">
              <w:rPr>
                <w:color w:val="000000"/>
                <w:w w:val="15"/>
                <w:shd w:val="solid" w:color="000000" w:fill="000000"/>
                <w:fitText w:val="30" w:id="-649843958"/>
                <w14:textFill>
                  <w14:solidFill>
                    <w14:srgbClr w14:val="000000">
                      <w14:alpha w14:val="100000"/>
                    </w14:srgbClr>
                  </w14:solidFill>
                </w14:textFill>
              </w:rPr>
              <w:t>|</w:t>
            </w:r>
            <w:r w:rsidRPr="000B266B">
              <w:rPr>
                <w:rFonts w:hint="eastAsia"/>
                <w:color w:val="000000"/>
                <w:spacing w:val="-35"/>
                <w:w w:val="15"/>
                <w:shd w:val="solid" w:color="000000" w:fill="000000"/>
                <w:fitText w:val="30" w:id="-649843958"/>
                <w14:textFill>
                  <w14:solidFill>
                    <w14:srgbClr w14:val="000000">
                      <w14:alpha w14:val="100000"/>
                    </w14:srgbClr>
                  </w14:solidFill>
                </w14:textFill>
              </w:rPr>
              <w:t xml:space="preserve">　</w:t>
            </w:r>
            <w:r w:rsidRPr="004739C9">
              <w:rPr>
                <w:vertAlign w:val="superscript"/>
              </w:rPr>
              <w:t>2</w:t>
            </w:r>
          </w:p>
        </w:tc>
        <w:tc>
          <w:tcPr>
            <w:tcW w:w="646" w:type="pct"/>
            <w:gridSpan w:val="2"/>
          </w:tcPr>
          <w:p w14:paraId="71BD58FD" w14:textId="77777777" w:rsidR="000B266B" w:rsidRPr="00D120E3" w:rsidRDefault="000B266B" w:rsidP="0041700E">
            <w:pPr>
              <w:pStyle w:val="TableText"/>
              <w:keepLines/>
              <w:tabs>
                <w:tab w:val="decimal" w:pos="396"/>
              </w:tabs>
              <w:jc w:val="center"/>
              <w:rPr>
                <w:highlight w:val="darkGray"/>
              </w:rPr>
            </w:pPr>
            <w:r w:rsidRPr="000B266B">
              <w:rPr>
                <w:rFonts w:hint="eastAsia"/>
                <w:color w:val="000000"/>
                <w:w w:val="15"/>
                <w:shd w:val="solid" w:color="000000" w:fill="000000"/>
                <w:fitText w:val="30" w:id="-649843957"/>
                <w14:textFill>
                  <w14:solidFill>
                    <w14:srgbClr w14:val="000000">
                      <w14:alpha w14:val="100000"/>
                    </w14:srgbClr>
                  </w14:solidFill>
                </w14:textFill>
              </w:rPr>
              <w:t xml:space="preserve">　</w:t>
            </w:r>
            <w:r w:rsidRPr="000B266B">
              <w:rPr>
                <w:color w:val="000000"/>
                <w:w w:val="15"/>
                <w:shd w:val="solid" w:color="000000" w:fill="000000"/>
                <w:fitText w:val="30" w:id="-649843957"/>
                <w14:textFill>
                  <w14:solidFill>
                    <w14:srgbClr w14:val="000000">
                      <w14:alpha w14:val="100000"/>
                    </w14:srgbClr>
                  </w14:solidFill>
                </w14:textFill>
              </w:rPr>
              <w:t>|</w:t>
            </w:r>
            <w:r w:rsidRPr="000B266B">
              <w:rPr>
                <w:rFonts w:hint="eastAsia"/>
                <w:color w:val="000000"/>
                <w:spacing w:val="-35"/>
                <w:w w:val="15"/>
                <w:shd w:val="solid" w:color="000000" w:fill="000000"/>
                <w:fitText w:val="30" w:id="-649843957"/>
                <w14:textFill>
                  <w14:solidFill>
                    <w14:srgbClr w14:val="000000">
                      <w14:alpha w14:val="100000"/>
                    </w14:srgbClr>
                  </w14:solidFill>
                </w14:textFill>
              </w:rPr>
              <w:t xml:space="preserve">　</w:t>
            </w:r>
            <w:r w:rsidRPr="004739C9">
              <w:rPr>
                <w:vertAlign w:val="superscript"/>
              </w:rPr>
              <w:t>2</w:t>
            </w:r>
          </w:p>
        </w:tc>
        <w:tc>
          <w:tcPr>
            <w:tcW w:w="646" w:type="pct"/>
            <w:gridSpan w:val="2"/>
          </w:tcPr>
          <w:p w14:paraId="080BDE38" w14:textId="77777777" w:rsidR="000B266B" w:rsidRPr="00D120E3" w:rsidRDefault="000B266B" w:rsidP="0041700E">
            <w:pPr>
              <w:pStyle w:val="TableText"/>
              <w:keepLines/>
              <w:tabs>
                <w:tab w:val="decimal" w:pos="396"/>
              </w:tabs>
              <w:jc w:val="center"/>
              <w:rPr>
                <w:highlight w:val="darkGray"/>
              </w:rPr>
            </w:pPr>
            <w:r w:rsidRPr="000B266B">
              <w:rPr>
                <w:rFonts w:hint="eastAsia"/>
                <w:color w:val="000000"/>
                <w:w w:val="15"/>
                <w:shd w:val="solid" w:color="000000" w:fill="000000"/>
                <w:fitText w:val="30" w:id="-649843956"/>
                <w14:textFill>
                  <w14:solidFill>
                    <w14:srgbClr w14:val="000000">
                      <w14:alpha w14:val="100000"/>
                    </w14:srgbClr>
                  </w14:solidFill>
                </w14:textFill>
              </w:rPr>
              <w:t xml:space="preserve">　</w:t>
            </w:r>
            <w:r w:rsidRPr="000B266B">
              <w:rPr>
                <w:color w:val="000000"/>
                <w:w w:val="15"/>
                <w:shd w:val="solid" w:color="000000" w:fill="000000"/>
                <w:fitText w:val="30" w:id="-649843956"/>
                <w14:textFill>
                  <w14:solidFill>
                    <w14:srgbClr w14:val="000000">
                      <w14:alpha w14:val="100000"/>
                    </w14:srgbClr>
                  </w14:solidFill>
                </w14:textFill>
              </w:rPr>
              <w:t>|</w:t>
            </w:r>
            <w:r w:rsidRPr="000B266B">
              <w:rPr>
                <w:rFonts w:hint="eastAsia"/>
                <w:color w:val="000000"/>
                <w:spacing w:val="-35"/>
                <w:w w:val="15"/>
                <w:shd w:val="solid" w:color="000000" w:fill="000000"/>
                <w:fitText w:val="30" w:id="-649843956"/>
                <w14:textFill>
                  <w14:solidFill>
                    <w14:srgbClr w14:val="000000">
                      <w14:alpha w14:val="100000"/>
                    </w14:srgbClr>
                  </w14:solidFill>
                </w14:textFill>
              </w:rPr>
              <w:t xml:space="preserve">　</w:t>
            </w:r>
            <w:r w:rsidRPr="004739C9">
              <w:rPr>
                <w:vertAlign w:val="superscript"/>
              </w:rPr>
              <w:t>2</w:t>
            </w:r>
          </w:p>
        </w:tc>
        <w:tc>
          <w:tcPr>
            <w:tcW w:w="646" w:type="pct"/>
            <w:gridSpan w:val="2"/>
          </w:tcPr>
          <w:p w14:paraId="4A58CB02" w14:textId="77777777" w:rsidR="000B266B" w:rsidRPr="00D120E3" w:rsidRDefault="000B266B" w:rsidP="0041700E">
            <w:pPr>
              <w:pStyle w:val="TableText"/>
              <w:keepLines/>
              <w:tabs>
                <w:tab w:val="decimal" w:pos="396"/>
              </w:tabs>
              <w:jc w:val="center"/>
              <w:rPr>
                <w:highlight w:val="darkGray"/>
              </w:rPr>
            </w:pPr>
            <w:r w:rsidRPr="000B266B">
              <w:rPr>
                <w:rFonts w:hint="eastAsia"/>
                <w:color w:val="000000"/>
                <w:w w:val="15"/>
                <w:shd w:val="solid" w:color="000000" w:fill="000000"/>
                <w:fitText w:val="30" w:id="-649843955"/>
                <w14:textFill>
                  <w14:solidFill>
                    <w14:srgbClr w14:val="000000">
                      <w14:alpha w14:val="100000"/>
                    </w14:srgbClr>
                  </w14:solidFill>
                </w14:textFill>
              </w:rPr>
              <w:t xml:space="preserve">　</w:t>
            </w:r>
            <w:r w:rsidRPr="000B266B">
              <w:rPr>
                <w:color w:val="000000"/>
                <w:w w:val="15"/>
                <w:shd w:val="solid" w:color="000000" w:fill="000000"/>
                <w:fitText w:val="30" w:id="-649843955"/>
                <w14:textFill>
                  <w14:solidFill>
                    <w14:srgbClr w14:val="000000">
                      <w14:alpha w14:val="100000"/>
                    </w14:srgbClr>
                  </w14:solidFill>
                </w14:textFill>
              </w:rPr>
              <w:t>|</w:t>
            </w:r>
            <w:r w:rsidRPr="000B266B">
              <w:rPr>
                <w:rFonts w:hint="eastAsia"/>
                <w:color w:val="000000"/>
                <w:spacing w:val="-35"/>
                <w:w w:val="15"/>
                <w:shd w:val="solid" w:color="000000" w:fill="000000"/>
                <w:fitText w:val="30" w:id="-649843955"/>
                <w14:textFill>
                  <w14:solidFill>
                    <w14:srgbClr w14:val="000000">
                      <w14:alpha w14:val="100000"/>
                    </w14:srgbClr>
                  </w14:solidFill>
                </w14:textFill>
              </w:rPr>
              <w:t xml:space="preserve">　</w:t>
            </w:r>
            <w:r w:rsidRPr="004739C9">
              <w:rPr>
                <w:vertAlign w:val="superscript"/>
              </w:rPr>
              <w:t>2</w:t>
            </w:r>
          </w:p>
        </w:tc>
        <w:tc>
          <w:tcPr>
            <w:tcW w:w="646" w:type="pct"/>
            <w:gridSpan w:val="2"/>
          </w:tcPr>
          <w:p w14:paraId="4B70DC33" w14:textId="77777777" w:rsidR="000B266B" w:rsidRPr="00D120E3" w:rsidRDefault="000B266B" w:rsidP="0041700E">
            <w:pPr>
              <w:pStyle w:val="TableText"/>
              <w:keepLines/>
              <w:tabs>
                <w:tab w:val="decimal" w:pos="396"/>
              </w:tabs>
              <w:jc w:val="center"/>
              <w:rPr>
                <w:highlight w:val="darkGray"/>
              </w:rPr>
            </w:pPr>
            <w:r w:rsidRPr="000B266B">
              <w:rPr>
                <w:rFonts w:hint="eastAsia"/>
                <w:color w:val="000000"/>
                <w:w w:val="15"/>
                <w:shd w:val="solid" w:color="000000" w:fill="000000"/>
                <w:fitText w:val="30" w:id="-649843954"/>
                <w14:textFill>
                  <w14:solidFill>
                    <w14:srgbClr w14:val="000000">
                      <w14:alpha w14:val="100000"/>
                    </w14:srgbClr>
                  </w14:solidFill>
                </w14:textFill>
              </w:rPr>
              <w:t xml:space="preserve">　</w:t>
            </w:r>
            <w:r w:rsidRPr="000B266B">
              <w:rPr>
                <w:color w:val="000000"/>
                <w:w w:val="15"/>
                <w:shd w:val="solid" w:color="000000" w:fill="000000"/>
                <w:fitText w:val="30" w:id="-649843954"/>
                <w14:textFill>
                  <w14:solidFill>
                    <w14:srgbClr w14:val="000000">
                      <w14:alpha w14:val="100000"/>
                    </w14:srgbClr>
                  </w14:solidFill>
                </w14:textFill>
              </w:rPr>
              <w:t>|</w:t>
            </w:r>
            <w:r w:rsidRPr="000B266B">
              <w:rPr>
                <w:rFonts w:hint="eastAsia"/>
                <w:color w:val="000000"/>
                <w:spacing w:val="-35"/>
                <w:w w:val="15"/>
                <w:shd w:val="solid" w:color="000000" w:fill="000000"/>
                <w:fitText w:val="30" w:id="-649843954"/>
                <w14:textFill>
                  <w14:solidFill>
                    <w14:srgbClr w14:val="000000">
                      <w14:alpha w14:val="100000"/>
                    </w14:srgbClr>
                  </w14:solidFill>
                </w14:textFill>
              </w:rPr>
              <w:t xml:space="preserve">　</w:t>
            </w:r>
            <w:r w:rsidRPr="004739C9">
              <w:rPr>
                <w:vertAlign w:val="superscript"/>
              </w:rPr>
              <w:t>2</w:t>
            </w:r>
          </w:p>
        </w:tc>
        <w:tc>
          <w:tcPr>
            <w:tcW w:w="646" w:type="pct"/>
            <w:gridSpan w:val="2"/>
          </w:tcPr>
          <w:p w14:paraId="43BC6D83" w14:textId="77777777" w:rsidR="000B266B" w:rsidRPr="00D120E3" w:rsidRDefault="000B266B" w:rsidP="0041700E">
            <w:pPr>
              <w:pStyle w:val="TableText"/>
              <w:keepLines/>
              <w:tabs>
                <w:tab w:val="decimal" w:pos="396"/>
              </w:tabs>
              <w:jc w:val="center"/>
              <w:rPr>
                <w:highlight w:val="darkGray"/>
              </w:rPr>
            </w:pPr>
            <w:r w:rsidRPr="000B266B">
              <w:rPr>
                <w:rFonts w:hint="eastAsia"/>
                <w:color w:val="000000"/>
                <w:w w:val="15"/>
                <w:shd w:val="solid" w:color="000000" w:fill="000000"/>
                <w:fitText w:val="30" w:id="-649843953"/>
                <w14:textFill>
                  <w14:solidFill>
                    <w14:srgbClr w14:val="000000">
                      <w14:alpha w14:val="100000"/>
                    </w14:srgbClr>
                  </w14:solidFill>
                </w14:textFill>
              </w:rPr>
              <w:t xml:space="preserve">　</w:t>
            </w:r>
            <w:r w:rsidRPr="000B266B">
              <w:rPr>
                <w:color w:val="000000"/>
                <w:w w:val="15"/>
                <w:shd w:val="solid" w:color="000000" w:fill="000000"/>
                <w:fitText w:val="30" w:id="-649843953"/>
                <w14:textFill>
                  <w14:solidFill>
                    <w14:srgbClr w14:val="000000">
                      <w14:alpha w14:val="100000"/>
                    </w14:srgbClr>
                  </w14:solidFill>
                </w14:textFill>
              </w:rPr>
              <w:t>|</w:t>
            </w:r>
            <w:r w:rsidRPr="000B266B">
              <w:rPr>
                <w:rFonts w:hint="eastAsia"/>
                <w:color w:val="000000"/>
                <w:spacing w:val="-35"/>
                <w:w w:val="15"/>
                <w:shd w:val="solid" w:color="000000" w:fill="000000"/>
                <w:fitText w:val="30" w:id="-649843953"/>
                <w14:textFill>
                  <w14:solidFill>
                    <w14:srgbClr w14:val="000000">
                      <w14:alpha w14:val="100000"/>
                    </w14:srgbClr>
                  </w14:solidFill>
                </w14:textFill>
              </w:rPr>
              <w:t xml:space="preserve">　</w:t>
            </w:r>
            <w:r w:rsidRPr="004739C9">
              <w:rPr>
                <w:vertAlign w:val="superscript"/>
              </w:rPr>
              <w:t>2</w:t>
            </w:r>
          </w:p>
        </w:tc>
      </w:tr>
      <w:tr w:rsidR="000B266B" w:rsidRPr="00A16C9B" w14:paraId="79F3E7F3" w14:textId="77777777" w:rsidTr="00B678E8">
        <w:tc>
          <w:tcPr>
            <w:tcW w:w="5000" w:type="pct"/>
            <w:gridSpan w:val="13"/>
            <w:vAlign w:val="center"/>
          </w:tcPr>
          <w:p w14:paraId="68FAD616" w14:textId="77777777" w:rsidR="000B266B" w:rsidRPr="00A16C9B" w:rsidRDefault="000B266B" w:rsidP="0041700E">
            <w:pPr>
              <w:pStyle w:val="TableText"/>
              <w:keepLines/>
              <w:rPr>
                <w:b/>
                <w:bCs w:val="0"/>
              </w:rPr>
            </w:pPr>
            <w:r w:rsidRPr="37C20EEE">
              <w:rPr>
                <w:b/>
              </w:rPr>
              <w:t>Estimated extent of use of bulevirtide</w:t>
            </w:r>
          </w:p>
        </w:tc>
      </w:tr>
      <w:tr w:rsidR="000B266B" w:rsidRPr="00A16C9B" w14:paraId="1FBFE46B" w14:textId="77777777" w:rsidTr="00B678E8">
        <w:tc>
          <w:tcPr>
            <w:tcW w:w="1122" w:type="pct"/>
            <w:vAlign w:val="center"/>
          </w:tcPr>
          <w:p w14:paraId="1D164CF1" w14:textId="77777777" w:rsidR="000B266B" w:rsidRPr="00A16C9B" w:rsidRDefault="000B266B" w:rsidP="0041700E">
            <w:pPr>
              <w:pStyle w:val="TableText"/>
              <w:keepLines/>
              <w:rPr>
                <w:rFonts w:ascii="Times" w:eastAsia="Times New Roman" w:hAnsi="Times" w:cs="Times New Roman"/>
              </w:rPr>
            </w:pPr>
            <w:r w:rsidRPr="00A16C9B">
              <w:t>Number of patients likely to be treated with proposed drug</w:t>
            </w:r>
          </w:p>
        </w:tc>
        <w:tc>
          <w:tcPr>
            <w:tcW w:w="648" w:type="pct"/>
            <w:gridSpan w:val="2"/>
          </w:tcPr>
          <w:p w14:paraId="7B92702C"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52"/>
                <w14:textFill>
                  <w14:solidFill>
                    <w14:srgbClr w14:val="000000">
                      <w14:alpha w14:val="100000"/>
                    </w14:srgbClr>
                  </w14:solidFill>
                </w14:textFill>
              </w:rPr>
              <w:t xml:space="preserve">　</w:t>
            </w:r>
            <w:r w:rsidRPr="000B266B">
              <w:rPr>
                <w:color w:val="000000"/>
                <w:w w:val="15"/>
                <w:shd w:val="solid" w:color="000000" w:fill="000000"/>
                <w:fitText w:val="30" w:id="-649843952"/>
                <w14:textFill>
                  <w14:solidFill>
                    <w14:srgbClr w14:val="000000">
                      <w14:alpha w14:val="100000"/>
                    </w14:srgbClr>
                  </w14:solidFill>
                </w14:textFill>
              </w:rPr>
              <w:t>|</w:t>
            </w:r>
            <w:r w:rsidRPr="000B266B">
              <w:rPr>
                <w:rFonts w:hint="eastAsia"/>
                <w:color w:val="000000"/>
                <w:spacing w:val="-35"/>
                <w:w w:val="15"/>
                <w:shd w:val="solid" w:color="000000" w:fill="000000"/>
                <w:fitText w:val="30" w:id="-649843952"/>
                <w14:textFill>
                  <w14:solidFill>
                    <w14:srgbClr w14:val="000000">
                      <w14:alpha w14:val="100000"/>
                    </w14:srgbClr>
                  </w14:solidFill>
                </w14:textFill>
              </w:rPr>
              <w:t xml:space="preserve">　</w:t>
            </w:r>
            <w:r w:rsidRPr="004739C9">
              <w:rPr>
                <w:vertAlign w:val="superscript"/>
              </w:rPr>
              <w:t>2</w:t>
            </w:r>
          </w:p>
        </w:tc>
        <w:tc>
          <w:tcPr>
            <w:tcW w:w="646" w:type="pct"/>
            <w:gridSpan w:val="2"/>
          </w:tcPr>
          <w:p w14:paraId="3BE631C9"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68"/>
                <w14:textFill>
                  <w14:solidFill>
                    <w14:srgbClr w14:val="000000">
                      <w14:alpha w14:val="100000"/>
                    </w14:srgbClr>
                  </w14:solidFill>
                </w14:textFill>
              </w:rPr>
              <w:t xml:space="preserve">　</w:t>
            </w:r>
            <w:r w:rsidRPr="000B266B">
              <w:rPr>
                <w:color w:val="000000"/>
                <w:w w:val="15"/>
                <w:shd w:val="solid" w:color="000000" w:fill="000000"/>
                <w:fitText w:val="30" w:id="-649843968"/>
                <w14:textFill>
                  <w14:solidFill>
                    <w14:srgbClr w14:val="000000">
                      <w14:alpha w14:val="100000"/>
                    </w14:srgbClr>
                  </w14:solidFill>
                </w14:textFill>
              </w:rPr>
              <w:t>|</w:t>
            </w:r>
            <w:r w:rsidRPr="000B266B">
              <w:rPr>
                <w:rFonts w:hint="eastAsia"/>
                <w:color w:val="000000"/>
                <w:spacing w:val="-35"/>
                <w:w w:val="15"/>
                <w:shd w:val="solid" w:color="000000" w:fill="000000"/>
                <w:fitText w:val="30" w:id="-649843968"/>
                <w14:textFill>
                  <w14:solidFill>
                    <w14:srgbClr w14:val="000000">
                      <w14:alpha w14:val="100000"/>
                    </w14:srgbClr>
                  </w14:solidFill>
                </w14:textFill>
              </w:rPr>
              <w:t xml:space="preserve">　</w:t>
            </w:r>
            <w:r w:rsidRPr="004739C9">
              <w:rPr>
                <w:vertAlign w:val="superscript"/>
              </w:rPr>
              <w:t>2</w:t>
            </w:r>
          </w:p>
        </w:tc>
        <w:tc>
          <w:tcPr>
            <w:tcW w:w="646" w:type="pct"/>
            <w:gridSpan w:val="2"/>
          </w:tcPr>
          <w:p w14:paraId="0910B1C8"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67"/>
                <w14:textFill>
                  <w14:solidFill>
                    <w14:srgbClr w14:val="000000">
                      <w14:alpha w14:val="100000"/>
                    </w14:srgbClr>
                  </w14:solidFill>
                </w14:textFill>
              </w:rPr>
              <w:t xml:space="preserve">　</w:t>
            </w:r>
            <w:r w:rsidRPr="000B266B">
              <w:rPr>
                <w:color w:val="000000"/>
                <w:w w:val="15"/>
                <w:shd w:val="solid" w:color="000000" w:fill="000000"/>
                <w:fitText w:val="30" w:id="-649843967"/>
                <w14:textFill>
                  <w14:solidFill>
                    <w14:srgbClr w14:val="000000">
                      <w14:alpha w14:val="100000"/>
                    </w14:srgbClr>
                  </w14:solidFill>
                </w14:textFill>
              </w:rPr>
              <w:t>|</w:t>
            </w:r>
            <w:r w:rsidRPr="000B266B">
              <w:rPr>
                <w:rFonts w:hint="eastAsia"/>
                <w:color w:val="000000"/>
                <w:spacing w:val="-35"/>
                <w:w w:val="15"/>
                <w:shd w:val="solid" w:color="000000" w:fill="000000"/>
                <w:fitText w:val="30" w:id="-649843967"/>
                <w14:textFill>
                  <w14:solidFill>
                    <w14:srgbClr w14:val="000000">
                      <w14:alpha w14:val="100000"/>
                    </w14:srgbClr>
                  </w14:solidFill>
                </w14:textFill>
              </w:rPr>
              <w:t xml:space="preserve">　</w:t>
            </w:r>
            <w:r w:rsidRPr="004739C9">
              <w:rPr>
                <w:vertAlign w:val="superscript"/>
              </w:rPr>
              <w:t>2</w:t>
            </w:r>
          </w:p>
        </w:tc>
        <w:tc>
          <w:tcPr>
            <w:tcW w:w="646" w:type="pct"/>
            <w:gridSpan w:val="2"/>
          </w:tcPr>
          <w:p w14:paraId="6080FD40"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66"/>
                <w14:textFill>
                  <w14:solidFill>
                    <w14:srgbClr w14:val="000000">
                      <w14:alpha w14:val="100000"/>
                    </w14:srgbClr>
                  </w14:solidFill>
                </w14:textFill>
              </w:rPr>
              <w:t xml:space="preserve">　</w:t>
            </w:r>
            <w:r w:rsidRPr="000B266B">
              <w:rPr>
                <w:color w:val="000000"/>
                <w:w w:val="15"/>
                <w:shd w:val="solid" w:color="000000" w:fill="000000"/>
                <w:fitText w:val="30" w:id="-649843966"/>
                <w14:textFill>
                  <w14:solidFill>
                    <w14:srgbClr w14:val="000000">
                      <w14:alpha w14:val="100000"/>
                    </w14:srgbClr>
                  </w14:solidFill>
                </w14:textFill>
              </w:rPr>
              <w:t>|</w:t>
            </w:r>
            <w:r w:rsidRPr="000B266B">
              <w:rPr>
                <w:rFonts w:hint="eastAsia"/>
                <w:color w:val="000000"/>
                <w:spacing w:val="-35"/>
                <w:w w:val="15"/>
                <w:shd w:val="solid" w:color="000000" w:fill="000000"/>
                <w:fitText w:val="30" w:id="-649843966"/>
                <w14:textFill>
                  <w14:solidFill>
                    <w14:srgbClr w14:val="000000">
                      <w14:alpha w14:val="100000"/>
                    </w14:srgbClr>
                  </w14:solidFill>
                </w14:textFill>
              </w:rPr>
              <w:t xml:space="preserve">　</w:t>
            </w:r>
            <w:r w:rsidRPr="004739C9">
              <w:rPr>
                <w:vertAlign w:val="superscript"/>
              </w:rPr>
              <w:t>2</w:t>
            </w:r>
          </w:p>
        </w:tc>
        <w:tc>
          <w:tcPr>
            <w:tcW w:w="646" w:type="pct"/>
            <w:gridSpan w:val="2"/>
          </w:tcPr>
          <w:p w14:paraId="4F8077E9"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65"/>
                <w14:textFill>
                  <w14:solidFill>
                    <w14:srgbClr w14:val="000000">
                      <w14:alpha w14:val="100000"/>
                    </w14:srgbClr>
                  </w14:solidFill>
                </w14:textFill>
              </w:rPr>
              <w:t xml:space="preserve">　</w:t>
            </w:r>
            <w:r w:rsidRPr="000B266B">
              <w:rPr>
                <w:color w:val="000000"/>
                <w:w w:val="15"/>
                <w:shd w:val="solid" w:color="000000" w:fill="000000"/>
                <w:fitText w:val="30" w:id="-649843965"/>
                <w14:textFill>
                  <w14:solidFill>
                    <w14:srgbClr w14:val="000000">
                      <w14:alpha w14:val="100000"/>
                    </w14:srgbClr>
                  </w14:solidFill>
                </w14:textFill>
              </w:rPr>
              <w:t>|</w:t>
            </w:r>
            <w:r w:rsidRPr="000B266B">
              <w:rPr>
                <w:rFonts w:hint="eastAsia"/>
                <w:color w:val="000000"/>
                <w:spacing w:val="-35"/>
                <w:w w:val="15"/>
                <w:shd w:val="solid" w:color="000000" w:fill="000000"/>
                <w:fitText w:val="30" w:id="-649843965"/>
                <w14:textFill>
                  <w14:solidFill>
                    <w14:srgbClr w14:val="000000">
                      <w14:alpha w14:val="100000"/>
                    </w14:srgbClr>
                  </w14:solidFill>
                </w14:textFill>
              </w:rPr>
              <w:t xml:space="preserve">　</w:t>
            </w:r>
            <w:r w:rsidRPr="004739C9">
              <w:rPr>
                <w:vertAlign w:val="superscript"/>
              </w:rPr>
              <w:t>2</w:t>
            </w:r>
          </w:p>
        </w:tc>
        <w:tc>
          <w:tcPr>
            <w:tcW w:w="646" w:type="pct"/>
            <w:gridSpan w:val="2"/>
          </w:tcPr>
          <w:p w14:paraId="0E85028F"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64"/>
                <w14:textFill>
                  <w14:solidFill>
                    <w14:srgbClr w14:val="000000">
                      <w14:alpha w14:val="100000"/>
                    </w14:srgbClr>
                  </w14:solidFill>
                </w14:textFill>
              </w:rPr>
              <w:t xml:space="preserve">　</w:t>
            </w:r>
            <w:r w:rsidRPr="000B266B">
              <w:rPr>
                <w:color w:val="000000"/>
                <w:w w:val="15"/>
                <w:shd w:val="solid" w:color="000000" w:fill="000000"/>
                <w:fitText w:val="30" w:id="-649843964"/>
                <w14:textFill>
                  <w14:solidFill>
                    <w14:srgbClr w14:val="000000">
                      <w14:alpha w14:val="100000"/>
                    </w14:srgbClr>
                  </w14:solidFill>
                </w14:textFill>
              </w:rPr>
              <w:t>|</w:t>
            </w:r>
            <w:r w:rsidRPr="000B266B">
              <w:rPr>
                <w:rFonts w:hint="eastAsia"/>
                <w:color w:val="000000"/>
                <w:spacing w:val="-35"/>
                <w:w w:val="15"/>
                <w:shd w:val="solid" w:color="000000" w:fill="000000"/>
                <w:fitText w:val="30" w:id="-649843964"/>
                <w14:textFill>
                  <w14:solidFill>
                    <w14:srgbClr w14:val="000000">
                      <w14:alpha w14:val="100000"/>
                    </w14:srgbClr>
                  </w14:solidFill>
                </w14:textFill>
              </w:rPr>
              <w:t xml:space="preserve">　</w:t>
            </w:r>
            <w:r w:rsidRPr="004739C9">
              <w:rPr>
                <w:vertAlign w:val="superscript"/>
              </w:rPr>
              <w:t>2</w:t>
            </w:r>
          </w:p>
        </w:tc>
      </w:tr>
      <w:tr w:rsidR="000B266B" w:rsidRPr="00A16C9B" w14:paraId="2E4873B7" w14:textId="77777777" w:rsidTr="00B678E8">
        <w:tc>
          <w:tcPr>
            <w:tcW w:w="1122" w:type="pct"/>
            <w:vAlign w:val="center"/>
          </w:tcPr>
          <w:p w14:paraId="1FAAA6C1" w14:textId="77777777" w:rsidR="000B266B" w:rsidRPr="00A16C9B" w:rsidRDefault="000B266B" w:rsidP="0041700E">
            <w:pPr>
              <w:pStyle w:val="TableText"/>
              <w:keepLines/>
              <w:rPr>
                <w:rFonts w:ascii="Times" w:eastAsia="Times New Roman" w:hAnsi="Times" w:cs="Times New Roman"/>
              </w:rPr>
            </w:pPr>
            <w:r w:rsidRPr="00A16C9B">
              <w:t xml:space="preserve">Number of scripts dispensed </w:t>
            </w:r>
            <w:r w:rsidRPr="00A16C9B">
              <w:rPr>
                <w:vertAlign w:val="superscript"/>
              </w:rPr>
              <w:t>a</w:t>
            </w:r>
          </w:p>
        </w:tc>
        <w:tc>
          <w:tcPr>
            <w:tcW w:w="648" w:type="pct"/>
            <w:gridSpan w:val="2"/>
          </w:tcPr>
          <w:p w14:paraId="70CBF155"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63"/>
                <w14:textFill>
                  <w14:solidFill>
                    <w14:srgbClr w14:val="000000">
                      <w14:alpha w14:val="100000"/>
                    </w14:srgbClr>
                  </w14:solidFill>
                </w14:textFill>
              </w:rPr>
              <w:t xml:space="preserve">　</w:t>
            </w:r>
            <w:r w:rsidRPr="000B266B">
              <w:rPr>
                <w:color w:val="000000"/>
                <w:w w:val="15"/>
                <w:shd w:val="solid" w:color="000000" w:fill="000000"/>
                <w:fitText w:val="30" w:id="-649843963"/>
                <w14:textFill>
                  <w14:solidFill>
                    <w14:srgbClr w14:val="000000">
                      <w14:alpha w14:val="100000"/>
                    </w14:srgbClr>
                  </w14:solidFill>
                </w14:textFill>
              </w:rPr>
              <w:t>|</w:t>
            </w:r>
            <w:r w:rsidRPr="000B266B">
              <w:rPr>
                <w:rFonts w:hint="eastAsia"/>
                <w:color w:val="000000"/>
                <w:spacing w:val="-35"/>
                <w:w w:val="15"/>
                <w:shd w:val="solid" w:color="000000" w:fill="000000"/>
                <w:fitText w:val="30" w:id="-649843963"/>
                <w14:textFill>
                  <w14:solidFill>
                    <w14:srgbClr w14:val="000000">
                      <w14:alpha w14:val="100000"/>
                    </w14:srgbClr>
                  </w14:solidFill>
                </w14:textFill>
              </w:rPr>
              <w:t xml:space="preserve">　</w:t>
            </w:r>
            <w:r w:rsidRPr="004739C9">
              <w:rPr>
                <w:vertAlign w:val="superscript"/>
              </w:rPr>
              <w:t>1</w:t>
            </w:r>
          </w:p>
        </w:tc>
        <w:tc>
          <w:tcPr>
            <w:tcW w:w="646" w:type="pct"/>
            <w:gridSpan w:val="2"/>
          </w:tcPr>
          <w:p w14:paraId="5AF6450F"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62"/>
                <w14:textFill>
                  <w14:solidFill>
                    <w14:srgbClr w14:val="000000">
                      <w14:alpha w14:val="100000"/>
                    </w14:srgbClr>
                  </w14:solidFill>
                </w14:textFill>
              </w:rPr>
              <w:t xml:space="preserve">　</w:t>
            </w:r>
            <w:r w:rsidRPr="000B266B">
              <w:rPr>
                <w:color w:val="000000"/>
                <w:w w:val="15"/>
                <w:shd w:val="solid" w:color="000000" w:fill="000000"/>
                <w:fitText w:val="30" w:id="-649843962"/>
                <w14:textFill>
                  <w14:solidFill>
                    <w14:srgbClr w14:val="000000">
                      <w14:alpha w14:val="100000"/>
                    </w14:srgbClr>
                  </w14:solidFill>
                </w14:textFill>
              </w:rPr>
              <w:t>|</w:t>
            </w:r>
            <w:r w:rsidRPr="000B266B">
              <w:rPr>
                <w:rFonts w:hint="eastAsia"/>
                <w:color w:val="000000"/>
                <w:spacing w:val="-35"/>
                <w:w w:val="15"/>
                <w:shd w:val="solid" w:color="000000" w:fill="000000"/>
                <w:fitText w:val="30" w:id="-649843962"/>
                <w14:textFill>
                  <w14:solidFill>
                    <w14:srgbClr w14:val="000000">
                      <w14:alpha w14:val="100000"/>
                    </w14:srgbClr>
                  </w14:solidFill>
                </w14:textFill>
              </w:rPr>
              <w:t xml:space="preserve">　</w:t>
            </w:r>
            <w:r w:rsidRPr="004739C9">
              <w:rPr>
                <w:vertAlign w:val="superscript"/>
              </w:rPr>
              <w:t>1</w:t>
            </w:r>
          </w:p>
        </w:tc>
        <w:tc>
          <w:tcPr>
            <w:tcW w:w="646" w:type="pct"/>
            <w:gridSpan w:val="2"/>
          </w:tcPr>
          <w:p w14:paraId="34C441F7"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61"/>
                <w14:textFill>
                  <w14:solidFill>
                    <w14:srgbClr w14:val="000000">
                      <w14:alpha w14:val="100000"/>
                    </w14:srgbClr>
                  </w14:solidFill>
                </w14:textFill>
              </w:rPr>
              <w:t xml:space="preserve">　</w:t>
            </w:r>
            <w:r w:rsidRPr="000B266B">
              <w:rPr>
                <w:color w:val="000000"/>
                <w:w w:val="15"/>
                <w:shd w:val="solid" w:color="000000" w:fill="000000"/>
                <w:fitText w:val="30" w:id="-649843961"/>
                <w14:textFill>
                  <w14:solidFill>
                    <w14:srgbClr w14:val="000000">
                      <w14:alpha w14:val="100000"/>
                    </w14:srgbClr>
                  </w14:solidFill>
                </w14:textFill>
              </w:rPr>
              <w:t>|</w:t>
            </w:r>
            <w:r w:rsidRPr="000B266B">
              <w:rPr>
                <w:rFonts w:hint="eastAsia"/>
                <w:color w:val="000000"/>
                <w:spacing w:val="-35"/>
                <w:w w:val="15"/>
                <w:shd w:val="solid" w:color="000000" w:fill="000000"/>
                <w:fitText w:val="30" w:id="-649843961"/>
                <w14:textFill>
                  <w14:solidFill>
                    <w14:srgbClr w14:val="000000">
                      <w14:alpha w14:val="100000"/>
                    </w14:srgbClr>
                  </w14:solidFill>
                </w14:textFill>
              </w:rPr>
              <w:t xml:space="preserve">　</w:t>
            </w:r>
            <w:r w:rsidRPr="004739C9">
              <w:rPr>
                <w:vertAlign w:val="superscript"/>
              </w:rPr>
              <w:t>1</w:t>
            </w:r>
          </w:p>
        </w:tc>
        <w:tc>
          <w:tcPr>
            <w:tcW w:w="646" w:type="pct"/>
            <w:gridSpan w:val="2"/>
          </w:tcPr>
          <w:p w14:paraId="682381B0"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60"/>
                <w14:textFill>
                  <w14:solidFill>
                    <w14:srgbClr w14:val="000000">
                      <w14:alpha w14:val="100000"/>
                    </w14:srgbClr>
                  </w14:solidFill>
                </w14:textFill>
              </w:rPr>
              <w:t xml:space="preserve">　</w:t>
            </w:r>
            <w:r w:rsidRPr="000B266B">
              <w:rPr>
                <w:color w:val="000000"/>
                <w:w w:val="15"/>
                <w:shd w:val="solid" w:color="000000" w:fill="000000"/>
                <w:fitText w:val="30" w:id="-649843960"/>
                <w14:textFill>
                  <w14:solidFill>
                    <w14:srgbClr w14:val="000000">
                      <w14:alpha w14:val="100000"/>
                    </w14:srgbClr>
                  </w14:solidFill>
                </w14:textFill>
              </w:rPr>
              <w:t>|</w:t>
            </w:r>
            <w:r w:rsidRPr="000B266B">
              <w:rPr>
                <w:rFonts w:hint="eastAsia"/>
                <w:color w:val="000000"/>
                <w:spacing w:val="-35"/>
                <w:w w:val="15"/>
                <w:shd w:val="solid" w:color="000000" w:fill="000000"/>
                <w:fitText w:val="30" w:id="-649843960"/>
                <w14:textFill>
                  <w14:solidFill>
                    <w14:srgbClr w14:val="000000">
                      <w14:alpha w14:val="100000"/>
                    </w14:srgbClr>
                  </w14:solidFill>
                </w14:textFill>
              </w:rPr>
              <w:t xml:space="preserve">　</w:t>
            </w:r>
            <w:r w:rsidRPr="004739C9">
              <w:rPr>
                <w:vertAlign w:val="superscript"/>
              </w:rPr>
              <w:t>1</w:t>
            </w:r>
          </w:p>
        </w:tc>
        <w:tc>
          <w:tcPr>
            <w:tcW w:w="646" w:type="pct"/>
            <w:gridSpan w:val="2"/>
          </w:tcPr>
          <w:p w14:paraId="3533186D"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59"/>
                <w14:textFill>
                  <w14:solidFill>
                    <w14:srgbClr w14:val="000000">
                      <w14:alpha w14:val="100000"/>
                    </w14:srgbClr>
                  </w14:solidFill>
                </w14:textFill>
              </w:rPr>
              <w:t xml:space="preserve">　</w:t>
            </w:r>
            <w:r w:rsidRPr="000B266B">
              <w:rPr>
                <w:color w:val="000000"/>
                <w:w w:val="15"/>
                <w:shd w:val="solid" w:color="000000" w:fill="000000"/>
                <w:fitText w:val="30" w:id="-649843959"/>
                <w14:textFill>
                  <w14:solidFill>
                    <w14:srgbClr w14:val="000000">
                      <w14:alpha w14:val="100000"/>
                    </w14:srgbClr>
                  </w14:solidFill>
                </w14:textFill>
              </w:rPr>
              <w:t>|</w:t>
            </w:r>
            <w:r w:rsidRPr="000B266B">
              <w:rPr>
                <w:rFonts w:hint="eastAsia"/>
                <w:color w:val="000000"/>
                <w:spacing w:val="-35"/>
                <w:w w:val="15"/>
                <w:shd w:val="solid" w:color="000000" w:fill="000000"/>
                <w:fitText w:val="30" w:id="-649843959"/>
                <w14:textFill>
                  <w14:solidFill>
                    <w14:srgbClr w14:val="000000">
                      <w14:alpha w14:val="100000"/>
                    </w14:srgbClr>
                  </w14:solidFill>
                </w14:textFill>
              </w:rPr>
              <w:t xml:space="preserve">　</w:t>
            </w:r>
            <w:r w:rsidRPr="004739C9">
              <w:rPr>
                <w:vertAlign w:val="superscript"/>
              </w:rPr>
              <w:t>1</w:t>
            </w:r>
          </w:p>
        </w:tc>
        <w:tc>
          <w:tcPr>
            <w:tcW w:w="646" w:type="pct"/>
            <w:gridSpan w:val="2"/>
          </w:tcPr>
          <w:p w14:paraId="043CDF20"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58"/>
                <w14:textFill>
                  <w14:solidFill>
                    <w14:srgbClr w14:val="000000">
                      <w14:alpha w14:val="100000"/>
                    </w14:srgbClr>
                  </w14:solidFill>
                </w14:textFill>
              </w:rPr>
              <w:t xml:space="preserve">　</w:t>
            </w:r>
            <w:r w:rsidRPr="000B266B">
              <w:rPr>
                <w:color w:val="000000"/>
                <w:w w:val="15"/>
                <w:shd w:val="solid" w:color="000000" w:fill="000000"/>
                <w:fitText w:val="30" w:id="-649843958"/>
                <w14:textFill>
                  <w14:solidFill>
                    <w14:srgbClr w14:val="000000">
                      <w14:alpha w14:val="100000"/>
                    </w14:srgbClr>
                  </w14:solidFill>
                </w14:textFill>
              </w:rPr>
              <w:t>|</w:t>
            </w:r>
            <w:r w:rsidRPr="000B266B">
              <w:rPr>
                <w:rFonts w:hint="eastAsia"/>
                <w:color w:val="000000"/>
                <w:spacing w:val="-35"/>
                <w:w w:val="15"/>
                <w:shd w:val="solid" w:color="000000" w:fill="000000"/>
                <w:fitText w:val="30" w:id="-649843958"/>
                <w14:textFill>
                  <w14:solidFill>
                    <w14:srgbClr w14:val="000000">
                      <w14:alpha w14:val="100000"/>
                    </w14:srgbClr>
                  </w14:solidFill>
                </w14:textFill>
              </w:rPr>
              <w:t xml:space="preserve">　</w:t>
            </w:r>
            <w:r w:rsidRPr="004739C9">
              <w:rPr>
                <w:vertAlign w:val="superscript"/>
              </w:rPr>
              <w:t>1</w:t>
            </w:r>
          </w:p>
        </w:tc>
      </w:tr>
      <w:tr w:rsidR="000B266B" w:rsidRPr="00A16C9B" w14:paraId="13667A49" w14:textId="77777777" w:rsidTr="00B678E8">
        <w:tc>
          <w:tcPr>
            <w:tcW w:w="5000" w:type="pct"/>
            <w:gridSpan w:val="13"/>
            <w:vAlign w:val="center"/>
          </w:tcPr>
          <w:p w14:paraId="2C8C09F3" w14:textId="77777777" w:rsidR="000B266B" w:rsidRPr="00A16C9B" w:rsidRDefault="000B266B" w:rsidP="0041700E">
            <w:pPr>
              <w:pStyle w:val="TableText"/>
              <w:keepLines/>
              <w:rPr>
                <w:b/>
                <w:bCs w:val="0"/>
              </w:rPr>
            </w:pPr>
            <w:r w:rsidRPr="00A16C9B">
              <w:rPr>
                <w:b/>
              </w:rPr>
              <w:t>Estimated financial implications of the HDV RNA test to the MBS</w:t>
            </w:r>
          </w:p>
        </w:tc>
      </w:tr>
      <w:tr w:rsidR="000B266B" w:rsidRPr="00A16C9B" w14:paraId="1ACF7432" w14:textId="77777777" w:rsidTr="00B678E8">
        <w:tc>
          <w:tcPr>
            <w:tcW w:w="1122" w:type="pct"/>
            <w:vAlign w:val="center"/>
          </w:tcPr>
          <w:p w14:paraId="5D6DEF2D" w14:textId="77777777" w:rsidR="000B266B" w:rsidRPr="00A16C9B" w:rsidRDefault="000B266B" w:rsidP="0041700E">
            <w:pPr>
              <w:pStyle w:val="TableText"/>
              <w:keepLines/>
            </w:pPr>
            <w:r w:rsidRPr="00A16C9B">
              <w:t xml:space="preserve">Cost to the MBS @ 85% benefit </w:t>
            </w:r>
            <w:r w:rsidRPr="00A16C9B">
              <w:rPr>
                <w:vertAlign w:val="superscript"/>
              </w:rPr>
              <w:t>b</w:t>
            </w:r>
          </w:p>
        </w:tc>
        <w:tc>
          <w:tcPr>
            <w:tcW w:w="648" w:type="pct"/>
            <w:gridSpan w:val="2"/>
          </w:tcPr>
          <w:p w14:paraId="5D7D7513"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57"/>
                <w14:textFill>
                  <w14:solidFill>
                    <w14:srgbClr w14:val="000000">
                      <w14:alpha w14:val="100000"/>
                    </w14:srgbClr>
                  </w14:solidFill>
                </w14:textFill>
              </w:rPr>
              <w:t xml:space="preserve">　</w:t>
            </w:r>
            <w:r w:rsidRPr="000B266B">
              <w:rPr>
                <w:color w:val="000000"/>
                <w:w w:val="15"/>
                <w:shd w:val="solid" w:color="000000" w:fill="000000"/>
                <w:fitText w:val="30" w:id="-649843957"/>
                <w14:textFill>
                  <w14:solidFill>
                    <w14:srgbClr w14:val="000000">
                      <w14:alpha w14:val="100000"/>
                    </w14:srgbClr>
                  </w14:solidFill>
                </w14:textFill>
              </w:rPr>
              <w:t>|</w:t>
            </w:r>
            <w:r w:rsidRPr="000B266B">
              <w:rPr>
                <w:rFonts w:hint="eastAsia"/>
                <w:color w:val="000000"/>
                <w:spacing w:val="-35"/>
                <w:w w:val="15"/>
                <w:shd w:val="solid" w:color="000000" w:fill="000000"/>
                <w:fitText w:val="30" w:id="-649843957"/>
                <w14:textFill>
                  <w14:solidFill>
                    <w14:srgbClr w14:val="000000">
                      <w14:alpha w14:val="100000"/>
                    </w14:srgbClr>
                  </w14:solidFill>
                </w14:textFill>
              </w:rPr>
              <w:t xml:space="preserve">　</w:t>
            </w:r>
            <w:r w:rsidRPr="00D120E3">
              <w:rPr>
                <w:vertAlign w:val="superscript"/>
              </w:rPr>
              <w:t>3</w:t>
            </w:r>
          </w:p>
        </w:tc>
        <w:tc>
          <w:tcPr>
            <w:tcW w:w="646" w:type="pct"/>
            <w:gridSpan w:val="2"/>
          </w:tcPr>
          <w:p w14:paraId="3101510A"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56"/>
                <w14:textFill>
                  <w14:solidFill>
                    <w14:srgbClr w14:val="000000">
                      <w14:alpha w14:val="100000"/>
                    </w14:srgbClr>
                  </w14:solidFill>
                </w14:textFill>
              </w:rPr>
              <w:t xml:space="preserve">　</w:t>
            </w:r>
            <w:r w:rsidRPr="000B266B">
              <w:rPr>
                <w:color w:val="000000"/>
                <w:w w:val="15"/>
                <w:shd w:val="solid" w:color="000000" w:fill="000000"/>
                <w:fitText w:val="30" w:id="-649843956"/>
                <w14:textFill>
                  <w14:solidFill>
                    <w14:srgbClr w14:val="000000">
                      <w14:alpha w14:val="100000"/>
                    </w14:srgbClr>
                  </w14:solidFill>
                </w14:textFill>
              </w:rPr>
              <w:t>|</w:t>
            </w:r>
            <w:r w:rsidRPr="000B266B">
              <w:rPr>
                <w:rFonts w:hint="eastAsia"/>
                <w:color w:val="000000"/>
                <w:spacing w:val="-35"/>
                <w:w w:val="15"/>
                <w:shd w:val="solid" w:color="000000" w:fill="000000"/>
                <w:fitText w:val="30" w:id="-649843956"/>
                <w14:textFill>
                  <w14:solidFill>
                    <w14:srgbClr w14:val="000000">
                      <w14:alpha w14:val="100000"/>
                    </w14:srgbClr>
                  </w14:solidFill>
                </w14:textFill>
              </w:rPr>
              <w:t xml:space="preserve">　</w:t>
            </w:r>
            <w:r w:rsidRPr="004739C9">
              <w:rPr>
                <w:vertAlign w:val="superscript"/>
              </w:rPr>
              <w:t>3</w:t>
            </w:r>
          </w:p>
        </w:tc>
        <w:tc>
          <w:tcPr>
            <w:tcW w:w="646" w:type="pct"/>
            <w:gridSpan w:val="2"/>
          </w:tcPr>
          <w:p w14:paraId="1A8EBF22"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55"/>
                <w14:textFill>
                  <w14:solidFill>
                    <w14:srgbClr w14:val="000000">
                      <w14:alpha w14:val="100000"/>
                    </w14:srgbClr>
                  </w14:solidFill>
                </w14:textFill>
              </w:rPr>
              <w:t xml:space="preserve">　</w:t>
            </w:r>
            <w:r w:rsidRPr="000B266B">
              <w:rPr>
                <w:color w:val="000000"/>
                <w:w w:val="15"/>
                <w:shd w:val="solid" w:color="000000" w:fill="000000"/>
                <w:fitText w:val="30" w:id="-649843955"/>
                <w14:textFill>
                  <w14:solidFill>
                    <w14:srgbClr w14:val="000000">
                      <w14:alpha w14:val="100000"/>
                    </w14:srgbClr>
                  </w14:solidFill>
                </w14:textFill>
              </w:rPr>
              <w:t>|</w:t>
            </w:r>
            <w:r w:rsidRPr="000B266B">
              <w:rPr>
                <w:rFonts w:hint="eastAsia"/>
                <w:color w:val="000000"/>
                <w:spacing w:val="-35"/>
                <w:w w:val="15"/>
                <w:shd w:val="solid" w:color="000000" w:fill="000000"/>
                <w:fitText w:val="30" w:id="-649843955"/>
                <w14:textFill>
                  <w14:solidFill>
                    <w14:srgbClr w14:val="000000">
                      <w14:alpha w14:val="100000"/>
                    </w14:srgbClr>
                  </w14:solidFill>
                </w14:textFill>
              </w:rPr>
              <w:t xml:space="preserve">　</w:t>
            </w:r>
            <w:r w:rsidRPr="004739C9">
              <w:rPr>
                <w:vertAlign w:val="superscript"/>
              </w:rPr>
              <w:t>3</w:t>
            </w:r>
          </w:p>
        </w:tc>
        <w:tc>
          <w:tcPr>
            <w:tcW w:w="646" w:type="pct"/>
            <w:gridSpan w:val="2"/>
          </w:tcPr>
          <w:p w14:paraId="71472E4D"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54"/>
                <w14:textFill>
                  <w14:solidFill>
                    <w14:srgbClr w14:val="000000">
                      <w14:alpha w14:val="100000"/>
                    </w14:srgbClr>
                  </w14:solidFill>
                </w14:textFill>
              </w:rPr>
              <w:t xml:space="preserve">　</w:t>
            </w:r>
            <w:r w:rsidRPr="000B266B">
              <w:rPr>
                <w:color w:val="000000"/>
                <w:w w:val="15"/>
                <w:shd w:val="solid" w:color="000000" w:fill="000000"/>
                <w:fitText w:val="30" w:id="-649843954"/>
                <w14:textFill>
                  <w14:solidFill>
                    <w14:srgbClr w14:val="000000">
                      <w14:alpha w14:val="100000"/>
                    </w14:srgbClr>
                  </w14:solidFill>
                </w14:textFill>
              </w:rPr>
              <w:t>|</w:t>
            </w:r>
            <w:r w:rsidRPr="000B266B">
              <w:rPr>
                <w:rFonts w:hint="eastAsia"/>
                <w:color w:val="000000"/>
                <w:spacing w:val="-35"/>
                <w:w w:val="15"/>
                <w:shd w:val="solid" w:color="000000" w:fill="000000"/>
                <w:fitText w:val="30" w:id="-649843954"/>
                <w14:textFill>
                  <w14:solidFill>
                    <w14:srgbClr w14:val="000000">
                      <w14:alpha w14:val="100000"/>
                    </w14:srgbClr>
                  </w14:solidFill>
                </w14:textFill>
              </w:rPr>
              <w:t xml:space="preserve">　</w:t>
            </w:r>
            <w:r w:rsidRPr="004739C9">
              <w:rPr>
                <w:vertAlign w:val="superscript"/>
              </w:rPr>
              <w:t>3</w:t>
            </w:r>
          </w:p>
        </w:tc>
        <w:tc>
          <w:tcPr>
            <w:tcW w:w="646" w:type="pct"/>
            <w:gridSpan w:val="2"/>
          </w:tcPr>
          <w:p w14:paraId="52C82D98"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53"/>
                <w14:textFill>
                  <w14:solidFill>
                    <w14:srgbClr w14:val="000000">
                      <w14:alpha w14:val="100000"/>
                    </w14:srgbClr>
                  </w14:solidFill>
                </w14:textFill>
              </w:rPr>
              <w:t xml:space="preserve">　</w:t>
            </w:r>
            <w:r w:rsidRPr="000B266B">
              <w:rPr>
                <w:color w:val="000000"/>
                <w:w w:val="15"/>
                <w:shd w:val="solid" w:color="000000" w:fill="000000"/>
                <w:fitText w:val="30" w:id="-649843953"/>
                <w14:textFill>
                  <w14:solidFill>
                    <w14:srgbClr w14:val="000000">
                      <w14:alpha w14:val="100000"/>
                    </w14:srgbClr>
                  </w14:solidFill>
                </w14:textFill>
              </w:rPr>
              <w:t>|</w:t>
            </w:r>
            <w:r w:rsidRPr="000B266B">
              <w:rPr>
                <w:rFonts w:hint="eastAsia"/>
                <w:color w:val="000000"/>
                <w:spacing w:val="-35"/>
                <w:w w:val="15"/>
                <w:shd w:val="solid" w:color="000000" w:fill="000000"/>
                <w:fitText w:val="30" w:id="-649843953"/>
                <w14:textFill>
                  <w14:solidFill>
                    <w14:srgbClr w14:val="000000">
                      <w14:alpha w14:val="100000"/>
                    </w14:srgbClr>
                  </w14:solidFill>
                </w14:textFill>
              </w:rPr>
              <w:t xml:space="preserve">　</w:t>
            </w:r>
            <w:r w:rsidRPr="004739C9">
              <w:rPr>
                <w:vertAlign w:val="superscript"/>
              </w:rPr>
              <w:t>3</w:t>
            </w:r>
          </w:p>
        </w:tc>
        <w:tc>
          <w:tcPr>
            <w:tcW w:w="646" w:type="pct"/>
            <w:gridSpan w:val="2"/>
          </w:tcPr>
          <w:p w14:paraId="6489F02A"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52"/>
                <w14:textFill>
                  <w14:solidFill>
                    <w14:srgbClr w14:val="000000">
                      <w14:alpha w14:val="100000"/>
                    </w14:srgbClr>
                  </w14:solidFill>
                </w14:textFill>
              </w:rPr>
              <w:t xml:space="preserve">　</w:t>
            </w:r>
            <w:r w:rsidRPr="000B266B">
              <w:rPr>
                <w:color w:val="000000"/>
                <w:w w:val="15"/>
                <w:shd w:val="solid" w:color="000000" w:fill="000000"/>
                <w:fitText w:val="30" w:id="-649843952"/>
                <w14:textFill>
                  <w14:solidFill>
                    <w14:srgbClr w14:val="000000">
                      <w14:alpha w14:val="100000"/>
                    </w14:srgbClr>
                  </w14:solidFill>
                </w14:textFill>
              </w:rPr>
              <w:t>|</w:t>
            </w:r>
            <w:r w:rsidRPr="000B266B">
              <w:rPr>
                <w:rFonts w:hint="eastAsia"/>
                <w:color w:val="000000"/>
                <w:spacing w:val="-35"/>
                <w:w w:val="15"/>
                <w:shd w:val="solid" w:color="000000" w:fill="000000"/>
                <w:fitText w:val="30" w:id="-649843952"/>
                <w14:textFill>
                  <w14:solidFill>
                    <w14:srgbClr w14:val="000000">
                      <w14:alpha w14:val="100000"/>
                    </w14:srgbClr>
                  </w14:solidFill>
                </w14:textFill>
              </w:rPr>
              <w:t xml:space="preserve">　</w:t>
            </w:r>
            <w:r w:rsidRPr="004739C9">
              <w:rPr>
                <w:vertAlign w:val="superscript"/>
              </w:rPr>
              <w:t>3</w:t>
            </w:r>
          </w:p>
        </w:tc>
      </w:tr>
      <w:tr w:rsidR="000B266B" w:rsidRPr="00A16C9B" w14:paraId="333E7B21" w14:textId="77777777" w:rsidTr="00B678E8">
        <w:tc>
          <w:tcPr>
            <w:tcW w:w="5000" w:type="pct"/>
            <w:gridSpan w:val="13"/>
            <w:vAlign w:val="center"/>
          </w:tcPr>
          <w:p w14:paraId="23A95C16" w14:textId="77777777" w:rsidR="000B266B" w:rsidRPr="00A16C9B" w:rsidRDefault="000B266B" w:rsidP="0041700E">
            <w:pPr>
              <w:pStyle w:val="TableText"/>
              <w:keepLines/>
              <w:rPr>
                <w:b/>
                <w:bCs w:val="0"/>
              </w:rPr>
            </w:pPr>
            <w:r w:rsidRPr="37C20EEE">
              <w:rPr>
                <w:b/>
              </w:rPr>
              <w:t>Estimated financial implications of bulevirtide to the PBS/RPBS</w:t>
            </w:r>
          </w:p>
        </w:tc>
      </w:tr>
      <w:tr w:rsidR="000B266B" w:rsidRPr="00A16C9B" w14:paraId="32EE5CDC" w14:textId="77777777" w:rsidTr="00B678E8">
        <w:tc>
          <w:tcPr>
            <w:tcW w:w="1122" w:type="pct"/>
            <w:vAlign w:val="center"/>
          </w:tcPr>
          <w:p w14:paraId="7F06713C" w14:textId="77777777" w:rsidR="000B266B" w:rsidRPr="00A16C9B" w:rsidRDefault="000B266B" w:rsidP="0041700E">
            <w:pPr>
              <w:pStyle w:val="TableText"/>
              <w:keepLines/>
            </w:pPr>
            <w:r w:rsidRPr="00A16C9B">
              <w:t xml:space="preserve">Cost to PBS/RPBS less copayments – published </w:t>
            </w:r>
            <w:r w:rsidRPr="00A16C9B">
              <w:rPr>
                <w:vertAlign w:val="superscript"/>
              </w:rPr>
              <w:t>c</w:t>
            </w:r>
          </w:p>
        </w:tc>
        <w:tc>
          <w:tcPr>
            <w:tcW w:w="648" w:type="pct"/>
            <w:gridSpan w:val="2"/>
          </w:tcPr>
          <w:p w14:paraId="3532F93E"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68"/>
                <w14:textFill>
                  <w14:solidFill>
                    <w14:srgbClr w14:val="000000">
                      <w14:alpha w14:val="100000"/>
                    </w14:srgbClr>
                  </w14:solidFill>
                </w14:textFill>
              </w:rPr>
              <w:t xml:space="preserve">　</w:t>
            </w:r>
            <w:r w:rsidRPr="000B266B">
              <w:rPr>
                <w:color w:val="000000"/>
                <w:w w:val="15"/>
                <w:shd w:val="solid" w:color="000000" w:fill="000000"/>
                <w:fitText w:val="30" w:id="-649843968"/>
                <w14:textFill>
                  <w14:solidFill>
                    <w14:srgbClr w14:val="000000">
                      <w14:alpha w14:val="100000"/>
                    </w14:srgbClr>
                  </w14:solidFill>
                </w14:textFill>
              </w:rPr>
              <w:t>|</w:t>
            </w:r>
            <w:r w:rsidRPr="000B266B">
              <w:rPr>
                <w:rFonts w:hint="eastAsia"/>
                <w:color w:val="000000"/>
                <w:spacing w:val="-35"/>
                <w:w w:val="15"/>
                <w:shd w:val="solid" w:color="000000" w:fill="000000"/>
                <w:fitText w:val="30" w:id="-649843968"/>
                <w14:textFill>
                  <w14:solidFill>
                    <w14:srgbClr w14:val="000000">
                      <w14:alpha w14:val="100000"/>
                    </w14:srgbClr>
                  </w14:solidFill>
                </w14:textFill>
              </w:rPr>
              <w:t xml:space="preserve">　</w:t>
            </w:r>
            <w:r w:rsidRPr="00D120E3">
              <w:rPr>
                <w:vertAlign w:val="superscript"/>
              </w:rPr>
              <w:t>4</w:t>
            </w:r>
          </w:p>
        </w:tc>
        <w:tc>
          <w:tcPr>
            <w:tcW w:w="646" w:type="pct"/>
            <w:gridSpan w:val="2"/>
          </w:tcPr>
          <w:p w14:paraId="7F908F78"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67"/>
                <w14:textFill>
                  <w14:solidFill>
                    <w14:srgbClr w14:val="000000">
                      <w14:alpha w14:val="100000"/>
                    </w14:srgbClr>
                  </w14:solidFill>
                </w14:textFill>
              </w:rPr>
              <w:t xml:space="preserve">　</w:t>
            </w:r>
            <w:r w:rsidRPr="000B266B">
              <w:rPr>
                <w:color w:val="000000"/>
                <w:w w:val="15"/>
                <w:shd w:val="solid" w:color="000000" w:fill="000000"/>
                <w:fitText w:val="30" w:id="-649843967"/>
                <w14:textFill>
                  <w14:solidFill>
                    <w14:srgbClr w14:val="000000">
                      <w14:alpha w14:val="100000"/>
                    </w14:srgbClr>
                  </w14:solidFill>
                </w14:textFill>
              </w:rPr>
              <w:t>|</w:t>
            </w:r>
            <w:r w:rsidRPr="000B266B">
              <w:rPr>
                <w:rFonts w:hint="eastAsia"/>
                <w:color w:val="000000"/>
                <w:spacing w:val="-35"/>
                <w:w w:val="15"/>
                <w:shd w:val="solid" w:color="000000" w:fill="000000"/>
                <w:fitText w:val="30" w:id="-649843967"/>
                <w14:textFill>
                  <w14:solidFill>
                    <w14:srgbClr w14:val="000000">
                      <w14:alpha w14:val="100000"/>
                    </w14:srgbClr>
                  </w14:solidFill>
                </w14:textFill>
              </w:rPr>
              <w:t xml:space="preserve">　</w:t>
            </w:r>
            <w:r w:rsidRPr="00D120E3">
              <w:rPr>
                <w:vertAlign w:val="superscript"/>
              </w:rPr>
              <w:t>5</w:t>
            </w:r>
          </w:p>
        </w:tc>
        <w:tc>
          <w:tcPr>
            <w:tcW w:w="646" w:type="pct"/>
            <w:gridSpan w:val="2"/>
          </w:tcPr>
          <w:p w14:paraId="67DCE787"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66"/>
                <w14:textFill>
                  <w14:solidFill>
                    <w14:srgbClr w14:val="000000">
                      <w14:alpha w14:val="100000"/>
                    </w14:srgbClr>
                  </w14:solidFill>
                </w14:textFill>
              </w:rPr>
              <w:t xml:space="preserve">　</w:t>
            </w:r>
            <w:r w:rsidRPr="000B266B">
              <w:rPr>
                <w:color w:val="000000"/>
                <w:w w:val="15"/>
                <w:shd w:val="solid" w:color="000000" w:fill="000000"/>
                <w:fitText w:val="30" w:id="-649843966"/>
                <w14:textFill>
                  <w14:solidFill>
                    <w14:srgbClr w14:val="000000">
                      <w14:alpha w14:val="100000"/>
                    </w14:srgbClr>
                  </w14:solidFill>
                </w14:textFill>
              </w:rPr>
              <w:t>|</w:t>
            </w:r>
            <w:r w:rsidRPr="000B266B">
              <w:rPr>
                <w:rFonts w:hint="eastAsia"/>
                <w:color w:val="000000"/>
                <w:spacing w:val="-35"/>
                <w:w w:val="15"/>
                <w:shd w:val="solid" w:color="000000" w:fill="000000"/>
                <w:fitText w:val="30" w:id="-649843966"/>
                <w14:textFill>
                  <w14:solidFill>
                    <w14:srgbClr w14:val="000000">
                      <w14:alpha w14:val="100000"/>
                    </w14:srgbClr>
                  </w14:solidFill>
                </w14:textFill>
              </w:rPr>
              <w:t xml:space="preserve">　</w:t>
            </w:r>
            <w:r w:rsidRPr="00D120E3">
              <w:rPr>
                <w:vertAlign w:val="superscript"/>
              </w:rPr>
              <w:t>6</w:t>
            </w:r>
          </w:p>
        </w:tc>
        <w:tc>
          <w:tcPr>
            <w:tcW w:w="646" w:type="pct"/>
            <w:gridSpan w:val="2"/>
          </w:tcPr>
          <w:p w14:paraId="20AB067A"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65"/>
                <w14:textFill>
                  <w14:solidFill>
                    <w14:srgbClr w14:val="000000">
                      <w14:alpha w14:val="100000"/>
                    </w14:srgbClr>
                  </w14:solidFill>
                </w14:textFill>
              </w:rPr>
              <w:t xml:space="preserve">　</w:t>
            </w:r>
            <w:r w:rsidRPr="000B266B">
              <w:rPr>
                <w:color w:val="000000"/>
                <w:w w:val="15"/>
                <w:shd w:val="solid" w:color="000000" w:fill="000000"/>
                <w:fitText w:val="30" w:id="-649843965"/>
                <w14:textFill>
                  <w14:solidFill>
                    <w14:srgbClr w14:val="000000">
                      <w14:alpha w14:val="100000"/>
                    </w14:srgbClr>
                  </w14:solidFill>
                </w14:textFill>
              </w:rPr>
              <w:t>|</w:t>
            </w:r>
            <w:r w:rsidRPr="000B266B">
              <w:rPr>
                <w:rFonts w:hint="eastAsia"/>
                <w:color w:val="000000"/>
                <w:spacing w:val="-35"/>
                <w:w w:val="15"/>
                <w:shd w:val="solid" w:color="000000" w:fill="000000"/>
                <w:fitText w:val="30" w:id="-649843965"/>
                <w14:textFill>
                  <w14:solidFill>
                    <w14:srgbClr w14:val="000000">
                      <w14:alpha w14:val="100000"/>
                    </w14:srgbClr>
                  </w14:solidFill>
                </w14:textFill>
              </w:rPr>
              <w:t xml:space="preserve">　</w:t>
            </w:r>
            <w:r w:rsidRPr="004739C9">
              <w:rPr>
                <w:vertAlign w:val="superscript"/>
              </w:rPr>
              <w:t>6</w:t>
            </w:r>
          </w:p>
        </w:tc>
        <w:tc>
          <w:tcPr>
            <w:tcW w:w="646" w:type="pct"/>
            <w:gridSpan w:val="2"/>
          </w:tcPr>
          <w:p w14:paraId="5C244764"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64"/>
                <w14:textFill>
                  <w14:solidFill>
                    <w14:srgbClr w14:val="000000">
                      <w14:alpha w14:val="100000"/>
                    </w14:srgbClr>
                  </w14:solidFill>
                </w14:textFill>
              </w:rPr>
              <w:t xml:space="preserve">　</w:t>
            </w:r>
            <w:r w:rsidRPr="000B266B">
              <w:rPr>
                <w:color w:val="000000"/>
                <w:w w:val="15"/>
                <w:shd w:val="solid" w:color="000000" w:fill="000000"/>
                <w:fitText w:val="30" w:id="-649843964"/>
                <w14:textFill>
                  <w14:solidFill>
                    <w14:srgbClr w14:val="000000">
                      <w14:alpha w14:val="100000"/>
                    </w14:srgbClr>
                  </w14:solidFill>
                </w14:textFill>
              </w:rPr>
              <w:t>|</w:t>
            </w:r>
            <w:r w:rsidRPr="000B266B">
              <w:rPr>
                <w:rFonts w:hint="eastAsia"/>
                <w:color w:val="000000"/>
                <w:spacing w:val="-35"/>
                <w:w w:val="15"/>
                <w:shd w:val="solid" w:color="000000" w:fill="000000"/>
                <w:fitText w:val="30" w:id="-649843964"/>
                <w14:textFill>
                  <w14:solidFill>
                    <w14:srgbClr w14:val="000000">
                      <w14:alpha w14:val="100000"/>
                    </w14:srgbClr>
                  </w14:solidFill>
                </w14:textFill>
              </w:rPr>
              <w:t xml:space="preserve">　</w:t>
            </w:r>
            <w:r w:rsidRPr="004739C9">
              <w:rPr>
                <w:vertAlign w:val="superscript"/>
              </w:rPr>
              <w:t>6</w:t>
            </w:r>
          </w:p>
        </w:tc>
        <w:tc>
          <w:tcPr>
            <w:tcW w:w="646" w:type="pct"/>
            <w:gridSpan w:val="2"/>
          </w:tcPr>
          <w:p w14:paraId="76D3B5B2"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63"/>
                <w14:textFill>
                  <w14:solidFill>
                    <w14:srgbClr w14:val="000000">
                      <w14:alpha w14:val="100000"/>
                    </w14:srgbClr>
                  </w14:solidFill>
                </w14:textFill>
              </w:rPr>
              <w:t xml:space="preserve">　</w:t>
            </w:r>
            <w:r w:rsidRPr="000B266B">
              <w:rPr>
                <w:color w:val="000000"/>
                <w:w w:val="15"/>
                <w:shd w:val="solid" w:color="000000" w:fill="000000"/>
                <w:fitText w:val="30" w:id="-649843963"/>
                <w14:textFill>
                  <w14:solidFill>
                    <w14:srgbClr w14:val="000000">
                      <w14:alpha w14:val="100000"/>
                    </w14:srgbClr>
                  </w14:solidFill>
                </w14:textFill>
              </w:rPr>
              <w:t>|</w:t>
            </w:r>
            <w:r w:rsidRPr="000B266B">
              <w:rPr>
                <w:rFonts w:hint="eastAsia"/>
                <w:color w:val="000000"/>
                <w:spacing w:val="-35"/>
                <w:w w:val="15"/>
                <w:shd w:val="solid" w:color="000000" w:fill="000000"/>
                <w:fitText w:val="30" w:id="-649843963"/>
                <w14:textFill>
                  <w14:solidFill>
                    <w14:srgbClr w14:val="000000">
                      <w14:alpha w14:val="100000"/>
                    </w14:srgbClr>
                  </w14:solidFill>
                </w14:textFill>
              </w:rPr>
              <w:t xml:space="preserve">　</w:t>
            </w:r>
            <w:r w:rsidRPr="004739C9">
              <w:rPr>
                <w:vertAlign w:val="superscript"/>
              </w:rPr>
              <w:t>6</w:t>
            </w:r>
          </w:p>
        </w:tc>
      </w:tr>
      <w:tr w:rsidR="000B266B" w:rsidRPr="00A16C9B" w14:paraId="2D4BEEC0" w14:textId="77777777" w:rsidTr="00B678E8">
        <w:tc>
          <w:tcPr>
            <w:tcW w:w="1122" w:type="pct"/>
            <w:vAlign w:val="center"/>
          </w:tcPr>
          <w:p w14:paraId="7D6D2CAC" w14:textId="77777777" w:rsidR="000B266B" w:rsidRPr="00A16C9B" w:rsidRDefault="000B266B" w:rsidP="0041700E">
            <w:pPr>
              <w:pStyle w:val="TableText"/>
              <w:keepLines/>
            </w:pPr>
            <w:r w:rsidRPr="00A16C9B">
              <w:t xml:space="preserve">Cost to PBS/RPBS less copayments – effective </w:t>
            </w:r>
            <w:r w:rsidRPr="00A16C9B">
              <w:rPr>
                <w:vertAlign w:val="superscript"/>
              </w:rPr>
              <w:t>c</w:t>
            </w:r>
          </w:p>
        </w:tc>
        <w:tc>
          <w:tcPr>
            <w:tcW w:w="648" w:type="pct"/>
            <w:gridSpan w:val="2"/>
          </w:tcPr>
          <w:p w14:paraId="6057D0FF"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62"/>
                <w14:textFill>
                  <w14:solidFill>
                    <w14:srgbClr w14:val="000000">
                      <w14:alpha w14:val="100000"/>
                    </w14:srgbClr>
                  </w14:solidFill>
                </w14:textFill>
              </w:rPr>
              <w:t xml:space="preserve">　</w:t>
            </w:r>
            <w:r w:rsidRPr="000B266B">
              <w:rPr>
                <w:color w:val="000000"/>
                <w:w w:val="15"/>
                <w:shd w:val="solid" w:color="000000" w:fill="000000"/>
                <w:fitText w:val="30" w:id="-649843962"/>
                <w14:textFill>
                  <w14:solidFill>
                    <w14:srgbClr w14:val="000000">
                      <w14:alpha w14:val="100000"/>
                    </w14:srgbClr>
                  </w14:solidFill>
                </w14:textFill>
              </w:rPr>
              <w:t>|</w:t>
            </w:r>
            <w:r w:rsidRPr="000B266B">
              <w:rPr>
                <w:rFonts w:hint="eastAsia"/>
                <w:color w:val="000000"/>
                <w:spacing w:val="-35"/>
                <w:w w:val="15"/>
                <w:shd w:val="solid" w:color="000000" w:fill="000000"/>
                <w:fitText w:val="30" w:id="-649843962"/>
                <w14:textFill>
                  <w14:solidFill>
                    <w14:srgbClr w14:val="000000">
                      <w14:alpha w14:val="100000"/>
                    </w14:srgbClr>
                  </w14:solidFill>
                </w14:textFill>
              </w:rPr>
              <w:t xml:space="preserve">　</w:t>
            </w:r>
            <w:r w:rsidRPr="004739C9">
              <w:rPr>
                <w:vertAlign w:val="superscript"/>
              </w:rPr>
              <w:t>3</w:t>
            </w:r>
          </w:p>
        </w:tc>
        <w:tc>
          <w:tcPr>
            <w:tcW w:w="646" w:type="pct"/>
            <w:gridSpan w:val="2"/>
          </w:tcPr>
          <w:p w14:paraId="23F9B30F"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61"/>
                <w14:textFill>
                  <w14:solidFill>
                    <w14:srgbClr w14:val="000000">
                      <w14:alpha w14:val="100000"/>
                    </w14:srgbClr>
                  </w14:solidFill>
                </w14:textFill>
              </w:rPr>
              <w:t xml:space="preserve">　</w:t>
            </w:r>
            <w:r w:rsidRPr="000B266B">
              <w:rPr>
                <w:color w:val="000000"/>
                <w:w w:val="15"/>
                <w:shd w:val="solid" w:color="000000" w:fill="000000"/>
                <w:fitText w:val="30" w:id="-649843961"/>
                <w14:textFill>
                  <w14:solidFill>
                    <w14:srgbClr w14:val="000000">
                      <w14:alpha w14:val="100000"/>
                    </w14:srgbClr>
                  </w14:solidFill>
                </w14:textFill>
              </w:rPr>
              <w:t>|</w:t>
            </w:r>
            <w:r w:rsidRPr="000B266B">
              <w:rPr>
                <w:rFonts w:hint="eastAsia"/>
                <w:color w:val="000000"/>
                <w:spacing w:val="-35"/>
                <w:w w:val="15"/>
                <w:shd w:val="solid" w:color="000000" w:fill="000000"/>
                <w:fitText w:val="30" w:id="-649843961"/>
                <w14:textFill>
                  <w14:solidFill>
                    <w14:srgbClr w14:val="000000">
                      <w14:alpha w14:val="100000"/>
                    </w14:srgbClr>
                  </w14:solidFill>
                </w14:textFill>
              </w:rPr>
              <w:t xml:space="preserve">　</w:t>
            </w:r>
            <w:r w:rsidRPr="00D120E3">
              <w:rPr>
                <w:vertAlign w:val="superscript"/>
              </w:rPr>
              <w:t>7</w:t>
            </w:r>
          </w:p>
        </w:tc>
        <w:tc>
          <w:tcPr>
            <w:tcW w:w="646" w:type="pct"/>
            <w:gridSpan w:val="2"/>
          </w:tcPr>
          <w:p w14:paraId="3D5719EB"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60"/>
                <w14:textFill>
                  <w14:solidFill>
                    <w14:srgbClr w14:val="000000">
                      <w14:alpha w14:val="100000"/>
                    </w14:srgbClr>
                  </w14:solidFill>
                </w14:textFill>
              </w:rPr>
              <w:t xml:space="preserve">　</w:t>
            </w:r>
            <w:r w:rsidRPr="000B266B">
              <w:rPr>
                <w:color w:val="000000"/>
                <w:w w:val="15"/>
                <w:shd w:val="solid" w:color="000000" w:fill="000000"/>
                <w:fitText w:val="30" w:id="-649843960"/>
                <w14:textFill>
                  <w14:solidFill>
                    <w14:srgbClr w14:val="000000">
                      <w14:alpha w14:val="100000"/>
                    </w14:srgbClr>
                  </w14:solidFill>
                </w14:textFill>
              </w:rPr>
              <w:t>|</w:t>
            </w:r>
            <w:r w:rsidRPr="000B266B">
              <w:rPr>
                <w:rFonts w:hint="eastAsia"/>
                <w:color w:val="000000"/>
                <w:spacing w:val="-35"/>
                <w:w w:val="15"/>
                <w:shd w:val="solid" w:color="000000" w:fill="000000"/>
                <w:fitText w:val="30" w:id="-649843960"/>
                <w14:textFill>
                  <w14:solidFill>
                    <w14:srgbClr w14:val="000000">
                      <w14:alpha w14:val="100000"/>
                    </w14:srgbClr>
                  </w14:solidFill>
                </w14:textFill>
              </w:rPr>
              <w:t xml:space="preserve">　</w:t>
            </w:r>
            <w:r w:rsidRPr="004739C9">
              <w:rPr>
                <w:vertAlign w:val="superscript"/>
              </w:rPr>
              <w:t>7</w:t>
            </w:r>
          </w:p>
        </w:tc>
        <w:tc>
          <w:tcPr>
            <w:tcW w:w="646" w:type="pct"/>
            <w:gridSpan w:val="2"/>
          </w:tcPr>
          <w:p w14:paraId="518A338C"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59"/>
                <w14:textFill>
                  <w14:solidFill>
                    <w14:srgbClr w14:val="000000">
                      <w14:alpha w14:val="100000"/>
                    </w14:srgbClr>
                  </w14:solidFill>
                </w14:textFill>
              </w:rPr>
              <w:t xml:space="preserve">　</w:t>
            </w:r>
            <w:r w:rsidRPr="000B266B">
              <w:rPr>
                <w:color w:val="000000"/>
                <w:w w:val="15"/>
                <w:shd w:val="solid" w:color="000000" w:fill="000000"/>
                <w:fitText w:val="30" w:id="-649843959"/>
                <w14:textFill>
                  <w14:solidFill>
                    <w14:srgbClr w14:val="000000">
                      <w14:alpha w14:val="100000"/>
                    </w14:srgbClr>
                  </w14:solidFill>
                </w14:textFill>
              </w:rPr>
              <w:t>|</w:t>
            </w:r>
            <w:r w:rsidRPr="000B266B">
              <w:rPr>
                <w:rFonts w:hint="eastAsia"/>
                <w:color w:val="000000"/>
                <w:spacing w:val="-35"/>
                <w:w w:val="15"/>
                <w:shd w:val="solid" w:color="000000" w:fill="000000"/>
                <w:fitText w:val="30" w:id="-649843959"/>
                <w14:textFill>
                  <w14:solidFill>
                    <w14:srgbClr w14:val="000000">
                      <w14:alpha w14:val="100000"/>
                    </w14:srgbClr>
                  </w14:solidFill>
                </w14:textFill>
              </w:rPr>
              <w:t xml:space="preserve">　</w:t>
            </w:r>
            <w:r w:rsidRPr="004739C9">
              <w:rPr>
                <w:vertAlign w:val="superscript"/>
              </w:rPr>
              <w:t>7</w:t>
            </w:r>
          </w:p>
        </w:tc>
        <w:tc>
          <w:tcPr>
            <w:tcW w:w="646" w:type="pct"/>
            <w:gridSpan w:val="2"/>
          </w:tcPr>
          <w:p w14:paraId="3DE86045"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58"/>
                <w14:textFill>
                  <w14:solidFill>
                    <w14:srgbClr w14:val="000000">
                      <w14:alpha w14:val="100000"/>
                    </w14:srgbClr>
                  </w14:solidFill>
                </w14:textFill>
              </w:rPr>
              <w:t xml:space="preserve">　</w:t>
            </w:r>
            <w:r w:rsidRPr="000B266B">
              <w:rPr>
                <w:color w:val="000000"/>
                <w:w w:val="15"/>
                <w:shd w:val="solid" w:color="000000" w:fill="000000"/>
                <w:fitText w:val="30" w:id="-649843958"/>
                <w14:textFill>
                  <w14:solidFill>
                    <w14:srgbClr w14:val="000000">
                      <w14:alpha w14:val="100000"/>
                    </w14:srgbClr>
                  </w14:solidFill>
                </w14:textFill>
              </w:rPr>
              <w:t>|</w:t>
            </w:r>
            <w:r w:rsidRPr="000B266B">
              <w:rPr>
                <w:rFonts w:hint="eastAsia"/>
                <w:color w:val="000000"/>
                <w:spacing w:val="-35"/>
                <w:w w:val="15"/>
                <w:shd w:val="solid" w:color="000000" w:fill="000000"/>
                <w:fitText w:val="30" w:id="-649843958"/>
                <w14:textFill>
                  <w14:solidFill>
                    <w14:srgbClr w14:val="000000">
                      <w14:alpha w14:val="100000"/>
                    </w14:srgbClr>
                  </w14:solidFill>
                </w14:textFill>
              </w:rPr>
              <w:t xml:space="preserve">　</w:t>
            </w:r>
            <w:r w:rsidRPr="004739C9">
              <w:rPr>
                <w:vertAlign w:val="superscript"/>
              </w:rPr>
              <w:t>7</w:t>
            </w:r>
          </w:p>
        </w:tc>
        <w:tc>
          <w:tcPr>
            <w:tcW w:w="646" w:type="pct"/>
            <w:gridSpan w:val="2"/>
          </w:tcPr>
          <w:p w14:paraId="16C20BD0"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57"/>
                <w14:textFill>
                  <w14:solidFill>
                    <w14:srgbClr w14:val="000000">
                      <w14:alpha w14:val="100000"/>
                    </w14:srgbClr>
                  </w14:solidFill>
                </w14:textFill>
              </w:rPr>
              <w:t xml:space="preserve">　</w:t>
            </w:r>
            <w:r w:rsidRPr="000B266B">
              <w:rPr>
                <w:color w:val="000000"/>
                <w:w w:val="15"/>
                <w:shd w:val="solid" w:color="000000" w:fill="000000"/>
                <w:fitText w:val="30" w:id="-649843957"/>
                <w14:textFill>
                  <w14:solidFill>
                    <w14:srgbClr w14:val="000000">
                      <w14:alpha w14:val="100000"/>
                    </w14:srgbClr>
                  </w14:solidFill>
                </w14:textFill>
              </w:rPr>
              <w:t>|</w:t>
            </w:r>
            <w:r w:rsidRPr="000B266B">
              <w:rPr>
                <w:rFonts w:hint="eastAsia"/>
                <w:color w:val="000000"/>
                <w:spacing w:val="-35"/>
                <w:w w:val="15"/>
                <w:shd w:val="solid" w:color="000000" w:fill="000000"/>
                <w:fitText w:val="30" w:id="-649843957"/>
                <w14:textFill>
                  <w14:solidFill>
                    <w14:srgbClr w14:val="000000">
                      <w14:alpha w14:val="100000"/>
                    </w14:srgbClr>
                  </w14:solidFill>
                </w14:textFill>
              </w:rPr>
              <w:t xml:space="preserve">　</w:t>
            </w:r>
            <w:r w:rsidRPr="004739C9">
              <w:rPr>
                <w:vertAlign w:val="superscript"/>
              </w:rPr>
              <w:t>4</w:t>
            </w:r>
          </w:p>
        </w:tc>
      </w:tr>
      <w:tr w:rsidR="000B266B" w:rsidRPr="00A16C9B" w14:paraId="541F8258" w14:textId="77777777" w:rsidTr="00B678E8">
        <w:tc>
          <w:tcPr>
            <w:tcW w:w="5000" w:type="pct"/>
            <w:gridSpan w:val="13"/>
            <w:vAlign w:val="center"/>
          </w:tcPr>
          <w:p w14:paraId="5512FA77" w14:textId="77777777" w:rsidR="000B266B" w:rsidRPr="00A16C9B" w:rsidRDefault="000B266B" w:rsidP="0041700E">
            <w:pPr>
              <w:pStyle w:val="TableText"/>
              <w:keepLines/>
              <w:rPr>
                <w:b/>
              </w:rPr>
            </w:pPr>
            <w:r w:rsidRPr="00A16C9B">
              <w:rPr>
                <w:b/>
              </w:rPr>
              <w:t>Estimated financial implications for anti-HDV testing to the MBS</w:t>
            </w:r>
          </w:p>
        </w:tc>
      </w:tr>
      <w:tr w:rsidR="000B266B" w:rsidRPr="00A16C9B" w14:paraId="1635230D" w14:textId="77777777" w:rsidTr="00B678E8">
        <w:tc>
          <w:tcPr>
            <w:tcW w:w="1122" w:type="pct"/>
            <w:vAlign w:val="center"/>
          </w:tcPr>
          <w:p w14:paraId="57D83F03" w14:textId="77777777" w:rsidR="000B266B" w:rsidRPr="00A16C9B" w:rsidRDefault="000B266B" w:rsidP="0041700E">
            <w:pPr>
              <w:pStyle w:val="TableText"/>
              <w:keepLines/>
            </w:pPr>
            <w:r w:rsidRPr="00A16C9B">
              <w:t>Cost to MBS</w:t>
            </w:r>
          </w:p>
        </w:tc>
        <w:tc>
          <w:tcPr>
            <w:tcW w:w="648" w:type="pct"/>
            <w:gridSpan w:val="2"/>
          </w:tcPr>
          <w:p w14:paraId="1DF63626"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56"/>
                <w14:textFill>
                  <w14:solidFill>
                    <w14:srgbClr w14:val="000000">
                      <w14:alpha w14:val="100000"/>
                    </w14:srgbClr>
                  </w14:solidFill>
                </w14:textFill>
              </w:rPr>
              <w:t xml:space="preserve">　</w:t>
            </w:r>
            <w:r w:rsidRPr="000B266B">
              <w:rPr>
                <w:color w:val="000000"/>
                <w:w w:val="15"/>
                <w:shd w:val="solid" w:color="000000" w:fill="000000"/>
                <w:fitText w:val="30" w:id="-649843956"/>
                <w14:textFill>
                  <w14:solidFill>
                    <w14:srgbClr w14:val="000000">
                      <w14:alpha w14:val="100000"/>
                    </w14:srgbClr>
                  </w14:solidFill>
                </w14:textFill>
              </w:rPr>
              <w:t>|</w:t>
            </w:r>
            <w:r w:rsidRPr="000B266B">
              <w:rPr>
                <w:rFonts w:hint="eastAsia"/>
                <w:color w:val="000000"/>
                <w:spacing w:val="-35"/>
                <w:w w:val="15"/>
                <w:shd w:val="solid" w:color="000000" w:fill="000000"/>
                <w:fitText w:val="30" w:id="-649843956"/>
                <w14:textFill>
                  <w14:solidFill>
                    <w14:srgbClr w14:val="000000">
                      <w14:alpha w14:val="100000"/>
                    </w14:srgbClr>
                  </w14:solidFill>
                </w14:textFill>
              </w:rPr>
              <w:t xml:space="preserve">　</w:t>
            </w:r>
            <w:r w:rsidRPr="004739C9">
              <w:rPr>
                <w:vertAlign w:val="superscript"/>
              </w:rPr>
              <w:t>3</w:t>
            </w:r>
          </w:p>
        </w:tc>
        <w:tc>
          <w:tcPr>
            <w:tcW w:w="646" w:type="pct"/>
            <w:gridSpan w:val="2"/>
          </w:tcPr>
          <w:p w14:paraId="09882467"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55"/>
                <w14:textFill>
                  <w14:solidFill>
                    <w14:srgbClr w14:val="000000">
                      <w14:alpha w14:val="100000"/>
                    </w14:srgbClr>
                  </w14:solidFill>
                </w14:textFill>
              </w:rPr>
              <w:t xml:space="preserve">　</w:t>
            </w:r>
            <w:r w:rsidRPr="000B266B">
              <w:rPr>
                <w:color w:val="000000"/>
                <w:w w:val="15"/>
                <w:shd w:val="solid" w:color="000000" w:fill="000000"/>
                <w:fitText w:val="30" w:id="-649843955"/>
                <w14:textFill>
                  <w14:solidFill>
                    <w14:srgbClr w14:val="000000">
                      <w14:alpha w14:val="100000"/>
                    </w14:srgbClr>
                  </w14:solidFill>
                </w14:textFill>
              </w:rPr>
              <w:t>|</w:t>
            </w:r>
            <w:r w:rsidRPr="000B266B">
              <w:rPr>
                <w:rFonts w:hint="eastAsia"/>
                <w:color w:val="000000"/>
                <w:spacing w:val="-35"/>
                <w:w w:val="15"/>
                <w:shd w:val="solid" w:color="000000" w:fill="000000"/>
                <w:fitText w:val="30" w:id="-649843955"/>
                <w14:textFill>
                  <w14:solidFill>
                    <w14:srgbClr w14:val="000000">
                      <w14:alpha w14:val="100000"/>
                    </w14:srgbClr>
                  </w14:solidFill>
                </w14:textFill>
              </w:rPr>
              <w:t xml:space="preserve">　</w:t>
            </w:r>
            <w:r w:rsidRPr="004739C9">
              <w:rPr>
                <w:vertAlign w:val="superscript"/>
              </w:rPr>
              <w:t>3</w:t>
            </w:r>
          </w:p>
        </w:tc>
        <w:tc>
          <w:tcPr>
            <w:tcW w:w="646" w:type="pct"/>
            <w:gridSpan w:val="2"/>
          </w:tcPr>
          <w:p w14:paraId="46E939AA"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54"/>
                <w14:textFill>
                  <w14:solidFill>
                    <w14:srgbClr w14:val="000000">
                      <w14:alpha w14:val="100000"/>
                    </w14:srgbClr>
                  </w14:solidFill>
                </w14:textFill>
              </w:rPr>
              <w:t xml:space="preserve">　</w:t>
            </w:r>
            <w:r w:rsidRPr="000B266B">
              <w:rPr>
                <w:color w:val="000000"/>
                <w:w w:val="15"/>
                <w:shd w:val="solid" w:color="000000" w:fill="000000"/>
                <w:fitText w:val="30" w:id="-649843954"/>
                <w14:textFill>
                  <w14:solidFill>
                    <w14:srgbClr w14:val="000000">
                      <w14:alpha w14:val="100000"/>
                    </w14:srgbClr>
                  </w14:solidFill>
                </w14:textFill>
              </w:rPr>
              <w:t>|</w:t>
            </w:r>
            <w:r w:rsidRPr="000B266B">
              <w:rPr>
                <w:rFonts w:hint="eastAsia"/>
                <w:color w:val="000000"/>
                <w:spacing w:val="-35"/>
                <w:w w:val="15"/>
                <w:shd w:val="solid" w:color="000000" w:fill="000000"/>
                <w:fitText w:val="30" w:id="-649843954"/>
                <w14:textFill>
                  <w14:solidFill>
                    <w14:srgbClr w14:val="000000">
                      <w14:alpha w14:val="100000"/>
                    </w14:srgbClr>
                  </w14:solidFill>
                </w14:textFill>
              </w:rPr>
              <w:t xml:space="preserve">　</w:t>
            </w:r>
            <w:r w:rsidRPr="004739C9">
              <w:rPr>
                <w:vertAlign w:val="superscript"/>
              </w:rPr>
              <w:t>3</w:t>
            </w:r>
          </w:p>
        </w:tc>
        <w:tc>
          <w:tcPr>
            <w:tcW w:w="646" w:type="pct"/>
            <w:gridSpan w:val="2"/>
          </w:tcPr>
          <w:p w14:paraId="7C561C13"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53"/>
                <w14:textFill>
                  <w14:solidFill>
                    <w14:srgbClr w14:val="000000">
                      <w14:alpha w14:val="100000"/>
                    </w14:srgbClr>
                  </w14:solidFill>
                </w14:textFill>
              </w:rPr>
              <w:t xml:space="preserve">　</w:t>
            </w:r>
            <w:r w:rsidRPr="000B266B">
              <w:rPr>
                <w:color w:val="000000"/>
                <w:w w:val="15"/>
                <w:shd w:val="solid" w:color="000000" w:fill="000000"/>
                <w:fitText w:val="30" w:id="-649843953"/>
                <w14:textFill>
                  <w14:solidFill>
                    <w14:srgbClr w14:val="000000">
                      <w14:alpha w14:val="100000"/>
                    </w14:srgbClr>
                  </w14:solidFill>
                </w14:textFill>
              </w:rPr>
              <w:t>|</w:t>
            </w:r>
            <w:r w:rsidRPr="000B266B">
              <w:rPr>
                <w:rFonts w:hint="eastAsia"/>
                <w:color w:val="000000"/>
                <w:spacing w:val="-35"/>
                <w:w w:val="15"/>
                <w:shd w:val="solid" w:color="000000" w:fill="000000"/>
                <w:fitText w:val="30" w:id="-649843953"/>
                <w14:textFill>
                  <w14:solidFill>
                    <w14:srgbClr w14:val="000000">
                      <w14:alpha w14:val="100000"/>
                    </w14:srgbClr>
                  </w14:solidFill>
                </w14:textFill>
              </w:rPr>
              <w:t xml:space="preserve">　</w:t>
            </w:r>
            <w:r w:rsidRPr="004739C9">
              <w:rPr>
                <w:vertAlign w:val="superscript"/>
              </w:rPr>
              <w:t>3</w:t>
            </w:r>
          </w:p>
        </w:tc>
        <w:tc>
          <w:tcPr>
            <w:tcW w:w="646" w:type="pct"/>
            <w:gridSpan w:val="2"/>
          </w:tcPr>
          <w:p w14:paraId="0E8005A2"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52"/>
                <w14:textFill>
                  <w14:solidFill>
                    <w14:srgbClr w14:val="000000">
                      <w14:alpha w14:val="100000"/>
                    </w14:srgbClr>
                  </w14:solidFill>
                </w14:textFill>
              </w:rPr>
              <w:t xml:space="preserve">　</w:t>
            </w:r>
            <w:r w:rsidRPr="000B266B">
              <w:rPr>
                <w:color w:val="000000"/>
                <w:w w:val="15"/>
                <w:shd w:val="solid" w:color="000000" w:fill="000000"/>
                <w:fitText w:val="30" w:id="-649843952"/>
                <w14:textFill>
                  <w14:solidFill>
                    <w14:srgbClr w14:val="000000">
                      <w14:alpha w14:val="100000"/>
                    </w14:srgbClr>
                  </w14:solidFill>
                </w14:textFill>
              </w:rPr>
              <w:t>|</w:t>
            </w:r>
            <w:r w:rsidRPr="000B266B">
              <w:rPr>
                <w:rFonts w:hint="eastAsia"/>
                <w:color w:val="000000"/>
                <w:spacing w:val="-35"/>
                <w:w w:val="15"/>
                <w:shd w:val="solid" w:color="000000" w:fill="000000"/>
                <w:fitText w:val="30" w:id="-649843952"/>
                <w14:textFill>
                  <w14:solidFill>
                    <w14:srgbClr w14:val="000000">
                      <w14:alpha w14:val="100000"/>
                    </w14:srgbClr>
                  </w14:solidFill>
                </w14:textFill>
              </w:rPr>
              <w:t xml:space="preserve">　</w:t>
            </w:r>
            <w:r w:rsidRPr="004739C9">
              <w:rPr>
                <w:vertAlign w:val="superscript"/>
              </w:rPr>
              <w:t>3</w:t>
            </w:r>
          </w:p>
        </w:tc>
        <w:tc>
          <w:tcPr>
            <w:tcW w:w="646" w:type="pct"/>
            <w:gridSpan w:val="2"/>
          </w:tcPr>
          <w:p w14:paraId="6064CDB9"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68"/>
                <w14:textFill>
                  <w14:solidFill>
                    <w14:srgbClr w14:val="000000">
                      <w14:alpha w14:val="100000"/>
                    </w14:srgbClr>
                  </w14:solidFill>
                </w14:textFill>
              </w:rPr>
              <w:t xml:space="preserve">　</w:t>
            </w:r>
            <w:r w:rsidRPr="000B266B">
              <w:rPr>
                <w:color w:val="000000"/>
                <w:w w:val="15"/>
                <w:shd w:val="solid" w:color="000000" w:fill="000000"/>
                <w:fitText w:val="30" w:id="-649843968"/>
                <w14:textFill>
                  <w14:solidFill>
                    <w14:srgbClr w14:val="000000">
                      <w14:alpha w14:val="100000"/>
                    </w14:srgbClr>
                  </w14:solidFill>
                </w14:textFill>
              </w:rPr>
              <w:t>|</w:t>
            </w:r>
            <w:r w:rsidRPr="000B266B">
              <w:rPr>
                <w:rFonts w:hint="eastAsia"/>
                <w:color w:val="000000"/>
                <w:spacing w:val="-35"/>
                <w:w w:val="15"/>
                <w:shd w:val="solid" w:color="000000" w:fill="000000"/>
                <w:fitText w:val="30" w:id="-649843968"/>
                <w14:textFill>
                  <w14:solidFill>
                    <w14:srgbClr w14:val="000000">
                      <w14:alpha w14:val="100000"/>
                    </w14:srgbClr>
                  </w14:solidFill>
                </w14:textFill>
              </w:rPr>
              <w:t xml:space="preserve">　</w:t>
            </w:r>
            <w:r w:rsidRPr="004739C9">
              <w:rPr>
                <w:vertAlign w:val="superscript"/>
              </w:rPr>
              <w:t>3</w:t>
            </w:r>
          </w:p>
        </w:tc>
      </w:tr>
      <w:tr w:rsidR="000B266B" w:rsidRPr="00A16C9B" w14:paraId="66C4DABA" w14:textId="77777777" w:rsidTr="00B678E8">
        <w:tc>
          <w:tcPr>
            <w:tcW w:w="5000" w:type="pct"/>
            <w:gridSpan w:val="13"/>
            <w:vAlign w:val="center"/>
          </w:tcPr>
          <w:p w14:paraId="0F8E7255" w14:textId="77777777" w:rsidR="000B266B" w:rsidRPr="00A16C9B" w:rsidRDefault="000B266B" w:rsidP="0041700E">
            <w:pPr>
              <w:pStyle w:val="TableText"/>
              <w:keepLines/>
              <w:rPr>
                <w:b/>
              </w:rPr>
            </w:pPr>
            <w:r w:rsidRPr="00A16C9B">
              <w:rPr>
                <w:b/>
              </w:rPr>
              <w:t>Net financial implications</w:t>
            </w:r>
          </w:p>
        </w:tc>
      </w:tr>
      <w:tr w:rsidR="000B266B" w:rsidRPr="00A16C9B" w14:paraId="10886825" w14:textId="77777777" w:rsidTr="00B678E8">
        <w:tc>
          <w:tcPr>
            <w:tcW w:w="1122" w:type="pct"/>
            <w:vAlign w:val="center"/>
          </w:tcPr>
          <w:p w14:paraId="29080616" w14:textId="77777777" w:rsidR="000B266B" w:rsidRPr="00A16C9B" w:rsidRDefault="000B266B" w:rsidP="0041700E">
            <w:pPr>
              <w:pStyle w:val="TableText"/>
              <w:keepLines/>
            </w:pPr>
            <w:r w:rsidRPr="00A16C9B">
              <w:t>Net cost to PBS/RPBS - effective</w:t>
            </w:r>
          </w:p>
        </w:tc>
        <w:tc>
          <w:tcPr>
            <w:tcW w:w="648" w:type="pct"/>
            <w:gridSpan w:val="2"/>
          </w:tcPr>
          <w:p w14:paraId="33DE3EC7"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67"/>
                <w14:textFill>
                  <w14:solidFill>
                    <w14:srgbClr w14:val="000000">
                      <w14:alpha w14:val="100000"/>
                    </w14:srgbClr>
                  </w14:solidFill>
                </w14:textFill>
              </w:rPr>
              <w:t xml:space="preserve">　</w:t>
            </w:r>
            <w:r w:rsidRPr="000B266B">
              <w:rPr>
                <w:color w:val="000000"/>
                <w:w w:val="15"/>
                <w:shd w:val="solid" w:color="000000" w:fill="000000"/>
                <w:fitText w:val="30" w:id="-649843967"/>
                <w14:textFill>
                  <w14:solidFill>
                    <w14:srgbClr w14:val="000000">
                      <w14:alpha w14:val="100000"/>
                    </w14:srgbClr>
                  </w14:solidFill>
                </w14:textFill>
              </w:rPr>
              <w:t>|</w:t>
            </w:r>
            <w:r w:rsidRPr="000B266B">
              <w:rPr>
                <w:rFonts w:hint="eastAsia"/>
                <w:color w:val="000000"/>
                <w:spacing w:val="-35"/>
                <w:w w:val="15"/>
                <w:shd w:val="solid" w:color="000000" w:fill="000000"/>
                <w:fitText w:val="30" w:id="-649843967"/>
                <w14:textFill>
                  <w14:solidFill>
                    <w14:srgbClr w14:val="000000">
                      <w14:alpha w14:val="100000"/>
                    </w14:srgbClr>
                  </w14:solidFill>
                </w14:textFill>
              </w:rPr>
              <w:t xml:space="preserve">　</w:t>
            </w:r>
            <w:r w:rsidRPr="004739C9">
              <w:rPr>
                <w:vertAlign w:val="superscript"/>
              </w:rPr>
              <w:t>3</w:t>
            </w:r>
          </w:p>
        </w:tc>
        <w:tc>
          <w:tcPr>
            <w:tcW w:w="646" w:type="pct"/>
            <w:gridSpan w:val="2"/>
            <w:shd w:val="solid" w:color="000000" w:fill="000000"/>
          </w:tcPr>
          <w:p w14:paraId="701B2864" w14:textId="77777777" w:rsidR="000B266B" w:rsidRPr="00D120E3" w:rsidRDefault="000B266B" w:rsidP="0041700E">
            <w:pPr>
              <w:pStyle w:val="TableText"/>
              <w:keepLines/>
              <w:jc w:val="center"/>
              <w:rPr>
                <w:highlight w:val="darkGray"/>
              </w:rPr>
            </w:pPr>
            <w:r w:rsidRPr="00AB52EE">
              <w:rPr>
                <w:color w:val="000000"/>
                <w14:textFill>
                  <w14:solidFill>
                    <w14:srgbClr w14:val="000000">
                      <w14:alpha w14:val="100000"/>
                    </w14:srgbClr>
                  </w14:solidFill>
                </w14:textFill>
              </w:rPr>
              <w:t>|</w:t>
            </w:r>
          </w:p>
        </w:tc>
        <w:tc>
          <w:tcPr>
            <w:tcW w:w="646" w:type="pct"/>
            <w:gridSpan w:val="2"/>
            <w:shd w:val="solid" w:color="000000" w:fill="000000"/>
          </w:tcPr>
          <w:p w14:paraId="5CE964D6" w14:textId="77777777" w:rsidR="000B266B" w:rsidRPr="00D120E3" w:rsidRDefault="000B266B" w:rsidP="0041700E">
            <w:pPr>
              <w:pStyle w:val="TableText"/>
              <w:keepLines/>
              <w:jc w:val="center"/>
              <w:rPr>
                <w:highlight w:val="darkGray"/>
              </w:rPr>
            </w:pPr>
            <w:r w:rsidRPr="00AB52EE">
              <w:rPr>
                <w:color w:val="000000"/>
                <w14:textFill>
                  <w14:solidFill>
                    <w14:srgbClr w14:val="000000">
                      <w14:alpha w14:val="100000"/>
                    </w14:srgbClr>
                  </w14:solidFill>
                </w14:textFill>
              </w:rPr>
              <w:t>|</w:t>
            </w:r>
          </w:p>
        </w:tc>
        <w:tc>
          <w:tcPr>
            <w:tcW w:w="646" w:type="pct"/>
            <w:gridSpan w:val="2"/>
            <w:shd w:val="solid" w:color="000000" w:fill="000000"/>
          </w:tcPr>
          <w:p w14:paraId="00CE3DCA" w14:textId="77777777" w:rsidR="000B266B" w:rsidRPr="00D120E3" w:rsidRDefault="000B266B" w:rsidP="0041700E">
            <w:pPr>
              <w:pStyle w:val="TableText"/>
              <w:keepLines/>
              <w:jc w:val="center"/>
              <w:rPr>
                <w:highlight w:val="darkGray"/>
              </w:rPr>
            </w:pPr>
            <w:r w:rsidRPr="00AB52EE">
              <w:rPr>
                <w:color w:val="000000"/>
                <w14:textFill>
                  <w14:solidFill>
                    <w14:srgbClr w14:val="000000">
                      <w14:alpha w14:val="100000"/>
                    </w14:srgbClr>
                  </w14:solidFill>
                </w14:textFill>
              </w:rPr>
              <w:t>|</w:t>
            </w:r>
          </w:p>
        </w:tc>
        <w:tc>
          <w:tcPr>
            <w:tcW w:w="646" w:type="pct"/>
            <w:gridSpan w:val="2"/>
            <w:shd w:val="solid" w:color="000000" w:fill="000000"/>
          </w:tcPr>
          <w:p w14:paraId="03250BE9" w14:textId="77777777" w:rsidR="000B266B" w:rsidRPr="00D120E3" w:rsidRDefault="000B266B" w:rsidP="0041700E">
            <w:pPr>
              <w:pStyle w:val="TableText"/>
              <w:keepLines/>
              <w:jc w:val="center"/>
              <w:rPr>
                <w:highlight w:val="darkGray"/>
              </w:rPr>
            </w:pPr>
            <w:r w:rsidRPr="00AB52EE">
              <w:rPr>
                <w:color w:val="000000"/>
                <w14:textFill>
                  <w14:solidFill>
                    <w14:srgbClr w14:val="000000">
                      <w14:alpha w14:val="100000"/>
                    </w14:srgbClr>
                  </w14:solidFill>
                </w14:textFill>
              </w:rPr>
              <w:t>|</w:t>
            </w:r>
          </w:p>
        </w:tc>
        <w:tc>
          <w:tcPr>
            <w:tcW w:w="646" w:type="pct"/>
            <w:gridSpan w:val="2"/>
          </w:tcPr>
          <w:p w14:paraId="3F468C7D"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66"/>
                <w14:textFill>
                  <w14:solidFill>
                    <w14:srgbClr w14:val="000000">
                      <w14:alpha w14:val="100000"/>
                    </w14:srgbClr>
                  </w14:solidFill>
                </w14:textFill>
              </w:rPr>
              <w:t xml:space="preserve">　</w:t>
            </w:r>
            <w:r w:rsidRPr="000B266B">
              <w:rPr>
                <w:color w:val="000000"/>
                <w:w w:val="15"/>
                <w:shd w:val="solid" w:color="000000" w:fill="000000"/>
                <w:fitText w:val="30" w:id="-649843966"/>
                <w14:textFill>
                  <w14:solidFill>
                    <w14:srgbClr w14:val="000000">
                      <w14:alpha w14:val="100000"/>
                    </w14:srgbClr>
                  </w14:solidFill>
                </w14:textFill>
              </w:rPr>
              <w:t>|</w:t>
            </w:r>
            <w:r w:rsidRPr="000B266B">
              <w:rPr>
                <w:rFonts w:hint="eastAsia"/>
                <w:color w:val="000000"/>
                <w:spacing w:val="-35"/>
                <w:w w:val="15"/>
                <w:shd w:val="solid" w:color="000000" w:fill="000000"/>
                <w:fitText w:val="30" w:id="-649843966"/>
                <w14:textFill>
                  <w14:solidFill>
                    <w14:srgbClr w14:val="000000">
                      <w14:alpha w14:val="100000"/>
                    </w14:srgbClr>
                  </w14:solidFill>
                </w14:textFill>
              </w:rPr>
              <w:t xml:space="preserve">　</w:t>
            </w:r>
            <w:r w:rsidRPr="004739C9">
              <w:rPr>
                <w:vertAlign w:val="superscript"/>
              </w:rPr>
              <w:t>4</w:t>
            </w:r>
          </w:p>
        </w:tc>
      </w:tr>
      <w:tr w:rsidR="000B266B" w:rsidRPr="00A16C9B" w14:paraId="4E1AE6D3" w14:textId="77777777" w:rsidTr="00B678E8">
        <w:tc>
          <w:tcPr>
            <w:tcW w:w="1122" w:type="pct"/>
            <w:vAlign w:val="center"/>
          </w:tcPr>
          <w:p w14:paraId="5C101EAB" w14:textId="77777777" w:rsidR="000B266B" w:rsidRPr="00A16C9B" w:rsidRDefault="000B266B" w:rsidP="0041700E">
            <w:pPr>
              <w:pStyle w:val="TableText"/>
              <w:keepLines/>
              <w:rPr>
                <w:rFonts w:ascii="Times" w:eastAsia="Times New Roman" w:hAnsi="Times" w:cs="Times New Roman"/>
              </w:rPr>
            </w:pPr>
            <w:r w:rsidRPr="00A16C9B">
              <w:t>Net cost to MBS</w:t>
            </w:r>
          </w:p>
        </w:tc>
        <w:tc>
          <w:tcPr>
            <w:tcW w:w="648" w:type="pct"/>
            <w:gridSpan w:val="2"/>
          </w:tcPr>
          <w:p w14:paraId="71756E0B"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65"/>
                <w14:textFill>
                  <w14:solidFill>
                    <w14:srgbClr w14:val="000000">
                      <w14:alpha w14:val="100000"/>
                    </w14:srgbClr>
                  </w14:solidFill>
                </w14:textFill>
              </w:rPr>
              <w:t xml:space="preserve">　</w:t>
            </w:r>
            <w:r w:rsidRPr="000B266B">
              <w:rPr>
                <w:color w:val="000000"/>
                <w:w w:val="15"/>
                <w:shd w:val="solid" w:color="000000" w:fill="000000"/>
                <w:fitText w:val="30" w:id="-649843965"/>
                <w14:textFill>
                  <w14:solidFill>
                    <w14:srgbClr w14:val="000000">
                      <w14:alpha w14:val="100000"/>
                    </w14:srgbClr>
                  </w14:solidFill>
                </w14:textFill>
              </w:rPr>
              <w:t>|</w:t>
            </w:r>
            <w:r w:rsidRPr="000B266B">
              <w:rPr>
                <w:rFonts w:hint="eastAsia"/>
                <w:color w:val="000000"/>
                <w:spacing w:val="-35"/>
                <w:w w:val="15"/>
                <w:shd w:val="solid" w:color="000000" w:fill="000000"/>
                <w:fitText w:val="30" w:id="-649843965"/>
                <w14:textFill>
                  <w14:solidFill>
                    <w14:srgbClr w14:val="000000">
                      <w14:alpha w14:val="100000"/>
                    </w14:srgbClr>
                  </w14:solidFill>
                </w14:textFill>
              </w:rPr>
              <w:t xml:space="preserve">　</w:t>
            </w:r>
            <w:r w:rsidRPr="004739C9">
              <w:rPr>
                <w:vertAlign w:val="superscript"/>
              </w:rPr>
              <w:t>3</w:t>
            </w:r>
          </w:p>
        </w:tc>
        <w:tc>
          <w:tcPr>
            <w:tcW w:w="646" w:type="pct"/>
            <w:gridSpan w:val="2"/>
          </w:tcPr>
          <w:p w14:paraId="410B99BA"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64"/>
                <w14:textFill>
                  <w14:solidFill>
                    <w14:srgbClr w14:val="000000">
                      <w14:alpha w14:val="100000"/>
                    </w14:srgbClr>
                  </w14:solidFill>
                </w14:textFill>
              </w:rPr>
              <w:t xml:space="preserve">　</w:t>
            </w:r>
            <w:r w:rsidRPr="000B266B">
              <w:rPr>
                <w:color w:val="000000"/>
                <w:w w:val="15"/>
                <w:shd w:val="solid" w:color="000000" w:fill="000000"/>
                <w:fitText w:val="30" w:id="-649843964"/>
                <w14:textFill>
                  <w14:solidFill>
                    <w14:srgbClr w14:val="000000">
                      <w14:alpha w14:val="100000"/>
                    </w14:srgbClr>
                  </w14:solidFill>
                </w14:textFill>
              </w:rPr>
              <w:t>|</w:t>
            </w:r>
            <w:r w:rsidRPr="000B266B">
              <w:rPr>
                <w:rFonts w:hint="eastAsia"/>
                <w:color w:val="000000"/>
                <w:spacing w:val="-35"/>
                <w:w w:val="15"/>
                <w:shd w:val="solid" w:color="000000" w:fill="000000"/>
                <w:fitText w:val="30" w:id="-649843964"/>
                <w14:textFill>
                  <w14:solidFill>
                    <w14:srgbClr w14:val="000000">
                      <w14:alpha w14:val="100000"/>
                    </w14:srgbClr>
                  </w14:solidFill>
                </w14:textFill>
              </w:rPr>
              <w:t xml:space="preserve">　</w:t>
            </w:r>
            <w:r w:rsidRPr="004739C9">
              <w:rPr>
                <w:vertAlign w:val="superscript"/>
              </w:rPr>
              <w:t>3</w:t>
            </w:r>
          </w:p>
        </w:tc>
        <w:tc>
          <w:tcPr>
            <w:tcW w:w="646" w:type="pct"/>
            <w:gridSpan w:val="2"/>
          </w:tcPr>
          <w:p w14:paraId="7515469D"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63"/>
                <w14:textFill>
                  <w14:solidFill>
                    <w14:srgbClr w14:val="000000">
                      <w14:alpha w14:val="100000"/>
                    </w14:srgbClr>
                  </w14:solidFill>
                </w14:textFill>
              </w:rPr>
              <w:t xml:space="preserve">　</w:t>
            </w:r>
            <w:r w:rsidRPr="000B266B">
              <w:rPr>
                <w:color w:val="000000"/>
                <w:w w:val="15"/>
                <w:shd w:val="solid" w:color="000000" w:fill="000000"/>
                <w:fitText w:val="30" w:id="-649843963"/>
                <w14:textFill>
                  <w14:solidFill>
                    <w14:srgbClr w14:val="000000">
                      <w14:alpha w14:val="100000"/>
                    </w14:srgbClr>
                  </w14:solidFill>
                </w14:textFill>
              </w:rPr>
              <w:t>|</w:t>
            </w:r>
            <w:r w:rsidRPr="000B266B">
              <w:rPr>
                <w:rFonts w:hint="eastAsia"/>
                <w:color w:val="000000"/>
                <w:spacing w:val="-35"/>
                <w:w w:val="15"/>
                <w:shd w:val="solid" w:color="000000" w:fill="000000"/>
                <w:fitText w:val="30" w:id="-649843963"/>
                <w14:textFill>
                  <w14:solidFill>
                    <w14:srgbClr w14:val="000000">
                      <w14:alpha w14:val="100000"/>
                    </w14:srgbClr>
                  </w14:solidFill>
                </w14:textFill>
              </w:rPr>
              <w:t xml:space="preserve">　</w:t>
            </w:r>
            <w:r w:rsidRPr="004739C9">
              <w:rPr>
                <w:vertAlign w:val="superscript"/>
              </w:rPr>
              <w:t>3</w:t>
            </w:r>
          </w:p>
        </w:tc>
        <w:tc>
          <w:tcPr>
            <w:tcW w:w="646" w:type="pct"/>
            <w:gridSpan w:val="2"/>
          </w:tcPr>
          <w:p w14:paraId="4C42F144"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62"/>
                <w14:textFill>
                  <w14:solidFill>
                    <w14:srgbClr w14:val="000000">
                      <w14:alpha w14:val="100000"/>
                    </w14:srgbClr>
                  </w14:solidFill>
                </w14:textFill>
              </w:rPr>
              <w:t xml:space="preserve">　</w:t>
            </w:r>
            <w:r w:rsidRPr="000B266B">
              <w:rPr>
                <w:color w:val="000000"/>
                <w:w w:val="15"/>
                <w:shd w:val="solid" w:color="000000" w:fill="000000"/>
                <w:fitText w:val="30" w:id="-649843962"/>
                <w14:textFill>
                  <w14:solidFill>
                    <w14:srgbClr w14:val="000000">
                      <w14:alpha w14:val="100000"/>
                    </w14:srgbClr>
                  </w14:solidFill>
                </w14:textFill>
              </w:rPr>
              <w:t>|</w:t>
            </w:r>
            <w:r w:rsidRPr="000B266B">
              <w:rPr>
                <w:rFonts w:hint="eastAsia"/>
                <w:color w:val="000000"/>
                <w:spacing w:val="-35"/>
                <w:w w:val="15"/>
                <w:shd w:val="solid" w:color="000000" w:fill="000000"/>
                <w:fitText w:val="30" w:id="-649843962"/>
                <w14:textFill>
                  <w14:solidFill>
                    <w14:srgbClr w14:val="000000">
                      <w14:alpha w14:val="100000"/>
                    </w14:srgbClr>
                  </w14:solidFill>
                </w14:textFill>
              </w:rPr>
              <w:t xml:space="preserve">　</w:t>
            </w:r>
            <w:r w:rsidRPr="004739C9">
              <w:rPr>
                <w:vertAlign w:val="superscript"/>
              </w:rPr>
              <w:t>3</w:t>
            </w:r>
          </w:p>
        </w:tc>
        <w:tc>
          <w:tcPr>
            <w:tcW w:w="646" w:type="pct"/>
            <w:gridSpan w:val="2"/>
          </w:tcPr>
          <w:p w14:paraId="3F2E9DD6"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61"/>
                <w14:textFill>
                  <w14:solidFill>
                    <w14:srgbClr w14:val="000000">
                      <w14:alpha w14:val="100000"/>
                    </w14:srgbClr>
                  </w14:solidFill>
                </w14:textFill>
              </w:rPr>
              <w:t xml:space="preserve">　</w:t>
            </w:r>
            <w:r w:rsidRPr="000B266B">
              <w:rPr>
                <w:color w:val="000000"/>
                <w:w w:val="15"/>
                <w:shd w:val="solid" w:color="000000" w:fill="000000"/>
                <w:fitText w:val="30" w:id="-649843961"/>
                <w14:textFill>
                  <w14:solidFill>
                    <w14:srgbClr w14:val="000000">
                      <w14:alpha w14:val="100000"/>
                    </w14:srgbClr>
                  </w14:solidFill>
                </w14:textFill>
              </w:rPr>
              <w:t>|</w:t>
            </w:r>
            <w:r w:rsidRPr="000B266B">
              <w:rPr>
                <w:rFonts w:hint="eastAsia"/>
                <w:color w:val="000000"/>
                <w:spacing w:val="-35"/>
                <w:w w:val="15"/>
                <w:shd w:val="solid" w:color="000000" w:fill="000000"/>
                <w:fitText w:val="30" w:id="-649843961"/>
                <w14:textFill>
                  <w14:solidFill>
                    <w14:srgbClr w14:val="000000">
                      <w14:alpha w14:val="100000"/>
                    </w14:srgbClr>
                  </w14:solidFill>
                </w14:textFill>
              </w:rPr>
              <w:t xml:space="preserve">　</w:t>
            </w:r>
            <w:r w:rsidRPr="004739C9">
              <w:rPr>
                <w:vertAlign w:val="superscript"/>
              </w:rPr>
              <w:t>3</w:t>
            </w:r>
          </w:p>
        </w:tc>
        <w:tc>
          <w:tcPr>
            <w:tcW w:w="646" w:type="pct"/>
            <w:gridSpan w:val="2"/>
          </w:tcPr>
          <w:p w14:paraId="7A69F64D"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60"/>
                <w14:textFill>
                  <w14:solidFill>
                    <w14:srgbClr w14:val="000000">
                      <w14:alpha w14:val="100000"/>
                    </w14:srgbClr>
                  </w14:solidFill>
                </w14:textFill>
              </w:rPr>
              <w:t xml:space="preserve">　</w:t>
            </w:r>
            <w:r w:rsidRPr="000B266B">
              <w:rPr>
                <w:color w:val="000000"/>
                <w:w w:val="15"/>
                <w:shd w:val="solid" w:color="000000" w:fill="000000"/>
                <w:fitText w:val="30" w:id="-649843960"/>
                <w14:textFill>
                  <w14:solidFill>
                    <w14:srgbClr w14:val="000000">
                      <w14:alpha w14:val="100000"/>
                    </w14:srgbClr>
                  </w14:solidFill>
                </w14:textFill>
              </w:rPr>
              <w:t>|</w:t>
            </w:r>
            <w:r w:rsidRPr="000B266B">
              <w:rPr>
                <w:rFonts w:hint="eastAsia"/>
                <w:color w:val="000000"/>
                <w:spacing w:val="-35"/>
                <w:w w:val="15"/>
                <w:shd w:val="solid" w:color="000000" w:fill="000000"/>
                <w:fitText w:val="30" w:id="-649843960"/>
                <w14:textFill>
                  <w14:solidFill>
                    <w14:srgbClr w14:val="000000">
                      <w14:alpha w14:val="100000"/>
                    </w14:srgbClr>
                  </w14:solidFill>
                </w14:textFill>
              </w:rPr>
              <w:t xml:space="preserve">　</w:t>
            </w:r>
            <w:r w:rsidRPr="004739C9">
              <w:rPr>
                <w:vertAlign w:val="superscript"/>
              </w:rPr>
              <w:t>3</w:t>
            </w:r>
          </w:p>
        </w:tc>
      </w:tr>
      <w:tr w:rsidR="000B266B" w:rsidRPr="00A16C9B" w14:paraId="0009454B" w14:textId="77777777" w:rsidTr="00B678E8">
        <w:tc>
          <w:tcPr>
            <w:tcW w:w="1122" w:type="pct"/>
            <w:vAlign w:val="center"/>
          </w:tcPr>
          <w:p w14:paraId="79161A6B" w14:textId="77777777" w:rsidR="000B266B" w:rsidRPr="00A16C9B" w:rsidRDefault="000B266B" w:rsidP="0041700E">
            <w:pPr>
              <w:pStyle w:val="TableText"/>
              <w:keepLines/>
            </w:pPr>
            <w:r w:rsidRPr="00A16C9B">
              <w:t xml:space="preserve">Net cost to PBS/RPBS/MBS </w:t>
            </w:r>
            <w:r w:rsidRPr="00A16C9B">
              <w:rPr>
                <w:vertAlign w:val="superscript"/>
              </w:rPr>
              <w:t>c</w:t>
            </w:r>
          </w:p>
        </w:tc>
        <w:tc>
          <w:tcPr>
            <w:tcW w:w="648" w:type="pct"/>
            <w:gridSpan w:val="2"/>
          </w:tcPr>
          <w:p w14:paraId="60007F0B"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59"/>
                <w14:textFill>
                  <w14:solidFill>
                    <w14:srgbClr w14:val="000000">
                      <w14:alpha w14:val="100000"/>
                    </w14:srgbClr>
                  </w14:solidFill>
                </w14:textFill>
              </w:rPr>
              <w:t xml:space="preserve">　</w:t>
            </w:r>
            <w:r w:rsidRPr="000B266B">
              <w:rPr>
                <w:color w:val="000000"/>
                <w:w w:val="15"/>
                <w:shd w:val="solid" w:color="000000" w:fill="000000"/>
                <w:fitText w:val="30" w:id="-649843959"/>
                <w14:textFill>
                  <w14:solidFill>
                    <w14:srgbClr w14:val="000000">
                      <w14:alpha w14:val="100000"/>
                    </w14:srgbClr>
                  </w14:solidFill>
                </w14:textFill>
              </w:rPr>
              <w:t>|</w:t>
            </w:r>
            <w:r w:rsidRPr="000B266B">
              <w:rPr>
                <w:rFonts w:hint="eastAsia"/>
                <w:color w:val="000000"/>
                <w:spacing w:val="-35"/>
                <w:w w:val="15"/>
                <w:shd w:val="solid" w:color="000000" w:fill="000000"/>
                <w:fitText w:val="30" w:id="-649843959"/>
                <w14:textFill>
                  <w14:solidFill>
                    <w14:srgbClr w14:val="000000">
                      <w14:alpha w14:val="100000"/>
                    </w14:srgbClr>
                  </w14:solidFill>
                </w14:textFill>
              </w:rPr>
              <w:t xml:space="preserve">　</w:t>
            </w:r>
            <w:r w:rsidRPr="004739C9">
              <w:rPr>
                <w:vertAlign w:val="superscript"/>
              </w:rPr>
              <w:t>3</w:t>
            </w:r>
          </w:p>
        </w:tc>
        <w:tc>
          <w:tcPr>
            <w:tcW w:w="646" w:type="pct"/>
            <w:gridSpan w:val="2"/>
          </w:tcPr>
          <w:p w14:paraId="0E16B2B9"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58"/>
                <w14:textFill>
                  <w14:solidFill>
                    <w14:srgbClr w14:val="000000">
                      <w14:alpha w14:val="100000"/>
                    </w14:srgbClr>
                  </w14:solidFill>
                </w14:textFill>
              </w:rPr>
              <w:t xml:space="preserve">　</w:t>
            </w:r>
            <w:r w:rsidRPr="000B266B">
              <w:rPr>
                <w:color w:val="000000"/>
                <w:w w:val="15"/>
                <w:shd w:val="solid" w:color="000000" w:fill="000000"/>
                <w:fitText w:val="30" w:id="-649843958"/>
                <w14:textFill>
                  <w14:solidFill>
                    <w14:srgbClr w14:val="000000">
                      <w14:alpha w14:val="100000"/>
                    </w14:srgbClr>
                  </w14:solidFill>
                </w14:textFill>
              </w:rPr>
              <w:t>|</w:t>
            </w:r>
            <w:r w:rsidRPr="000B266B">
              <w:rPr>
                <w:rFonts w:hint="eastAsia"/>
                <w:color w:val="000000"/>
                <w:spacing w:val="-35"/>
                <w:w w:val="15"/>
                <w:shd w:val="solid" w:color="000000" w:fill="000000"/>
                <w:fitText w:val="30" w:id="-649843958"/>
                <w14:textFill>
                  <w14:solidFill>
                    <w14:srgbClr w14:val="000000">
                      <w14:alpha w14:val="100000"/>
                    </w14:srgbClr>
                  </w14:solidFill>
                </w14:textFill>
              </w:rPr>
              <w:t xml:space="preserve">　</w:t>
            </w:r>
            <w:r w:rsidRPr="004739C9">
              <w:rPr>
                <w:vertAlign w:val="superscript"/>
              </w:rPr>
              <w:t>7</w:t>
            </w:r>
          </w:p>
        </w:tc>
        <w:tc>
          <w:tcPr>
            <w:tcW w:w="646" w:type="pct"/>
            <w:gridSpan w:val="2"/>
          </w:tcPr>
          <w:p w14:paraId="17D32200"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57"/>
                <w14:textFill>
                  <w14:solidFill>
                    <w14:srgbClr w14:val="000000">
                      <w14:alpha w14:val="100000"/>
                    </w14:srgbClr>
                  </w14:solidFill>
                </w14:textFill>
              </w:rPr>
              <w:t xml:space="preserve">　</w:t>
            </w:r>
            <w:r w:rsidRPr="000B266B">
              <w:rPr>
                <w:color w:val="000000"/>
                <w:w w:val="15"/>
                <w:shd w:val="solid" w:color="000000" w:fill="000000"/>
                <w:fitText w:val="30" w:id="-649843957"/>
                <w14:textFill>
                  <w14:solidFill>
                    <w14:srgbClr w14:val="000000">
                      <w14:alpha w14:val="100000"/>
                    </w14:srgbClr>
                  </w14:solidFill>
                </w14:textFill>
              </w:rPr>
              <w:t>|</w:t>
            </w:r>
            <w:r w:rsidRPr="000B266B">
              <w:rPr>
                <w:rFonts w:hint="eastAsia"/>
                <w:color w:val="000000"/>
                <w:spacing w:val="-35"/>
                <w:w w:val="15"/>
                <w:shd w:val="solid" w:color="000000" w:fill="000000"/>
                <w:fitText w:val="30" w:id="-649843957"/>
                <w14:textFill>
                  <w14:solidFill>
                    <w14:srgbClr w14:val="000000">
                      <w14:alpha w14:val="100000"/>
                    </w14:srgbClr>
                  </w14:solidFill>
                </w14:textFill>
              </w:rPr>
              <w:t xml:space="preserve">　</w:t>
            </w:r>
            <w:r w:rsidRPr="004739C9">
              <w:rPr>
                <w:vertAlign w:val="superscript"/>
              </w:rPr>
              <w:t>7</w:t>
            </w:r>
          </w:p>
        </w:tc>
        <w:tc>
          <w:tcPr>
            <w:tcW w:w="646" w:type="pct"/>
            <w:gridSpan w:val="2"/>
          </w:tcPr>
          <w:p w14:paraId="19CC15B8"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56"/>
                <w14:textFill>
                  <w14:solidFill>
                    <w14:srgbClr w14:val="000000">
                      <w14:alpha w14:val="100000"/>
                    </w14:srgbClr>
                  </w14:solidFill>
                </w14:textFill>
              </w:rPr>
              <w:t xml:space="preserve">　</w:t>
            </w:r>
            <w:r w:rsidRPr="000B266B">
              <w:rPr>
                <w:color w:val="000000"/>
                <w:w w:val="15"/>
                <w:shd w:val="solid" w:color="000000" w:fill="000000"/>
                <w:fitText w:val="30" w:id="-649843956"/>
                <w14:textFill>
                  <w14:solidFill>
                    <w14:srgbClr w14:val="000000">
                      <w14:alpha w14:val="100000"/>
                    </w14:srgbClr>
                  </w14:solidFill>
                </w14:textFill>
              </w:rPr>
              <w:t>|</w:t>
            </w:r>
            <w:r w:rsidRPr="000B266B">
              <w:rPr>
                <w:rFonts w:hint="eastAsia"/>
                <w:color w:val="000000"/>
                <w:spacing w:val="-35"/>
                <w:w w:val="15"/>
                <w:shd w:val="solid" w:color="000000" w:fill="000000"/>
                <w:fitText w:val="30" w:id="-649843956"/>
                <w14:textFill>
                  <w14:solidFill>
                    <w14:srgbClr w14:val="000000">
                      <w14:alpha w14:val="100000"/>
                    </w14:srgbClr>
                  </w14:solidFill>
                </w14:textFill>
              </w:rPr>
              <w:t xml:space="preserve">　</w:t>
            </w:r>
            <w:r w:rsidRPr="004739C9">
              <w:rPr>
                <w:vertAlign w:val="superscript"/>
              </w:rPr>
              <w:t>7</w:t>
            </w:r>
          </w:p>
        </w:tc>
        <w:tc>
          <w:tcPr>
            <w:tcW w:w="646" w:type="pct"/>
            <w:gridSpan w:val="2"/>
          </w:tcPr>
          <w:p w14:paraId="456A04C4"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55"/>
                <w14:textFill>
                  <w14:solidFill>
                    <w14:srgbClr w14:val="000000">
                      <w14:alpha w14:val="100000"/>
                    </w14:srgbClr>
                  </w14:solidFill>
                </w14:textFill>
              </w:rPr>
              <w:t xml:space="preserve">　</w:t>
            </w:r>
            <w:r w:rsidRPr="000B266B">
              <w:rPr>
                <w:color w:val="000000"/>
                <w:w w:val="15"/>
                <w:shd w:val="solid" w:color="000000" w:fill="000000"/>
                <w:fitText w:val="30" w:id="-649843955"/>
                <w14:textFill>
                  <w14:solidFill>
                    <w14:srgbClr w14:val="000000">
                      <w14:alpha w14:val="100000"/>
                    </w14:srgbClr>
                  </w14:solidFill>
                </w14:textFill>
              </w:rPr>
              <w:t>|</w:t>
            </w:r>
            <w:r w:rsidRPr="000B266B">
              <w:rPr>
                <w:rFonts w:hint="eastAsia"/>
                <w:color w:val="000000"/>
                <w:spacing w:val="-35"/>
                <w:w w:val="15"/>
                <w:shd w:val="solid" w:color="000000" w:fill="000000"/>
                <w:fitText w:val="30" w:id="-649843955"/>
                <w14:textFill>
                  <w14:solidFill>
                    <w14:srgbClr w14:val="000000">
                      <w14:alpha w14:val="100000"/>
                    </w14:srgbClr>
                  </w14:solidFill>
                </w14:textFill>
              </w:rPr>
              <w:t xml:space="preserve">　</w:t>
            </w:r>
            <w:r w:rsidRPr="004739C9">
              <w:rPr>
                <w:vertAlign w:val="superscript"/>
              </w:rPr>
              <w:t>7</w:t>
            </w:r>
          </w:p>
        </w:tc>
        <w:tc>
          <w:tcPr>
            <w:tcW w:w="646" w:type="pct"/>
            <w:gridSpan w:val="2"/>
          </w:tcPr>
          <w:p w14:paraId="0F45B3A4"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54"/>
                <w14:textFill>
                  <w14:solidFill>
                    <w14:srgbClr w14:val="000000">
                      <w14:alpha w14:val="100000"/>
                    </w14:srgbClr>
                  </w14:solidFill>
                </w14:textFill>
              </w:rPr>
              <w:t xml:space="preserve">　</w:t>
            </w:r>
            <w:r w:rsidRPr="000B266B">
              <w:rPr>
                <w:color w:val="000000"/>
                <w:w w:val="15"/>
                <w:shd w:val="solid" w:color="000000" w:fill="000000"/>
                <w:fitText w:val="30" w:id="-649843954"/>
                <w14:textFill>
                  <w14:solidFill>
                    <w14:srgbClr w14:val="000000">
                      <w14:alpha w14:val="100000"/>
                    </w14:srgbClr>
                  </w14:solidFill>
                </w14:textFill>
              </w:rPr>
              <w:t>|</w:t>
            </w:r>
            <w:r w:rsidRPr="000B266B">
              <w:rPr>
                <w:rFonts w:hint="eastAsia"/>
                <w:color w:val="000000"/>
                <w:spacing w:val="-35"/>
                <w:w w:val="15"/>
                <w:shd w:val="solid" w:color="000000" w:fill="000000"/>
                <w:fitText w:val="30" w:id="-649843954"/>
                <w14:textFill>
                  <w14:solidFill>
                    <w14:srgbClr w14:val="000000">
                      <w14:alpha w14:val="100000"/>
                    </w14:srgbClr>
                  </w14:solidFill>
                </w14:textFill>
              </w:rPr>
              <w:t xml:space="preserve">　</w:t>
            </w:r>
            <w:r w:rsidRPr="004739C9">
              <w:rPr>
                <w:vertAlign w:val="superscript"/>
              </w:rPr>
              <w:t>4</w:t>
            </w:r>
          </w:p>
        </w:tc>
      </w:tr>
      <w:tr w:rsidR="000B266B" w:rsidRPr="00A16C9B" w14:paraId="5806C6A9" w14:textId="77777777" w:rsidTr="00B678E8">
        <w:tc>
          <w:tcPr>
            <w:tcW w:w="5000" w:type="pct"/>
            <w:gridSpan w:val="13"/>
            <w:shd w:val="clear" w:color="auto" w:fill="BDD6EE" w:themeFill="accent1" w:themeFillTint="66"/>
            <w:vAlign w:val="center"/>
          </w:tcPr>
          <w:p w14:paraId="7EB3EFE3" w14:textId="77777777" w:rsidR="000B266B" w:rsidRPr="00A16C9B" w:rsidRDefault="000B266B" w:rsidP="0041700E">
            <w:pPr>
              <w:pStyle w:val="In-tableHeading"/>
              <w:keepLines/>
              <w:rPr>
                <w:lang w:val="en-AU"/>
              </w:rPr>
            </w:pPr>
            <w:r w:rsidRPr="00A16C9B">
              <w:rPr>
                <w:lang w:val="en-AU"/>
              </w:rPr>
              <w:t>Previous submission March 2024</w:t>
            </w:r>
          </w:p>
        </w:tc>
      </w:tr>
      <w:tr w:rsidR="000B266B" w:rsidRPr="00A16C9B" w14:paraId="5DBFC854" w14:textId="77777777" w:rsidTr="00B678E8">
        <w:tc>
          <w:tcPr>
            <w:tcW w:w="1128" w:type="pct"/>
            <w:gridSpan w:val="2"/>
            <w:shd w:val="clear" w:color="auto" w:fill="BDD6EE" w:themeFill="accent1" w:themeFillTint="66"/>
            <w:vAlign w:val="center"/>
          </w:tcPr>
          <w:p w14:paraId="170017F1" w14:textId="77777777" w:rsidR="000B266B" w:rsidRPr="00A16C9B" w:rsidRDefault="000B266B" w:rsidP="0041700E">
            <w:pPr>
              <w:pStyle w:val="TableText"/>
              <w:keepLines/>
              <w:rPr>
                <w:sz w:val="19"/>
                <w:szCs w:val="19"/>
              </w:rPr>
            </w:pPr>
            <w:r w:rsidRPr="00A16C9B">
              <w:rPr>
                <w:sz w:val="19"/>
                <w:szCs w:val="19"/>
              </w:rPr>
              <w:t xml:space="preserve">Net cost to PBS/RPBS </w:t>
            </w:r>
            <w:r w:rsidRPr="00A16C9B">
              <w:rPr>
                <w:sz w:val="19"/>
                <w:szCs w:val="19"/>
                <w:vertAlign w:val="superscript"/>
              </w:rPr>
              <w:t>d</w:t>
            </w:r>
          </w:p>
        </w:tc>
        <w:tc>
          <w:tcPr>
            <w:tcW w:w="648" w:type="pct"/>
            <w:gridSpan w:val="2"/>
            <w:shd w:val="clear" w:color="auto" w:fill="BDD6EE" w:themeFill="accent1" w:themeFillTint="66"/>
          </w:tcPr>
          <w:p w14:paraId="79A32428"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53"/>
                <w14:textFill>
                  <w14:solidFill>
                    <w14:srgbClr w14:val="000000">
                      <w14:alpha w14:val="100000"/>
                    </w14:srgbClr>
                  </w14:solidFill>
                </w14:textFill>
              </w:rPr>
              <w:t xml:space="preserve">　</w:t>
            </w:r>
            <w:r w:rsidRPr="000B266B">
              <w:rPr>
                <w:color w:val="000000"/>
                <w:w w:val="15"/>
                <w:shd w:val="solid" w:color="000000" w:fill="000000"/>
                <w:fitText w:val="30" w:id="-649843953"/>
                <w14:textFill>
                  <w14:solidFill>
                    <w14:srgbClr w14:val="000000">
                      <w14:alpha w14:val="100000"/>
                    </w14:srgbClr>
                  </w14:solidFill>
                </w14:textFill>
              </w:rPr>
              <w:t>|</w:t>
            </w:r>
            <w:r w:rsidRPr="000B266B">
              <w:rPr>
                <w:rFonts w:hint="eastAsia"/>
                <w:color w:val="000000"/>
                <w:spacing w:val="-35"/>
                <w:w w:val="15"/>
                <w:shd w:val="solid" w:color="000000" w:fill="000000"/>
                <w:fitText w:val="30" w:id="-649843953"/>
                <w14:textFill>
                  <w14:solidFill>
                    <w14:srgbClr w14:val="000000">
                      <w14:alpha w14:val="100000"/>
                    </w14:srgbClr>
                  </w14:solidFill>
                </w14:textFill>
              </w:rPr>
              <w:t xml:space="preserve">　</w:t>
            </w:r>
            <w:r w:rsidRPr="004739C9">
              <w:rPr>
                <w:vertAlign w:val="superscript"/>
              </w:rPr>
              <w:t>3</w:t>
            </w:r>
          </w:p>
        </w:tc>
        <w:tc>
          <w:tcPr>
            <w:tcW w:w="651" w:type="pct"/>
            <w:gridSpan w:val="2"/>
            <w:shd w:val="clear" w:color="auto" w:fill="BDD6EE" w:themeFill="accent1" w:themeFillTint="66"/>
          </w:tcPr>
          <w:p w14:paraId="02AF07CC" w14:textId="77777777" w:rsidR="000B266B" w:rsidRPr="00D120E3" w:rsidRDefault="000B266B" w:rsidP="0041700E">
            <w:pPr>
              <w:pStyle w:val="TableText"/>
              <w:keepLines/>
              <w:jc w:val="center"/>
              <w:rPr>
                <w:highlight w:val="darkGray"/>
              </w:rPr>
            </w:pPr>
            <w:r w:rsidRPr="007848CD">
              <w:rPr>
                <w:rFonts w:hint="eastAsia"/>
                <w:color w:val="000000"/>
                <w:w w:val="15"/>
                <w:shd w:val="solid" w:color="000000" w:fill="000000"/>
                <w:fitText w:val="20" w:id="-649843952"/>
                <w14:textFill>
                  <w14:solidFill>
                    <w14:srgbClr w14:val="000000">
                      <w14:alpha w14:val="100000"/>
                    </w14:srgbClr>
                  </w14:solidFill>
                </w14:textFill>
              </w:rPr>
              <w:t xml:space="preserve">　</w:t>
            </w:r>
            <w:r w:rsidRPr="007848CD">
              <w:rPr>
                <w:color w:val="000000"/>
                <w:w w:val="15"/>
                <w:shd w:val="solid" w:color="000000" w:fill="000000"/>
                <w:fitText w:val="20" w:id="-649843952"/>
                <w14:textFill>
                  <w14:solidFill>
                    <w14:srgbClr w14:val="000000">
                      <w14:alpha w14:val="100000"/>
                    </w14:srgbClr>
                  </w14:solidFill>
                </w14:textFill>
              </w:rPr>
              <w:t>|</w:t>
            </w:r>
            <w:r w:rsidRPr="007848CD">
              <w:rPr>
                <w:rFonts w:hint="eastAsia"/>
                <w:color w:val="000000"/>
                <w:spacing w:val="-45"/>
                <w:w w:val="15"/>
                <w:shd w:val="solid" w:color="000000" w:fill="000000"/>
                <w:fitText w:val="20" w:id="-649843952"/>
                <w14:textFill>
                  <w14:solidFill>
                    <w14:srgbClr w14:val="000000">
                      <w14:alpha w14:val="100000"/>
                    </w14:srgbClr>
                  </w14:solidFill>
                </w14:textFill>
              </w:rPr>
              <w:t xml:space="preserve">　</w:t>
            </w:r>
            <w:r w:rsidRPr="004739C9">
              <w:rPr>
                <w:vertAlign w:val="superscript"/>
              </w:rPr>
              <w:t>7</w:t>
            </w:r>
          </w:p>
        </w:tc>
        <w:tc>
          <w:tcPr>
            <w:tcW w:w="653" w:type="pct"/>
            <w:gridSpan w:val="2"/>
            <w:shd w:val="clear" w:color="auto" w:fill="BDD6EE" w:themeFill="accent1" w:themeFillTint="66"/>
          </w:tcPr>
          <w:p w14:paraId="0FCADAEE" w14:textId="77777777" w:rsidR="000B266B" w:rsidRPr="00D120E3" w:rsidRDefault="000B266B" w:rsidP="0041700E">
            <w:pPr>
              <w:pStyle w:val="TableText"/>
              <w:keepLines/>
              <w:jc w:val="center"/>
              <w:rPr>
                <w:highlight w:val="darkGray"/>
              </w:rPr>
            </w:pPr>
            <w:r w:rsidRPr="007848CD">
              <w:rPr>
                <w:rFonts w:hint="eastAsia"/>
                <w:color w:val="000000"/>
                <w:w w:val="15"/>
                <w:shd w:val="solid" w:color="000000" w:fill="000000"/>
                <w:fitText w:val="10" w:id="-649843968"/>
                <w14:textFill>
                  <w14:solidFill>
                    <w14:srgbClr w14:val="000000">
                      <w14:alpha w14:val="100000"/>
                    </w14:srgbClr>
                  </w14:solidFill>
                </w14:textFill>
              </w:rPr>
              <w:t xml:space="preserve">　</w:t>
            </w:r>
            <w:r w:rsidRPr="007848CD">
              <w:rPr>
                <w:color w:val="000000"/>
                <w:w w:val="15"/>
                <w:shd w:val="solid" w:color="000000" w:fill="000000"/>
                <w:fitText w:val="10" w:id="-649843968"/>
                <w14:textFill>
                  <w14:solidFill>
                    <w14:srgbClr w14:val="000000">
                      <w14:alpha w14:val="100000"/>
                    </w14:srgbClr>
                  </w14:solidFill>
                </w14:textFill>
              </w:rPr>
              <w:t>|</w:t>
            </w:r>
            <w:r w:rsidRPr="007848CD">
              <w:rPr>
                <w:rFonts w:hint="eastAsia"/>
                <w:color w:val="000000"/>
                <w:spacing w:val="-55"/>
                <w:w w:val="15"/>
                <w:shd w:val="solid" w:color="000000" w:fill="000000"/>
                <w:fitText w:val="10" w:id="-649843968"/>
                <w14:textFill>
                  <w14:solidFill>
                    <w14:srgbClr w14:val="000000">
                      <w14:alpha w14:val="100000"/>
                    </w14:srgbClr>
                  </w14:solidFill>
                </w14:textFill>
              </w:rPr>
              <w:t xml:space="preserve">　</w:t>
            </w:r>
            <w:r w:rsidRPr="004739C9">
              <w:rPr>
                <w:vertAlign w:val="superscript"/>
              </w:rPr>
              <w:t>7</w:t>
            </w:r>
          </w:p>
        </w:tc>
        <w:tc>
          <w:tcPr>
            <w:tcW w:w="653" w:type="pct"/>
            <w:gridSpan w:val="2"/>
            <w:shd w:val="clear" w:color="auto" w:fill="BDD6EE" w:themeFill="accent1" w:themeFillTint="66"/>
          </w:tcPr>
          <w:p w14:paraId="743D8A51" w14:textId="77777777" w:rsidR="000B266B" w:rsidRPr="00D120E3" w:rsidRDefault="000B266B" w:rsidP="0041700E">
            <w:pPr>
              <w:pStyle w:val="TableText"/>
              <w:keepLines/>
              <w:jc w:val="center"/>
              <w:rPr>
                <w:highlight w:val="darkGray"/>
              </w:rPr>
            </w:pPr>
            <w:r w:rsidRPr="007848CD">
              <w:rPr>
                <w:rFonts w:hint="eastAsia"/>
                <w:color w:val="000000"/>
                <w:w w:val="15"/>
                <w:shd w:val="solid" w:color="000000" w:fill="000000"/>
                <w:fitText w:val="10" w:id="-649843967"/>
                <w14:textFill>
                  <w14:solidFill>
                    <w14:srgbClr w14:val="000000">
                      <w14:alpha w14:val="100000"/>
                    </w14:srgbClr>
                  </w14:solidFill>
                </w14:textFill>
              </w:rPr>
              <w:t xml:space="preserve">　</w:t>
            </w:r>
            <w:r w:rsidRPr="007848CD">
              <w:rPr>
                <w:color w:val="000000"/>
                <w:w w:val="15"/>
                <w:shd w:val="solid" w:color="000000" w:fill="000000"/>
                <w:fitText w:val="10" w:id="-649843967"/>
                <w14:textFill>
                  <w14:solidFill>
                    <w14:srgbClr w14:val="000000">
                      <w14:alpha w14:val="100000"/>
                    </w14:srgbClr>
                  </w14:solidFill>
                </w14:textFill>
              </w:rPr>
              <w:t>|</w:t>
            </w:r>
            <w:r w:rsidRPr="007848CD">
              <w:rPr>
                <w:rFonts w:hint="eastAsia"/>
                <w:color w:val="000000"/>
                <w:spacing w:val="-55"/>
                <w:w w:val="15"/>
                <w:shd w:val="solid" w:color="000000" w:fill="000000"/>
                <w:fitText w:val="10" w:id="-649843967"/>
                <w14:textFill>
                  <w14:solidFill>
                    <w14:srgbClr w14:val="000000">
                      <w14:alpha w14:val="100000"/>
                    </w14:srgbClr>
                  </w14:solidFill>
                </w14:textFill>
              </w:rPr>
              <w:t xml:space="preserve">　</w:t>
            </w:r>
            <w:r w:rsidRPr="004739C9">
              <w:rPr>
                <w:vertAlign w:val="superscript"/>
              </w:rPr>
              <w:t>7</w:t>
            </w:r>
          </w:p>
        </w:tc>
        <w:tc>
          <w:tcPr>
            <w:tcW w:w="652" w:type="pct"/>
            <w:gridSpan w:val="2"/>
            <w:shd w:val="clear" w:color="auto" w:fill="BDD6EE" w:themeFill="accent1" w:themeFillTint="66"/>
          </w:tcPr>
          <w:p w14:paraId="77F03C8F" w14:textId="77777777" w:rsidR="000B266B" w:rsidRPr="00D120E3" w:rsidRDefault="000B266B" w:rsidP="0041700E">
            <w:pPr>
              <w:pStyle w:val="TableText"/>
              <w:keepLines/>
              <w:jc w:val="center"/>
              <w:rPr>
                <w:highlight w:val="darkGray"/>
              </w:rPr>
            </w:pPr>
            <w:r w:rsidRPr="007848CD">
              <w:rPr>
                <w:rFonts w:hint="eastAsia"/>
                <w:color w:val="000000"/>
                <w:w w:val="15"/>
                <w:shd w:val="solid" w:color="000000" w:fill="000000"/>
                <w:fitText w:val="10" w:id="-649843966"/>
                <w14:textFill>
                  <w14:solidFill>
                    <w14:srgbClr w14:val="000000">
                      <w14:alpha w14:val="100000"/>
                    </w14:srgbClr>
                  </w14:solidFill>
                </w14:textFill>
              </w:rPr>
              <w:t xml:space="preserve">　</w:t>
            </w:r>
            <w:r w:rsidRPr="007848CD">
              <w:rPr>
                <w:color w:val="000000"/>
                <w:w w:val="15"/>
                <w:shd w:val="solid" w:color="000000" w:fill="000000"/>
                <w:fitText w:val="10" w:id="-649843966"/>
                <w14:textFill>
                  <w14:solidFill>
                    <w14:srgbClr w14:val="000000">
                      <w14:alpha w14:val="100000"/>
                    </w14:srgbClr>
                  </w14:solidFill>
                </w14:textFill>
              </w:rPr>
              <w:t>|</w:t>
            </w:r>
            <w:r w:rsidRPr="007848CD">
              <w:rPr>
                <w:rFonts w:hint="eastAsia"/>
                <w:color w:val="000000"/>
                <w:spacing w:val="-55"/>
                <w:w w:val="15"/>
                <w:shd w:val="solid" w:color="000000" w:fill="000000"/>
                <w:fitText w:val="10" w:id="-649843966"/>
                <w14:textFill>
                  <w14:solidFill>
                    <w14:srgbClr w14:val="000000">
                      <w14:alpha w14:val="100000"/>
                    </w14:srgbClr>
                  </w14:solidFill>
                </w14:textFill>
              </w:rPr>
              <w:t xml:space="preserve">　</w:t>
            </w:r>
            <w:r w:rsidRPr="004739C9">
              <w:rPr>
                <w:vertAlign w:val="superscript"/>
              </w:rPr>
              <w:t>7</w:t>
            </w:r>
          </w:p>
        </w:tc>
        <w:tc>
          <w:tcPr>
            <w:tcW w:w="615" w:type="pct"/>
            <w:shd w:val="clear" w:color="auto" w:fill="BDD6EE" w:themeFill="accent1" w:themeFillTint="66"/>
          </w:tcPr>
          <w:p w14:paraId="565032F5"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60" w:id="-649843965"/>
                <w14:textFill>
                  <w14:solidFill>
                    <w14:srgbClr w14:val="000000">
                      <w14:alpha w14:val="100000"/>
                    </w14:srgbClr>
                  </w14:solidFill>
                </w14:textFill>
              </w:rPr>
              <w:t xml:space="preserve">　</w:t>
            </w:r>
            <w:r w:rsidRPr="000B266B">
              <w:rPr>
                <w:color w:val="000000"/>
                <w:w w:val="15"/>
                <w:shd w:val="solid" w:color="000000" w:fill="000000"/>
                <w:fitText w:val="60" w:id="-649843965"/>
                <w14:textFill>
                  <w14:solidFill>
                    <w14:srgbClr w14:val="000000">
                      <w14:alpha w14:val="100000"/>
                    </w14:srgbClr>
                  </w14:solidFill>
                </w14:textFill>
              </w:rPr>
              <w:t>|</w:t>
            </w:r>
            <w:r w:rsidRPr="000B266B">
              <w:rPr>
                <w:rFonts w:hint="eastAsia"/>
                <w:color w:val="000000"/>
                <w:spacing w:val="-5"/>
                <w:w w:val="15"/>
                <w:shd w:val="solid" w:color="000000" w:fill="000000"/>
                <w:fitText w:val="60" w:id="-649843965"/>
                <w14:textFill>
                  <w14:solidFill>
                    <w14:srgbClr w14:val="000000">
                      <w14:alpha w14:val="100000"/>
                    </w14:srgbClr>
                  </w14:solidFill>
                </w14:textFill>
              </w:rPr>
              <w:t xml:space="preserve">　</w:t>
            </w:r>
            <w:r w:rsidRPr="004739C9">
              <w:rPr>
                <w:vertAlign w:val="superscript"/>
              </w:rPr>
              <w:t>7</w:t>
            </w:r>
          </w:p>
        </w:tc>
      </w:tr>
    </w:tbl>
    <w:p w14:paraId="21752ADD" w14:textId="77777777" w:rsidR="000B266B" w:rsidRPr="00A16C9B" w:rsidRDefault="000B266B" w:rsidP="0041700E">
      <w:pPr>
        <w:pStyle w:val="TableFooter"/>
        <w:keepNext/>
        <w:keepLines/>
        <w:widowControl/>
      </w:pPr>
      <w:r w:rsidRPr="00A16C9B">
        <w:t xml:space="preserve">Source: </w:t>
      </w:r>
      <w:r>
        <w:t>Table 64</w:t>
      </w:r>
      <w:r w:rsidRPr="00A16C9B">
        <w:t xml:space="preserve"> to </w:t>
      </w:r>
      <w:r>
        <w:t>Table 76</w:t>
      </w:r>
      <w:r w:rsidRPr="00A16C9B">
        <w:t xml:space="preserve"> of the evaluation</w:t>
      </w:r>
    </w:p>
    <w:p w14:paraId="26FA2CCA" w14:textId="77777777" w:rsidR="000B266B" w:rsidRPr="00A16C9B" w:rsidRDefault="000B266B" w:rsidP="0041700E">
      <w:pPr>
        <w:pStyle w:val="TableFooter"/>
        <w:keepNext/>
        <w:keepLines/>
        <w:widowControl/>
      </w:pPr>
      <w:r w:rsidRPr="4904BCD2">
        <w:t xml:space="preserve">Note: </w:t>
      </w:r>
      <w:r w:rsidRPr="4904BCD2">
        <w:rPr>
          <w:shd w:val="clear" w:color="auto" w:fill="BDD6EE" w:themeFill="accent1" w:themeFillTint="66"/>
        </w:rPr>
        <w:t>Blue</w:t>
      </w:r>
      <w:r w:rsidRPr="4904BCD2">
        <w:t xml:space="preserve"> shaded rows denote information unchanged from the previous submission.</w:t>
      </w:r>
    </w:p>
    <w:p w14:paraId="66950651" w14:textId="77777777" w:rsidR="000B266B" w:rsidRPr="00A16C9B" w:rsidRDefault="000B266B" w:rsidP="0041700E">
      <w:pPr>
        <w:pStyle w:val="TableFooter"/>
        <w:keepNext/>
        <w:keepLines/>
        <w:widowControl/>
      </w:pPr>
      <w:r w:rsidRPr="4904BCD2">
        <w:rPr>
          <w:vertAlign w:val="superscript"/>
        </w:rPr>
        <w:t xml:space="preserve">a </w:t>
      </w:r>
      <w:r w:rsidRPr="4904BCD2">
        <w:t>Assuming 6.09 scripts at 90% compliance – 5.48 scripts per year as estimated by the submission.</w:t>
      </w:r>
    </w:p>
    <w:p w14:paraId="7E202F75" w14:textId="77777777" w:rsidR="000B266B" w:rsidRPr="00A16C9B" w:rsidRDefault="000B266B" w:rsidP="0041700E">
      <w:pPr>
        <w:pStyle w:val="TableFooter"/>
        <w:keepNext/>
        <w:keepLines/>
        <w:widowControl/>
      </w:pPr>
      <w:r w:rsidRPr="00A16C9B">
        <w:rPr>
          <w:vertAlign w:val="superscript"/>
        </w:rPr>
        <w:t>b</w:t>
      </w:r>
      <w:r w:rsidRPr="00A16C9B">
        <w:t xml:space="preserve"> Includes HDV RNA testing for eligibility testing and on-going monitoring of treated patients.</w:t>
      </w:r>
    </w:p>
    <w:p w14:paraId="33C99A22" w14:textId="77777777" w:rsidR="000B266B" w:rsidRPr="00A16C9B" w:rsidRDefault="000B266B" w:rsidP="0041700E">
      <w:pPr>
        <w:pStyle w:val="TableFooter"/>
        <w:keepNext/>
        <w:keepLines/>
        <w:widowControl/>
      </w:pPr>
      <w:r w:rsidRPr="00A16C9B">
        <w:rPr>
          <w:vertAlign w:val="superscript"/>
        </w:rPr>
        <w:t>c</w:t>
      </w:r>
      <w:r w:rsidRPr="00A16C9B">
        <w:t xml:space="preserve"> Includes revised </w:t>
      </w:r>
      <w:r>
        <w:t xml:space="preserve">corrected </w:t>
      </w:r>
      <w:r w:rsidRPr="00A16C9B">
        <w:t>copayment amount</w:t>
      </w:r>
      <w:r w:rsidRPr="00684D1C">
        <w:t xml:space="preserve">. </w:t>
      </w:r>
      <w:r w:rsidRPr="00684D1C">
        <w:rPr>
          <w:iCs/>
        </w:rPr>
        <w:t>The resubmission incorrectly applied a 20% reduction to the patient copayments, increasing the overall cost to the PBS/RPBS.</w:t>
      </w:r>
    </w:p>
    <w:p w14:paraId="582AE34A" w14:textId="77777777" w:rsidR="000B266B" w:rsidRDefault="000B266B" w:rsidP="0041700E">
      <w:pPr>
        <w:pStyle w:val="TableFooter"/>
        <w:widowControl/>
      </w:pPr>
      <w:r w:rsidRPr="00A16C9B">
        <w:rPr>
          <w:vertAlign w:val="superscript"/>
        </w:rPr>
        <w:t>d</w:t>
      </w:r>
      <w:r w:rsidRPr="00A16C9B">
        <w:t xml:space="preserve"> Includes revisions made to the submission during the evaluation.</w:t>
      </w:r>
      <w:r w:rsidRPr="004509BF">
        <w:t xml:space="preserve"> </w:t>
      </w:r>
    </w:p>
    <w:p w14:paraId="005E7F07" w14:textId="77777777" w:rsidR="000B266B" w:rsidRPr="00D4016A" w:rsidRDefault="000B266B" w:rsidP="0041700E">
      <w:pPr>
        <w:pStyle w:val="TableFooter"/>
        <w:widowControl/>
        <w:rPr>
          <w:i/>
          <w:iCs/>
        </w:rPr>
      </w:pPr>
      <w:r w:rsidRPr="00D4016A">
        <w:rPr>
          <w:i/>
          <w:iCs/>
        </w:rPr>
        <w:t>The redacted values correspond to the following ranges:</w:t>
      </w:r>
    </w:p>
    <w:p w14:paraId="443BEDA9" w14:textId="77777777" w:rsidR="000B266B" w:rsidRPr="00D4016A" w:rsidRDefault="000B266B" w:rsidP="0041700E">
      <w:pPr>
        <w:pStyle w:val="TableFooter"/>
        <w:widowControl/>
        <w:rPr>
          <w:i/>
          <w:iCs/>
        </w:rPr>
      </w:pPr>
      <w:r w:rsidRPr="00D4016A">
        <w:rPr>
          <w:i/>
          <w:iCs/>
          <w:vertAlign w:val="superscript"/>
        </w:rPr>
        <w:t>1</w:t>
      </w:r>
      <w:r w:rsidRPr="00D4016A">
        <w:rPr>
          <w:i/>
          <w:iCs/>
        </w:rPr>
        <w:t xml:space="preserve"> 500 to &lt; 5,000 </w:t>
      </w:r>
    </w:p>
    <w:p w14:paraId="4A193620" w14:textId="77777777" w:rsidR="000B266B" w:rsidRPr="00D4016A" w:rsidRDefault="000B266B" w:rsidP="0041700E">
      <w:pPr>
        <w:pStyle w:val="TableFooter"/>
        <w:widowControl/>
        <w:rPr>
          <w:i/>
          <w:iCs/>
        </w:rPr>
      </w:pPr>
      <w:r w:rsidRPr="00D4016A">
        <w:rPr>
          <w:i/>
          <w:iCs/>
          <w:vertAlign w:val="superscript"/>
        </w:rPr>
        <w:t>2</w:t>
      </w:r>
      <w:r w:rsidRPr="00D4016A">
        <w:rPr>
          <w:i/>
          <w:iCs/>
        </w:rPr>
        <w:t xml:space="preserve"> &lt; 500 </w:t>
      </w:r>
    </w:p>
    <w:p w14:paraId="443E47A9" w14:textId="77777777" w:rsidR="000B266B" w:rsidRPr="00D4016A" w:rsidRDefault="000B266B" w:rsidP="0041700E">
      <w:pPr>
        <w:pStyle w:val="TableFooter"/>
        <w:widowControl/>
        <w:rPr>
          <w:i/>
          <w:iCs/>
        </w:rPr>
      </w:pPr>
      <w:r w:rsidRPr="00D4016A">
        <w:rPr>
          <w:i/>
          <w:iCs/>
          <w:vertAlign w:val="superscript"/>
        </w:rPr>
        <w:t>3</w:t>
      </w:r>
      <w:r w:rsidRPr="00D4016A">
        <w:rPr>
          <w:i/>
          <w:iCs/>
        </w:rPr>
        <w:t xml:space="preserve"> $0 to &lt; $10 million</w:t>
      </w:r>
    </w:p>
    <w:p w14:paraId="244FF6A9" w14:textId="77777777" w:rsidR="000B266B" w:rsidRPr="00D4016A" w:rsidRDefault="000B266B" w:rsidP="0041700E">
      <w:pPr>
        <w:pStyle w:val="TableFooter"/>
        <w:widowControl/>
        <w:rPr>
          <w:i/>
          <w:iCs/>
        </w:rPr>
      </w:pPr>
      <w:r w:rsidRPr="00D4016A">
        <w:rPr>
          <w:i/>
          <w:iCs/>
          <w:vertAlign w:val="superscript"/>
        </w:rPr>
        <w:t>4</w:t>
      </w:r>
      <w:r w:rsidRPr="00D4016A">
        <w:rPr>
          <w:i/>
          <w:iCs/>
        </w:rPr>
        <w:t xml:space="preserve"> $20 million to &lt; $30 million </w:t>
      </w:r>
    </w:p>
    <w:p w14:paraId="2AB68A30" w14:textId="77777777" w:rsidR="000B266B" w:rsidRPr="00D4016A" w:rsidRDefault="000B266B" w:rsidP="0041700E">
      <w:pPr>
        <w:pStyle w:val="TableFooter"/>
        <w:widowControl/>
        <w:rPr>
          <w:i/>
          <w:iCs/>
        </w:rPr>
      </w:pPr>
      <w:r w:rsidRPr="00D4016A">
        <w:rPr>
          <w:i/>
          <w:iCs/>
          <w:vertAlign w:val="superscript"/>
        </w:rPr>
        <w:t>5</w:t>
      </w:r>
      <w:r w:rsidRPr="00D4016A">
        <w:rPr>
          <w:i/>
          <w:iCs/>
        </w:rPr>
        <w:t xml:space="preserve"> $30 million to &lt; $40 million</w:t>
      </w:r>
    </w:p>
    <w:p w14:paraId="37E01048" w14:textId="77777777" w:rsidR="000B266B" w:rsidRPr="00D4016A" w:rsidRDefault="000B266B" w:rsidP="0041700E">
      <w:pPr>
        <w:pStyle w:val="TableFooter"/>
        <w:widowControl/>
        <w:rPr>
          <w:i/>
          <w:iCs/>
        </w:rPr>
      </w:pPr>
      <w:r w:rsidRPr="00D4016A">
        <w:rPr>
          <w:i/>
          <w:iCs/>
          <w:vertAlign w:val="superscript"/>
        </w:rPr>
        <w:t>6</w:t>
      </w:r>
      <w:r w:rsidRPr="00D4016A">
        <w:rPr>
          <w:i/>
          <w:iCs/>
        </w:rPr>
        <w:t xml:space="preserve"> $40 million to &lt; $50 million</w:t>
      </w:r>
    </w:p>
    <w:p w14:paraId="29DD6084" w14:textId="77777777" w:rsidR="000B266B" w:rsidRPr="00D4016A" w:rsidRDefault="000B266B" w:rsidP="0041700E">
      <w:pPr>
        <w:pStyle w:val="TableFooter"/>
        <w:widowControl/>
        <w:spacing w:after="120"/>
        <w:rPr>
          <w:i/>
          <w:iCs/>
        </w:rPr>
      </w:pPr>
      <w:r w:rsidRPr="00D4016A">
        <w:rPr>
          <w:rFonts w:asciiTheme="minorHAnsi" w:hAnsiTheme="minorHAnsi"/>
          <w:i/>
          <w:iCs/>
          <w:szCs w:val="18"/>
          <w:vertAlign w:val="superscript"/>
        </w:rPr>
        <w:t>7</w:t>
      </w:r>
      <w:r w:rsidRPr="00D4016A">
        <w:rPr>
          <w:rFonts w:asciiTheme="minorHAnsi" w:hAnsiTheme="minorHAnsi"/>
          <w:i/>
          <w:iCs/>
          <w:szCs w:val="18"/>
        </w:rPr>
        <w:t xml:space="preserve"> </w:t>
      </w:r>
      <w:r w:rsidRPr="00D4016A">
        <w:rPr>
          <w:i/>
          <w:iCs/>
        </w:rPr>
        <w:t>$10 million to &lt; $20 million</w:t>
      </w:r>
    </w:p>
    <w:p w14:paraId="2CCC70EF" w14:textId="77777777" w:rsidR="000B266B" w:rsidRPr="00A16C9B" w:rsidRDefault="000B266B" w:rsidP="0041700E">
      <w:pPr>
        <w:pStyle w:val="3-BodyText"/>
        <w:spacing w:before="120" w:after="120"/>
      </w:pPr>
      <w:r w:rsidRPr="37C20EEE">
        <w:t xml:space="preserve">The total cost to the PBS/RPBS of listing bulevirtide was estimated to be </w:t>
      </w:r>
      <w:r w:rsidRPr="00AC1B4C">
        <w:t>$20</w:t>
      </w:r>
      <w:r>
        <w:t> </w:t>
      </w:r>
      <w:r w:rsidRPr="00AC1B4C">
        <w:t>million</w:t>
      </w:r>
      <w:r>
        <w:t> </w:t>
      </w:r>
      <w:r w:rsidRPr="00AC1B4C">
        <w:t>to &lt;</w:t>
      </w:r>
      <w:r>
        <w:t> </w:t>
      </w:r>
      <w:r w:rsidRPr="00AC1B4C">
        <w:t xml:space="preserve">$30 million </w:t>
      </w:r>
      <w:r w:rsidRPr="37C20EEE">
        <w:t xml:space="preserve">in Year 6, and a total of </w:t>
      </w:r>
      <w:r w:rsidRPr="009544B1">
        <w:t>$100 million to &lt; $200 million</w:t>
      </w:r>
      <w:r>
        <w:t xml:space="preserve"> </w:t>
      </w:r>
      <w:r w:rsidRPr="37C20EEE">
        <w:t>in the first 6</w:t>
      </w:r>
      <w:r>
        <w:t> </w:t>
      </w:r>
      <w:r w:rsidRPr="37C20EEE">
        <w:t>years of listing.</w:t>
      </w:r>
    </w:p>
    <w:p w14:paraId="3A155784" w14:textId="77777777" w:rsidR="000B266B" w:rsidRPr="00A55D22" w:rsidRDefault="000B266B" w:rsidP="0041700E">
      <w:pPr>
        <w:pStyle w:val="3-BodyText"/>
        <w:spacing w:before="120" w:after="120"/>
      </w:pPr>
      <w:r w:rsidRPr="00A55D22">
        <w:t xml:space="preserve">The resubmission addressed the issues raised by DUSC and PBAC in the March 2024 submission where there were alternative or suggested data sources. The resubmission introduced a new patient population to address concerns that there was a prevalent </w:t>
      </w:r>
      <w:r w:rsidRPr="00A55D22">
        <w:lastRenderedPageBreak/>
        <w:t>pool of patients who were not currently engaged in treatment. The PBAC previously considered the likely uptake of both testing and treatment, and utilisation and duration of therapy with bulevirtide, to be highly uncertain in practice. In addition, persistence is uncertain noting that most patients would likely have no or limited symptoms of hepatic disease and given the onerous administration requirements of daily and ongoing injections (paragraph 7.15, bulevirtide PSD, March 2024 PBAC meeting).</w:t>
      </w:r>
    </w:p>
    <w:p w14:paraId="5FCB42DC" w14:textId="77777777" w:rsidR="000B266B" w:rsidRPr="00A55D22" w:rsidRDefault="000B266B" w:rsidP="0041700E">
      <w:pPr>
        <w:pStyle w:val="3-BodyText"/>
        <w:spacing w:before="120" w:after="120"/>
      </w:pPr>
      <w:r w:rsidRPr="00A55D22">
        <w:t>The resubmission aligned the financial estimates with the economic modelling as requested following the March 2024 submission. The financial estimates mirror the HDV RNA testing regimen during treatment that is presented in the economic model. This may overestimate the cost of HDV RNA testing if it is not conducted as frequently as every 6 months.</w:t>
      </w:r>
    </w:p>
    <w:p w14:paraId="13D0DEF2" w14:textId="77777777" w:rsidR="000B266B" w:rsidRPr="00F50184" w:rsidRDefault="000B266B" w:rsidP="0041700E">
      <w:pPr>
        <w:pStyle w:val="4-SubsectionHeading"/>
      </w:pPr>
      <w:bookmarkStart w:id="66" w:name="_Toc188360805"/>
      <w:r w:rsidRPr="00F50184">
        <w:t>Quality use of medicines</w:t>
      </w:r>
      <w:bookmarkEnd w:id="66"/>
    </w:p>
    <w:p w14:paraId="4F05A867" w14:textId="77777777" w:rsidR="000B266B" w:rsidRPr="00FD70DE" w:rsidRDefault="000B266B" w:rsidP="0041700E">
      <w:pPr>
        <w:pStyle w:val="3-BodyText"/>
        <w:spacing w:before="120" w:after="120"/>
      </w:pPr>
      <w:r w:rsidRPr="00FD70DE">
        <w:t>The quality use of medicines factors presented by the resubmission are unchanged from the March 2024 submission.</w:t>
      </w:r>
      <w:r>
        <w:t xml:space="preserve"> </w:t>
      </w:r>
    </w:p>
    <w:p w14:paraId="271A63FE" w14:textId="77777777" w:rsidR="000B266B" w:rsidRPr="00F50184" w:rsidRDefault="000B266B" w:rsidP="0041700E">
      <w:pPr>
        <w:pStyle w:val="4-SubsectionHeading"/>
      </w:pPr>
      <w:bookmarkStart w:id="67" w:name="_Toc188360806"/>
      <w:r w:rsidRPr="00F50184">
        <w:t>Financial management – risk sharing arrangements</w:t>
      </w:r>
      <w:bookmarkEnd w:id="67"/>
    </w:p>
    <w:p w14:paraId="3A7AC251" w14:textId="77777777" w:rsidR="000B266B" w:rsidRDefault="000B266B" w:rsidP="0041700E">
      <w:pPr>
        <w:pStyle w:val="3-BodyText"/>
        <w:spacing w:before="120" w:after="120"/>
      </w:pPr>
      <w:r w:rsidRPr="4904BCD2">
        <w:t>Consistent with the March 2024 submission, th</w:t>
      </w:r>
      <w:r>
        <w:t>e</w:t>
      </w:r>
      <w:r w:rsidRPr="4904BCD2">
        <w:t xml:space="preserve"> resubmission </w:t>
      </w:r>
      <w:r>
        <w:t xml:space="preserve">stated that </w:t>
      </w:r>
      <w:r w:rsidRPr="4904BCD2">
        <w:t>a Risk Sharing Arrangement</w:t>
      </w:r>
      <w:r>
        <w:t xml:space="preserve"> (RSA) was not proposed due to the small number of patients expected to be commencing treatment with bulevirtide</w:t>
      </w:r>
      <w:r w:rsidRPr="4904BCD2">
        <w:t xml:space="preserve"> (&lt;</w:t>
      </w:r>
      <w:r>
        <w:t> 500</w:t>
      </w:r>
      <w:r w:rsidRPr="4904BCD2">
        <w:t xml:space="preserve"> patients annually).</w:t>
      </w:r>
    </w:p>
    <w:p w14:paraId="127D7C5D" w14:textId="77777777" w:rsidR="000B266B" w:rsidRPr="00FD70DE" w:rsidRDefault="000B266B" w:rsidP="0041700E">
      <w:pPr>
        <w:pStyle w:val="ListParagraph"/>
        <w:ind w:left="720"/>
      </w:pPr>
      <w:r w:rsidRPr="00840DE7">
        <w:rPr>
          <w:i/>
          <w:iCs/>
        </w:rPr>
        <w:t>For more detail on PBAC’s view, see section 7 PBAC outcome.</w:t>
      </w:r>
    </w:p>
    <w:p w14:paraId="7318B494" w14:textId="77777777" w:rsidR="000B266B" w:rsidRPr="0090150D" w:rsidRDefault="000B266B" w:rsidP="0041700E">
      <w:pPr>
        <w:pStyle w:val="2-SectionHeading"/>
        <w:numPr>
          <w:ilvl w:val="0"/>
          <w:numId w:val="1"/>
        </w:numPr>
      </w:pPr>
      <w:bookmarkStart w:id="68" w:name="_Hlk76381249"/>
      <w:bookmarkStart w:id="69" w:name="_Hlk76377955"/>
      <w:bookmarkEnd w:id="63"/>
      <w:r w:rsidRPr="0090150D">
        <w:t>PBAC Outcome</w:t>
      </w:r>
    </w:p>
    <w:p w14:paraId="15D485D5" w14:textId="77777777" w:rsidR="000B266B" w:rsidRDefault="000B266B" w:rsidP="0041700E">
      <w:pPr>
        <w:numPr>
          <w:ilvl w:val="1"/>
          <w:numId w:val="1"/>
        </w:numPr>
        <w:spacing w:after="120"/>
        <w:rPr>
          <w:rFonts w:asciiTheme="minorHAnsi" w:hAnsiTheme="minorHAnsi"/>
          <w:snapToGrid w:val="0"/>
          <w:lang w:val="en-GB"/>
        </w:rPr>
      </w:pPr>
      <w:bookmarkStart w:id="70" w:name="_Hlk111543188"/>
      <w:r w:rsidRPr="005A3908">
        <w:rPr>
          <w:rFonts w:asciiTheme="minorHAnsi" w:hAnsiTheme="minorHAnsi"/>
          <w:snapToGrid w:val="0"/>
          <w:lang w:val="en-GB"/>
        </w:rPr>
        <w:t xml:space="preserve">The PBAC deferred </w:t>
      </w:r>
      <w:r>
        <w:rPr>
          <w:rFonts w:asciiTheme="minorHAnsi" w:hAnsiTheme="minorHAnsi"/>
          <w:snapToGrid w:val="0"/>
          <w:lang w:val="en-GB"/>
        </w:rPr>
        <w:t xml:space="preserve">making a recommendation for the listing of </w:t>
      </w:r>
      <w:r w:rsidRPr="005A3908">
        <w:rPr>
          <w:rFonts w:asciiTheme="minorHAnsi" w:hAnsiTheme="minorHAnsi"/>
          <w:snapToGrid w:val="0"/>
          <w:lang w:val="en-GB"/>
        </w:rPr>
        <w:t>bulevirtide for treatment of chronic hepatitis delta virus (</w:t>
      </w:r>
      <w:r>
        <w:rPr>
          <w:rFonts w:asciiTheme="minorHAnsi" w:hAnsiTheme="minorHAnsi"/>
          <w:snapToGrid w:val="0"/>
          <w:lang w:val="en-GB"/>
        </w:rPr>
        <w:t>CHD</w:t>
      </w:r>
      <w:r w:rsidRPr="005A3908">
        <w:rPr>
          <w:rFonts w:asciiTheme="minorHAnsi" w:hAnsiTheme="minorHAnsi"/>
          <w:snapToGrid w:val="0"/>
          <w:lang w:val="en-GB"/>
        </w:rPr>
        <w:t>)</w:t>
      </w:r>
      <w:r>
        <w:rPr>
          <w:rFonts w:asciiTheme="minorHAnsi" w:hAnsiTheme="minorHAnsi"/>
          <w:snapToGrid w:val="0"/>
          <w:lang w:val="en-GB"/>
        </w:rPr>
        <w:t xml:space="preserve"> infection</w:t>
      </w:r>
      <w:r w:rsidRPr="005A3908">
        <w:rPr>
          <w:rFonts w:asciiTheme="minorHAnsi" w:hAnsiTheme="minorHAnsi"/>
          <w:snapToGrid w:val="0"/>
          <w:lang w:val="en-GB"/>
        </w:rPr>
        <w:t xml:space="preserve">. </w:t>
      </w:r>
      <w:r>
        <w:rPr>
          <w:rFonts w:asciiTheme="minorHAnsi" w:hAnsiTheme="minorHAnsi"/>
          <w:snapToGrid w:val="0"/>
          <w:lang w:val="en-GB"/>
        </w:rPr>
        <w:t>While t</w:t>
      </w:r>
      <w:r w:rsidRPr="005A3908">
        <w:rPr>
          <w:rFonts w:asciiTheme="minorHAnsi" w:hAnsiTheme="minorHAnsi"/>
          <w:snapToGrid w:val="0"/>
          <w:lang w:val="en-GB"/>
        </w:rPr>
        <w:t>he PBAC was of a mind to recommend bulevirtide</w:t>
      </w:r>
      <w:r>
        <w:rPr>
          <w:rFonts w:asciiTheme="minorHAnsi" w:hAnsiTheme="minorHAnsi"/>
          <w:snapToGrid w:val="0"/>
          <w:lang w:val="en-GB"/>
        </w:rPr>
        <w:t xml:space="preserve">, the PBAC noted </w:t>
      </w:r>
      <w:r w:rsidRPr="005A3908">
        <w:rPr>
          <w:rFonts w:asciiTheme="minorHAnsi" w:hAnsiTheme="minorHAnsi"/>
          <w:snapToGrid w:val="0"/>
          <w:lang w:val="en-GB"/>
        </w:rPr>
        <w:t>that an integrated codependent submission</w:t>
      </w:r>
      <w:r>
        <w:rPr>
          <w:rFonts w:asciiTheme="minorHAnsi" w:hAnsiTheme="minorHAnsi"/>
          <w:snapToGrid w:val="0"/>
          <w:lang w:val="en-GB"/>
        </w:rPr>
        <w:t xml:space="preserve"> for the </w:t>
      </w:r>
      <w:r w:rsidRPr="005A3908">
        <w:rPr>
          <w:rFonts w:asciiTheme="minorHAnsi" w:hAnsiTheme="minorHAnsi"/>
          <w:snapToGrid w:val="0"/>
          <w:lang w:val="en-GB"/>
        </w:rPr>
        <w:t xml:space="preserve">MBS listing of </w:t>
      </w:r>
      <w:r w:rsidRPr="1A568DDF">
        <w:rPr>
          <w:rFonts w:asciiTheme="minorHAnsi" w:hAnsiTheme="minorHAnsi"/>
          <w:lang w:val="en-GB"/>
        </w:rPr>
        <w:t xml:space="preserve">Hepatitis D </w:t>
      </w:r>
      <w:r w:rsidRPr="1A568DDF">
        <w:rPr>
          <w:rFonts w:asciiTheme="minorHAnsi" w:hAnsiTheme="minorHAnsi"/>
          <w:snapToGrid w:val="0"/>
          <w:lang w:val="en-GB"/>
        </w:rPr>
        <w:t>ribonucleic</w:t>
      </w:r>
      <w:r w:rsidRPr="005A3908">
        <w:rPr>
          <w:rFonts w:asciiTheme="minorHAnsi" w:hAnsiTheme="minorHAnsi"/>
          <w:snapToGrid w:val="0"/>
          <w:lang w:val="en-GB"/>
        </w:rPr>
        <w:t xml:space="preserve"> acid polymerase chain reaction testing for </w:t>
      </w:r>
      <w:r>
        <w:rPr>
          <w:rFonts w:asciiTheme="minorHAnsi" w:hAnsiTheme="minorHAnsi"/>
          <w:snapToGrid w:val="0"/>
          <w:lang w:val="en-GB"/>
        </w:rPr>
        <w:t xml:space="preserve">CHD </w:t>
      </w:r>
      <w:r w:rsidRPr="005A3908">
        <w:rPr>
          <w:rFonts w:asciiTheme="minorHAnsi" w:hAnsiTheme="minorHAnsi"/>
          <w:snapToGrid w:val="0"/>
          <w:lang w:val="en-GB"/>
        </w:rPr>
        <w:t xml:space="preserve">would </w:t>
      </w:r>
      <w:proofErr w:type="gramStart"/>
      <w:r w:rsidRPr="005A3908">
        <w:rPr>
          <w:rFonts w:asciiTheme="minorHAnsi" w:hAnsiTheme="minorHAnsi"/>
          <w:snapToGrid w:val="0"/>
          <w:lang w:val="en-GB"/>
        </w:rPr>
        <w:t>be considered</w:t>
      </w:r>
      <w:proofErr w:type="gramEnd"/>
      <w:r w:rsidRPr="005A3908">
        <w:rPr>
          <w:rFonts w:asciiTheme="minorHAnsi" w:hAnsiTheme="minorHAnsi"/>
          <w:snapToGrid w:val="0"/>
          <w:lang w:val="en-GB"/>
        </w:rPr>
        <w:t xml:space="preserve"> at the April 2025 MSAC meeting. The PBAC acknowledged that hepatitis D virus (HDV) is </w:t>
      </w:r>
      <w:proofErr w:type="gramStart"/>
      <w:r w:rsidRPr="005A3908">
        <w:rPr>
          <w:rFonts w:asciiTheme="minorHAnsi" w:hAnsiTheme="minorHAnsi"/>
          <w:snapToGrid w:val="0"/>
          <w:lang w:val="en-GB"/>
        </w:rPr>
        <w:t>relatively rare</w:t>
      </w:r>
      <w:proofErr w:type="gramEnd"/>
      <w:r w:rsidRPr="005A3908">
        <w:rPr>
          <w:rFonts w:asciiTheme="minorHAnsi" w:hAnsiTheme="minorHAnsi"/>
          <w:snapToGrid w:val="0"/>
          <w:lang w:val="en-GB"/>
        </w:rPr>
        <w:t xml:space="preserve"> in Australia, but there is a need for effective treatments</w:t>
      </w:r>
      <w:r>
        <w:rPr>
          <w:rFonts w:asciiTheme="minorHAnsi" w:hAnsiTheme="minorHAnsi"/>
          <w:snapToGrid w:val="0"/>
          <w:lang w:val="en-GB"/>
        </w:rPr>
        <w:t xml:space="preserve">. </w:t>
      </w:r>
      <w:r w:rsidRPr="005A3908">
        <w:rPr>
          <w:rFonts w:asciiTheme="minorHAnsi" w:hAnsiTheme="minorHAnsi"/>
          <w:snapToGrid w:val="0"/>
          <w:lang w:val="en-GB"/>
        </w:rPr>
        <w:t>The PBAC</w:t>
      </w:r>
      <w:r>
        <w:rPr>
          <w:rFonts w:asciiTheme="minorHAnsi" w:hAnsiTheme="minorHAnsi"/>
          <w:snapToGrid w:val="0"/>
          <w:lang w:val="en-GB"/>
        </w:rPr>
        <w:t xml:space="preserve"> reaffirmed its view </w:t>
      </w:r>
      <w:r w:rsidRPr="005A3908">
        <w:rPr>
          <w:rFonts w:asciiTheme="minorHAnsi" w:hAnsiTheme="minorHAnsi"/>
          <w:snapToGrid w:val="0"/>
          <w:lang w:val="en-GB"/>
        </w:rPr>
        <w:t xml:space="preserve">that whilst the evidence indicates that bulevirtide is effective for </w:t>
      </w:r>
      <w:proofErr w:type="gramStart"/>
      <w:r w:rsidRPr="005A3908">
        <w:rPr>
          <w:rFonts w:asciiTheme="minorHAnsi" w:hAnsiTheme="minorHAnsi"/>
          <w:snapToGrid w:val="0"/>
          <w:lang w:val="en-GB"/>
        </w:rPr>
        <w:t>some</w:t>
      </w:r>
      <w:proofErr w:type="gramEnd"/>
      <w:r w:rsidRPr="005A3908">
        <w:rPr>
          <w:rFonts w:asciiTheme="minorHAnsi" w:hAnsiTheme="minorHAnsi"/>
          <w:snapToGrid w:val="0"/>
          <w:lang w:val="en-GB"/>
        </w:rPr>
        <w:t xml:space="preserve"> patients in terms of achieving a significant reduction in viral load and/or improvement in liver enzymes, the longer-term and patient-relevant benefits were highly uncertain. The PBAC noted that the resubmission included a small reduction in the proposed price for bulevirtide and revised </w:t>
      </w:r>
      <w:proofErr w:type="gramStart"/>
      <w:r w:rsidRPr="005A3908">
        <w:rPr>
          <w:rFonts w:asciiTheme="minorHAnsi" w:hAnsiTheme="minorHAnsi"/>
          <w:snapToGrid w:val="0"/>
          <w:lang w:val="en-GB"/>
        </w:rPr>
        <w:t>some</w:t>
      </w:r>
      <w:proofErr w:type="gramEnd"/>
      <w:r w:rsidRPr="005A3908">
        <w:rPr>
          <w:rFonts w:asciiTheme="minorHAnsi" w:hAnsiTheme="minorHAnsi"/>
          <w:snapToGrid w:val="0"/>
          <w:lang w:val="en-GB"/>
        </w:rPr>
        <w:t xml:space="preserve"> inputs in the economic analysis as requested, but </w:t>
      </w:r>
      <w:proofErr w:type="gramStart"/>
      <w:r w:rsidRPr="005A3908">
        <w:rPr>
          <w:rFonts w:asciiTheme="minorHAnsi" w:hAnsiTheme="minorHAnsi"/>
          <w:snapToGrid w:val="0"/>
          <w:lang w:val="en-GB"/>
        </w:rPr>
        <w:t>a number of</w:t>
      </w:r>
      <w:proofErr w:type="gramEnd"/>
      <w:r w:rsidRPr="005A3908">
        <w:rPr>
          <w:rFonts w:asciiTheme="minorHAnsi" w:hAnsiTheme="minorHAnsi"/>
          <w:snapToGrid w:val="0"/>
          <w:lang w:val="en-GB"/>
        </w:rPr>
        <w:t xml:space="preserve"> optimistic assumptions that were likely to have underestimated the incremental cost-effectiveness ratio remained. Overall, the PBAC considered that bulevirtide would be cost-effective with a further substantial </w:t>
      </w:r>
      <w:r>
        <w:rPr>
          <w:rFonts w:asciiTheme="minorHAnsi" w:hAnsiTheme="minorHAnsi"/>
          <w:snapToGrid w:val="0"/>
          <w:lang w:val="en-GB"/>
        </w:rPr>
        <w:t xml:space="preserve">price </w:t>
      </w:r>
      <w:r w:rsidRPr="005A3908">
        <w:rPr>
          <w:rFonts w:asciiTheme="minorHAnsi" w:hAnsiTheme="minorHAnsi"/>
          <w:snapToGrid w:val="0"/>
          <w:lang w:val="en-GB"/>
        </w:rPr>
        <w:t xml:space="preserve">reduction, to </w:t>
      </w:r>
      <w:r>
        <w:rPr>
          <w:rFonts w:asciiTheme="minorHAnsi" w:hAnsiTheme="minorHAnsi"/>
          <w:snapToGrid w:val="0"/>
          <w:lang w:val="en-GB"/>
        </w:rPr>
        <w:t>address</w:t>
      </w:r>
      <w:r w:rsidRPr="005A3908">
        <w:rPr>
          <w:rFonts w:asciiTheme="minorHAnsi" w:hAnsiTheme="minorHAnsi"/>
          <w:snapToGrid w:val="0"/>
          <w:lang w:val="en-GB"/>
        </w:rPr>
        <w:t xml:space="preserve"> the remaining uncertainties in the economic model</w:t>
      </w:r>
      <w:r>
        <w:rPr>
          <w:rFonts w:asciiTheme="minorHAnsi" w:hAnsiTheme="minorHAnsi"/>
          <w:snapToGrid w:val="0"/>
          <w:lang w:val="en-GB"/>
        </w:rPr>
        <w:t xml:space="preserve"> and bring the ICER into an acceptable range</w:t>
      </w:r>
      <w:r w:rsidRPr="005A3908">
        <w:rPr>
          <w:rFonts w:asciiTheme="minorHAnsi" w:hAnsiTheme="minorHAnsi"/>
          <w:snapToGrid w:val="0"/>
          <w:lang w:val="en-GB"/>
        </w:rPr>
        <w:t xml:space="preserve">. The </w:t>
      </w:r>
      <w:r w:rsidRPr="005A3908">
        <w:rPr>
          <w:rFonts w:asciiTheme="minorHAnsi" w:hAnsiTheme="minorHAnsi"/>
          <w:snapToGrid w:val="0"/>
          <w:lang w:val="en-GB"/>
        </w:rPr>
        <w:lastRenderedPageBreak/>
        <w:t xml:space="preserve">PBAC also considered the </w:t>
      </w:r>
      <w:r>
        <w:rPr>
          <w:rFonts w:asciiTheme="minorHAnsi" w:hAnsiTheme="minorHAnsi"/>
          <w:snapToGrid w:val="0"/>
          <w:lang w:val="en-GB"/>
        </w:rPr>
        <w:t xml:space="preserve">proposed </w:t>
      </w:r>
      <w:r w:rsidRPr="005A3908">
        <w:rPr>
          <w:rFonts w:asciiTheme="minorHAnsi" w:hAnsiTheme="minorHAnsi"/>
          <w:snapToGrid w:val="0"/>
          <w:lang w:val="en-GB"/>
        </w:rPr>
        <w:t xml:space="preserve">utilisation of bulevirtide was </w:t>
      </w:r>
      <w:r>
        <w:rPr>
          <w:rFonts w:asciiTheme="minorHAnsi" w:hAnsiTheme="minorHAnsi"/>
          <w:snapToGrid w:val="0"/>
          <w:lang w:val="en-GB"/>
        </w:rPr>
        <w:t>uncertain but the estimates presented in the submission appeared to be reasonable.</w:t>
      </w:r>
    </w:p>
    <w:p w14:paraId="151EFDCB" w14:textId="77777777" w:rsidR="000B266B" w:rsidRDefault="000B266B" w:rsidP="0041700E">
      <w:pPr>
        <w:numPr>
          <w:ilvl w:val="1"/>
          <w:numId w:val="1"/>
        </w:numPr>
        <w:spacing w:after="120"/>
        <w:rPr>
          <w:rFonts w:asciiTheme="minorHAnsi" w:hAnsiTheme="minorHAnsi"/>
          <w:snapToGrid w:val="0"/>
          <w:lang w:val="en-GB"/>
        </w:rPr>
      </w:pPr>
      <w:r w:rsidRPr="005A3908">
        <w:rPr>
          <w:rFonts w:asciiTheme="minorHAnsi" w:hAnsiTheme="minorHAnsi"/>
          <w:snapToGrid w:val="0"/>
          <w:lang w:val="en-GB"/>
        </w:rPr>
        <w:t xml:space="preserve">The PBAC </w:t>
      </w:r>
      <w:r>
        <w:rPr>
          <w:rFonts w:asciiTheme="minorHAnsi" w:hAnsiTheme="minorHAnsi"/>
          <w:snapToGrid w:val="0"/>
          <w:lang w:val="en-GB"/>
        </w:rPr>
        <w:t xml:space="preserve">noted that </w:t>
      </w:r>
      <w:r w:rsidRPr="005A3908">
        <w:rPr>
          <w:rFonts w:asciiTheme="minorHAnsi" w:hAnsiTheme="minorHAnsi"/>
          <w:snapToGrid w:val="0"/>
          <w:lang w:val="en-GB"/>
        </w:rPr>
        <w:t xml:space="preserve">hepatitis D virus (HDV) is relatively rare in Australia, </w:t>
      </w:r>
      <w:r>
        <w:rPr>
          <w:rFonts w:asciiTheme="minorHAnsi" w:hAnsiTheme="minorHAnsi"/>
          <w:snapToGrid w:val="0"/>
          <w:lang w:val="en-GB"/>
        </w:rPr>
        <w:t>and reaffirmed its view that</w:t>
      </w:r>
      <w:r w:rsidRPr="005A3908">
        <w:rPr>
          <w:rFonts w:asciiTheme="minorHAnsi" w:hAnsiTheme="minorHAnsi"/>
          <w:snapToGrid w:val="0"/>
          <w:lang w:val="en-GB"/>
        </w:rPr>
        <w:t xml:space="preserve"> there is a </w:t>
      </w:r>
      <w:r>
        <w:rPr>
          <w:rFonts w:asciiTheme="minorHAnsi" w:hAnsiTheme="minorHAnsi"/>
          <w:snapToGrid w:val="0"/>
          <w:lang w:val="en-GB"/>
        </w:rPr>
        <w:t xml:space="preserve">high clinical </w:t>
      </w:r>
      <w:r w:rsidRPr="005A3908">
        <w:rPr>
          <w:rFonts w:asciiTheme="minorHAnsi" w:hAnsiTheme="minorHAnsi"/>
          <w:snapToGrid w:val="0"/>
          <w:lang w:val="en-GB"/>
        </w:rPr>
        <w:t xml:space="preserve">need for effective </w:t>
      </w:r>
      <w:r>
        <w:t>therapies for CHD infection as current treatments for CHD (such as peg-interferon alfa-2a (</w:t>
      </w:r>
      <w:r w:rsidRPr="00543EB7">
        <w:t>PEG-IFN-</w:t>
      </w:r>
      <w:r w:rsidRPr="00543EB7">
        <w:rPr>
          <w:rFonts w:cstheme="minorHAnsi"/>
        </w:rPr>
        <w:t>α</w:t>
      </w:r>
      <w:r>
        <w:rPr>
          <w:rFonts w:cstheme="minorHAnsi"/>
        </w:rPr>
        <w:t>)</w:t>
      </w:r>
      <w:r>
        <w:t>) were not effective or not tolerable for many patients</w:t>
      </w:r>
      <w:r w:rsidRPr="005A3908">
        <w:rPr>
          <w:rFonts w:asciiTheme="minorHAnsi" w:hAnsiTheme="minorHAnsi"/>
          <w:snapToGrid w:val="0"/>
          <w:lang w:val="en-GB"/>
        </w:rPr>
        <w:t xml:space="preserve">. </w:t>
      </w:r>
      <w:bookmarkEnd w:id="70"/>
      <w:r>
        <w:rPr>
          <w:rFonts w:asciiTheme="minorHAnsi" w:hAnsiTheme="minorHAnsi"/>
          <w:snapToGrid w:val="0"/>
          <w:lang w:val="en-GB"/>
        </w:rPr>
        <w:t xml:space="preserve">The PBAC noted that Hepatitis B (which </w:t>
      </w:r>
      <w:proofErr w:type="gramStart"/>
      <w:r>
        <w:rPr>
          <w:rFonts w:asciiTheme="minorHAnsi" w:hAnsiTheme="minorHAnsi"/>
          <w:snapToGrid w:val="0"/>
          <w:lang w:val="en-GB"/>
        </w:rPr>
        <w:t>is required</w:t>
      </w:r>
      <w:proofErr w:type="gramEnd"/>
      <w:r>
        <w:rPr>
          <w:rFonts w:asciiTheme="minorHAnsi" w:hAnsiTheme="minorHAnsi"/>
          <w:snapToGrid w:val="0"/>
          <w:lang w:val="en-GB"/>
        </w:rPr>
        <w:t xml:space="preserve"> for infection with HDV) is vaccine-preventable, and elimination of Hepatitis B as a public health threat should remain a priority.</w:t>
      </w:r>
    </w:p>
    <w:p w14:paraId="60FB1E2D" w14:textId="77777777" w:rsidR="000B266B" w:rsidRPr="009B1F91" w:rsidRDefault="000B266B" w:rsidP="0041700E">
      <w:pPr>
        <w:numPr>
          <w:ilvl w:val="1"/>
          <w:numId w:val="1"/>
        </w:numPr>
        <w:spacing w:after="120"/>
        <w:rPr>
          <w:rFonts w:asciiTheme="minorHAnsi" w:hAnsiTheme="minorHAnsi"/>
          <w:snapToGrid w:val="0"/>
          <w:lang w:val="en-GB"/>
        </w:rPr>
      </w:pPr>
      <w:r w:rsidRPr="00DD625F">
        <w:rPr>
          <w:snapToGrid w:val="0"/>
          <w:lang w:val="en-GB"/>
        </w:rPr>
        <w:t xml:space="preserve">The PBAC noted the input from </w:t>
      </w:r>
      <w:proofErr w:type="gramStart"/>
      <w:r w:rsidRPr="00DD625F">
        <w:rPr>
          <w:snapToGrid w:val="0"/>
          <w:lang w:val="en-GB"/>
        </w:rPr>
        <w:t>2</w:t>
      </w:r>
      <w:proofErr w:type="gramEnd"/>
      <w:r w:rsidRPr="00DD625F">
        <w:rPr>
          <w:snapToGrid w:val="0"/>
          <w:lang w:val="en-GB"/>
        </w:rPr>
        <w:t xml:space="preserve"> consumer group/organisations which supported the listing of bulevirtide and highlighted the long-term impacts of CHD infection. </w:t>
      </w:r>
    </w:p>
    <w:p w14:paraId="1CC17E7D" w14:textId="77777777" w:rsidR="000B266B" w:rsidRPr="00767469" w:rsidRDefault="000B266B" w:rsidP="0041700E">
      <w:pPr>
        <w:pStyle w:val="3-BodyText"/>
        <w:spacing w:before="120" w:after="120"/>
        <w:rPr>
          <w:snapToGrid w:val="0"/>
          <w:lang w:val="en-GB"/>
        </w:rPr>
      </w:pPr>
      <w:r>
        <w:rPr>
          <w:snapToGrid w:val="0"/>
          <w:lang w:val="en-GB"/>
        </w:rPr>
        <w:t>The PBAC considered a</w:t>
      </w:r>
      <w:r w:rsidRPr="00767469">
        <w:rPr>
          <w:snapToGrid w:val="0"/>
          <w:lang w:val="en-GB"/>
        </w:rPr>
        <w:t xml:space="preserve"> Section 100 Highly Specialised Drugs Program Streamlined Authority listing in Public and Private Hospital and Community Access for bulevirtide is reasonable and aligns with PBS listings for chronic hepatitis B (CHB).</w:t>
      </w:r>
      <w:r w:rsidRPr="718D791D">
        <w:rPr>
          <w:rFonts w:ascii="Calibri" w:hAnsi="Calibri"/>
        </w:rPr>
        <w:t xml:space="preserve"> </w:t>
      </w:r>
      <w:r w:rsidRPr="009771F2">
        <w:rPr>
          <w:snapToGrid w:val="0"/>
        </w:rPr>
        <w:t>The PBAC noted this would facilitate patients who are engaged with hospital hepatology units to be prescribed bulevirtide alongside community practice managed patients.</w:t>
      </w:r>
      <w:r w:rsidRPr="00767469">
        <w:rPr>
          <w:snapToGrid w:val="0"/>
          <w:lang w:val="en-GB"/>
        </w:rPr>
        <w:t xml:space="preserve"> </w:t>
      </w:r>
      <w:r>
        <w:rPr>
          <w:snapToGrid w:val="0"/>
          <w:lang w:val="en-GB"/>
        </w:rPr>
        <w:t xml:space="preserve">The PBAC considered that the proposed maximum quantities and repeats were reasonable. </w:t>
      </w:r>
      <w:proofErr w:type="gramStart"/>
      <w:r w:rsidRPr="718D791D">
        <w:rPr>
          <w:snapToGrid w:val="0"/>
          <w:lang w:val="en-GB"/>
        </w:rPr>
        <w:t>With regard to</w:t>
      </w:r>
      <w:proofErr w:type="gramEnd"/>
      <w:r w:rsidRPr="718D791D">
        <w:rPr>
          <w:snapToGrid w:val="0"/>
          <w:lang w:val="en-GB"/>
        </w:rPr>
        <w:t xml:space="preserve"> the requested listing and restrictions, the PBAC reaffirmed its view on the following (as per paragraphs 7.5-7.7 bulevirtide PSD, March 2024 PBAC meeting):</w:t>
      </w:r>
    </w:p>
    <w:p w14:paraId="461E4898" w14:textId="77777777" w:rsidR="000B266B" w:rsidRPr="001F50E1" w:rsidRDefault="000B266B" w:rsidP="0041700E">
      <w:pPr>
        <w:pStyle w:val="3-BodyText"/>
        <w:numPr>
          <w:ilvl w:val="1"/>
          <w:numId w:val="19"/>
        </w:numPr>
        <w:spacing w:before="120" w:after="120"/>
        <w:ind w:left="1080"/>
      </w:pPr>
      <w:r w:rsidRPr="001F50E1">
        <w:t xml:space="preserve">Given the rarity of CHD in Australia, and the potential access issues for patients in rural and remote communities, it was appropriate for prescribing to be in consultation with physicians with experience in the management of viral hepatitis. The PBAC noted that access to specialists is likely to be difficult for many patients with CHD and requested that the MSAC consider allowing GPs to order initial testing, in consultation with specialists. </w:t>
      </w:r>
    </w:p>
    <w:p w14:paraId="12D3B821" w14:textId="77777777" w:rsidR="000B266B" w:rsidRPr="001F50E1" w:rsidRDefault="000B266B" w:rsidP="0041700E">
      <w:pPr>
        <w:pStyle w:val="3-BodyText"/>
        <w:numPr>
          <w:ilvl w:val="1"/>
          <w:numId w:val="19"/>
        </w:numPr>
        <w:spacing w:before="120" w:after="120"/>
        <w:ind w:left="1080"/>
        <w:rPr>
          <w:snapToGrid w:val="0"/>
          <w:lang w:val="en-GB"/>
        </w:rPr>
      </w:pPr>
      <w:r>
        <w:t xml:space="preserve">The proposed restriction was reasonable for the purposes of initiating treatment and generally reflected the patient population included in the key clinical trial for bulevirtide (patients with no or well-compensated liver disease i.e. Child Pugh Class A). </w:t>
      </w:r>
    </w:p>
    <w:p w14:paraId="5F4B7359" w14:textId="77777777" w:rsidR="000B266B" w:rsidRDefault="000B266B" w:rsidP="0041700E">
      <w:pPr>
        <w:pStyle w:val="3-BodyText"/>
        <w:numPr>
          <w:ilvl w:val="1"/>
          <w:numId w:val="19"/>
        </w:numPr>
        <w:spacing w:before="120" w:after="120"/>
        <w:ind w:left="1080"/>
        <w:rPr>
          <w:snapToGrid w:val="0"/>
          <w:szCs w:val="24"/>
          <w:lang w:val="en-GB"/>
        </w:rPr>
      </w:pPr>
      <w:r>
        <w:rPr>
          <w:snapToGrid w:val="0"/>
          <w:lang w:val="en-GB"/>
        </w:rPr>
        <w:t xml:space="preserve">It was appropriate that </w:t>
      </w:r>
      <w:r w:rsidRPr="00CD6DAB">
        <w:rPr>
          <w:snapToGrid w:val="0"/>
          <w:szCs w:val="24"/>
          <w:lang w:val="en-GB"/>
        </w:rPr>
        <w:t>the restriction criteria be age agnostic rather than specifying patients must be over 18 years</w:t>
      </w:r>
      <w:r>
        <w:rPr>
          <w:snapToGrid w:val="0"/>
          <w:szCs w:val="24"/>
          <w:lang w:val="en-GB"/>
        </w:rPr>
        <w:t>.</w:t>
      </w:r>
    </w:p>
    <w:p w14:paraId="6C95015C" w14:textId="77777777" w:rsidR="000B266B" w:rsidRDefault="000B266B" w:rsidP="0041700E">
      <w:pPr>
        <w:pStyle w:val="3-BodyText"/>
        <w:numPr>
          <w:ilvl w:val="1"/>
          <w:numId w:val="19"/>
        </w:numPr>
        <w:spacing w:before="120" w:after="120"/>
        <w:ind w:left="1080"/>
        <w:rPr>
          <w:snapToGrid w:val="0"/>
          <w:szCs w:val="24"/>
          <w:lang w:val="en-GB"/>
        </w:rPr>
      </w:pPr>
      <w:r>
        <w:rPr>
          <w:snapToGrid w:val="0"/>
          <w:szCs w:val="24"/>
          <w:lang w:val="en-GB"/>
        </w:rPr>
        <w:t xml:space="preserve">Clinical criteria should </w:t>
      </w:r>
      <w:r w:rsidRPr="000F4FC0">
        <w:rPr>
          <w:snapToGrid w:val="0"/>
          <w:szCs w:val="24"/>
          <w:lang w:val="en-GB"/>
        </w:rPr>
        <w:t xml:space="preserve">include “prior to commencing treatment with bulevirtide” </w:t>
      </w:r>
      <w:r>
        <w:rPr>
          <w:snapToGrid w:val="0"/>
          <w:szCs w:val="24"/>
          <w:lang w:val="en-GB"/>
        </w:rPr>
        <w:t>for</w:t>
      </w:r>
      <w:r w:rsidRPr="000F4FC0">
        <w:rPr>
          <w:snapToGrid w:val="0"/>
          <w:szCs w:val="24"/>
          <w:lang w:val="en-GB"/>
        </w:rPr>
        <w:t xml:space="preserve"> criteria </w:t>
      </w:r>
      <w:r>
        <w:rPr>
          <w:snapToGrid w:val="0"/>
          <w:szCs w:val="24"/>
          <w:lang w:val="en-GB"/>
        </w:rPr>
        <w:t>relating to</w:t>
      </w:r>
      <w:r w:rsidRPr="000F4FC0">
        <w:rPr>
          <w:snapToGrid w:val="0"/>
          <w:szCs w:val="24"/>
          <w:lang w:val="en-GB"/>
        </w:rPr>
        <w:t xml:space="preserve"> detectable viral load and elevated serum alanine transaminase (ALT)</w:t>
      </w:r>
      <w:r>
        <w:rPr>
          <w:snapToGrid w:val="0"/>
          <w:szCs w:val="24"/>
          <w:lang w:val="en-GB"/>
        </w:rPr>
        <w:t>,</w:t>
      </w:r>
      <w:r w:rsidRPr="000F4FC0">
        <w:rPr>
          <w:snapToGrid w:val="0"/>
          <w:szCs w:val="24"/>
          <w:lang w:val="en-GB"/>
        </w:rPr>
        <w:t xml:space="preserve"> to allow continuation of bulevirtide</w:t>
      </w:r>
      <w:r>
        <w:rPr>
          <w:snapToGrid w:val="0"/>
          <w:szCs w:val="24"/>
          <w:lang w:val="en-GB"/>
        </w:rPr>
        <w:t xml:space="preserve"> treatment.</w:t>
      </w:r>
    </w:p>
    <w:p w14:paraId="2B621312" w14:textId="77777777" w:rsidR="000B266B" w:rsidRDefault="000B266B" w:rsidP="0041700E">
      <w:pPr>
        <w:pStyle w:val="3-BodyText"/>
        <w:numPr>
          <w:ilvl w:val="1"/>
          <w:numId w:val="19"/>
        </w:numPr>
        <w:spacing w:before="120" w:after="120"/>
        <w:ind w:left="1080"/>
        <w:rPr>
          <w:snapToGrid w:val="0"/>
          <w:szCs w:val="24"/>
          <w:lang w:val="en-GB"/>
        </w:rPr>
      </w:pPr>
      <w:r>
        <w:rPr>
          <w:snapToGrid w:val="0"/>
          <w:szCs w:val="24"/>
          <w:lang w:val="en-GB"/>
        </w:rPr>
        <w:t>A</w:t>
      </w:r>
      <w:r w:rsidRPr="00B35518">
        <w:rPr>
          <w:snapToGrid w:val="0"/>
          <w:szCs w:val="24"/>
          <w:lang w:val="en-GB"/>
        </w:rPr>
        <w:t xml:space="preserve">n explicit stopping rule was not appropriate because of the risk of viral breakthrough should treatment </w:t>
      </w:r>
      <w:proofErr w:type="gramStart"/>
      <w:r w:rsidRPr="00B35518">
        <w:rPr>
          <w:snapToGrid w:val="0"/>
          <w:szCs w:val="24"/>
          <w:lang w:val="en-GB"/>
        </w:rPr>
        <w:t>be ceased</w:t>
      </w:r>
      <w:proofErr w:type="gramEnd"/>
      <w:r>
        <w:rPr>
          <w:snapToGrid w:val="0"/>
          <w:szCs w:val="24"/>
          <w:lang w:val="en-GB"/>
        </w:rPr>
        <w:t>.</w:t>
      </w:r>
      <w:r w:rsidRPr="00B35518">
        <w:rPr>
          <w:snapToGrid w:val="0"/>
          <w:szCs w:val="24"/>
          <w:lang w:val="en-GB"/>
        </w:rPr>
        <w:t xml:space="preserve"> The PBAC </w:t>
      </w:r>
      <w:r>
        <w:rPr>
          <w:snapToGrid w:val="0"/>
          <w:szCs w:val="24"/>
          <w:lang w:val="en-GB"/>
        </w:rPr>
        <w:t xml:space="preserve">previously noted </w:t>
      </w:r>
      <w:r w:rsidRPr="00B35518">
        <w:rPr>
          <w:snapToGrid w:val="0"/>
          <w:szCs w:val="24"/>
          <w:lang w:val="en-GB"/>
        </w:rPr>
        <w:t>the decision to continue or cease treatment, based on response, was a matter of clinical judgement</w:t>
      </w:r>
      <w:r>
        <w:rPr>
          <w:snapToGrid w:val="0"/>
          <w:szCs w:val="24"/>
          <w:lang w:val="en-GB"/>
        </w:rPr>
        <w:t>.</w:t>
      </w:r>
    </w:p>
    <w:p w14:paraId="6C825BB3" w14:textId="77777777" w:rsidR="000B266B" w:rsidRPr="008F03EF" w:rsidRDefault="000B266B" w:rsidP="0041700E">
      <w:pPr>
        <w:pStyle w:val="ListParagraph"/>
        <w:numPr>
          <w:ilvl w:val="1"/>
          <w:numId w:val="19"/>
        </w:numPr>
        <w:ind w:left="1080"/>
        <w:rPr>
          <w:rFonts w:eastAsiaTheme="minorHAnsi" w:cstheme="minorBidi"/>
          <w:lang w:val="en-GB"/>
        </w:rPr>
      </w:pPr>
      <w:r w:rsidRPr="008F03EF">
        <w:rPr>
          <w:rFonts w:eastAsiaTheme="minorHAnsi" w:cstheme="minorBidi"/>
          <w:lang w:val="en-GB"/>
        </w:rPr>
        <w:lastRenderedPageBreak/>
        <w:t xml:space="preserve">The PBAC </w:t>
      </w:r>
      <w:r>
        <w:rPr>
          <w:rFonts w:eastAsiaTheme="minorHAnsi" w:cstheme="minorBidi"/>
          <w:lang w:val="en-GB"/>
        </w:rPr>
        <w:t>considered</w:t>
      </w:r>
      <w:r w:rsidRPr="008F03EF">
        <w:rPr>
          <w:rFonts w:eastAsiaTheme="minorHAnsi" w:cstheme="minorBidi"/>
          <w:lang w:val="en-GB"/>
        </w:rPr>
        <w:t xml:space="preserve"> it would not be appropriate to require use of PEG-INF prior to bulevirtide given PEG-INF </w:t>
      </w:r>
      <w:proofErr w:type="gramStart"/>
      <w:r w:rsidRPr="008F03EF">
        <w:rPr>
          <w:rFonts w:eastAsiaTheme="minorHAnsi" w:cstheme="minorBidi"/>
          <w:lang w:val="en-GB"/>
        </w:rPr>
        <w:t>is not commonly used</w:t>
      </w:r>
      <w:proofErr w:type="gramEnd"/>
      <w:r w:rsidRPr="008F03EF">
        <w:rPr>
          <w:rFonts w:eastAsiaTheme="minorHAnsi" w:cstheme="minorBidi"/>
          <w:lang w:val="en-GB"/>
        </w:rPr>
        <w:t xml:space="preserve"> in Australian practice.</w:t>
      </w:r>
    </w:p>
    <w:p w14:paraId="6004CAC7" w14:textId="77777777" w:rsidR="000B266B" w:rsidRDefault="000B266B" w:rsidP="0041700E">
      <w:pPr>
        <w:pStyle w:val="3-BodyText"/>
        <w:spacing w:before="120" w:after="120"/>
        <w:rPr>
          <w:snapToGrid w:val="0"/>
          <w:szCs w:val="24"/>
          <w:lang w:val="en-GB"/>
        </w:rPr>
      </w:pPr>
      <w:r w:rsidRPr="004159FA">
        <w:rPr>
          <w:snapToGrid w:val="0"/>
          <w:szCs w:val="24"/>
          <w:lang w:val="en-GB"/>
        </w:rPr>
        <w:t xml:space="preserve">The PBAC noted that the role of ongoing testing to monitor HDV RNA levels was </w:t>
      </w:r>
      <w:proofErr w:type="gramStart"/>
      <w:r w:rsidRPr="004159FA">
        <w:rPr>
          <w:snapToGrid w:val="0"/>
          <w:szCs w:val="24"/>
          <w:lang w:val="en-GB"/>
        </w:rPr>
        <w:t>somewhat uncertain</w:t>
      </w:r>
      <w:proofErr w:type="gramEnd"/>
      <w:r w:rsidRPr="004159FA">
        <w:rPr>
          <w:snapToGrid w:val="0"/>
          <w:szCs w:val="24"/>
          <w:lang w:val="en-GB"/>
        </w:rPr>
        <w:t xml:space="preserve"> as there are no clear guidelines on patient management</w:t>
      </w:r>
      <w:r>
        <w:rPr>
          <w:snapToGrid w:val="0"/>
          <w:szCs w:val="24"/>
          <w:lang w:val="en-GB"/>
        </w:rPr>
        <w:t xml:space="preserve"> and decisions to continue or cease treatment are likely to be patient specific. Although the PBAC did not recommend continuation criteria based on ongoing testing, the Committee considered that such testing</w:t>
      </w:r>
      <w:r w:rsidRPr="004159FA">
        <w:rPr>
          <w:snapToGrid w:val="0"/>
          <w:szCs w:val="24"/>
          <w:lang w:val="en-GB"/>
        </w:rPr>
        <w:t xml:space="preserve"> was likely to be of use in guiding treatment decisions regarding continuation of bulevirtide.</w:t>
      </w:r>
    </w:p>
    <w:p w14:paraId="32E40BBC" w14:textId="77777777" w:rsidR="000B266B" w:rsidRPr="009B1F91" w:rsidRDefault="000B266B" w:rsidP="0041700E">
      <w:pPr>
        <w:pStyle w:val="3-BodyText"/>
        <w:spacing w:before="120" w:after="120"/>
        <w:rPr>
          <w:snapToGrid w:val="0"/>
          <w:lang w:val="en-GB"/>
        </w:rPr>
      </w:pPr>
      <w:r w:rsidRPr="009B1F91">
        <w:rPr>
          <w:snapToGrid w:val="0"/>
          <w:lang w:val="en-GB"/>
        </w:rPr>
        <w:t>The PBAC re</w:t>
      </w:r>
      <w:r>
        <w:rPr>
          <w:snapToGrid w:val="0"/>
          <w:lang w:val="en-GB"/>
        </w:rPr>
        <w:t xml:space="preserve">affirmed </w:t>
      </w:r>
      <w:r w:rsidRPr="009B1F91">
        <w:rPr>
          <w:snapToGrid w:val="0"/>
          <w:lang w:val="en-GB"/>
        </w:rPr>
        <w:t>its view that the nominated comparator of symptomatic management of CHD (also referred to as BSC) was reasonable.</w:t>
      </w:r>
    </w:p>
    <w:p w14:paraId="71A30429" w14:textId="77777777" w:rsidR="000B266B" w:rsidRDefault="000B266B" w:rsidP="0041700E">
      <w:pPr>
        <w:numPr>
          <w:ilvl w:val="1"/>
          <w:numId w:val="1"/>
        </w:numPr>
        <w:spacing w:after="120"/>
      </w:pPr>
      <w:r w:rsidRPr="00FF37DC">
        <w:t xml:space="preserve">The PBAC noted the </w:t>
      </w:r>
      <w:r w:rsidRPr="00AD3B81">
        <w:t xml:space="preserve">key trial (MYR301) presented </w:t>
      </w:r>
      <w:r>
        <w:t>as</w:t>
      </w:r>
      <w:r w:rsidRPr="00AD3B81">
        <w:t xml:space="preserve"> the </w:t>
      </w:r>
      <w:r>
        <w:t>basis for comparative effectiveness of bulevirtide, was unchanged from the</w:t>
      </w:r>
      <w:r w:rsidRPr="00AD3B81">
        <w:t xml:space="preserve"> previous submissio</w:t>
      </w:r>
      <w:r>
        <w:t xml:space="preserve">n. </w:t>
      </w:r>
      <w:r w:rsidRPr="4904BCD2">
        <w:t xml:space="preserve">In the resubmission, effectiveness and safety data covering Week 96 to Week 144 of the treatment period of the trial were presented, in addition to the data that </w:t>
      </w:r>
      <w:r>
        <w:t>were</w:t>
      </w:r>
      <w:r w:rsidRPr="4904BCD2">
        <w:t xml:space="preserve"> presented in the previous submission </w:t>
      </w:r>
      <w:r>
        <w:t>(</w:t>
      </w:r>
      <w:r w:rsidRPr="4904BCD2">
        <w:t>the first 96 weeks of the study</w:t>
      </w:r>
      <w:r>
        <w:t>)</w:t>
      </w:r>
      <w:r w:rsidRPr="4904BCD2">
        <w:t>.</w:t>
      </w:r>
      <w:r>
        <w:t xml:space="preserve"> The PBAC maintained its view that </w:t>
      </w:r>
      <w:r w:rsidRPr="00FF37DC">
        <w:t xml:space="preserve">the trial was reliable in terms of </w:t>
      </w:r>
      <w:r>
        <w:t xml:space="preserve">assessing </w:t>
      </w:r>
      <w:r w:rsidRPr="00FF37DC">
        <w:t>virologic response (i.e. decrease in HDV RNA by ≥ 2 log</w:t>
      </w:r>
      <w:r w:rsidRPr="001F50E1">
        <w:rPr>
          <w:vertAlign w:val="subscript"/>
        </w:rPr>
        <w:t>10</w:t>
      </w:r>
      <w:r w:rsidRPr="00FF37DC">
        <w:t xml:space="preserve"> IU/ml from baseline), undetectable HDV RNA, ALT normalisation, change in liver stiffness and key safety outcomes.</w:t>
      </w:r>
      <w:r>
        <w:t xml:space="preserve"> </w:t>
      </w:r>
    </w:p>
    <w:p w14:paraId="15E38312" w14:textId="77777777" w:rsidR="000B266B" w:rsidRDefault="000B266B" w:rsidP="0041700E">
      <w:pPr>
        <w:numPr>
          <w:ilvl w:val="1"/>
          <w:numId w:val="1"/>
        </w:numPr>
        <w:spacing w:after="120"/>
      </w:pPr>
      <w:r>
        <w:t xml:space="preserve">The PBAC noted that the resubmission presented additional evidence </w:t>
      </w:r>
      <w:r w:rsidRPr="009D2673">
        <w:t xml:space="preserve">addressing the correlation between viremia and clinical outcomes. The </w:t>
      </w:r>
      <w:r>
        <w:t>PBAC agreed with the ESCs that the</w:t>
      </w:r>
      <w:r w:rsidRPr="009D2673">
        <w:t xml:space="preserve"> evidence presented in the resubmission, including evidence based on detectable versus undetectable RNA levels, was </w:t>
      </w:r>
      <w:r>
        <w:t>supportive</w:t>
      </w:r>
      <w:r w:rsidRPr="009D2673">
        <w:t xml:space="preserve"> of the biologically plausible claim that a drop in HDV viral load levels relative to baseline was indicative of clinical response to treatment insofar as patients with lower viral loads may have a reduced risk of developing liver-related clinical events compared to patients with higher viral loads. However, no studies provided conclusive evidence to support that the ≥ 2log</w:t>
      </w:r>
      <w:r w:rsidRPr="00D8111F">
        <w:rPr>
          <w:vertAlign w:val="subscript"/>
        </w:rPr>
        <w:t>10</w:t>
      </w:r>
      <w:r w:rsidRPr="009D2673">
        <w:t xml:space="preserve"> IU/mL decline in HDV RNA level, as a surrogate marker by itself, is correlated with improved long-term liver-related health outcomes.</w:t>
      </w:r>
      <w:r>
        <w:t xml:space="preserve"> The PBAC acknowledged the sponsor’s arguments regarding </w:t>
      </w:r>
      <w:r w:rsidRPr="007F2B39">
        <w:t>the assays used to quantify HDV RNA in older CHD studies</w:t>
      </w:r>
      <w:r>
        <w:t xml:space="preserve">. Studies that </w:t>
      </w:r>
      <w:r w:rsidRPr="007F2B39">
        <w:t>reported improved clinical outcomes due to the viral load declining to a level reported as “undetectable”</w:t>
      </w:r>
      <w:r>
        <w:t xml:space="preserve"> were based on testing with </w:t>
      </w:r>
      <w:r w:rsidRPr="007F2B39">
        <w:t>LLoD levels that are substantially higher (less sensitive) than the assay used in the pivotal MYR301 trial</w:t>
      </w:r>
      <w:r>
        <w:t>, making comparisons problematic</w:t>
      </w:r>
      <w:r w:rsidRPr="007F2B39">
        <w:t>.</w:t>
      </w:r>
      <w:r>
        <w:t xml:space="preserve"> </w:t>
      </w:r>
    </w:p>
    <w:p w14:paraId="54280BDA" w14:textId="77777777" w:rsidR="000B266B" w:rsidRPr="00707BA8" w:rsidRDefault="000B266B" w:rsidP="0041700E">
      <w:pPr>
        <w:numPr>
          <w:ilvl w:val="1"/>
          <w:numId w:val="1"/>
        </w:numPr>
        <w:spacing w:after="120"/>
      </w:pPr>
      <w:r w:rsidRPr="00707BA8">
        <w:t xml:space="preserve">The PBAC reaffirmed </w:t>
      </w:r>
      <w:r>
        <w:t xml:space="preserve">its previous advice that </w:t>
      </w:r>
      <w:r w:rsidRPr="00707BA8">
        <w:t>the available evidence demonstrates bulevirtide is effective for the treatment of CHD in terms of the composite endpoint (including its components), as well as for achieving undetectable HDV RNA. Therefore, the PBAC considered there is a likely to be a benefit to CHD patients from treatment with bulevirtide</w:t>
      </w:r>
      <w:r>
        <w:t xml:space="preserve">. However, the PBAC maintained its previous view that that there </w:t>
      </w:r>
      <w:r w:rsidRPr="004A171D">
        <w:t xml:space="preserve">were substantial uncertainties </w:t>
      </w:r>
      <w:r>
        <w:t xml:space="preserve">in the </w:t>
      </w:r>
      <w:r w:rsidRPr="004A171D">
        <w:t>translat</w:t>
      </w:r>
      <w:r>
        <w:t xml:space="preserve">ion of </w:t>
      </w:r>
      <w:r w:rsidRPr="004A171D">
        <w:t xml:space="preserve">surrogate measures to target clinical outcomes and that given viral suppression requires ongoing treatment with </w:t>
      </w:r>
      <w:r w:rsidRPr="004A171D">
        <w:lastRenderedPageBreak/>
        <w:t>bulevirtide, assumptions around duration of treatment would impact on long-term outcomes</w:t>
      </w:r>
      <w:r>
        <w:t xml:space="preserve"> (paragraph 7.9, bulevirtide PSD, March 2024 PBAC meeting)</w:t>
      </w:r>
      <w:r w:rsidRPr="004A171D">
        <w:t>.</w:t>
      </w:r>
    </w:p>
    <w:p w14:paraId="1F5B7A85" w14:textId="19A4C2DE" w:rsidR="000B266B" w:rsidRPr="00707BA8" w:rsidRDefault="000B266B" w:rsidP="0041700E">
      <w:pPr>
        <w:numPr>
          <w:ilvl w:val="1"/>
          <w:numId w:val="1"/>
        </w:numPr>
        <w:spacing w:after="120"/>
      </w:pPr>
      <w:r w:rsidRPr="00707BA8">
        <w:t xml:space="preserve">The PBAC reaffirmed its </w:t>
      </w:r>
      <w:r>
        <w:t>previous advice</w:t>
      </w:r>
      <w:r w:rsidRPr="00707BA8">
        <w:t xml:space="preserve"> that the claim bulevirtide has a manageable</w:t>
      </w:r>
      <w:r>
        <w:t xml:space="preserve"> </w:t>
      </w:r>
      <w:r w:rsidRPr="00707BA8">
        <w:t>safety profile compared to symptomatic management of CHD or BSC may, on balance, be reasonable</w:t>
      </w:r>
      <w:r>
        <w:t xml:space="preserve">. </w:t>
      </w:r>
      <w:r w:rsidR="00220765">
        <w:t>H</w:t>
      </w:r>
      <w:r w:rsidR="00220765" w:rsidRPr="00707BA8">
        <w:t>owever,</w:t>
      </w:r>
      <w:r w:rsidRPr="00707BA8">
        <w:t xml:space="preserve"> the PBAC </w:t>
      </w:r>
      <w:r>
        <w:t>considered</w:t>
      </w:r>
      <w:r w:rsidRPr="00707BA8">
        <w:t xml:space="preserve"> that longer term safety </w:t>
      </w:r>
      <w:r>
        <w:t>is uncertain, particularly with respect to vitamin D deficiency, which appeared to have a cumulative effect over time with additional follow-up.</w:t>
      </w:r>
      <w:r w:rsidRPr="00707BA8">
        <w:t xml:space="preserve"> </w:t>
      </w:r>
    </w:p>
    <w:p w14:paraId="13780F5E" w14:textId="77777777" w:rsidR="000B266B" w:rsidRPr="00E0238A" w:rsidRDefault="000B266B" w:rsidP="0041700E">
      <w:pPr>
        <w:pStyle w:val="3-BodyText"/>
        <w:spacing w:before="120" w:after="120"/>
        <w:rPr>
          <w:snapToGrid w:val="0"/>
          <w:szCs w:val="24"/>
          <w:lang w:val="en-GB"/>
        </w:rPr>
      </w:pPr>
      <w:r w:rsidRPr="00215090">
        <w:rPr>
          <w:snapToGrid w:val="0"/>
          <w:lang w:val="en-GB"/>
        </w:rPr>
        <w:t xml:space="preserve">The PBAC noted that the resubmission included a small reduction in the proposed price for bulevirtide and </w:t>
      </w:r>
      <w:r>
        <w:rPr>
          <w:snapToGrid w:val="0"/>
          <w:lang w:val="en-GB"/>
        </w:rPr>
        <w:t xml:space="preserve">made the following changes to the model as previously requested: </w:t>
      </w:r>
      <w:r w:rsidRPr="37C20EEE">
        <w:t xml:space="preserve">the use of updated trial data on treatment response rates, the alternative data source for the effect of response, </w:t>
      </w:r>
      <w:r>
        <w:t>a</w:t>
      </w:r>
      <w:r w:rsidRPr="37C20EEE">
        <w:t xml:space="preserve"> longer duration of bulevirtide treatment, and the use of Australian preference weights in estimating utility weights for non-cirrhosis (NC) and compensated cirrhosis (CC) health states</w:t>
      </w:r>
      <w:r>
        <w:t xml:space="preserve">. However, </w:t>
      </w:r>
      <w:proofErr w:type="gramStart"/>
      <w:r w:rsidRPr="00215090">
        <w:rPr>
          <w:snapToGrid w:val="0"/>
          <w:lang w:val="en-GB"/>
        </w:rPr>
        <w:t>a number of</w:t>
      </w:r>
      <w:proofErr w:type="gramEnd"/>
      <w:r w:rsidRPr="00215090">
        <w:rPr>
          <w:snapToGrid w:val="0"/>
          <w:lang w:val="en-GB"/>
        </w:rPr>
        <w:t xml:space="preserve"> optimistic assumptions that were likely to have underestimated the incremental cost-effectiveness ratio </w:t>
      </w:r>
      <w:r>
        <w:rPr>
          <w:snapToGrid w:val="0"/>
          <w:lang w:val="en-GB"/>
        </w:rPr>
        <w:t xml:space="preserve">(ICER) </w:t>
      </w:r>
      <w:r w:rsidRPr="00215090">
        <w:rPr>
          <w:snapToGrid w:val="0"/>
          <w:lang w:val="en-GB"/>
        </w:rPr>
        <w:t>remained</w:t>
      </w:r>
      <w:r>
        <w:rPr>
          <w:snapToGrid w:val="0"/>
          <w:lang w:val="en-GB"/>
        </w:rPr>
        <w:t xml:space="preserve"> unchanged in the resubmission model</w:t>
      </w:r>
      <w:r w:rsidRPr="00215090">
        <w:rPr>
          <w:snapToGrid w:val="0"/>
          <w:lang w:val="en-GB"/>
        </w:rPr>
        <w:t>.</w:t>
      </w:r>
      <w:r>
        <w:rPr>
          <w:snapToGrid w:val="0"/>
          <w:lang w:val="en-GB"/>
        </w:rPr>
        <w:t xml:space="preserve"> </w:t>
      </w:r>
    </w:p>
    <w:p w14:paraId="7FF254D3" w14:textId="3034A23C" w:rsidR="000B266B" w:rsidRPr="000270EB" w:rsidRDefault="000B266B" w:rsidP="0041700E">
      <w:pPr>
        <w:pStyle w:val="3-BodyText"/>
        <w:spacing w:before="120" w:after="120"/>
      </w:pPr>
      <w:r>
        <w:t>The PBAC noted the t</w:t>
      </w:r>
      <w:r w:rsidRPr="009D2673">
        <w:t>reatment response as applied in the model (undetectable HDV RNA or decrease in HDV RNA levels by ≥2 log</w:t>
      </w:r>
      <w:r w:rsidRPr="006B5104">
        <w:rPr>
          <w:vertAlign w:val="subscript"/>
        </w:rPr>
        <w:t>10</w:t>
      </w:r>
      <w:r w:rsidRPr="009D2673">
        <w:t xml:space="preserve"> IU/mL) is neither the primary efficacy endpoint in the key trial (undetectable HDV RNA or decrease in HDV RNA levels by ≥2 log10 IU/mL from baseline and ALT normalisation) nor the best supported surrogate measure </w:t>
      </w:r>
      <w:r>
        <w:t>based on</w:t>
      </w:r>
      <w:r w:rsidRPr="009D2673">
        <w:t xml:space="preserve"> the available evidence (detectable vs. undetectable HDV RNA) to estimate the effect of response on liver-related clinical outcomes (refer to paragraphs </w:t>
      </w:r>
      <w:r w:rsidRPr="009D2673">
        <w:fldChar w:fldCharType="begin"/>
      </w:r>
      <w:r w:rsidRPr="009D2673">
        <w:instrText xml:space="preserve"> REF _Ref190962372 \r \h </w:instrText>
      </w:r>
      <w:r>
        <w:instrText xml:space="preserve"> \* MERGEFORMAT </w:instrText>
      </w:r>
      <w:r w:rsidRPr="009D2673">
        <w:fldChar w:fldCharType="separate"/>
      </w:r>
      <w:r w:rsidR="007848CD">
        <w:t>6.11</w:t>
      </w:r>
      <w:r w:rsidRPr="009D2673">
        <w:fldChar w:fldCharType="end"/>
      </w:r>
      <w:r w:rsidRPr="009D2673">
        <w:t>-</w:t>
      </w:r>
      <w:r w:rsidRPr="009D2673">
        <w:fldChar w:fldCharType="begin"/>
      </w:r>
      <w:r w:rsidRPr="009D2673">
        <w:instrText xml:space="preserve"> REF _Ref190961047 \r \h </w:instrText>
      </w:r>
      <w:r>
        <w:instrText xml:space="preserve"> \* MERGEFORMAT </w:instrText>
      </w:r>
      <w:r w:rsidRPr="009D2673">
        <w:fldChar w:fldCharType="separate"/>
      </w:r>
      <w:r w:rsidR="007848CD">
        <w:t>6.13</w:t>
      </w:r>
      <w:r w:rsidRPr="009D2673">
        <w:fldChar w:fldCharType="end"/>
      </w:r>
      <w:r w:rsidRPr="009D2673">
        <w:t xml:space="preserve">). </w:t>
      </w:r>
      <w:r w:rsidRPr="000A7735">
        <w:t xml:space="preserve">The PSCR </w:t>
      </w:r>
      <w:r>
        <w:t>and pre-PBAC response</w:t>
      </w:r>
      <w:r w:rsidRPr="000A7735">
        <w:t xml:space="preserve"> maintained that the most appropriate clinically relevant response outcome for CHD is a ≥2 log</w:t>
      </w:r>
      <w:r w:rsidRPr="00B90B7B">
        <w:rPr>
          <w:vertAlign w:val="subscript"/>
        </w:rPr>
        <w:t>10</w:t>
      </w:r>
      <w:r w:rsidRPr="000A7735">
        <w:t xml:space="preserve"> decline in HDV RNA from baseline, arguing that it is a standardised definition that has been established to demonstrate improved clinical outcome and is consistently assessed in CHD treatment trials. The </w:t>
      </w:r>
      <w:r>
        <w:t xml:space="preserve">PBAC noted the </w:t>
      </w:r>
      <w:r w:rsidRPr="000A7735">
        <w:t>ESCs</w:t>
      </w:r>
      <w:r>
        <w:t>’</w:t>
      </w:r>
      <w:r w:rsidRPr="000A7735">
        <w:t xml:space="preserve"> </w:t>
      </w:r>
      <w:r>
        <w:t>advice that</w:t>
      </w:r>
      <w:r w:rsidRPr="009D2673">
        <w:t>, although a reduction in viral load is likely to be clinically relevant, the correla</w:t>
      </w:r>
      <w:r w:rsidRPr="000A7735">
        <w:t>tion between the surrogate HDV RNA ≥ 2 log</w:t>
      </w:r>
      <w:r w:rsidRPr="00B90B7B">
        <w:rPr>
          <w:vertAlign w:val="subscript"/>
        </w:rPr>
        <w:t>10</w:t>
      </w:r>
      <w:r w:rsidRPr="000A7735">
        <w:t xml:space="preserve"> IU/mL reduction from baseline and the magnitude of longer-term clinical benefits of bulevirtide treatment in terms of a reduction in live</w:t>
      </w:r>
      <w:r w:rsidRPr="00B90B7B">
        <w:t xml:space="preserve">r decompensation, HCC, liver transplantation, or mortality, remains uncertain. </w:t>
      </w:r>
      <w:r w:rsidRPr="00B90B7B">
        <w:rPr>
          <w:snapToGrid w:val="0"/>
          <w:szCs w:val="24"/>
        </w:rPr>
        <w:t xml:space="preserve">The PBAC </w:t>
      </w:r>
      <w:r>
        <w:rPr>
          <w:snapToGrid w:val="0"/>
          <w:szCs w:val="24"/>
        </w:rPr>
        <w:t xml:space="preserve">noted </w:t>
      </w:r>
      <w:r w:rsidRPr="00B90B7B">
        <w:rPr>
          <w:snapToGrid w:val="0"/>
          <w:szCs w:val="24"/>
        </w:rPr>
        <w:t xml:space="preserve">that </w:t>
      </w:r>
      <w:r>
        <w:rPr>
          <w:snapToGrid w:val="0"/>
          <w:szCs w:val="24"/>
        </w:rPr>
        <w:t>using</w:t>
      </w:r>
      <w:r w:rsidRPr="00B90B7B">
        <w:rPr>
          <w:snapToGrid w:val="0"/>
          <w:szCs w:val="24"/>
        </w:rPr>
        <w:t xml:space="preserve"> </w:t>
      </w:r>
      <w:r>
        <w:rPr>
          <w:snapToGrid w:val="0"/>
          <w:szCs w:val="24"/>
        </w:rPr>
        <w:t>“</w:t>
      </w:r>
      <w:r w:rsidRPr="00B90B7B">
        <w:rPr>
          <w:snapToGrid w:val="0"/>
          <w:szCs w:val="24"/>
        </w:rPr>
        <w:t>undetectable HDV RNA</w:t>
      </w:r>
      <w:r>
        <w:rPr>
          <w:snapToGrid w:val="0"/>
          <w:szCs w:val="24"/>
        </w:rPr>
        <w:t>”</w:t>
      </w:r>
      <w:r w:rsidRPr="00B90B7B">
        <w:rPr>
          <w:snapToGrid w:val="0"/>
          <w:szCs w:val="24"/>
        </w:rPr>
        <w:t xml:space="preserve"> </w:t>
      </w:r>
      <w:r>
        <w:rPr>
          <w:snapToGrid w:val="0"/>
          <w:szCs w:val="24"/>
        </w:rPr>
        <w:t>results for</w:t>
      </w:r>
      <w:r w:rsidRPr="00B90B7B">
        <w:rPr>
          <w:snapToGrid w:val="0"/>
          <w:szCs w:val="24"/>
        </w:rPr>
        <w:t xml:space="preserve"> treatment response </w:t>
      </w:r>
      <w:r>
        <w:rPr>
          <w:snapToGrid w:val="0"/>
          <w:szCs w:val="24"/>
        </w:rPr>
        <w:t>was a</w:t>
      </w:r>
      <w:r w:rsidRPr="00B90B7B">
        <w:rPr>
          <w:snapToGrid w:val="0"/>
          <w:szCs w:val="24"/>
        </w:rPr>
        <w:t xml:space="preserve"> conservative approach</w:t>
      </w:r>
      <w:r>
        <w:rPr>
          <w:snapToGrid w:val="0"/>
          <w:szCs w:val="24"/>
        </w:rPr>
        <w:t>, acknowledging the sensitivity of testing has increased, and noting comparison of “undetectable HDV RNA” across different studies was problematic.</w:t>
      </w:r>
      <w:r w:rsidRPr="00B90B7B">
        <w:rPr>
          <w:snapToGrid w:val="0"/>
          <w:szCs w:val="24"/>
        </w:rPr>
        <w:t xml:space="preserve"> </w:t>
      </w:r>
      <w:r>
        <w:rPr>
          <w:snapToGrid w:val="0"/>
          <w:szCs w:val="24"/>
        </w:rPr>
        <w:t xml:space="preserve">The PBAC considered it would be reasonable </w:t>
      </w:r>
      <w:r w:rsidRPr="00B90B7B">
        <w:rPr>
          <w:snapToGrid w:val="0"/>
          <w:szCs w:val="24"/>
        </w:rPr>
        <w:t xml:space="preserve">to include </w:t>
      </w:r>
      <w:r>
        <w:rPr>
          <w:snapToGrid w:val="0"/>
          <w:szCs w:val="24"/>
          <w:lang w:val="en-GB"/>
        </w:rPr>
        <w:t>the combined response outcome (</w:t>
      </w:r>
      <w:r>
        <w:t>v</w:t>
      </w:r>
      <w:r w:rsidRPr="00A16C9B">
        <w:t>irological response defined as undetectable HDV RNA or reduction in RNA level ≥</w:t>
      </w:r>
      <w:r>
        <w:t> </w:t>
      </w:r>
      <w:r w:rsidRPr="00A16C9B">
        <w:t>2log</w:t>
      </w:r>
      <w:r w:rsidRPr="00A16C9B">
        <w:rPr>
          <w:vertAlign w:val="subscript"/>
        </w:rPr>
        <w:t xml:space="preserve">10 </w:t>
      </w:r>
      <w:r w:rsidRPr="00A16C9B">
        <w:t>IU/mL from baseline</w:t>
      </w:r>
      <w:r>
        <w:rPr>
          <w:snapToGrid w:val="0"/>
          <w:szCs w:val="24"/>
          <w:lang w:val="en-GB"/>
        </w:rPr>
        <w:t xml:space="preserve"> and</w:t>
      </w:r>
      <w:r w:rsidRPr="00B90B7B">
        <w:rPr>
          <w:snapToGrid w:val="0"/>
          <w:szCs w:val="24"/>
          <w:lang w:val="en-GB"/>
        </w:rPr>
        <w:t xml:space="preserve"> ALT normalisation</w:t>
      </w:r>
      <w:r>
        <w:rPr>
          <w:snapToGrid w:val="0"/>
          <w:szCs w:val="24"/>
          <w:lang w:val="en-GB"/>
        </w:rPr>
        <w:t xml:space="preserve">) as this was the primary outcome in the pivotal trial. </w:t>
      </w:r>
    </w:p>
    <w:p w14:paraId="0EAD0E07" w14:textId="2E8B8F0B" w:rsidR="000B266B" w:rsidRPr="00491C6A" w:rsidRDefault="000B266B" w:rsidP="0041700E">
      <w:pPr>
        <w:pStyle w:val="3-BodyText"/>
        <w:spacing w:before="120" w:after="120"/>
        <w:rPr>
          <w:snapToGrid w:val="0"/>
          <w:szCs w:val="24"/>
          <w:lang w:val="en-GB"/>
        </w:rPr>
      </w:pPr>
      <w:r w:rsidRPr="00911590">
        <w:rPr>
          <w:snapToGrid w:val="0"/>
          <w:szCs w:val="24"/>
          <w:lang w:val="en-GB"/>
        </w:rPr>
        <w:t xml:space="preserve">The PBAC </w:t>
      </w:r>
      <w:r>
        <w:rPr>
          <w:snapToGrid w:val="0"/>
          <w:szCs w:val="24"/>
          <w:lang w:val="en-GB"/>
        </w:rPr>
        <w:t>again</w:t>
      </w:r>
      <w:r w:rsidRPr="00911590">
        <w:rPr>
          <w:snapToGrid w:val="0"/>
          <w:szCs w:val="24"/>
          <w:lang w:val="en-GB"/>
        </w:rPr>
        <w:t xml:space="preserve"> considered it would </w:t>
      </w:r>
      <w:proofErr w:type="gramStart"/>
      <w:r w:rsidRPr="00911590">
        <w:rPr>
          <w:snapToGrid w:val="0"/>
          <w:szCs w:val="24"/>
          <w:lang w:val="en-GB"/>
        </w:rPr>
        <w:t>likely be</w:t>
      </w:r>
      <w:proofErr w:type="gramEnd"/>
      <w:r w:rsidRPr="00911590">
        <w:rPr>
          <w:snapToGrid w:val="0"/>
          <w:szCs w:val="24"/>
          <w:lang w:val="en-GB"/>
        </w:rPr>
        <w:t xml:space="preserve"> a long time before the patient-relevant impacts of bulevirtide treatment are well-</w:t>
      </w:r>
      <w:r w:rsidR="00220765" w:rsidRPr="00911590">
        <w:rPr>
          <w:snapToGrid w:val="0"/>
          <w:szCs w:val="24"/>
          <w:lang w:val="en-GB"/>
        </w:rPr>
        <w:t>characterised and</w:t>
      </w:r>
      <w:r w:rsidRPr="00911590">
        <w:rPr>
          <w:snapToGrid w:val="0"/>
          <w:szCs w:val="24"/>
          <w:lang w:val="en-GB"/>
        </w:rPr>
        <w:t xml:space="preserve"> considered there remains uncertainty regarding how bulevirtide is likely to </w:t>
      </w:r>
      <w:proofErr w:type="gramStart"/>
      <w:r w:rsidRPr="00911590">
        <w:rPr>
          <w:snapToGrid w:val="0"/>
          <w:szCs w:val="24"/>
          <w:lang w:val="en-GB"/>
        </w:rPr>
        <w:t>be used</w:t>
      </w:r>
      <w:proofErr w:type="gramEnd"/>
      <w:r w:rsidRPr="00911590">
        <w:rPr>
          <w:snapToGrid w:val="0"/>
          <w:szCs w:val="24"/>
          <w:lang w:val="en-GB"/>
        </w:rPr>
        <w:t xml:space="preserve"> in clinical practice. The PBAC noted the results from stepped multivariate analyses demonstrated that the ICER is </w:t>
      </w:r>
      <w:r w:rsidRPr="00911590">
        <w:rPr>
          <w:snapToGrid w:val="0"/>
          <w:szCs w:val="24"/>
          <w:lang w:val="en-GB"/>
        </w:rPr>
        <w:lastRenderedPageBreak/>
        <w:t xml:space="preserve">highly sensitive to cumulative changes in the model, increasing from </w:t>
      </w:r>
      <w:r w:rsidRPr="00A53496">
        <w:rPr>
          <w:snapToGrid w:val="0"/>
          <w:szCs w:val="24"/>
          <w:lang w:val="en-GB"/>
        </w:rPr>
        <w:t>$95,000</w:t>
      </w:r>
      <w:r>
        <w:rPr>
          <w:snapToGrid w:val="0"/>
          <w:szCs w:val="24"/>
          <w:lang w:val="en-GB"/>
        </w:rPr>
        <w:t> </w:t>
      </w:r>
      <w:r w:rsidRPr="00A53496">
        <w:rPr>
          <w:snapToGrid w:val="0"/>
          <w:szCs w:val="24"/>
          <w:lang w:val="en-GB"/>
        </w:rPr>
        <w:t>to &lt;</w:t>
      </w:r>
      <w:r>
        <w:rPr>
          <w:snapToGrid w:val="0"/>
          <w:szCs w:val="24"/>
          <w:lang w:val="en-GB"/>
        </w:rPr>
        <w:t> </w:t>
      </w:r>
      <w:r w:rsidRPr="00A53496">
        <w:rPr>
          <w:snapToGrid w:val="0"/>
          <w:szCs w:val="24"/>
          <w:lang w:val="en-GB"/>
        </w:rPr>
        <w:t>$115,000</w:t>
      </w:r>
      <w:r w:rsidRPr="00911590">
        <w:rPr>
          <w:snapToGrid w:val="0"/>
          <w:szCs w:val="24"/>
          <w:lang w:val="en-GB"/>
        </w:rPr>
        <w:t xml:space="preserve">/QALY gained in </w:t>
      </w:r>
      <w:r>
        <w:rPr>
          <w:snapToGrid w:val="0"/>
          <w:szCs w:val="24"/>
          <w:lang w:val="en-GB"/>
        </w:rPr>
        <w:t xml:space="preserve">the </w:t>
      </w:r>
      <w:r w:rsidRPr="00911590">
        <w:rPr>
          <w:snapToGrid w:val="0"/>
          <w:szCs w:val="24"/>
          <w:lang w:val="en-GB"/>
        </w:rPr>
        <w:t xml:space="preserve">base case to </w:t>
      </w:r>
      <w:r w:rsidRPr="00C954B7">
        <w:rPr>
          <w:snapToGrid w:val="0"/>
          <w:szCs w:val="24"/>
          <w:lang w:val="en-GB"/>
        </w:rPr>
        <w:t>$455,000 to &lt; $555,000</w:t>
      </w:r>
      <w:r w:rsidRPr="00911590">
        <w:rPr>
          <w:snapToGrid w:val="0"/>
          <w:szCs w:val="24"/>
          <w:lang w:val="en-GB"/>
        </w:rPr>
        <w:t xml:space="preserve">/QALY gained when a number of model inputs are revised for consistency with previous PBAC </w:t>
      </w:r>
      <w:r>
        <w:rPr>
          <w:snapToGrid w:val="0"/>
          <w:szCs w:val="24"/>
          <w:lang w:val="en-GB"/>
        </w:rPr>
        <w:t>advice</w:t>
      </w:r>
      <w:r w:rsidRPr="00911590">
        <w:rPr>
          <w:snapToGrid w:val="0"/>
          <w:szCs w:val="24"/>
          <w:lang w:val="en-GB"/>
        </w:rPr>
        <w:t xml:space="preserve"> (time horizon, source for health state utilities and exclusion of utility increment in responders), and internal consistency (</w:t>
      </w:r>
      <w:r w:rsidRPr="00856F61">
        <w:rPr>
          <w:snapToGrid w:val="0"/>
          <w:szCs w:val="24"/>
          <w:lang w:val="en-GB"/>
        </w:rPr>
        <w:t>definition</w:t>
      </w:r>
      <w:r w:rsidRPr="00911590">
        <w:rPr>
          <w:snapToGrid w:val="0"/>
          <w:szCs w:val="24"/>
          <w:lang w:val="en-GB"/>
        </w:rPr>
        <w:t xml:space="preserve"> of response and treatment compliance).</w:t>
      </w:r>
      <w:r w:rsidRPr="00CA02F3">
        <w:rPr>
          <w:snapToGrid w:val="0"/>
          <w:szCs w:val="24"/>
          <w:lang w:val="en-GB"/>
        </w:rPr>
        <w:t xml:space="preserve"> The PBAC noted the sponsor’s arguments regarding the inputs applied in this multivariate analysis</w:t>
      </w:r>
      <w:r>
        <w:rPr>
          <w:snapToGrid w:val="0"/>
          <w:szCs w:val="24"/>
          <w:lang w:val="en-GB"/>
        </w:rPr>
        <w:t xml:space="preserve"> (see paragraphs </w:t>
      </w:r>
      <w:r>
        <w:rPr>
          <w:snapToGrid w:val="0"/>
          <w:szCs w:val="24"/>
          <w:lang w:val="en-GB"/>
        </w:rPr>
        <w:fldChar w:fldCharType="begin"/>
      </w:r>
      <w:r>
        <w:rPr>
          <w:snapToGrid w:val="0"/>
          <w:szCs w:val="24"/>
          <w:lang w:val="en-GB"/>
        </w:rPr>
        <w:instrText xml:space="preserve"> REF _Ref195601393 \r \h </w:instrText>
      </w:r>
      <w:r>
        <w:rPr>
          <w:snapToGrid w:val="0"/>
          <w:szCs w:val="24"/>
          <w:lang w:val="en-GB"/>
        </w:rPr>
      </w:r>
      <w:r>
        <w:rPr>
          <w:snapToGrid w:val="0"/>
          <w:szCs w:val="24"/>
          <w:lang w:val="en-GB"/>
        </w:rPr>
        <w:fldChar w:fldCharType="separate"/>
      </w:r>
      <w:r w:rsidR="007848CD">
        <w:rPr>
          <w:snapToGrid w:val="0"/>
          <w:szCs w:val="24"/>
          <w:lang w:val="en-GB"/>
        </w:rPr>
        <w:t>6.46</w:t>
      </w:r>
      <w:r>
        <w:rPr>
          <w:snapToGrid w:val="0"/>
          <w:szCs w:val="24"/>
          <w:lang w:val="en-GB"/>
        </w:rPr>
        <w:fldChar w:fldCharType="end"/>
      </w:r>
      <w:r>
        <w:rPr>
          <w:snapToGrid w:val="0"/>
          <w:szCs w:val="24"/>
          <w:lang w:val="en-GB"/>
        </w:rPr>
        <w:t xml:space="preserve">, </w:t>
      </w:r>
      <w:r>
        <w:rPr>
          <w:snapToGrid w:val="0"/>
          <w:szCs w:val="24"/>
          <w:lang w:val="en-GB"/>
        </w:rPr>
        <w:fldChar w:fldCharType="begin"/>
      </w:r>
      <w:r>
        <w:rPr>
          <w:snapToGrid w:val="0"/>
          <w:szCs w:val="24"/>
          <w:lang w:val="en-GB"/>
        </w:rPr>
        <w:instrText xml:space="preserve"> REF _Ref195601397 \r \h </w:instrText>
      </w:r>
      <w:r>
        <w:rPr>
          <w:snapToGrid w:val="0"/>
          <w:szCs w:val="24"/>
          <w:lang w:val="en-GB"/>
        </w:rPr>
      </w:r>
      <w:r>
        <w:rPr>
          <w:snapToGrid w:val="0"/>
          <w:szCs w:val="24"/>
          <w:lang w:val="en-GB"/>
        </w:rPr>
        <w:fldChar w:fldCharType="separate"/>
      </w:r>
      <w:r w:rsidR="007848CD">
        <w:rPr>
          <w:snapToGrid w:val="0"/>
          <w:szCs w:val="24"/>
          <w:lang w:val="en-GB"/>
        </w:rPr>
        <w:t>6.48</w:t>
      </w:r>
      <w:r>
        <w:rPr>
          <w:snapToGrid w:val="0"/>
          <w:szCs w:val="24"/>
          <w:lang w:val="en-GB"/>
        </w:rPr>
        <w:fldChar w:fldCharType="end"/>
      </w:r>
      <w:r>
        <w:rPr>
          <w:snapToGrid w:val="0"/>
          <w:szCs w:val="24"/>
          <w:lang w:val="en-GB"/>
        </w:rPr>
        <w:t xml:space="preserve"> and </w:t>
      </w:r>
      <w:r>
        <w:rPr>
          <w:snapToGrid w:val="0"/>
          <w:szCs w:val="24"/>
          <w:lang w:val="en-GB"/>
        </w:rPr>
        <w:fldChar w:fldCharType="begin"/>
      </w:r>
      <w:r>
        <w:rPr>
          <w:snapToGrid w:val="0"/>
          <w:szCs w:val="24"/>
          <w:lang w:val="en-GB"/>
        </w:rPr>
        <w:instrText xml:space="preserve"> REF _Ref195601406 \r \h </w:instrText>
      </w:r>
      <w:r>
        <w:rPr>
          <w:snapToGrid w:val="0"/>
          <w:szCs w:val="24"/>
          <w:lang w:val="en-GB"/>
        </w:rPr>
      </w:r>
      <w:r>
        <w:rPr>
          <w:snapToGrid w:val="0"/>
          <w:szCs w:val="24"/>
          <w:lang w:val="en-GB"/>
        </w:rPr>
        <w:fldChar w:fldCharType="separate"/>
      </w:r>
      <w:r w:rsidR="007848CD">
        <w:rPr>
          <w:snapToGrid w:val="0"/>
          <w:szCs w:val="24"/>
          <w:lang w:val="en-GB"/>
        </w:rPr>
        <w:t>6.50</w:t>
      </w:r>
      <w:r>
        <w:rPr>
          <w:snapToGrid w:val="0"/>
          <w:szCs w:val="24"/>
          <w:lang w:val="en-GB"/>
        </w:rPr>
        <w:fldChar w:fldCharType="end"/>
      </w:r>
      <w:r>
        <w:rPr>
          <w:snapToGrid w:val="0"/>
          <w:szCs w:val="24"/>
          <w:lang w:val="en-GB"/>
        </w:rPr>
        <w:t>)</w:t>
      </w:r>
      <w:r w:rsidRPr="00CA02F3">
        <w:rPr>
          <w:snapToGrid w:val="0"/>
          <w:szCs w:val="24"/>
          <w:lang w:val="en-GB"/>
        </w:rPr>
        <w:t xml:space="preserve">. However, </w:t>
      </w:r>
      <w:proofErr w:type="gramStart"/>
      <w:r w:rsidRPr="00CA02F3">
        <w:rPr>
          <w:snapToGrid w:val="0"/>
          <w:szCs w:val="24"/>
          <w:lang w:val="en-GB"/>
        </w:rPr>
        <w:t>with the exception of</w:t>
      </w:r>
      <w:proofErr w:type="gramEnd"/>
      <w:r w:rsidRPr="00CA02F3">
        <w:rPr>
          <w:snapToGrid w:val="0"/>
          <w:szCs w:val="24"/>
          <w:lang w:val="en-GB"/>
        </w:rPr>
        <w:t xml:space="preserve"> the definition of response, the PBAC reaffirmed its view that the conservative approach that </w:t>
      </w:r>
      <w:proofErr w:type="gramStart"/>
      <w:r w:rsidRPr="00CA02F3">
        <w:rPr>
          <w:snapToGrid w:val="0"/>
          <w:szCs w:val="24"/>
          <w:lang w:val="en-GB"/>
        </w:rPr>
        <w:t>was adopted</w:t>
      </w:r>
      <w:proofErr w:type="gramEnd"/>
      <w:r w:rsidRPr="00CA02F3">
        <w:rPr>
          <w:snapToGrid w:val="0"/>
          <w:szCs w:val="24"/>
          <w:lang w:val="en-GB"/>
        </w:rPr>
        <w:t xml:space="preserve"> during the evaluation by revising model inputs/assumptions </w:t>
      </w:r>
      <w:proofErr w:type="gramStart"/>
      <w:r>
        <w:rPr>
          <w:snapToGrid w:val="0"/>
          <w:szCs w:val="24"/>
          <w:lang w:val="en-GB"/>
        </w:rPr>
        <w:t>was required</w:t>
      </w:r>
      <w:proofErr w:type="gramEnd"/>
      <w:r>
        <w:rPr>
          <w:snapToGrid w:val="0"/>
          <w:szCs w:val="24"/>
          <w:lang w:val="en-GB"/>
        </w:rPr>
        <w:t xml:space="preserve"> to</w:t>
      </w:r>
      <w:r w:rsidRPr="00CA02F3">
        <w:rPr>
          <w:snapToGrid w:val="0"/>
          <w:szCs w:val="24"/>
          <w:lang w:val="en-GB"/>
        </w:rPr>
        <w:t xml:space="preserve"> address the </w:t>
      </w:r>
      <w:proofErr w:type="gramStart"/>
      <w:r w:rsidRPr="00CA02F3">
        <w:rPr>
          <w:snapToGrid w:val="0"/>
          <w:szCs w:val="24"/>
          <w:lang w:val="en-GB"/>
        </w:rPr>
        <w:t>main areas</w:t>
      </w:r>
      <w:proofErr w:type="gramEnd"/>
      <w:r w:rsidRPr="00CA02F3">
        <w:rPr>
          <w:snapToGrid w:val="0"/>
          <w:szCs w:val="24"/>
          <w:lang w:val="en-GB"/>
        </w:rPr>
        <w:t xml:space="preserve"> of uncertainty. The PBAC noted that using the multivariate analysis in the evaluation, but with the definition of response revised to the combined response outcome</w:t>
      </w:r>
      <w:r>
        <w:rPr>
          <w:snapToGrid w:val="0"/>
          <w:szCs w:val="24"/>
          <w:lang w:val="en-GB"/>
        </w:rPr>
        <w:t>,</w:t>
      </w:r>
      <w:r w:rsidRPr="00CA02F3">
        <w:rPr>
          <w:snapToGrid w:val="0"/>
          <w:szCs w:val="24"/>
          <w:lang w:val="en-GB"/>
        </w:rPr>
        <w:t xml:space="preserve"> the ICER was </w:t>
      </w:r>
      <w:r w:rsidRPr="00D01CCA">
        <w:rPr>
          <w:snapToGrid w:val="0"/>
          <w:szCs w:val="24"/>
          <w:lang w:val="en-GB"/>
        </w:rPr>
        <w:t>$255,000 to &lt;</w:t>
      </w:r>
      <w:r>
        <w:rPr>
          <w:snapToGrid w:val="0"/>
          <w:szCs w:val="24"/>
          <w:lang w:val="en-GB"/>
        </w:rPr>
        <w:t> </w:t>
      </w:r>
      <w:r w:rsidRPr="00D01CCA">
        <w:rPr>
          <w:snapToGrid w:val="0"/>
          <w:szCs w:val="24"/>
          <w:lang w:val="en-GB"/>
        </w:rPr>
        <w:t>$355,000</w:t>
      </w:r>
      <w:r>
        <w:rPr>
          <w:snapToGrid w:val="0"/>
          <w:szCs w:val="24"/>
          <w:lang w:val="en-GB"/>
        </w:rPr>
        <w:t xml:space="preserve"> </w:t>
      </w:r>
      <w:r w:rsidRPr="00CA02F3">
        <w:rPr>
          <w:snapToGrid w:val="0"/>
          <w:szCs w:val="24"/>
          <w:lang w:val="en-GB"/>
        </w:rPr>
        <w:t xml:space="preserve">per QALY at the </w:t>
      </w:r>
      <w:r>
        <w:rPr>
          <w:snapToGrid w:val="0"/>
          <w:szCs w:val="24"/>
          <w:lang w:val="en-GB"/>
        </w:rPr>
        <w:t xml:space="preserve">price proposed in the </w:t>
      </w:r>
      <w:r w:rsidRPr="00CA02F3">
        <w:rPr>
          <w:snapToGrid w:val="0"/>
          <w:szCs w:val="24"/>
          <w:lang w:val="en-GB"/>
        </w:rPr>
        <w:t xml:space="preserve">pre-PBAC </w:t>
      </w:r>
      <w:r>
        <w:rPr>
          <w:snapToGrid w:val="0"/>
          <w:szCs w:val="24"/>
          <w:lang w:val="en-GB"/>
        </w:rPr>
        <w:t>response</w:t>
      </w:r>
      <w:r w:rsidRPr="00CA02F3">
        <w:rPr>
          <w:snapToGrid w:val="0"/>
          <w:szCs w:val="24"/>
          <w:lang w:val="en-GB"/>
        </w:rPr>
        <w:t xml:space="preserve">. The PBAC considered that the ICER remained unacceptably high and considered that bulevirtide would </w:t>
      </w:r>
      <w:proofErr w:type="gramStart"/>
      <w:r w:rsidRPr="00CA02F3">
        <w:rPr>
          <w:snapToGrid w:val="0"/>
          <w:szCs w:val="24"/>
          <w:lang w:val="en-GB"/>
        </w:rPr>
        <w:t>be considered</w:t>
      </w:r>
      <w:proofErr w:type="gramEnd"/>
      <w:r w:rsidRPr="00CA02F3">
        <w:rPr>
          <w:snapToGrid w:val="0"/>
          <w:szCs w:val="24"/>
          <w:lang w:val="en-GB"/>
        </w:rPr>
        <w:t xml:space="preserve"> cost effective at a price that resulted in an ICER of no more than </w:t>
      </w:r>
      <w:r w:rsidRPr="00D55A86">
        <w:rPr>
          <w:snapToGrid w:val="0"/>
          <w:szCs w:val="24"/>
          <w:lang w:val="en-GB"/>
        </w:rPr>
        <w:t>$35,000</w:t>
      </w:r>
      <w:r>
        <w:rPr>
          <w:snapToGrid w:val="0"/>
          <w:szCs w:val="24"/>
          <w:lang w:val="en-GB"/>
        </w:rPr>
        <w:t> </w:t>
      </w:r>
      <w:r w:rsidRPr="00D55A86">
        <w:rPr>
          <w:snapToGrid w:val="0"/>
          <w:szCs w:val="24"/>
          <w:lang w:val="en-GB"/>
        </w:rPr>
        <w:t>to &lt; $45,000</w:t>
      </w:r>
      <w:r>
        <w:rPr>
          <w:snapToGrid w:val="0"/>
          <w:szCs w:val="24"/>
          <w:lang w:val="en-GB"/>
        </w:rPr>
        <w:t xml:space="preserve"> </w:t>
      </w:r>
      <w:r w:rsidRPr="00CA02F3">
        <w:rPr>
          <w:snapToGrid w:val="0"/>
          <w:szCs w:val="24"/>
          <w:lang w:val="en-GB"/>
        </w:rPr>
        <w:t xml:space="preserve">per QALY using this revised multivariate analysis. The PBAC noted that this was consistent with its considerations of the cost-effectiveness of other </w:t>
      </w:r>
      <w:r w:rsidRPr="00C61D40">
        <w:rPr>
          <w:snapToGrid w:val="0"/>
          <w:szCs w:val="24"/>
          <w:lang w:val="en-GB"/>
        </w:rPr>
        <w:t>antivirals for chronic viral hepatitis</w:t>
      </w:r>
      <w:r>
        <w:rPr>
          <w:snapToGrid w:val="0"/>
          <w:szCs w:val="24"/>
          <w:lang w:val="en-GB"/>
        </w:rPr>
        <w:t xml:space="preserve"> which</w:t>
      </w:r>
      <w:r w:rsidRPr="00C61D40">
        <w:rPr>
          <w:snapToGrid w:val="0"/>
          <w:szCs w:val="24"/>
          <w:lang w:val="en-GB"/>
        </w:rPr>
        <w:t xml:space="preserve"> have previously </w:t>
      </w:r>
      <w:proofErr w:type="gramStart"/>
      <w:r w:rsidRPr="00C61D40">
        <w:rPr>
          <w:snapToGrid w:val="0"/>
          <w:szCs w:val="24"/>
          <w:lang w:val="en-GB"/>
        </w:rPr>
        <w:t>been considered</w:t>
      </w:r>
      <w:proofErr w:type="gramEnd"/>
      <w:r w:rsidRPr="00C61D40">
        <w:rPr>
          <w:snapToGrid w:val="0"/>
          <w:szCs w:val="24"/>
          <w:lang w:val="en-GB"/>
        </w:rPr>
        <w:t xml:space="preserve"> cost-effective with ICERs less than </w:t>
      </w:r>
      <w:r w:rsidRPr="00D55A86">
        <w:rPr>
          <w:snapToGrid w:val="0"/>
          <w:szCs w:val="24"/>
          <w:lang w:val="en-GB"/>
        </w:rPr>
        <w:t>$35,000 to &lt; $45,000</w:t>
      </w:r>
      <w:r w:rsidRPr="00C61D40">
        <w:rPr>
          <w:snapToGrid w:val="0"/>
          <w:szCs w:val="24"/>
          <w:lang w:val="en-GB"/>
        </w:rPr>
        <w:t>/QALY</w:t>
      </w:r>
      <w:r>
        <w:rPr>
          <w:snapToGrid w:val="0"/>
          <w:szCs w:val="24"/>
          <w:lang w:val="en-GB"/>
        </w:rPr>
        <w:t>.</w:t>
      </w:r>
    </w:p>
    <w:p w14:paraId="1FFFE143" w14:textId="77777777" w:rsidR="000B266B" w:rsidRPr="00684D1C" w:rsidRDefault="000B266B" w:rsidP="0041700E">
      <w:pPr>
        <w:pStyle w:val="3-BodyText"/>
        <w:spacing w:before="120" w:after="120"/>
        <w:rPr>
          <w:snapToGrid w:val="0"/>
          <w:szCs w:val="24"/>
          <w:lang w:val="en-GB"/>
        </w:rPr>
      </w:pPr>
      <w:r w:rsidRPr="00684D1C">
        <w:rPr>
          <w:snapToGrid w:val="0"/>
          <w:szCs w:val="24"/>
          <w:lang w:val="en-GB"/>
        </w:rPr>
        <w:t xml:space="preserve">The PBAC noted the resubmission retained the </w:t>
      </w:r>
      <w:r w:rsidRPr="4904BCD2">
        <w:t>epidemiological approach taken in the submission considered at the March 2024 PBAC meeting</w:t>
      </w:r>
      <w:r>
        <w:t xml:space="preserve"> which was appropriate</w:t>
      </w:r>
      <w:r w:rsidRPr="4904BCD2">
        <w:t xml:space="preserve">. </w:t>
      </w:r>
      <w:r w:rsidRPr="00684D1C">
        <w:rPr>
          <w:snapToGrid w:val="0"/>
          <w:szCs w:val="24"/>
          <w:lang w:val="en-GB"/>
        </w:rPr>
        <w:t xml:space="preserve">The financial model </w:t>
      </w:r>
      <w:proofErr w:type="gramStart"/>
      <w:r w:rsidRPr="00684D1C">
        <w:rPr>
          <w:snapToGrid w:val="0"/>
          <w:szCs w:val="24"/>
          <w:lang w:val="en-GB"/>
        </w:rPr>
        <w:t>was updated</w:t>
      </w:r>
      <w:proofErr w:type="gramEnd"/>
      <w:r w:rsidRPr="00684D1C">
        <w:rPr>
          <w:snapToGrid w:val="0"/>
          <w:szCs w:val="24"/>
          <w:lang w:val="en-GB"/>
        </w:rPr>
        <w:t xml:space="preserve"> to account for the changes requested following the March 2024 submission including </w:t>
      </w:r>
      <w:r>
        <w:t xml:space="preserve">the introduction of </w:t>
      </w:r>
      <w:r w:rsidRPr="00A55D22">
        <w:t>a new patient population to address concerns that there was a prevalent pool of patients who were not currently engaged in treatment</w:t>
      </w:r>
      <w:r>
        <w:t xml:space="preserve">. The PBAC </w:t>
      </w:r>
      <w:r>
        <w:rPr>
          <w:snapToGrid w:val="0"/>
          <w:szCs w:val="24"/>
          <w:lang w:val="en-GB"/>
        </w:rPr>
        <w:t xml:space="preserve">recalled its previous concern that the </w:t>
      </w:r>
      <w:r w:rsidRPr="00A55D22">
        <w:t>likely uptake of both testing and treatment, and utilisation and duration of therapy with bulevirtide, to be highly uncertain in practice.</w:t>
      </w:r>
      <w:r>
        <w:t xml:space="preserve"> </w:t>
      </w:r>
      <w:r w:rsidRPr="00A55D22">
        <w:t>In addition, persistence is uncertain noting that most patients would likely have no or limited symptoms of hepatic disease</w:t>
      </w:r>
      <w:r>
        <w:t>,</w:t>
      </w:r>
      <w:r w:rsidRPr="00A55D22">
        <w:t xml:space="preserve"> and given the onerous administration requirements of </w:t>
      </w:r>
      <w:r>
        <w:t xml:space="preserve">ongoing </w:t>
      </w:r>
      <w:r w:rsidRPr="00A55D22">
        <w:t>daily injections</w:t>
      </w:r>
      <w:r>
        <w:t>.</w:t>
      </w:r>
      <w:r w:rsidRPr="00A55D22">
        <w:t xml:space="preserve"> </w:t>
      </w:r>
      <w:r>
        <w:t xml:space="preserve">The PBAC considered that the level of uncertainty </w:t>
      </w:r>
      <w:proofErr w:type="gramStart"/>
      <w:r>
        <w:t>with regard to</w:t>
      </w:r>
      <w:proofErr w:type="gramEnd"/>
      <w:r>
        <w:t xml:space="preserve"> these factors remained high, however the overall financial impact of listing bulevirtide would be limited due to the small number of Australian patients impacted by CHD.</w:t>
      </w:r>
    </w:p>
    <w:p w14:paraId="36717C17" w14:textId="77777777" w:rsidR="000B266B" w:rsidRPr="00525B39" w:rsidRDefault="000B266B" w:rsidP="0041700E">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3AB25366" w14:textId="77777777" w:rsidR="000B266B" w:rsidRDefault="000B266B" w:rsidP="0041700E">
      <w:pPr>
        <w:rPr>
          <w:rFonts w:asciiTheme="minorHAnsi" w:hAnsiTheme="minorHAnsi"/>
          <w:bCs/>
          <w:snapToGrid w:val="0"/>
          <w:lang w:val="en-GB"/>
        </w:rPr>
      </w:pPr>
      <w:r w:rsidRPr="00525B39">
        <w:rPr>
          <w:rFonts w:asciiTheme="minorHAnsi" w:hAnsiTheme="minorHAnsi"/>
          <w:bCs/>
          <w:snapToGrid w:val="0"/>
          <w:lang w:val="en-GB"/>
        </w:rPr>
        <w:t>Deferred</w:t>
      </w:r>
    </w:p>
    <w:p w14:paraId="6636501C" w14:textId="77777777" w:rsidR="000B266B" w:rsidRPr="006C1170" w:rsidRDefault="000B266B" w:rsidP="0041700E">
      <w:pPr>
        <w:keepNext/>
        <w:numPr>
          <w:ilvl w:val="0"/>
          <w:numId w:val="1"/>
        </w:numPr>
        <w:spacing w:before="240" w:after="120"/>
        <w:jc w:val="left"/>
        <w:outlineLvl w:val="0"/>
        <w:rPr>
          <w:rFonts w:eastAsia="Times New Roman" w:cs="Arial"/>
          <w:b/>
          <w:snapToGrid w:val="0"/>
          <w:sz w:val="32"/>
          <w:szCs w:val="32"/>
          <w:lang w:eastAsia="en-AU"/>
        </w:rPr>
      </w:pPr>
      <w:r w:rsidRPr="006C1170">
        <w:rPr>
          <w:rFonts w:eastAsia="Times New Roman" w:cs="Arial"/>
          <w:b/>
          <w:snapToGrid w:val="0"/>
          <w:sz w:val="32"/>
          <w:szCs w:val="32"/>
          <w:lang w:eastAsia="en-AU"/>
        </w:rPr>
        <w:t>Context for Decision</w:t>
      </w:r>
    </w:p>
    <w:p w14:paraId="4CAC3D21" w14:textId="77777777" w:rsidR="000B266B" w:rsidRPr="006C1170" w:rsidRDefault="000B266B" w:rsidP="0041700E">
      <w:pPr>
        <w:spacing w:after="120"/>
        <w:ind w:left="720"/>
        <w:rPr>
          <w:rFonts w:eastAsia="Times New Roman" w:cs="Arial"/>
          <w:bCs/>
          <w:lang w:val="en-GB" w:eastAsia="en-AU"/>
        </w:rPr>
      </w:pPr>
      <w:r w:rsidRPr="006C1170">
        <w:rPr>
          <w:rFonts w:eastAsia="Times New Roman" w:cs="Arial"/>
          <w:bCs/>
          <w:lang w:val="en-GB" w:eastAsia="en-AU"/>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w:t>
      </w:r>
      <w:r w:rsidRPr="006C1170">
        <w:rPr>
          <w:rFonts w:eastAsia="Times New Roman" w:cs="Arial"/>
          <w:bCs/>
          <w:lang w:val="en-GB" w:eastAsia="en-AU"/>
        </w:rPr>
        <w:lastRenderedPageBreak/>
        <w:t xml:space="preserve">relation to PBS listings does not necessarily represent a final PBAC view about the merits of the medicine or the circumstances in which it should </w:t>
      </w:r>
      <w:proofErr w:type="gramStart"/>
      <w:r w:rsidRPr="006C1170">
        <w:rPr>
          <w:rFonts w:eastAsia="Times New Roman" w:cs="Arial"/>
          <w:bCs/>
          <w:lang w:val="en-GB" w:eastAsia="en-AU"/>
        </w:rPr>
        <w:t>be made</w:t>
      </w:r>
      <w:proofErr w:type="gramEnd"/>
      <w:r w:rsidRPr="006C1170">
        <w:rPr>
          <w:rFonts w:eastAsia="Times New Roman" w:cs="Arial"/>
          <w:bCs/>
          <w:lang w:val="en-GB" w:eastAsia="en-AU"/>
        </w:rPr>
        <w:t xml:space="preserve"> available through the PBS. The PBAC welcomes applications containing </w:t>
      </w:r>
      <w:proofErr w:type="gramStart"/>
      <w:r w:rsidRPr="006C1170">
        <w:rPr>
          <w:rFonts w:eastAsia="Times New Roman" w:cs="Arial"/>
          <w:bCs/>
          <w:lang w:val="en-GB" w:eastAsia="en-AU"/>
        </w:rPr>
        <w:t>new information</w:t>
      </w:r>
      <w:proofErr w:type="gramEnd"/>
      <w:r w:rsidRPr="006C1170">
        <w:rPr>
          <w:rFonts w:eastAsia="Times New Roman" w:cs="Arial"/>
          <w:bCs/>
          <w:lang w:val="en-GB" w:eastAsia="en-AU"/>
        </w:rPr>
        <w:t xml:space="preserve"> at any time.</w:t>
      </w:r>
    </w:p>
    <w:p w14:paraId="06B1F79A" w14:textId="77777777" w:rsidR="000B266B" w:rsidRPr="006C1170" w:rsidRDefault="000B266B" w:rsidP="0041700E">
      <w:pPr>
        <w:keepNext/>
        <w:numPr>
          <w:ilvl w:val="0"/>
          <w:numId w:val="1"/>
        </w:numPr>
        <w:spacing w:before="240" w:after="120"/>
        <w:jc w:val="left"/>
        <w:outlineLvl w:val="0"/>
        <w:rPr>
          <w:rFonts w:eastAsia="Times New Roman" w:cs="Arial"/>
          <w:b/>
          <w:snapToGrid w:val="0"/>
          <w:sz w:val="32"/>
          <w:szCs w:val="32"/>
          <w:lang w:eastAsia="en-AU"/>
        </w:rPr>
      </w:pPr>
      <w:r w:rsidRPr="006C1170">
        <w:rPr>
          <w:rFonts w:eastAsia="Times New Roman" w:cs="Arial"/>
          <w:b/>
          <w:snapToGrid w:val="0"/>
          <w:sz w:val="32"/>
          <w:szCs w:val="32"/>
          <w:lang w:eastAsia="en-AU"/>
        </w:rPr>
        <w:t>Sponsor’s Comment</w:t>
      </w:r>
    </w:p>
    <w:p w14:paraId="747495E6" w14:textId="77777777" w:rsidR="000B266B" w:rsidRDefault="000B266B" w:rsidP="0041700E">
      <w:pPr>
        <w:spacing w:after="120"/>
        <w:ind w:left="720"/>
        <w:rPr>
          <w:rFonts w:eastAsia="Calibri" w:cs="Arial"/>
          <w:bCs/>
          <w:szCs w:val="22"/>
          <w:lang w:val="en-GB"/>
        </w:rPr>
      </w:pPr>
      <w:r w:rsidRPr="00C26D53">
        <w:rPr>
          <w:rFonts w:eastAsia="Calibri" w:cs="Arial"/>
          <w:bCs/>
          <w:szCs w:val="22"/>
          <w:lang w:val="en-GB"/>
        </w:rPr>
        <w:t xml:space="preserve">Gilead welcomes the PBAC’s </w:t>
      </w:r>
      <w:r>
        <w:rPr>
          <w:rFonts w:eastAsia="Calibri" w:cs="Arial"/>
          <w:bCs/>
          <w:szCs w:val="22"/>
          <w:lang w:val="en-GB"/>
        </w:rPr>
        <w:t xml:space="preserve">deferral of the </w:t>
      </w:r>
      <w:r w:rsidRPr="00C26D53">
        <w:rPr>
          <w:rFonts w:eastAsia="Calibri" w:cs="Arial"/>
          <w:bCs/>
          <w:szCs w:val="22"/>
          <w:lang w:val="en-GB"/>
        </w:rPr>
        <w:t>decision</w:t>
      </w:r>
      <w:r>
        <w:rPr>
          <w:rFonts w:eastAsia="Calibri" w:cs="Arial"/>
          <w:bCs/>
          <w:szCs w:val="22"/>
          <w:lang w:val="en-GB"/>
        </w:rPr>
        <w:t>,</w:t>
      </w:r>
      <w:r w:rsidRPr="00C26D53">
        <w:rPr>
          <w:rFonts w:eastAsia="Calibri" w:cs="Arial"/>
          <w:bCs/>
          <w:szCs w:val="22"/>
          <w:lang w:val="en-GB"/>
        </w:rPr>
        <w:t xml:space="preserve"> </w:t>
      </w:r>
      <w:r>
        <w:rPr>
          <w:rFonts w:eastAsia="Calibri" w:cs="Arial"/>
          <w:bCs/>
          <w:szCs w:val="22"/>
          <w:lang w:val="en-GB"/>
        </w:rPr>
        <w:t>with</w:t>
      </w:r>
      <w:r w:rsidRPr="00C26D53">
        <w:rPr>
          <w:rFonts w:eastAsia="Calibri" w:cs="Arial"/>
          <w:bCs/>
          <w:szCs w:val="22"/>
          <w:lang w:val="en-GB"/>
        </w:rPr>
        <w:t xml:space="preserve"> a mind to recommend bulevirtide for the treatment of chronic hepatitis delta (CHD) virus, noting no decision had been made regarding the integrated codependent submission for the MBS listing of Hepatitis D ribonucleic acid polymerase chain reaction (HDV RNA PCR) testing for CHD by the Medical Services Advisory Committee (MSAC). Gilead intends to work with the Department of Health for PBS access that recognises the value of bulevirtide</w:t>
      </w:r>
      <w:r>
        <w:rPr>
          <w:rFonts w:eastAsia="Calibri" w:cs="Arial"/>
          <w:bCs/>
          <w:szCs w:val="22"/>
          <w:lang w:val="en-GB"/>
        </w:rPr>
        <w:t>.</w:t>
      </w:r>
      <w:r w:rsidRPr="00C26D53">
        <w:rPr>
          <w:rFonts w:eastAsia="Calibri" w:cs="Arial"/>
          <w:bCs/>
          <w:szCs w:val="22"/>
          <w:lang w:val="en-GB"/>
        </w:rPr>
        <w:t xml:space="preserve"> </w:t>
      </w:r>
    </w:p>
    <w:bookmarkEnd w:id="68"/>
    <w:bookmarkEnd w:id="69"/>
    <w:p w14:paraId="37A79948" w14:textId="77777777" w:rsidR="000B266B" w:rsidRPr="00525B39" w:rsidRDefault="000B266B" w:rsidP="0041700E">
      <w:pPr>
        <w:rPr>
          <w:rFonts w:asciiTheme="minorHAnsi" w:hAnsiTheme="minorHAnsi"/>
          <w:bCs/>
          <w:snapToGrid w:val="0"/>
          <w:lang w:val="en-GB"/>
        </w:rPr>
      </w:pPr>
    </w:p>
    <w:p w14:paraId="3F30FBDC" w14:textId="2F1077A3" w:rsidR="00E73FC2" w:rsidRDefault="00E73FC2" w:rsidP="0041700E">
      <w:pPr>
        <w:rPr>
          <w:rFonts w:asciiTheme="minorHAnsi" w:hAnsiTheme="minorHAnsi"/>
          <w:bCs/>
          <w:snapToGrid w:val="0"/>
          <w:lang w:val="en-GB"/>
        </w:rPr>
        <w:sectPr w:rsidR="00E73FC2" w:rsidSect="00F5018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1440" w:footer="1440" w:gutter="0"/>
          <w:cols w:space="708"/>
          <w:docGrid w:linePitch="360"/>
        </w:sectPr>
      </w:pPr>
    </w:p>
    <w:p w14:paraId="0891D51E" w14:textId="7417669A" w:rsidR="00245A67" w:rsidRPr="00F57E64" w:rsidRDefault="00245A67" w:rsidP="0041700E">
      <w:pPr>
        <w:outlineLvl w:val="0"/>
        <w:rPr>
          <w:rFonts w:eastAsia="Calibri"/>
          <w:b/>
          <w:color w:val="FF0000"/>
          <w:sz w:val="32"/>
          <w:szCs w:val="28"/>
        </w:rPr>
      </w:pPr>
      <w:r w:rsidRPr="00F57E64">
        <w:rPr>
          <w:rFonts w:eastAsia="Calibri"/>
          <w:b/>
          <w:color w:val="FF0000"/>
          <w:sz w:val="32"/>
          <w:szCs w:val="28"/>
        </w:rPr>
        <w:lastRenderedPageBreak/>
        <w:t xml:space="preserve">Addendum to the </w:t>
      </w:r>
      <w:r>
        <w:rPr>
          <w:rFonts w:eastAsia="Calibri"/>
          <w:b/>
          <w:color w:val="FF0000"/>
          <w:sz w:val="32"/>
          <w:szCs w:val="28"/>
        </w:rPr>
        <w:t xml:space="preserve">March </w:t>
      </w:r>
      <w:r w:rsidRPr="00F57E64">
        <w:rPr>
          <w:rFonts w:eastAsia="Calibri"/>
          <w:b/>
          <w:color w:val="FF0000"/>
          <w:sz w:val="32"/>
          <w:szCs w:val="28"/>
        </w:rPr>
        <w:t>202</w:t>
      </w:r>
      <w:r>
        <w:rPr>
          <w:rFonts w:eastAsia="Calibri"/>
          <w:b/>
          <w:color w:val="FF0000"/>
          <w:sz w:val="32"/>
          <w:szCs w:val="28"/>
        </w:rPr>
        <w:t>5</w:t>
      </w:r>
      <w:r w:rsidRPr="00F57E64">
        <w:rPr>
          <w:rFonts w:eastAsia="Calibri"/>
          <w:b/>
          <w:color w:val="FF0000"/>
          <w:sz w:val="32"/>
          <w:szCs w:val="28"/>
        </w:rPr>
        <w:t xml:space="preserve"> PBAC </w:t>
      </w:r>
      <w:r w:rsidR="00E4403D">
        <w:rPr>
          <w:rFonts w:eastAsia="Calibri"/>
          <w:b/>
          <w:color w:val="FF0000"/>
          <w:sz w:val="32"/>
          <w:szCs w:val="28"/>
        </w:rPr>
        <w:t>PSD</w:t>
      </w:r>
      <w:r w:rsidRPr="00F57E64">
        <w:rPr>
          <w:rFonts w:eastAsia="Calibri"/>
          <w:b/>
          <w:color w:val="FF0000"/>
          <w:sz w:val="32"/>
          <w:szCs w:val="28"/>
        </w:rPr>
        <w:t>:</w:t>
      </w:r>
    </w:p>
    <w:p w14:paraId="545CD630" w14:textId="77777777" w:rsidR="00245A67" w:rsidRDefault="00245A67" w:rsidP="0041700E">
      <w:pPr>
        <w:rPr>
          <w:rFonts w:cs="Calibri"/>
          <w:b/>
          <w:u w:val="single"/>
        </w:rPr>
      </w:pPr>
    </w:p>
    <w:p w14:paraId="3E3D3673" w14:textId="01EA8FAA" w:rsidR="00CB7679" w:rsidRDefault="00CB7679" w:rsidP="0041700E">
      <w:pPr>
        <w:rPr>
          <w:rFonts w:asciiTheme="minorHAnsi" w:hAnsiTheme="minorHAnsi"/>
          <w:bCs/>
          <w:snapToGrid w:val="0"/>
          <w:lang w:val="en-GB"/>
        </w:rPr>
      </w:pPr>
    </w:p>
    <w:p w14:paraId="3C91222E" w14:textId="53C8EE35" w:rsidR="00BF3AD4" w:rsidRPr="00F50184" w:rsidRDefault="00CE34AC" w:rsidP="0041700E">
      <w:pPr>
        <w:pStyle w:val="1-MainHeading"/>
        <w:spacing w:before="0" w:after="0"/>
      </w:pPr>
      <w:r>
        <w:t>14</w:t>
      </w:r>
      <w:r w:rsidR="00BF3AD4" w:rsidRPr="00F50184">
        <w:t>.0</w:t>
      </w:r>
      <w:r>
        <w:t>6</w:t>
      </w:r>
      <w:r w:rsidR="00BF3AD4" w:rsidRPr="00F50184">
        <w:t xml:space="preserve"> BULEVIRTIDE</w:t>
      </w:r>
    </w:p>
    <w:p w14:paraId="26D92045" w14:textId="77777777" w:rsidR="00BF3AD4" w:rsidRPr="00F50184" w:rsidRDefault="00BF3AD4" w:rsidP="0041700E">
      <w:pPr>
        <w:pStyle w:val="1-MainHeading"/>
        <w:spacing w:before="0" w:after="0"/>
      </w:pPr>
      <w:r w:rsidRPr="00F50184">
        <w:t xml:space="preserve"> </w:t>
      </w:r>
      <w:r w:rsidRPr="00F50184">
        <w:tab/>
        <w:t>Powder for injection 2 mg</w:t>
      </w:r>
    </w:p>
    <w:p w14:paraId="72B7BD92" w14:textId="77777777" w:rsidR="00BF3AD4" w:rsidRPr="00F50184" w:rsidRDefault="00BF3AD4" w:rsidP="0041700E">
      <w:pPr>
        <w:pStyle w:val="1-MainHeading"/>
        <w:spacing w:before="0" w:after="0"/>
      </w:pPr>
      <w:r w:rsidRPr="00F50184">
        <w:tab/>
        <w:t>Hepcludex®</w:t>
      </w:r>
    </w:p>
    <w:p w14:paraId="0DF08753" w14:textId="77777777" w:rsidR="00BF3AD4" w:rsidRPr="00F50184" w:rsidRDefault="00BF3AD4" w:rsidP="0041700E">
      <w:pPr>
        <w:pStyle w:val="1-MainHeading"/>
        <w:spacing w:before="0" w:after="0"/>
      </w:pPr>
      <w:r w:rsidRPr="00F50184">
        <w:tab/>
        <w:t>Gilead Sciences Pty Ltd</w:t>
      </w:r>
    </w:p>
    <w:p w14:paraId="6B48BBD1" w14:textId="0978D1AB" w:rsidR="00BF3AD4" w:rsidRDefault="00BF3AD4" w:rsidP="0041700E">
      <w:pPr>
        <w:pStyle w:val="2-SectionHeading"/>
      </w:pPr>
      <w:r>
        <w:t>Background</w:t>
      </w:r>
    </w:p>
    <w:p w14:paraId="25920C9E" w14:textId="46F26505" w:rsidR="002963E6" w:rsidRDefault="00126963" w:rsidP="0041700E">
      <w:pPr>
        <w:pStyle w:val="3-BodyText"/>
      </w:pPr>
      <w:r>
        <w:t>At its March 2025 meeting</w:t>
      </w:r>
      <w:r w:rsidR="00B3096C">
        <w:t>,</w:t>
      </w:r>
      <w:r>
        <w:t xml:space="preserve"> t</w:t>
      </w:r>
      <w:r w:rsidR="00921219" w:rsidRPr="00921219">
        <w:t xml:space="preserve">he PBAC deferred making a recommendation for the listing of bulevirtide for treatment of chronic hepatitis delta virus (hepatitis D). While the PBAC was of a mind to recommend bulevirtide, the PBAC noted that an integrated codependent submission for the </w:t>
      </w:r>
      <w:r w:rsidR="009C7A48">
        <w:t>Medicare Benefits Schedule (</w:t>
      </w:r>
      <w:r w:rsidR="00921219" w:rsidRPr="00921219">
        <w:t>MBS</w:t>
      </w:r>
      <w:r w:rsidR="009C7A48">
        <w:t>)</w:t>
      </w:r>
      <w:r w:rsidR="00921219" w:rsidRPr="00921219">
        <w:t xml:space="preserve"> listing of ribonucleic acid </w:t>
      </w:r>
      <w:r w:rsidR="007B5EEC">
        <w:t xml:space="preserve">(RNA) </w:t>
      </w:r>
      <w:r w:rsidR="00921219" w:rsidRPr="00921219">
        <w:t xml:space="preserve">polymerase chain reaction testing </w:t>
      </w:r>
      <w:r w:rsidR="007B5EEC">
        <w:t xml:space="preserve">(PCR) </w:t>
      </w:r>
      <w:r w:rsidR="00921219" w:rsidRPr="00921219">
        <w:t>for chronic hepatitis D would be considered at the April 2025 MSAC meeting</w:t>
      </w:r>
      <w:r w:rsidR="00F26A69">
        <w:t xml:space="preserve"> (see paragraph </w:t>
      </w:r>
      <w:r w:rsidR="009C7A48">
        <w:t>7.1)</w:t>
      </w:r>
      <w:r w:rsidR="00921219" w:rsidRPr="00921219">
        <w:t xml:space="preserve">. </w:t>
      </w:r>
    </w:p>
    <w:p w14:paraId="29334067" w14:textId="56CB8CBB" w:rsidR="000E0095" w:rsidRDefault="00F86641" w:rsidP="0041700E">
      <w:pPr>
        <w:pStyle w:val="3-BodyText"/>
      </w:pPr>
      <w:r>
        <w:t xml:space="preserve">At its April 2025 meeting, the </w:t>
      </w:r>
      <w:r w:rsidR="000E0095">
        <w:t xml:space="preserve">MSAC </w:t>
      </w:r>
      <w:r w:rsidR="00D8013B">
        <w:t xml:space="preserve">supported the creation of a new MBS item for the quantitation of Hepatitis D viral (HDV) RNA using PCR testing to i) determine eligibility for treatment with bulevirtide and ii) monitor the efficacy of bulevirtide treatment in patients with chronic HDV infection with compensated liver disease. </w:t>
      </w:r>
      <w:r w:rsidR="00ED561C">
        <w:t xml:space="preserve">The </w:t>
      </w:r>
      <w:r w:rsidR="001F1805" w:rsidRPr="001F1805">
        <w:t xml:space="preserve">MSAC considered that there is a high clinical need for treatments for chronic HDV infection as it is a rare and aggressive condition with limited treatment options that is more common in socially vulnerable groups. </w:t>
      </w:r>
    </w:p>
    <w:p w14:paraId="2089462A" w14:textId="77777777" w:rsidR="002963E6" w:rsidRDefault="002963E6" w:rsidP="0041700E">
      <w:pPr>
        <w:pStyle w:val="2-SectionHeading"/>
      </w:pPr>
      <w:r w:rsidRPr="00A70DBB">
        <w:t>PBAC Outcome</w:t>
      </w:r>
    </w:p>
    <w:p w14:paraId="2F3144C3" w14:textId="40AD27AB" w:rsidR="009D304C" w:rsidRPr="009D304C" w:rsidRDefault="00FC2C48" w:rsidP="0041700E">
      <w:pPr>
        <w:pStyle w:val="3-BodyText"/>
      </w:pPr>
      <w:r w:rsidRPr="002C1723">
        <w:rPr>
          <w:rFonts w:eastAsia="Times New Roman" w:cs="Arial"/>
          <w:snapToGrid w:val="0"/>
          <w:szCs w:val="24"/>
          <w:lang w:val="en-GB"/>
        </w:rPr>
        <w:t xml:space="preserve">The PBAC recommended </w:t>
      </w:r>
      <w:r>
        <w:rPr>
          <w:rFonts w:eastAsia="Times New Roman" w:cs="Arial"/>
          <w:snapToGrid w:val="0"/>
          <w:szCs w:val="24"/>
          <w:lang w:val="en-GB"/>
        </w:rPr>
        <w:t xml:space="preserve">the listing of bulevirtide </w:t>
      </w:r>
      <w:r w:rsidRPr="4904BCD2">
        <w:t xml:space="preserve">for the treatment of chronic hepatitis D (CHD) in patients positive for hepatitis D virus (HDV) RNA as detected by </w:t>
      </w:r>
      <w:r w:rsidRPr="003177DB">
        <w:t>PCR</w:t>
      </w:r>
      <w:r w:rsidR="008B76E4" w:rsidRPr="003177DB">
        <w:t>,</w:t>
      </w:r>
      <w:r w:rsidRPr="003177DB">
        <w:rPr>
          <w:snapToGrid w:val="0"/>
          <w:lang w:val="en-GB"/>
        </w:rPr>
        <w:t xml:space="preserve"> on the basis that it should be available only under special arrangements under Section 100 </w:t>
      </w:r>
      <w:r w:rsidRPr="003177DB">
        <w:t>(Highly Specialised Drugs Progra</w:t>
      </w:r>
      <w:r w:rsidRPr="0061128F">
        <w:t>m</w:t>
      </w:r>
      <w:r w:rsidR="00EB123B" w:rsidRPr="0061128F">
        <w:t xml:space="preserve">: </w:t>
      </w:r>
      <w:r w:rsidR="00EB123B" w:rsidRPr="0061128F">
        <w:rPr>
          <w:snapToGrid w:val="0"/>
          <w:lang w:val="en-GB"/>
        </w:rPr>
        <w:t>Public and Private Hospital and Community Access</w:t>
      </w:r>
      <w:r w:rsidRPr="003177DB">
        <w:t>)</w:t>
      </w:r>
      <w:r w:rsidRPr="003177DB">
        <w:rPr>
          <w:rFonts w:eastAsia="Times New Roman" w:cs="Arial"/>
          <w:snapToGrid w:val="0"/>
          <w:szCs w:val="24"/>
          <w:lang w:val="en-GB"/>
        </w:rPr>
        <w:t>.</w:t>
      </w:r>
      <w:r w:rsidR="009D304C">
        <w:rPr>
          <w:rFonts w:eastAsia="Times New Roman" w:cs="Arial"/>
          <w:snapToGrid w:val="0"/>
          <w:szCs w:val="24"/>
          <w:lang w:val="en-GB"/>
        </w:rPr>
        <w:t xml:space="preserve"> </w:t>
      </w:r>
      <w:r w:rsidR="009D304C" w:rsidRPr="006B42D9">
        <w:t xml:space="preserve">The PBAC noted that the MSAC supported </w:t>
      </w:r>
      <w:r w:rsidR="009D304C" w:rsidRPr="009D304C">
        <w:t xml:space="preserve">MBS listing of HDV RNA PCR testing to determine eligibility for treatment with bulevirtide and to monitor the response to treatment. </w:t>
      </w:r>
    </w:p>
    <w:p w14:paraId="257F13E3" w14:textId="6CCFD58E" w:rsidR="004A187A" w:rsidRPr="004A187A" w:rsidRDefault="00894702" w:rsidP="0041700E">
      <w:pPr>
        <w:pStyle w:val="3-BodyText"/>
      </w:pPr>
      <w:r w:rsidRPr="00894702">
        <w:rPr>
          <w:snapToGrid w:val="0"/>
          <w:lang w:val="en-GB"/>
        </w:rPr>
        <w:t xml:space="preserve">The PBAC is satisfied that bulevirtide provides, for </w:t>
      </w:r>
      <w:proofErr w:type="gramStart"/>
      <w:r w:rsidRPr="00894702">
        <w:rPr>
          <w:snapToGrid w:val="0"/>
          <w:lang w:val="en-GB"/>
        </w:rPr>
        <w:t>some</w:t>
      </w:r>
      <w:proofErr w:type="gramEnd"/>
      <w:r w:rsidRPr="00894702">
        <w:rPr>
          <w:snapToGrid w:val="0"/>
          <w:lang w:val="en-GB"/>
        </w:rPr>
        <w:t xml:space="preserve"> patients, a significant improvement in efficacy over symptomatic management of CHD (also referred to as BSC). </w:t>
      </w:r>
      <w:r w:rsidR="00702EE2" w:rsidRPr="00894702">
        <w:rPr>
          <w:snapToGrid w:val="0"/>
          <w:lang w:val="en-GB"/>
        </w:rPr>
        <w:t xml:space="preserve">The PBAC </w:t>
      </w:r>
      <w:r w:rsidR="00780F2E" w:rsidRPr="00894702">
        <w:rPr>
          <w:snapToGrid w:val="0"/>
          <w:lang w:val="en-GB"/>
        </w:rPr>
        <w:t xml:space="preserve">recalled </w:t>
      </w:r>
      <w:r w:rsidR="00955F7F" w:rsidRPr="00894702">
        <w:rPr>
          <w:snapToGrid w:val="0"/>
          <w:lang w:val="en-GB"/>
        </w:rPr>
        <w:t xml:space="preserve">that it had previously considered </w:t>
      </w:r>
      <w:r w:rsidR="00702EE2" w:rsidRPr="00894702">
        <w:rPr>
          <w:snapToGrid w:val="0"/>
          <w:lang w:val="en-GB"/>
        </w:rPr>
        <w:t xml:space="preserve">that whilst the evidence indicates that bulevirtide is effective for </w:t>
      </w:r>
      <w:proofErr w:type="gramStart"/>
      <w:r w:rsidR="00702EE2" w:rsidRPr="00894702">
        <w:rPr>
          <w:snapToGrid w:val="0"/>
          <w:lang w:val="en-GB"/>
        </w:rPr>
        <w:t>some</w:t>
      </w:r>
      <w:proofErr w:type="gramEnd"/>
      <w:r w:rsidR="00702EE2" w:rsidRPr="00894702">
        <w:rPr>
          <w:snapToGrid w:val="0"/>
          <w:lang w:val="en-GB"/>
        </w:rPr>
        <w:t xml:space="preserve"> patients in terms of achieving a significant reduction in viral load and/or improvement in liver enzymes, the longer-term and patient-relevant benefits were highly uncertain</w:t>
      </w:r>
      <w:r w:rsidR="0090672F" w:rsidRPr="00894702">
        <w:rPr>
          <w:snapToGrid w:val="0"/>
          <w:lang w:val="en-GB"/>
        </w:rPr>
        <w:t xml:space="preserve"> compared </w:t>
      </w:r>
      <w:r w:rsidR="00314D6D">
        <w:rPr>
          <w:snapToGrid w:val="0"/>
          <w:lang w:val="en-GB"/>
        </w:rPr>
        <w:t>BSC</w:t>
      </w:r>
      <w:r w:rsidR="00702EE2" w:rsidRPr="00894702">
        <w:rPr>
          <w:snapToGrid w:val="0"/>
          <w:lang w:val="en-GB"/>
        </w:rPr>
        <w:t>.</w:t>
      </w:r>
    </w:p>
    <w:p w14:paraId="71F7266E" w14:textId="7AA8EF7F" w:rsidR="009442A0" w:rsidRPr="009442A0" w:rsidRDefault="00702EE2" w:rsidP="0041700E">
      <w:pPr>
        <w:pStyle w:val="3-BodyText"/>
      </w:pPr>
      <w:r w:rsidRPr="005A3908">
        <w:rPr>
          <w:snapToGrid w:val="0"/>
          <w:lang w:val="en-GB"/>
        </w:rPr>
        <w:t xml:space="preserve">The PBAC </w:t>
      </w:r>
      <w:r w:rsidR="00955F7F">
        <w:rPr>
          <w:snapToGrid w:val="0"/>
          <w:lang w:val="en-GB"/>
        </w:rPr>
        <w:t xml:space="preserve">recalled </w:t>
      </w:r>
      <w:r w:rsidRPr="005A3908">
        <w:rPr>
          <w:snapToGrid w:val="0"/>
          <w:lang w:val="en-GB"/>
        </w:rPr>
        <w:t xml:space="preserve">that the resubmission included a small reduction in the proposed price for bulevirtide and revised </w:t>
      </w:r>
      <w:proofErr w:type="gramStart"/>
      <w:r w:rsidRPr="005A3908">
        <w:rPr>
          <w:snapToGrid w:val="0"/>
          <w:lang w:val="en-GB"/>
        </w:rPr>
        <w:t>some</w:t>
      </w:r>
      <w:proofErr w:type="gramEnd"/>
      <w:r w:rsidRPr="005A3908">
        <w:rPr>
          <w:snapToGrid w:val="0"/>
          <w:lang w:val="en-GB"/>
        </w:rPr>
        <w:t xml:space="preserve"> inputs in the economic analysis as requested, </w:t>
      </w:r>
      <w:r w:rsidRPr="005A3908">
        <w:rPr>
          <w:snapToGrid w:val="0"/>
          <w:lang w:val="en-GB"/>
        </w:rPr>
        <w:lastRenderedPageBreak/>
        <w:t xml:space="preserve">but </w:t>
      </w:r>
      <w:proofErr w:type="gramStart"/>
      <w:r w:rsidRPr="005A3908">
        <w:rPr>
          <w:snapToGrid w:val="0"/>
          <w:lang w:val="en-GB"/>
        </w:rPr>
        <w:t>a number of</w:t>
      </w:r>
      <w:proofErr w:type="gramEnd"/>
      <w:r w:rsidRPr="005A3908">
        <w:rPr>
          <w:snapToGrid w:val="0"/>
          <w:lang w:val="en-GB"/>
        </w:rPr>
        <w:t xml:space="preserve"> optimistic assumptions that were likely to have underestimated the incremental cost-effectiveness ratio remained. </w:t>
      </w:r>
      <w:r w:rsidR="008126EC" w:rsidRPr="00CA02F3">
        <w:rPr>
          <w:snapToGrid w:val="0"/>
          <w:szCs w:val="24"/>
          <w:lang w:val="en-GB"/>
        </w:rPr>
        <w:t xml:space="preserve">The PBAC considered that the ICER remained unacceptably high and considered that bulevirtide would </w:t>
      </w:r>
      <w:proofErr w:type="gramStart"/>
      <w:r w:rsidR="008126EC" w:rsidRPr="00CA02F3">
        <w:rPr>
          <w:snapToGrid w:val="0"/>
          <w:szCs w:val="24"/>
          <w:lang w:val="en-GB"/>
        </w:rPr>
        <w:t>be considered</w:t>
      </w:r>
      <w:proofErr w:type="gramEnd"/>
      <w:r w:rsidR="008126EC" w:rsidRPr="00CA02F3">
        <w:rPr>
          <w:snapToGrid w:val="0"/>
          <w:szCs w:val="24"/>
          <w:lang w:val="en-GB"/>
        </w:rPr>
        <w:t xml:space="preserve"> cost effective at a price that resulted in an ICER of no more than </w:t>
      </w:r>
      <w:r w:rsidR="00B526BE" w:rsidRPr="00B526BE">
        <w:rPr>
          <w:snapToGrid w:val="0"/>
          <w:szCs w:val="24"/>
          <w:lang w:val="en-GB"/>
        </w:rPr>
        <w:t>$35,000 to &lt; $45,000</w:t>
      </w:r>
      <w:r w:rsidR="008126EC" w:rsidRPr="00CA02F3">
        <w:rPr>
          <w:snapToGrid w:val="0"/>
          <w:szCs w:val="24"/>
          <w:lang w:val="en-GB"/>
        </w:rPr>
        <w:t xml:space="preserve"> per QALY using th</w:t>
      </w:r>
      <w:r w:rsidR="00C3053D">
        <w:rPr>
          <w:snapToGrid w:val="0"/>
          <w:szCs w:val="24"/>
          <w:lang w:val="en-GB"/>
        </w:rPr>
        <w:t>e</w:t>
      </w:r>
      <w:r w:rsidR="008126EC" w:rsidRPr="00CA02F3">
        <w:rPr>
          <w:snapToGrid w:val="0"/>
          <w:szCs w:val="24"/>
          <w:lang w:val="en-GB"/>
        </w:rPr>
        <w:t xml:space="preserve"> revised multivariate analysis</w:t>
      </w:r>
      <w:r w:rsidR="00C3053D">
        <w:rPr>
          <w:snapToGrid w:val="0"/>
          <w:szCs w:val="24"/>
          <w:lang w:val="en-GB"/>
        </w:rPr>
        <w:t xml:space="preserve"> outlined in paragraph 7.13</w:t>
      </w:r>
      <w:r w:rsidR="003D0255">
        <w:rPr>
          <w:snapToGrid w:val="0"/>
          <w:szCs w:val="24"/>
          <w:lang w:val="en-GB"/>
        </w:rPr>
        <w:t xml:space="preserve">. </w:t>
      </w:r>
      <w:r w:rsidR="008126EC" w:rsidRPr="00CA02F3">
        <w:rPr>
          <w:snapToGrid w:val="0"/>
          <w:szCs w:val="24"/>
          <w:lang w:val="en-GB"/>
        </w:rPr>
        <w:t xml:space="preserve">The PBAC noted that this was consistent with its considerations of the cost-effectiveness of other </w:t>
      </w:r>
      <w:r w:rsidR="008126EC" w:rsidRPr="00C61D40">
        <w:rPr>
          <w:snapToGrid w:val="0"/>
          <w:szCs w:val="24"/>
          <w:lang w:val="en-GB"/>
        </w:rPr>
        <w:t>antivirals for chronic viral hepatitis</w:t>
      </w:r>
      <w:r w:rsidR="008126EC">
        <w:rPr>
          <w:snapToGrid w:val="0"/>
          <w:szCs w:val="24"/>
          <w:lang w:val="en-GB"/>
        </w:rPr>
        <w:t xml:space="preserve"> which</w:t>
      </w:r>
      <w:r w:rsidR="008126EC" w:rsidRPr="00C61D40">
        <w:rPr>
          <w:snapToGrid w:val="0"/>
          <w:szCs w:val="24"/>
          <w:lang w:val="en-GB"/>
        </w:rPr>
        <w:t xml:space="preserve"> have previously </w:t>
      </w:r>
      <w:proofErr w:type="gramStart"/>
      <w:r w:rsidR="008126EC" w:rsidRPr="00C61D40">
        <w:rPr>
          <w:snapToGrid w:val="0"/>
          <w:szCs w:val="24"/>
          <w:lang w:val="en-GB"/>
        </w:rPr>
        <w:t>been considered</w:t>
      </w:r>
      <w:proofErr w:type="gramEnd"/>
      <w:r w:rsidR="008126EC" w:rsidRPr="00C61D40">
        <w:rPr>
          <w:snapToGrid w:val="0"/>
          <w:szCs w:val="24"/>
          <w:lang w:val="en-GB"/>
        </w:rPr>
        <w:t xml:space="preserve"> cost-effective with ICERs less than </w:t>
      </w:r>
      <w:r w:rsidR="005E037A" w:rsidRPr="005E037A">
        <w:rPr>
          <w:snapToGrid w:val="0"/>
          <w:szCs w:val="24"/>
          <w:lang w:val="en-GB"/>
        </w:rPr>
        <w:t>$35,000 to &lt; $45,000</w:t>
      </w:r>
      <w:r w:rsidR="008126EC" w:rsidRPr="00C61D40">
        <w:rPr>
          <w:snapToGrid w:val="0"/>
          <w:szCs w:val="24"/>
          <w:lang w:val="en-GB"/>
        </w:rPr>
        <w:t>/QALY</w:t>
      </w:r>
      <w:r w:rsidR="008126EC">
        <w:rPr>
          <w:snapToGrid w:val="0"/>
          <w:szCs w:val="24"/>
          <w:lang w:val="en-GB"/>
        </w:rPr>
        <w:t>.</w:t>
      </w:r>
      <w:r w:rsidR="009442A0">
        <w:rPr>
          <w:snapToGrid w:val="0"/>
          <w:szCs w:val="24"/>
          <w:lang w:val="en-GB"/>
        </w:rPr>
        <w:t xml:space="preserve"> </w:t>
      </w:r>
    </w:p>
    <w:p w14:paraId="332CCC3C" w14:textId="5C7B9153" w:rsidR="002963E6" w:rsidRPr="002963E6" w:rsidRDefault="00702EE2" w:rsidP="0041700E">
      <w:pPr>
        <w:pStyle w:val="3-BodyText"/>
      </w:pPr>
      <w:r w:rsidRPr="005A3908">
        <w:rPr>
          <w:snapToGrid w:val="0"/>
          <w:lang w:val="en-GB"/>
        </w:rPr>
        <w:t xml:space="preserve">The PBAC also </w:t>
      </w:r>
      <w:r w:rsidR="009442A0">
        <w:rPr>
          <w:snapToGrid w:val="0"/>
          <w:lang w:val="en-GB"/>
        </w:rPr>
        <w:t xml:space="preserve">recalled in its previous consideration that it </w:t>
      </w:r>
      <w:r w:rsidRPr="005A3908">
        <w:rPr>
          <w:snapToGrid w:val="0"/>
          <w:lang w:val="en-GB"/>
        </w:rPr>
        <w:t xml:space="preserve">considered the </w:t>
      </w:r>
      <w:r>
        <w:rPr>
          <w:snapToGrid w:val="0"/>
          <w:lang w:val="en-GB"/>
        </w:rPr>
        <w:t xml:space="preserve">proposed </w:t>
      </w:r>
      <w:r w:rsidRPr="005A3908">
        <w:rPr>
          <w:snapToGrid w:val="0"/>
          <w:lang w:val="en-GB"/>
        </w:rPr>
        <w:t xml:space="preserve">utilisation of bulevirtide was </w:t>
      </w:r>
      <w:r>
        <w:rPr>
          <w:snapToGrid w:val="0"/>
          <w:lang w:val="en-GB"/>
        </w:rPr>
        <w:t>uncertain but the estimates presented in the submission appeared to be reasonable.</w:t>
      </w:r>
    </w:p>
    <w:p w14:paraId="59880C88" w14:textId="10A71779" w:rsidR="009237B8" w:rsidRPr="009237B8" w:rsidRDefault="005E0EF0" w:rsidP="0041700E">
      <w:pPr>
        <w:pStyle w:val="3-BodyText"/>
      </w:pPr>
      <w:r>
        <w:t xml:space="preserve">The PBAC </w:t>
      </w:r>
      <w:r w:rsidR="00565892">
        <w:t xml:space="preserve">reaffirmed its </w:t>
      </w:r>
      <w:r w:rsidR="00FF4EBA">
        <w:t>views</w:t>
      </w:r>
      <w:r w:rsidR="00565892">
        <w:t xml:space="preserve"> </w:t>
      </w:r>
      <w:r w:rsidR="00FF4EBA">
        <w:t xml:space="preserve">regarding the </w:t>
      </w:r>
      <w:r w:rsidR="00B71548" w:rsidRPr="00B71548">
        <w:t xml:space="preserve">Section 100 Highly Specialised Drugs Program </w:t>
      </w:r>
      <w:r w:rsidR="006F763B">
        <w:t>(</w:t>
      </w:r>
      <w:r w:rsidR="006F763B" w:rsidRPr="00B71548">
        <w:t>Public and Private Hospital and Community Access</w:t>
      </w:r>
      <w:r w:rsidR="006F763B">
        <w:t xml:space="preserve">) </w:t>
      </w:r>
      <w:r w:rsidR="00B71548" w:rsidRPr="00B71548">
        <w:t>Streamlined Authority listing for bulevirtide</w:t>
      </w:r>
      <w:r w:rsidR="00B71548">
        <w:t xml:space="preserve"> for the treatment of CHD infection</w:t>
      </w:r>
      <w:r w:rsidR="00A04FAE">
        <w:t xml:space="preserve"> (as per paragraph 7.4)</w:t>
      </w:r>
      <w:r w:rsidR="00B71548">
        <w:t>.</w:t>
      </w:r>
      <w:r w:rsidR="009237B8" w:rsidRPr="009237B8">
        <w:t xml:space="preserve"> The </w:t>
      </w:r>
      <w:r w:rsidR="00CF557A">
        <w:t>PBAC noted the re</w:t>
      </w:r>
      <w:r w:rsidR="009237B8" w:rsidRPr="009237B8">
        <w:t xml:space="preserve">submission requested a grandfather restriction and noted that there are currently 10 patients accessing bulevirtide. </w:t>
      </w:r>
      <w:r w:rsidR="00CF557A">
        <w:t>The PBAC considered</w:t>
      </w:r>
      <w:r w:rsidR="00CF557A" w:rsidRPr="00CF557A">
        <w:t xml:space="preserve"> a separate grandfather restriction </w:t>
      </w:r>
      <w:r w:rsidR="00CF557A">
        <w:t>wa</w:t>
      </w:r>
      <w:r w:rsidR="00CF557A" w:rsidRPr="00CF557A">
        <w:t>s not necessary</w:t>
      </w:r>
      <w:r w:rsidR="00CF557A">
        <w:t xml:space="preserve"> as grandfathered </w:t>
      </w:r>
      <w:r w:rsidR="009237B8" w:rsidRPr="009237B8">
        <w:t xml:space="preserve">patients </w:t>
      </w:r>
      <w:r w:rsidR="00490A61">
        <w:t xml:space="preserve">would be able to meet </w:t>
      </w:r>
      <w:r w:rsidR="009237B8" w:rsidRPr="009237B8">
        <w:t xml:space="preserve">the clinical criteria at the time of treatment initiation under the </w:t>
      </w:r>
      <w:r w:rsidR="00490A61">
        <w:t xml:space="preserve">recommended </w:t>
      </w:r>
      <w:r w:rsidR="009237B8" w:rsidRPr="009237B8">
        <w:t xml:space="preserve">listing. </w:t>
      </w:r>
    </w:p>
    <w:p w14:paraId="4657A80D" w14:textId="2DBAA81C" w:rsidR="00AC6AC1" w:rsidRPr="006F1E6E" w:rsidRDefault="00AC6AC1" w:rsidP="0041700E">
      <w:pPr>
        <w:pStyle w:val="3-BodyText"/>
        <w:rPr>
          <w:color w:val="3366FF"/>
        </w:rPr>
      </w:pPr>
      <w:r w:rsidRPr="00091320">
        <w:rPr>
          <w:lang w:val="en-GB"/>
        </w:rPr>
        <w:t xml:space="preserve">The PBAC advised that </w:t>
      </w:r>
      <w:r>
        <w:rPr>
          <w:lang w:val="en-GB"/>
        </w:rPr>
        <w:t>bulevirtide</w:t>
      </w:r>
      <w:r w:rsidRPr="00091320">
        <w:rPr>
          <w:lang w:val="en-GB"/>
        </w:rPr>
        <w:t xml:space="preserve"> is suitable for prescribing by nurse practitioners</w:t>
      </w:r>
      <w:r>
        <w:rPr>
          <w:lang w:val="en-GB"/>
        </w:rPr>
        <w:t xml:space="preserve"> for </w:t>
      </w:r>
      <w:r w:rsidRPr="000E64E7">
        <w:rPr>
          <w:lang w:val="en-GB"/>
        </w:rPr>
        <w:t>continuation of therapy</w:t>
      </w:r>
      <w:r w:rsidR="00CA5C0D" w:rsidRPr="00CA5C0D">
        <w:rPr>
          <w:lang w:val="en-GB"/>
        </w:rPr>
        <w:t>.</w:t>
      </w:r>
    </w:p>
    <w:p w14:paraId="42C6AFE0" w14:textId="04C1392E" w:rsidR="00AE53D1" w:rsidRPr="00AE53D1" w:rsidRDefault="00172FB8" w:rsidP="0041700E">
      <w:pPr>
        <w:pStyle w:val="3-BodyText"/>
      </w:pPr>
      <w:r w:rsidRPr="00172FB8">
        <w:t xml:space="preserve">The PBAC recommended that </w:t>
      </w:r>
      <w:r w:rsidR="00985697">
        <w:t>bulevirtide</w:t>
      </w:r>
      <w:r w:rsidR="00985697" w:rsidRPr="00172FB8">
        <w:t xml:space="preserve"> </w:t>
      </w:r>
      <w:r w:rsidRPr="00172FB8">
        <w:t xml:space="preserve">should not be treated as interchangeable on an individual patient basis with any other drugs under Section 101 (3BA) of the </w:t>
      </w:r>
      <w:r w:rsidRPr="00172FB8">
        <w:rPr>
          <w:i/>
          <w:iCs/>
        </w:rPr>
        <w:t>National Health Act 1953</w:t>
      </w:r>
      <w:r w:rsidRPr="00172FB8">
        <w:t>.</w:t>
      </w:r>
      <w:r w:rsidR="003F0209">
        <w:t xml:space="preserve"> The PBAC considered b</w:t>
      </w:r>
      <w:r w:rsidR="003F0209" w:rsidRPr="003F0209">
        <w:t>ulevirtide is the only targeted therapy currently proposed for hepatitis D infection, and there are no comparable direct acting anti-viral agents for other forms of hepatitis that have similar mechanisms of action (as an entry inhibitor for hepatitis B/D virus).</w:t>
      </w:r>
    </w:p>
    <w:p w14:paraId="2A9EC7CF" w14:textId="3B744666" w:rsidR="006D0040" w:rsidRPr="00091320" w:rsidRDefault="006D0040" w:rsidP="0041700E">
      <w:pPr>
        <w:pStyle w:val="3-BodyText"/>
        <w:numPr>
          <w:ilvl w:val="1"/>
          <w:numId w:val="1"/>
        </w:numPr>
        <w:rPr>
          <w:color w:val="3366FF"/>
        </w:rPr>
      </w:pPr>
      <w:r>
        <w:rPr>
          <w:bCs/>
          <w:lang w:val="en-GB"/>
        </w:rPr>
        <w:t xml:space="preserve">The PBAC advised that </w:t>
      </w:r>
      <w:r w:rsidR="009A65CA">
        <w:rPr>
          <w:bCs/>
          <w:lang w:val="en-GB"/>
        </w:rPr>
        <w:t xml:space="preserve">bulevirtide </w:t>
      </w:r>
      <w:r w:rsidR="009A65CA" w:rsidRPr="009A65CA">
        <w:rPr>
          <w:bCs/>
          <w:lang w:val="en-GB"/>
        </w:rPr>
        <w:t>should not be exempt from the Early Supply Rule as it currently applies to anti-viral therapies for chronic hepatitis B.</w:t>
      </w:r>
    </w:p>
    <w:p w14:paraId="4D25D62B" w14:textId="7B3F8F91" w:rsidR="00C143A2" w:rsidRPr="00F350D1" w:rsidRDefault="00C143A2" w:rsidP="0041700E">
      <w:pPr>
        <w:pStyle w:val="3-BodyText"/>
        <w:rPr>
          <w:b/>
          <w:lang w:val="en-GB"/>
        </w:rPr>
      </w:pPr>
      <w:r>
        <w:t xml:space="preserve">The </w:t>
      </w:r>
      <w:r w:rsidRPr="00F350D1">
        <w:rPr>
          <w:lang w:val="en-GB"/>
        </w:rPr>
        <w:t xml:space="preserve">PBAC found that the criteria prescribed by the </w:t>
      </w:r>
      <w:r w:rsidRPr="00F350D1">
        <w:rPr>
          <w:i/>
          <w:lang w:val="en-GB"/>
        </w:rPr>
        <w:t>National Health (Pharmaceuticals and Vaccines – Cost Recovery) Regulations 2022</w:t>
      </w:r>
      <w:r w:rsidRPr="00F350D1">
        <w:rPr>
          <w:lang w:val="en-GB"/>
        </w:rPr>
        <w:t xml:space="preserve"> for Pricing Pathway A were not met. </w:t>
      </w:r>
      <w:r w:rsidR="00220765" w:rsidRPr="00F350D1">
        <w:rPr>
          <w:lang w:val="en-GB"/>
        </w:rPr>
        <w:t>Specifically,</w:t>
      </w:r>
      <w:r w:rsidRPr="00F350D1">
        <w:rPr>
          <w:lang w:val="en-GB"/>
        </w:rPr>
        <w:t xml:space="preserve"> the PBAC found that in the circumstances of its recommendation </w:t>
      </w:r>
      <w:r>
        <w:rPr>
          <w:lang w:val="en-GB"/>
        </w:rPr>
        <w:t>bulevirtide</w:t>
      </w:r>
      <w:r w:rsidRPr="00F350D1">
        <w:rPr>
          <w:lang w:val="en-GB"/>
        </w:rPr>
        <w:t>:</w:t>
      </w:r>
    </w:p>
    <w:p w14:paraId="3F961A52" w14:textId="01C57859" w:rsidR="00C143A2" w:rsidRPr="00F350D1" w:rsidRDefault="00C143A2" w:rsidP="0041700E">
      <w:pPr>
        <w:pStyle w:val="ListParagraph"/>
        <w:numPr>
          <w:ilvl w:val="4"/>
          <w:numId w:val="43"/>
        </w:numPr>
        <w:spacing w:after="0"/>
        <w:ind w:left="960"/>
        <w:jc w:val="both"/>
        <w:rPr>
          <w:lang w:val="en-GB"/>
        </w:rPr>
      </w:pPr>
      <w:r w:rsidRPr="00F350D1">
        <w:rPr>
          <w:lang w:val="en-GB"/>
        </w:rPr>
        <w:t xml:space="preserve">The treatment </w:t>
      </w:r>
      <w:proofErr w:type="gramStart"/>
      <w:r w:rsidRPr="00F350D1">
        <w:rPr>
          <w:lang w:val="en-GB"/>
        </w:rPr>
        <w:t xml:space="preserve">is </w:t>
      </w:r>
      <w:r w:rsidR="002D20D5">
        <w:rPr>
          <w:lang w:val="en-GB"/>
        </w:rPr>
        <w:t xml:space="preserve">not </w:t>
      </w:r>
      <w:r w:rsidRPr="00F350D1">
        <w:rPr>
          <w:lang w:val="en-GB"/>
        </w:rPr>
        <w:t>expected</w:t>
      </w:r>
      <w:proofErr w:type="gramEnd"/>
      <w:r w:rsidRPr="00F350D1">
        <w:rPr>
          <w:lang w:val="en-GB"/>
        </w:rPr>
        <w:t xml:space="preserve"> to provide a substantial and clinically relevant improvement in efficacy over alternative therapies</w:t>
      </w:r>
      <w:r w:rsidR="00264ABA">
        <w:rPr>
          <w:lang w:val="en-GB"/>
        </w:rPr>
        <w:t>. A</w:t>
      </w:r>
      <w:r w:rsidR="002D20D5">
        <w:rPr>
          <w:lang w:val="en-GB"/>
        </w:rPr>
        <w:t>lthough</w:t>
      </w:r>
      <w:r>
        <w:rPr>
          <w:lang w:val="en-GB"/>
        </w:rPr>
        <w:t xml:space="preserve"> the </w:t>
      </w:r>
      <w:r w:rsidRPr="4904BCD2">
        <w:t>MYR301</w:t>
      </w:r>
      <w:r w:rsidRPr="006B42D9">
        <w:rPr>
          <w:lang w:val="en-GB"/>
        </w:rPr>
        <w:t xml:space="preserve"> trial</w:t>
      </w:r>
      <w:r w:rsidR="002E0901">
        <w:rPr>
          <w:lang w:val="en-GB"/>
        </w:rPr>
        <w:t xml:space="preserve"> </w:t>
      </w:r>
      <w:r w:rsidR="002D20D5">
        <w:rPr>
          <w:lang w:val="en-GB"/>
        </w:rPr>
        <w:t xml:space="preserve">demonstrated a benefit in </w:t>
      </w:r>
      <w:r w:rsidR="009513B9">
        <w:rPr>
          <w:lang w:val="en-GB"/>
        </w:rPr>
        <w:t xml:space="preserve">terms of </w:t>
      </w:r>
      <w:r w:rsidR="002E0901" w:rsidRPr="00FF37DC">
        <w:t>virologic response</w:t>
      </w:r>
      <w:r w:rsidR="00264ABA">
        <w:t>,</w:t>
      </w:r>
      <w:r w:rsidR="002D20D5">
        <w:t xml:space="preserve"> </w:t>
      </w:r>
      <w:r w:rsidR="002D20D5" w:rsidRPr="002D20D5">
        <w:t xml:space="preserve">longer-term </w:t>
      </w:r>
      <w:r w:rsidR="002D20D5">
        <w:t xml:space="preserve">patient-relevant </w:t>
      </w:r>
      <w:r w:rsidR="002D20D5" w:rsidRPr="002D20D5">
        <w:t xml:space="preserve">clinical benefits of bulevirtide treatment </w:t>
      </w:r>
      <w:r w:rsidR="005F30F6">
        <w:t>(</w:t>
      </w:r>
      <w:r w:rsidR="002D20D5" w:rsidRPr="002D20D5">
        <w:t>reduction in liver decompensation, HCC, liver transplantation, or mortality</w:t>
      </w:r>
      <w:r w:rsidR="005F30F6">
        <w:t>)</w:t>
      </w:r>
      <w:r w:rsidR="002D20D5" w:rsidRPr="002D20D5">
        <w:t xml:space="preserve"> remain uncertain</w:t>
      </w:r>
    </w:p>
    <w:p w14:paraId="7C7C8870" w14:textId="3095F7F3" w:rsidR="00C143A2" w:rsidRPr="00F350D1" w:rsidRDefault="00C143A2" w:rsidP="0041700E">
      <w:pPr>
        <w:pStyle w:val="ListParagraph"/>
        <w:numPr>
          <w:ilvl w:val="4"/>
          <w:numId w:val="43"/>
        </w:numPr>
        <w:spacing w:after="0"/>
        <w:ind w:left="960"/>
        <w:jc w:val="both"/>
        <w:rPr>
          <w:lang w:val="en-GB"/>
        </w:rPr>
      </w:pPr>
      <w:r w:rsidRPr="00F350D1">
        <w:rPr>
          <w:lang w:val="en-GB"/>
        </w:rPr>
        <w:t xml:space="preserve">The </w:t>
      </w:r>
      <w:r w:rsidRPr="00B617A6">
        <w:rPr>
          <w:lang w:val="en-GB"/>
        </w:rPr>
        <w:t xml:space="preserve">treatment </w:t>
      </w:r>
      <w:proofErr w:type="gramStart"/>
      <w:r w:rsidRPr="00B617A6">
        <w:rPr>
          <w:lang w:val="en-GB"/>
        </w:rPr>
        <w:t xml:space="preserve">is </w:t>
      </w:r>
      <w:r w:rsidR="00264ABA">
        <w:rPr>
          <w:lang w:val="en-GB"/>
        </w:rPr>
        <w:t xml:space="preserve">not </w:t>
      </w:r>
      <w:r w:rsidRPr="00B617A6">
        <w:rPr>
          <w:lang w:val="en-GB"/>
        </w:rPr>
        <w:t>expected</w:t>
      </w:r>
      <w:proofErr w:type="gramEnd"/>
      <w:r w:rsidRPr="00F350D1">
        <w:rPr>
          <w:lang w:val="en-GB"/>
        </w:rPr>
        <w:t xml:space="preserve"> to address a high and urgent unmet clinical nee</w:t>
      </w:r>
      <w:r w:rsidR="00220765">
        <w:rPr>
          <w:lang w:val="en-GB"/>
        </w:rPr>
        <w:t>d</w:t>
      </w:r>
    </w:p>
    <w:p w14:paraId="508B29EC" w14:textId="77777777" w:rsidR="00C143A2" w:rsidRPr="00301AAB" w:rsidRDefault="00C143A2" w:rsidP="0041700E">
      <w:pPr>
        <w:pStyle w:val="ListParagraph"/>
        <w:numPr>
          <w:ilvl w:val="4"/>
          <w:numId w:val="43"/>
        </w:numPr>
        <w:spacing w:after="0"/>
        <w:ind w:left="960"/>
        <w:jc w:val="both"/>
      </w:pPr>
      <w:r w:rsidRPr="00F350D1">
        <w:rPr>
          <w:lang w:val="en-GB"/>
        </w:rPr>
        <w:t>It was not necessary to make a finding in relation to whether it would be in the public interest for the subsequent pricing application to be progressed under Pricing Pathway A because one or more of the preceding tests had failed</w:t>
      </w:r>
      <w:r>
        <w:rPr>
          <w:lang w:val="en-GB"/>
        </w:rPr>
        <w:t>.</w:t>
      </w:r>
      <w:r w:rsidRPr="00F350D1">
        <w:rPr>
          <w:lang w:val="en-GB"/>
        </w:rPr>
        <w:t xml:space="preserve"> </w:t>
      </w:r>
    </w:p>
    <w:p w14:paraId="12D79618" w14:textId="57CAA233" w:rsidR="00B65545" w:rsidRPr="00892DE2" w:rsidRDefault="00B65545" w:rsidP="0041700E">
      <w:pPr>
        <w:pStyle w:val="3-BodyText"/>
      </w:pPr>
      <w:r w:rsidRPr="00931A5A">
        <w:lastRenderedPageBreak/>
        <w:t>The PBAC noted that this submission is not eligible for an Independent Review</w:t>
      </w:r>
      <w:r>
        <w:t xml:space="preserve"> as it is a positive recommendation</w:t>
      </w:r>
      <w:r w:rsidRPr="00931A5A">
        <w:t xml:space="preserve">. </w:t>
      </w:r>
    </w:p>
    <w:p w14:paraId="73A5CC97" w14:textId="77777777" w:rsidR="00B65545" w:rsidRPr="00892DE2" w:rsidRDefault="00B65545" w:rsidP="0041700E"/>
    <w:p w14:paraId="3AA6ADB3" w14:textId="77777777" w:rsidR="00B65545" w:rsidRDefault="00B65545" w:rsidP="0041700E">
      <w:pPr>
        <w:rPr>
          <w:b/>
          <w:bCs/>
          <w:snapToGrid w:val="0"/>
          <w:lang w:eastAsia="en-AU"/>
        </w:rPr>
      </w:pPr>
      <w:r w:rsidRPr="00E923B1">
        <w:rPr>
          <w:b/>
          <w:bCs/>
          <w:snapToGrid w:val="0"/>
          <w:lang w:eastAsia="en-AU"/>
        </w:rPr>
        <w:t>Outcome:</w:t>
      </w:r>
    </w:p>
    <w:p w14:paraId="276274C9" w14:textId="77777777" w:rsidR="00B65545" w:rsidRDefault="00B65545" w:rsidP="0041700E">
      <w:pPr>
        <w:rPr>
          <w:rFonts w:cs="Arial"/>
          <w:bCs/>
          <w:snapToGrid w:val="0"/>
          <w:lang w:val="en-GB"/>
        </w:rPr>
      </w:pPr>
      <w:r w:rsidRPr="00525B39">
        <w:rPr>
          <w:rFonts w:cs="Arial"/>
          <w:bCs/>
          <w:snapToGrid w:val="0"/>
          <w:lang w:val="en-GB"/>
        </w:rPr>
        <w:t>Recommended</w:t>
      </w:r>
    </w:p>
    <w:p w14:paraId="7B053E02" w14:textId="77777777" w:rsidR="00B459C1" w:rsidRPr="00A70DBB" w:rsidRDefault="00B459C1" w:rsidP="0041700E">
      <w:pPr>
        <w:pStyle w:val="2-SectionHeading"/>
      </w:pPr>
      <w:r w:rsidRPr="00B459C1">
        <w:t>Recommended</w:t>
      </w:r>
      <w:r w:rsidRPr="00A70DBB">
        <w:t xml:space="preserve"> listing</w:t>
      </w:r>
    </w:p>
    <w:p w14:paraId="1328C5D2" w14:textId="77777777" w:rsidR="00B459C1" w:rsidRDefault="00B459C1" w:rsidP="0041700E">
      <w:pPr>
        <w:pStyle w:val="3-BodyText"/>
      </w:pPr>
      <w:r w:rsidRPr="00A70DBB">
        <w:t>Add new</w:t>
      </w:r>
      <w:r>
        <w:t xml:space="preserve"> medicinal product</w:t>
      </w:r>
      <w:r w:rsidRPr="00A70DBB">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w:tblPr>
      <w:tblGrid>
        <w:gridCol w:w="562"/>
        <w:gridCol w:w="709"/>
        <w:gridCol w:w="2668"/>
        <w:gridCol w:w="811"/>
        <w:gridCol w:w="812"/>
        <w:gridCol w:w="811"/>
        <w:gridCol w:w="812"/>
        <w:gridCol w:w="1831"/>
      </w:tblGrid>
      <w:tr w:rsidR="002A50B5" w:rsidRPr="00FC4C9B" w14:paraId="44C605B2" w14:textId="77777777">
        <w:trPr>
          <w:cantSplit/>
          <w:trHeight w:val="20"/>
        </w:trPr>
        <w:tc>
          <w:tcPr>
            <w:tcW w:w="3939" w:type="dxa"/>
            <w:gridSpan w:val="3"/>
            <w:vAlign w:val="center"/>
          </w:tcPr>
          <w:p w14:paraId="78C10AF1" w14:textId="77777777" w:rsidR="002A50B5" w:rsidRPr="00FC4C9B" w:rsidRDefault="002A50B5" w:rsidP="0041700E">
            <w:pPr>
              <w:keepLines/>
              <w:rPr>
                <w:rFonts w:ascii="Arial Narrow" w:hAnsi="Arial Narrow" w:cs="Arial"/>
                <w:b/>
                <w:bCs/>
                <w:sz w:val="20"/>
                <w:szCs w:val="20"/>
              </w:rPr>
            </w:pPr>
            <w:r w:rsidRPr="00FC4C9B">
              <w:rPr>
                <w:rFonts w:ascii="Arial Narrow" w:hAnsi="Arial Narrow" w:cs="Arial"/>
                <w:b/>
                <w:bCs/>
                <w:sz w:val="20"/>
                <w:szCs w:val="20"/>
              </w:rPr>
              <w:t>MEDICINAL PRODUCT</w:t>
            </w:r>
          </w:p>
          <w:p w14:paraId="20CDB4E4" w14:textId="77777777" w:rsidR="002A50B5" w:rsidRPr="00FC4C9B" w:rsidRDefault="002A50B5" w:rsidP="0041700E">
            <w:pPr>
              <w:keepLines/>
              <w:rPr>
                <w:rFonts w:ascii="Arial Narrow" w:hAnsi="Arial Narrow" w:cs="Arial"/>
                <w:b/>
                <w:sz w:val="20"/>
                <w:szCs w:val="20"/>
              </w:rPr>
            </w:pPr>
            <w:r w:rsidRPr="00FC4C9B">
              <w:rPr>
                <w:rFonts w:ascii="Arial Narrow" w:hAnsi="Arial Narrow" w:cs="Arial"/>
                <w:b/>
                <w:bCs/>
                <w:sz w:val="20"/>
                <w:szCs w:val="20"/>
              </w:rPr>
              <w:t>medicinal product pack</w:t>
            </w:r>
          </w:p>
        </w:tc>
        <w:tc>
          <w:tcPr>
            <w:tcW w:w="811" w:type="dxa"/>
            <w:vAlign w:val="center"/>
          </w:tcPr>
          <w:p w14:paraId="0EA153B1" w14:textId="77777777" w:rsidR="002A50B5" w:rsidRPr="00FC4C9B" w:rsidRDefault="002A50B5" w:rsidP="0041700E">
            <w:pPr>
              <w:keepLines/>
              <w:rPr>
                <w:rFonts w:ascii="Arial Narrow" w:hAnsi="Arial Narrow" w:cs="Arial"/>
                <w:b/>
                <w:sz w:val="20"/>
                <w:szCs w:val="20"/>
              </w:rPr>
            </w:pPr>
            <w:r w:rsidRPr="00FC4C9B">
              <w:rPr>
                <w:rFonts w:ascii="Arial Narrow" w:hAnsi="Arial Narrow" w:cs="Arial"/>
                <w:b/>
                <w:sz w:val="20"/>
                <w:szCs w:val="20"/>
              </w:rPr>
              <w:t>PBS item code</w:t>
            </w:r>
          </w:p>
        </w:tc>
        <w:tc>
          <w:tcPr>
            <w:tcW w:w="812" w:type="dxa"/>
            <w:vAlign w:val="center"/>
          </w:tcPr>
          <w:p w14:paraId="5E145E01" w14:textId="77777777" w:rsidR="002A50B5" w:rsidRPr="00FC4C9B" w:rsidRDefault="002A50B5" w:rsidP="0041700E">
            <w:pPr>
              <w:keepLines/>
              <w:rPr>
                <w:rFonts w:ascii="Arial Narrow" w:hAnsi="Arial Narrow" w:cs="Arial"/>
                <w:b/>
                <w:sz w:val="20"/>
                <w:szCs w:val="20"/>
              </w:rPr>
            </w:pPr>
            <w:r w:rsidRPr="00FC4C9B">
              <w:rPr>
                <w:rFonts w:ascii="Arial Narrow" w:hAnsi="Arial Narrow" w:cs="Arial"/>
                <w:b/>
                <w:sz w:val="20"/>
                <w:szCs w:val="20"/>
              </w:rPr>
              <w:t>Max. qty packs</w:t>
            </w:r>
          </w:p>
        </w:tc>
        <w:tc>
          <w:tcPr>
            <w:tcW w:w="811" w:type="dxa"/>
            <w:vAlign w:val="center"/>
          </w:tcPr>
          <w:p w14:paraId="4E6728C0" w14:textId="77777777" w:rsidR="002A50B5" w:rsidRPr="00FC4C9B" w:rsidRDefault="002A50B5" w:rsidP="0041700E">
            <w:pPr>
              <w:keepLines/>
              <w:rPr>
                <w:rFonts w:ascii="Arial Narrow" w:hAnsi="Arial Narrow" w:cs="Arial"/>
                <w:b/>
                <w:sz w:val="20"/>
                <w:szCs w:val="20"/>
              </w:rPr>
            </w:pPr>
            <w:r w:rsidRPr="00FC4C9B">
              <w:rPr>
                <w:rFonts w:ascii="Arial Narrow" w:hAnsi="Arial Narrow" w:cs="Arial"/>
                <w:b/>
                <w:sz w:val="20"/>
                <w:szCs w:val="20"/>
              </w:rPr>
              <w:t>Max. qty units</w:t>
            </w:r>
          </w:p>
        </w:tc>
        <w:tc>
          <w:tcPr>
            <w:tcW w:w="812" w:type="dxa"/>
            <w:vAlign w:val="center"/>
          </w:tcPr>
          <w:p w14:paraId="6693262A" w14:textId="77777777" w:rsidR="002A50B5" w:rsidRPr="00FC4C9B" w:rsidRDefault="002A50B5" w:rsidP="0041700E">
            <w:pPr>
              <w:keepLines/>
              <w:rPr>
                <w:rFonts w:ascii="Arial Narrow" w:hAnsi="Arial Narrow" w:cs="Arial"/>
                <w:b/>
                <w:bCs/>
                <w:sz w:val="20"/>
                <w:szCs w:val="20"/>
              </w:rPr>
            </w:pPr>
            <w:r w:rsidRPr="4904BCD2">
              <w:rPr>
                <w:rFonts w:ascii="Arial Narrow" w:hAnsi="Arial Narrow" w:cs="Arial"/>
                <w:b/>
                <w:bCs/>
                <w:sz w:val="20"/>
                <w:szCs w:val="20"/>
              </w:rPr>
              <w:t>№.of</w:t>
            </w:r>
          </w:p>
          <w:p w14:paraId="362BFFFC" w14:textId="77777777" w:rsidR="002A50B5" w:rsidRPr="00FC4C9B" w:rsidRDefault="002A50B5" w:rsidP="0041700E">
            <w:pPr>
              <w:keepLines/>
              <w:rPr>
                <w:rFonts w:ascii="Arial Narrow" w:hAnsi="Arial Narrow" w:cs="Arial"/>
                <w:b/>
                <w:bCs/>
                <w:sz w:val="20"/>
                <w:szCs w:val="20"/>
              </w:rPr>
            </w:pPr>
            <w:r w:rsidRPr="4904BCD2">
              <w:rPr>
                <w:rFonts w:ascii="Arial Narrow" w:hAnsi="Arial Narrow" w:cs="Arial"/>
                <w:b/>
                <w:bCs/>
                <w:sz w:val="20"/>
                <w:szCs w:val="20"/>
              </w:rPr>
              <w:t>Rpts</w:t>
            </w:r>
          </w:p>
        </w:tc>
        <w:tc>
          <w:tcPr>
            <w:tcW w:w="1831" w:type="dxa"/>
            <w:vAlign w:val="center"/>
          </w:tcPr>
          <w:p w14:paraId="51084182" w14:textId="77777777" w:rsidR="002A50B5" w:rsidRPr="00FC4C9B" w:rsidRDefault="002A50B5" w:rsidP="0041700E">
            <w:pPr>
              <w:keepLines/>
              <w:rPr>
                <w:rFonts w:ascii="Arial Narrow" w:hAnsi="Arial Narrow" w:cs="Arial"/>
                <w:b/>
                <w:sz w:val="20"/>
                <w:szCs w:val="20"/>
                <w:lang w:val="fr-FR"/>
              </w:rPr>
            </w:pPr>
            <w:r w:rsidRPr="00FC4C9B">
              <w:rPr>
                <w:rFonts w:ascii="Arial Narrow" w:hAnsi="Arial Narrow" w:cs="Arial"/>
                <w:b/>
                <w:sz w:val="20"/>
                <w:szCs w:val="20"/>
              </w:rPr>
              <w:t>Available brands</w:t>
            </w:r>
          </w:p>
        </w:tc>
      </w:tr>
      <w:tr w:rsidR="002A50B5" w:rsidRPr="00FC4C9B" w14:paraId="44B58893" w14:textId="77777777">
        <w:trPr>
          <w:cantSplit/>
          <w:trHeight w:val="20"/>
        </w:trPr>
        <w:tc>
          <w:tcPr>
            <w:tcW w:w="9016" w:type="dxa"/>
            <w:gridSpan w:val="8"/>
            <w:vAlign w:val="center"/>
          </w:tcPr>
          <w:p w14:paraId="7BD565F6" w14:textId="77777777" w:rsidR="002A50B5" w:rsidRPr="00FC4C9B" w:rsidRDefault="002A50B5" w:rsidP="0041700E">
            <w:pPr>
              <w:keepLines/>
              <w:rPr>
                <w:rFonts w:ascii="Arial Narrow" w:hAnsi="Arial Narrow" w:cs="Arial"/>
                <w:sz w:val="20"/>
                <w:szCs w:val="20"/>
              </w:rPr>
            </w:pPr>
            <w:r w:rsidRPr="00FC4C9B">
              <w:rPr>
                <w:rFonts w:ascii="Arial Narrow" w:hAnsi="Arial Narrow" w:cs="Arial"/>
                <w:sz w:val="20"/>
                <w:szCs w:val="20"/>
              </w:rPr>
              <w:t>BULEVIRTIDE</w:t>
            </w:r>
          </w:p>
        </w:tc>
      </w:tr>
      <w:tr w:rsidR="002A50B5" w:rsidRPr="00FC4C9B" w14:paraId="2986DD71" w14:textId="77777777">
        <w:trPr>
          <w:cantSplit/>
          <w:trHeight w:val="20"/>
        </w:trPr>
        <w:tc>
          <w:tcPr>
            <w:tcW w:w="3939" w:type="dxa"/>
            <w:gridSpan w:val="3"/>
            <w:vAlign w:val="center"/>
          </w:tcPr>
          <w:p w14:paraId="03455323" w14:textId="77777777" w:rsidR="002A50B5" w:rsidRPr="00FC4C9B" w:rsidRDefault="002A50B5" w:rsidP="0041700E">
            <w:pPr>
              <w:keepLines/>
              <w:rPr>
                <w:rFonts w:ascii="Arial Narrow" w:hAnsi="Arial Narrow" w:cs="Arial"/>
                <w:sz w:val="20"/>
                <w:szCs w:val="20"/>
              </w:rPr>
            </w:pPr>
            <w:r w:rsidRPr="37C20EEE">
              <w:rPr>
                <w:rFonts w:ascii="Arial Narrow" w:hAnsi="Arial Narrow" w:cs="Arial"/>
                <w:sz w:val="20"/>
                <w:szCs w:val="20"/>
              </w:rPr>
              <w:t>Bulevirtide acetate 2 mg injection, 30 vials</w:t>
            </w:r>
          </w:p>
        </w:tc>
        <w:tc>
          <w:tcPr>
            <w:tcW w:w="811" w:type="dxa"/>
            <w:vAlign w:val="center"/>
          </w:tcPr>
          <w:p w14:paraId="15931021" w14:textId="77777777" w:rsidR="002A50B5" w:rsidRPr="00FC4C9B" w:rsidRDefault="002A50B5" w:rsidP="0041700E">
            <w:pPr>
              <w:keepLines/>
              <w:rPr>
                <w:rFonts w:ascii="Arial Narrow" w:hAnsi="Arial Narrow" w:cs="Arial"/>
                <w:sz w:val="20"/>
                <w:szCs w:val="20"/>
              </w:rPr>
            </w:pPr>
            <w:r w:rsidRPr="00FC4C9B">
              <w:rPr>
                <w:rFonts w:ascii="Arial Narrow" w:hAnsi="Arial Narrow" w:cs="Arial"/>
                <w:sz w:val="20"/>
                <w:szCs w:val="20"/>
              </w:rPr>
              <w:t>NEW</w:t>
            </w:r>
          </w:p>
        </w:tc>
        <w:tc>
          <w:tcPr>
            <w:tcW w:w="812" w:type="dxa"/>
            <w:vAlign w:val="center"/>
          </w:tcPr>
          <w:p w14:paraId="45DE6E20" w14:textId="77777777" w:rsidR="002A50B5" w:rsidRPr="00FC4C9B" w:rsidRDefault="002A50B5" w:rsidP="0041700E">
            <w:pPr>
              <w:keepLines/>
              <w:rPr>
                <w:rFonts w:ascii="Arial Narrow" w:hAnsi="Arial Narrow" w:cs="Arial"/>
                <w:sz w:val="20"/>
                <w:szCs w:val="20"/>
              </w:rPr>
            </w:pPr>
            <w:r w:rsidRPr="00FC4C9B">
              <w:rPr>
                <w:rFonts w:ascii="Arial Narrow" w:hAnsi="Arial Narrow" w:cs="Arial"/>
                <w:sz w:val="20"/>
                <w:szCs w:val="20"/>
              </w:rPr>
              <w:t>2</w:t>
            </w:r>
          </w:p>
        </w:tc>
        <w:tc>
          <w:tcPr>
            <w:tcW w:w="811" w:type="dxa"/>
            <w:vAlign w:val="center"/>
          </w:tcPr>
          <w:p w14:paraId="01338B95" w14:textId="77777777" w:rsidR="002A50B5" w:rsidRPr="00FC4C9B" w:rsidRDefault="002A50B5" w:rsidP="0041700E">
            <w:pPr>
              <w:keepLines/>
              <w:rPr>
                <w:rFonts w:ascii="Arial Narrow" w:hAnsi="Arial Narrow" w:cs="Arial"/>
                <w:sz w:val="20"/>
                <w:szCs w:val="20"/>
              </w:rPr>
            </w:pPr>
            <w:r w:rsidRPr="00FC4C9B">
              <w:rPr>
                <w:rFonts w:ascii="Arial Narrow" w:hAnsi="Arial Narrow" w:cs="Arial"/>
                <w:sz w:val="20"/>
                <w:szCs w:val="20"/>
              </w:rPr>
              <w:t>60</w:t>
            </w:r>
          </w:p>
        </w:tc>
        <w:tc>
          <w:tcPr>
            <w:tcW w:w="812" w:type="dxa"/>
            <w:vAlign w:val="center"/>
          </w:tcPr>
          <w:p w14:paraId="317E9152" w14:textId="77777777" w:rsidR="002A50B5" w:rsidRPr="00FC4C9B" w:rsidRDefault="002A50B5" w:rsidP="0041700E">
            <w:pPr>
              <w:keepLines/>
              <w:rPr>
                <w:rFonts w:ascii="Arial Narrow" w:hAnsi="Arial Narrow" w:cs="Arial"/>
                <w:sz w:val="20"/>
                <w:szCs w:val="20"/>
              </w:rPr>
            </w:pPr>
            <w:r w:rsidRPr="00FC4C9B">
              <w:rPr>
                <w:rFonts w:ascii="Arial Narrow" w:hAnsi="Arial Narrow" w:cs="Arial"/>
                <w:sz w:val="20"/>
                <w:szCs w:val="20"/>
              </w:rPr>
              <w:t>5</w:t>
            </w:r>
          </w:p>
        </w:tc>
        <w:tc>
          <w:tcPr>
            <w:tcW w:w="1831" w:type="dxa"/>
            <w:vAlign w:val="center"/>
          </w:tcPr>
          <w:p w14:paraId="5F99C77D" w14:textId="77777777" w:rsidR="002A50B5" w:rsidRPr="00FC4C9B" w:rsidRDefault="002A50B5" w:rsidP="0041700E">
            <w:pPr>
              <w:keepLines/>
              <w:rPr>
                <w:rFonts w:ascii="Arial Narrow" w:hAnsi="Arial Narrow" w:cs="Arial"/>
                <w:sz w:val="20"/>
                <w:szCs w:val="20"/>
              </w:rPr>
            </w:pPr>
            <w:r w:rsidRPr="00FC4C9B">
              <w:rPr>
                <w:rFonts w:ascii="Arial Narrow" w:hAnsi="Arial Narrow" w:cs="Arial"/>
                <w:sz w:val="20"/>
                <w:szCs w:val="20"/>
              </w:rPr>
              <w:t>HEPCLUDEX</w:t>
            </w:r>
            <w:r w:rsidRPr="00FC4C9B">
              <w:rPr>
                <w:rFonts w:ascii="Arial Narrow" w:eastAsia="Calibri" w:hAnsi="Arial Narrow" w:cs="Arial"/>
                <w:sz w:val="20"/>
                <w:szCs w:val="20"/>
                <w:vertAlign w:val="superscript"/>
              </w:rPr>
              <w:t>®</w:t>
            </w:r>
          </w:p>
        </w:tc>
      </w:tr>
      <w:tr w:rsidR="002A50B5" w:rsidRPr="00FC4C9B" w14:paraId="6CB7EC49" w14:textId="77777777">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35E9FDBC" w14:textId="77777777" w:rsidR="002A50B5" w:rsidRPr="00FC4C9B" w:rsidRDefault="002A50B5" w:rsidP="0041700E">
            <w:pPr>
              <w:rPr>
                <w:rFonts w:ascii="Arial Narrow" w:hAnsi="Arial Narrow" w:cs="Arial"/>
                <w:sz w:val="20"/>
                <w:szCs w:val="20"/>
              </w:rPr>
            </w:pPr>
          </w:p>
        </w:tc>
      </w:tr>
      <w:tr w:rsidR="002A50B5" w:rsidRPr="00FC4C9B" w14:paraId="39756E83" w14:textId="77777777">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66F0A84D" w14:textId="77777777" w:rsidR="002A50B5" w:rsidRPr="00FC4C9B" w:rsidRDefault="002A50B5" w:rsidP="0041700E">
            <w:pPr>
              <w:keepLines/>
              <w:rPr>
                <w:rFonts w:ascii="Arial Narrow" w:hAnsi="Arial Narrow" w:cs="Arial"/>
                <w:b/>
                <w:sz w:val="20"/>
                <w:szCs w:val="20"/>
              </w:rPr>
            </w:pPr>
            <w:r w:rsidRPr="00FC4C9B">
              <w:rPr>
                <w:rFonts w:ascii="Arial Narrow" w:hAnsi="Arial Narrow"/>
                <w:b/>
                <w:sz w:val="20"/>
                <w:szCs w:val="20"/>
              </w:rPr>
              <w:t xml:space="preserve">Restriction Summary [new1] / Treatment of Concept: [new1A] </w:t>
            </w:r>
          </w:p>
        </w:tc>
      </w:tr>
      <w:tr w:rsidR="002A50B5" w:rsidRPr="00FC4C9B" w14:paraId="44DE1DF6" w14:textId="77777777">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691D5794" w14:textId="77777777" w:rsidR="002A50B5" w:rsidRPr="00FC4C9B" w:rsidRDefault="002A50B5" w:rsidP="0041700E">
            <w:pPr>
              <w:rPr>
                <w:rFonts w:ascii="Arial Narrow" w:hAnsi="Arial Narrow" w:cs="Arial"/>
                <w:b/>
                <w:sz w:val="20"/>
                <w:szCs w:val="20"/>
              </w:rPr>
            </w:pPr>
            <w:r w:rsidRPr="00FC4C9B">
              <w:rPr>
                <w:rFonts w:ascii="Arial Narrow" w:hAnsi="Arial Narrow" w:cs="Arial"/>
                <w:b/>
                <w:sz w:val="20"/>
                <w:szCs w:val="20"/>
              </w:rPr>
              <w:t xml:space="preserve">Concept ID </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5B5A741" w14:textId="519B12C1" w:rsidR="002A50B5" w:rsidRPr="00FC4C9B" w:rsidRDefault="002A50B5" w:rsidP="0041700E">
            <w:pPr>
              <w:keepLines/>
              <w:jc w:val="left"/>
              <w:rPr>
                <w:rFonts w:ascii="Arial Narrow" w:hAnsi="Arial Narrow" w:cs="Arial"/>
                <w:sz w:val="20"/>
                <w:szCs w:val="20"/>
              </w:rPr>
            </w:pPr>
            <w:r w:rsidRPr="00FC4C9B">
              <w:rPr>
                <w:rFonts w:ascii="Arial Narrow" w:hAnsi="Arial Narrow" w:cs="Arial"/>
                <w:b/>
                <w:sz w:val="20"/>
                <w:szCs w:val="20"/>
              </w:rPr>
              <w:t>Category / Program:</w:t>
            </w:r>
            <w:r w:rsidRPr="00FC4C9B">
              <w:rPr>
                <w:rFonts w:ascii="Arial Narrow" w:hAnsi="Arial Narrow" w:cs="Arial"/>
                <w:sz w:val="20"/>
                <w:szCs w:val="20"/>
              </w:rPr>
              <w:t xml:space="preserve"> </w:t>
            </w:r>
            <w:r w:rsidRPr="00FC4C9B">
              <w:rPr>
                <w:rFonts w:ascii="Arial Narrow" w:eastAsia="Calibri" w:hAnsi="Arial Narrow" w:cs="Arial"/>
                <w:sz w:val="20"/>
                <w:szCs w:val="20"/>
              </w:rPr>
              <w:br/>
            </w:r>
            <w:r w:rsidRPr="00FC4C9B">
              <w:rPr>
                <w:rFonts w:ascii="Arial Narrow" w:eastAsia="Calibri" w:hAnsi="Arial Narrow" w:cs="Arial"/>
                <w:sz w:val="20"/>
                <w:szCs w:val="20"/>
              </w:rPr>
              <w:fldChar w:fldCharType="begin">
                <w:ffData>
                  <w:name w:val=""/>
                  <w:enabled/>
                  <w:calcOnExit w:val="0"/>
                  <w:checkBox>
                    <w:sizeAuto/>
                    <w:default w:val="1"/>
                  </w:checkBox>
                </w:ffData>
              </w:fldChar>
            </w:r>
            <w:r w:rsidRPr="00FC4C9B">
              <w:rPr>
                <w:rFonts w:ascii="Arial Narrow" w:eastAsia="Calibri" w:hAnsi="Arial Narrow" w:cs="Arial"/>
                <w:sz w:val="20"/>
                <w:szCs w:val="20"/>
              </w:rPr>
              <w:instrText xml:space="preserve"> FORMCHECKBOX </w:instrText>
            </w:r>
            <w:r w:rsidRPr="00FC4C9B">
              <w:rPr>
                <w:rFonts w:ascii="Arial Narrow" w:eastAsia="Calibri" w:hAnsi="Arial Narrow" w:cs="Arial"/>
                <w:sz w:val="20"/>
                <w:szCs w:val="20"/>
              </w:rPr>
            </w:r>
            <w:r w:rsidRPr="00FC4C9B">
              <w:rPr>
                <w:rFonts w:ascii="Arial Narrow" w:eastAsia="Calibri" w:hAnsi="Arial Narrow" w:cs="Arial"/>
                <w:sz w:val="20"/>
                <w:szCs w:val="20"/>
              </w:rPr>
              <w:fldChar w:fldCharType="separate"/>
            </w:r>
            <w:r w:rsidRPr="00FC4C9B">
              <w:rPr>
                <w:rFonts w:ascii="Arial Narrow" w:eastAsia="Calibri" w:hAnsi="Arial Narrow" w:cs="Arial"/>
                <w:sz w:val="20"/>
                <w:szCs w:val="20"/>
              </w:rPr>
              <w:fldChar w:fldCharType="end"/>
            </w:r>
            <w:r w:rsidRPr="00FC4C9B">
              <w:rPr>
                <w:rFonts w:ascii="Arial Narrow" w:eastAsia="Calibri" w:hAnsi="Arial Narrow" w:cs="Arial"/>
                <w:sz w:val="20"/>
                <w:szCs w:val="20"/>
              </w:rPr>
              <w:t xml:space="preserve"> Section 100 – Highly Specialised Drugs Program – Public (Code HB) / Private (Code HS)</w:t>
            </w:r>
            <w:r w:rsidR="007C69C9">
              <w:rPr>
                <w:rFonts w:ascii="Arial Narrow" w:eastAsia="Calibri" w:hAnsi="Arial Narrow" w:cs="Arial"/>
                <w:sz w:val="20"/>
                <w:szCs w:val="20"/>
              </w:rPr>
              <w:t xml:space="preserve"> / Community Access (CA)</w:t>
            </w:r>
          </w:p>
        </w:tc>
      </w:tr>
      <w:tr w:rsidR="002A50B5" w:rsidRPr="00FC4C9B" w14:paraId="130B86B4" w14:textId="77777777">
        <w:tblPrEx>
          <w:tblCellMar>
            <w:top w:w="15" w:type="dxa"/>
            <w:bottom w:w="15" w:type="dxa"/>
          </w:tblCellMar>
          <w:tblLook w:val="04A0" w:firstRow="1" w:lastRow="0" w:firstColumn="1" w:lastColumn="0" w:noHBand="0" w:noVBand="1"/>
        </w:tblPrEx>
        <w:trPr>
          <w:trHeight w:val="20"/>
        </w:trPr>
        <w:tc>
          <w:tcPr>
            <w:tcW w:w="1271" w:type="dxa"/>
            <w:gridSpan w:val="2"/>
            <w:vMerge/>
          </w:tcPr>
          <w:p w14:paraId="18304CCC" w14:textId="77777777" w:rsidR="002A50B5" w:rsidRPr="00FC4C9B" w:rsidRDefault="002A50B5" w:rsidP="0041700E">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FFEED34" w14:textId="77777777" w:rsidR="002A50B5" w:rsidRPr="00FC4C9B" w:rsidRDefault="002A50B5" w:rsidP="0041700E">
            <w:pPr>
              <w:keepLines/>
              <w:jc w:val="left"/>
              <w:rPr>
                <w:rFonts w:ascii="Arial Narrow" w:hAnsi="Arial Narrow" w:cs="Arial"/>
                <w:b/>
                <w:sz w:val="20"/>
                <w:szCs w:val="20"/>
              </w:rPr>
            </w:pPr>
            <w:r w:rsidRPr="00FC4C9B">
              <w:rPr>
                <w:rFonts w:ascii="Arial Narrow" w:hAnsi="Arial Narrow" w:cs="Arial"/>
                <w:b/>
                <w:sz w:val="20"/>
                <w:szCs w:val="20"/>
              </w:rPr>
              <w:t xml:space="preserve">Prescriber type: </w:t>
            </w:r>
          </w:p>
          <w:p w14:paraId="41DE951E" w14:textId="3CB54676" w:rsidR="002A50B5" w:rsidRPr="00FC4C9B" w:rsidRDefault="002A50B5" w:rsidP="0041700E">
            <w:pPr>
              <w:keepLines/>
              <w:jc w:val="left"/>
              <w:rPr>
                <w:rFonts w:ascii="Arial Narrow" w:hAnsi="Arial Narrow" w:cs="Arial"/>
                <w:b/>
                <w:sz w:val="20"/>
                <w:szCs w:val="20"/>
              </w:rPr>
            </w:pPr>
            <w:r w:rsidRPr="00FC4C9B">
              <w:rPr>
                <w:rFonts w:ascii="Arial Narrow" w:hAnsi="Arial Narrow" w:cs="Arial"/>
                <w:sz w:val="20"/>
                <w:szCs w:val="20"/>
              </w:rPr>
              <w:fldChar w:fldCharType="begin">
                <w:ffData>
                  <w:name w:val=""/>
                  <w:enabled/>
                  <w:calcOnExit w:val="0"/>
                  <w:checkBox>
                    <w:sizeAuto/>
                    <w:default w:val="1"/>
                  </w:checkBox>
                </w:ffData>
              </w:fldChar>
            </w:r>
            <w:r w:rsidRPr="00FC4C9B">
              <w:rPr>
                <w:rFonts w:ascii="Arial Narrow" w:hAnsi="Arial Narrow" w:cs="Arial"/>
                <w:sz w:val="20"/>
                <w:szCs w:val="20"/>
              </w:rPr>
              <w:instrText xml:space="preserve"> FORMCHECKBOX </w:instrText>
            </w:r>
            <w:r w:rsidRPr="00FC4C9B">
              <w:rPr>
                <w:rFonts w:ascii="Arial Narrow" w:hAnsi="Arial Narrow" w:cs="Arial"/>
                <w:sz w:val="20"/>
                <w:szCs w:val="20"/>
              </w:rPr>
            </w:r>
            <w:r w:rsidRPr="00FC4C9B">
              <w:rPr>
                <w:rFonts w:ascii="Arial Narrow" w:hAnsi="Arial Narrow" w:cs="Arial"/>
                <w:sz w:val="20"/>
                <w:szCs w:val="20"/>
              </w:rPr>
              <w:fldChar w:fldCharType="separate"/>
            </w:r>
            <w:r w:rsidRPr="00FC4C9B">
              <w:rPr>
                <w:rFonts w:ascii="Arial Narrow" w:hAnsi="Arial Narrow" w:cs="Arial"/>
                <w:sz w:val="20"/>
                <w:szCs w:val="20"/>
              </w:rPr>
              <w:fldChar w:fldCharType="end"/>
            </w:r>
            <w:r w:rsidRPr="00FC4C9B">
              <w:rPr>
                <w:rFonts w:ascii="Arial Narrow" w:hAnsi="Arial Narrow" w:cs="Arial"/>
                <w:sz w:val="20"/>
                <w:szCs w:val="20"/>
              </w:rPr>
              <w:t>Medical Practitioners</w:t>
            </w:r>
            <w:r w:rsidR="00D70DBB">
              <w:rPr>
                <w:rFonts w:ascii="Arial Narrow" w:hAnsi="Arial Narrow" w:cs="Arial"/>
                <w:sz w:val="20"/>
                <w:szCs w:val="20"/>
              </w:rPr>
              <w:t xml:space="preserve"> </w:t>
            </w:r>
            <w:r w:rsidR="00CC73F8" w:rsidRPr="00FC4C9B">
              <w:rPr>
                <w:rFonts w:ascii="Arial Narrow" w:hAnsi="Arial Narrow" w:cs="Arial"/>
                <w:sz w:val="20"/>
                <w:szCs w:val="20"/>
              </w:rPr>
              <w:fldChar w:fldCharType="begin">
                <w:ffData>
                  <w:name w:val=""/>
                  <w:enabled/>
                  <w:calcOnExit w:val="0"/>
                  <w:checkBox>
                    <w:sizeAuto/>
                    <w:default w:val="1"/>
                  </w:checkBox>
                </w:ffData>
              </w:fldChar>
            </w:r>
            <w:r w:rsidR="00CC73F8" w:rsidRPr="00FC4C9B">
              <w:rPr>
                <w:rFonts w:ascii="Arial Narrow" w:hAnsi="Arial Narrow" w:cs="Arial"/>
                <w:sz w:val="20"/>
                <w:szCs w:val="20"/>
              </w:rPr>
              <w:instrText xml:space="preserve"> FORMCHECKBOX </w:instrText>
            </w:r>
            <w:r w:rsidR="00CC73F8" w:rsidRPr="00FC4C9B">
              <w:rPr>
                <w:rFonts w:ascii="Arial Narrow" w:hAnsi="Arial Narrow" w:cs="Arial"/>
                <w:sz w:val="20"/>
                <w:szCs w:val="20"/>
              </w:rPr>
            </w:r>
            <w:r w:rsidR="00CC73F8" w:rsidRPr="00FC4C9B">
              <w:rPr>
                <w:rFonts w:ascii="Arial Narrow" w:hAnsi="Arial Narrow" w:cs="Arial"/>
                <w:sz w:val="20"/>
                <w:szCs w:val="20"/>
              </w:rPr>
              <w:fldChar w:fldCharType="separate"/>
            </w:r>
            <w:r w:rsidR="00CC73F8" w:rsidRPr="00FC4C9B">
              <w:rPr>
                <w:rFonts w:ascii="Arial Narrow" w:hAnsi="Arial Narrow" w:cs="Arial"/>
                <w:sz w:val="20"/>
                <w:szCs w:val="20"/>
              </w:rPr>
              <w:fldChar w:fldCharType="end"/>
            </w:r>
            <w:r w:rsidR="00CC73F8">
              <w:rPr>
                <w:rFonts w:ascii="Arial Narrow" w:hAnsi="Arial Narrow" w:cs="Arial"/>
                <w:sz w:val="20"/>
                <w:szCs w:val="20"/>
              </w:rPr>
              <w:t xml:space="preserve">Nurse </w:t>
            </w:r>
            <w:r w:rsidR="00CC73F8" w:rsidRPr="00FC4C9B">
              <w:rPr>
                <w:rFonts w:ascii="Arial Narrow" w:hAnsi="Arial Narrow" w:cs="Arial"/>
                <w:sz w:val="20"/>
                <w:szCs w:val="20"/>
              </w:rPr>
              <w:t xml:space="preserve">Practitioners </w:t>
            </w:r>
          </w:p>
        </w:tc>
      </w:tr>
      <w:tr w:rsidR="002A50B5" w:rsidRPr="00FC4C9B" w14:paraId="137F47D7" w14:textId="77777777">
        <w:tblPrEx>
          <w:tblCellMar>
            <w:top w:w="15" w:type="dxa"/>
            <w:bottom w:w="15" w:type="dxa"/>
          </w:tblCellMar>
          <w:tblLook w:val="04A0" w:firstRow="1" w:lastRow="0" w:firstColumn="1" w:lastColumn="0" w:noHBand="0" w:noVBand="1"/>
        </w:tblPrEx>
        <w:trPr>
          <w:trHeight w:val="20"/>
        </w:trPr>
        <w:tc>
          <w:tcPr>
            <w:tcW w:w="1271" w:type="dxa"/>
            <w:gridSpan w:val="2"/>
            <w:vMerge/>
          </w:tcPr>
          <w:p w14:paraId="3C3B62F6" w14:textId="77777777" w:rsidR="002A50B5" w:rsidRPr="00FC4C9B" w:rsidRDefault="002A50B5" w:rsidP="0041700E">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D503A5A" w14:textId="77777777" w:rsidR="002A50B5" w:rsidRPr="00FC4C9B" w:rsidRDefault="002A50B5" w:rsidP="0041700E">
            <w:pPr>
              <w:keepLines/>
              <w:jc w:val="left"/>
              <w:rPr>
                <w:rFonts w:ascii="Arial Narrow" w:hAnsi="Arial Narrow" w:cs="Arial"/>
                <w:b/>
                <w:sz w:val="20"/>
                <w:szCs w:val="20"/>
              </w:rPr>
            </w:pPr>
            <w:r w:rsidRPr="00FC4C9B">
              <w:rPr>
                <w:rFonts w:ascii="Arial Narrow" w:hAnsi="Arial Narrow" w:cs="Arial"/>
                <w:b/>
                <w:sz w:val="20"/>
                <w:szCs w:val="20"/>
              </w:rPr>
              <w:t xml:space="preserve">Restriction type: </w:t>
            </w:r>
          </w:p>
          <w:p w14:paraId="19DB775F" w14:textId="77777777" w:rsidR="002A50B5" w:rsidRPr="00FC4C9B" w:rsidRDefault="002A50B5" w:rsidP="0041700E">
            <w:pPr>
              <w:keepLines/>
              <w:jc w:val="left"/>
              <w:rPr>
                <w:rFonts w:ascii="Arial Narrow" w:eastAsia="Calibri" w:hAnsi="Arial Narrow" w:cs="Arial"/>
                <w:sz w:val="20"/>
                <w:szCs w:val="20"/>
              </w:rPr>
            </w:pPr>
            <w:r w:rsidRPr="00FC4C9B">
              <w:rPr>
                <w:rFonts w:ascii="Arial Narrow" w:eastAsia="Calibri" w:hAnsi="Arial Narrow" w:cs="Arial"/>
                <w:sz w:val="20"/>
                <w:szCs w:val="20"/>
              </w:rPr>
              <w:fldChar w:fldCharType="begin">
                <w:ffData>
                  <w:name w:val=""/>
                  <w:enabled/>
                  <w:calcOnExit w:val="0"/>
                  <w:checkBox>
                    <w:sizeAuto/>
                    <w:default w:val="1"/>
                  </w:checkBox>
                </w:ffData>
              </w:fldChar>
            </w:r>
            <w:r w:rsidRPr="00FC4C9B">
              <w:rPr>
                <w:rFonts w:ascii="Arial Narrow" w:eastAsia="Calibri" w:hAnsi="Arial Narrow" w:cs="Arial"/>
                <w:sz w:val="20"/>
                <w:szCs w:val="20"/>
              </w:rPr>
              <w:instrText xml:space="preserve"> FORMCHECKBOX </w:instrText>
            </w:r>
            <w:r w:rsidRPr="00FC4C9B">
              <w:rPr>
                <w:rFonts w:ascii="Arial Narrow" w:eastAsia="Calibri" w:hAnsi="Arial Narrow" w:cs="Arial"/>
                <w:sz w:val="20"/>
                <w:szCs w:val="20"/>
              </w:rPr>
            </w:r>
            <w:r w:rsidRPr="00FC4C9B">
              <w:rPr>
                <w:rFonts w:ascii="Arial Narrow" w:eastAsia="Calibri" w:hAnsi="Arial Narrow" w:cs="Arial"/>
                <w:sz w:val="20"/>
                <w:szCs w:val="20"/>
              </w:rPr>
              <w:fldChar w:fldCharType="separate"/>
            </w:r>
            <w:r w:rsidRPr="00FC4C9B">
              <w:rPr>
                <w:rFonts w:ascii="Arial Narrow" w:eastAsia="Calibri" w:hAnsi="Arial Narrow" w:cs="Arial"/>
                <w:sz w:val="20"/>
                <w:szCs w:val="20"/>
              </w:rPr>
              <w:fldChar w:fldCharType="end"/>
            </w:r>
            <w:r w:rsidRPr="00FC4C9B">
              <w:rPr>
                <w:rFonts w:ascii="Arial Narrow" w:eastAsia="Calibri" w:hAnsi="Arial Narrow" w:cs="Arial"/>
                <w:sz w:val="20"/>
                <w:szCs w:val="20"/>
              </w:rPr>
              <w:t xml:space="preserve">Authority Required (Streamlined) [new] </w:t>
            </w:r>
          </w:p>
        </w:tc>
      </w:tr>
      <w:tr w:rsidR="002A50B5" w:rsidRPr="00FC4C9B" w14:paraId="43761750" w14:textId="77777777">
        <w:tblPrEx>
          <w:tblCellMar>
            <w:top w:w="15" w:type="dxa"/>
            <w:bottom w:w="15" w:type="dxa"/>
          </w:tblCellMar>
        </w:tblPrEx>
        <w:trPr>
          <w:trHeight w:val="20"/>
        </w:trPr>
        <w:tc>
          <w:tcPr>
            <w:tcW w:w="562" w:type="dxa"/>
            <w:tcBorders>
              <w:left w:val="single" w:sz="4" w:space="0" w:color="auto"/>
              <w:right w:val="single" w:sz="4" w:space="0" w:color="auto"/>
            </w:tcBorders>
            <w:textDirection w:val="btLr"/>
            <w:vAlign w:val="center"/>
          </w:tcPr>
          <w:p w14:paraId="14F3ABCB" w14:textId="77777777" w:rsidR="002A50B5" w:rsidRPr="00FC4C9B" w:rsidRDefault="002A50B5" w:rsidP="0041700E">
            <w:pPr>
              <w:rPr>
                <w:rFonts w:ascii="Arial Narrow" w:hAnsi="Arial Narrow" w:cs="Arial"/>
                <w:sz w:val="20"/>
                <w:szCs w:val="20"/>
              </w:rPr>
            </w:pPr>
          </w:p>
        </w:tc>
        <w:tc>
          <w:tcPr>
            <w:tcW w:w="709" w:type="dxa"/>
            <w:vAlign w:val="center"/>
          </w:tcPr>
          <w:p w14:paraId="6312566C" w14:textId="77777777" w:rsidR="002A50B5" w:rsidRPr="00FC4C9B" w:rsidRDefault="002A50B5" w:rsidP="0041700E">
            <w:pPr>
              <w:rPr>
                <w:rFonts w:ascii="Arial Narrow" w:eastAsia="Times New Roman" w:hAnsi="Arial Narrow"/>
                <w:sz w:val="20"/>
                <w:szCs w:val="20"/>
                <w:lang w:eastAsia="en-AU"/>
              </w:rPr>
            </w:pPr>
          </w:p>
        </w:tc>
        <w:tc>
          <w:tcPr>
            <w:tcW w:w="7745" w:type="dxa"/>
            <w:gridSpan w:val="6"/>
            <w:vAlign w:val="center"/>
          </w:tcPr>
          <w:p w14:paraId="518A589B" w14:textId="77777777" w:rsidR="002A50B5" w:rsidRPr="00FC4C9B" w:rsidRDefault="002A50B5" w:rsidP="0041700E">
            <w:pPr>
              <w:jc w:val="left"/>
              <w:rPr>
                <w:rFonts w:ascii="Arial Narrow" w:eastAsia="Times New Roman" w:hAnsi="Arial Narrow"/>
                <w:b/>
                <w:bCs/>
                <w:sz w:val="20"/>
                <w:szCs w:val="20"/>
                <w:lang w:eastAsia="en-AU"/>
              </w:rPr>
            </w:pPr>
            <w:r w:rsidRPr="00FC4C9B">
              <w:rPr>
                <w:rFonts w:ascii="Arial Narrow" w:eastAsia="Times New Roman" w:hAnsi="Arial Narrow"/>
                <w:b/>
                <w:bCs/>
                <w:sz w:val="20"/>
                <w:szCs w:val="20"/>
                <w:lang w:eastAsia="en-AU"/>
              </w:rPr>
              <w:t xml:space="preserve">Authority type: </w:t>
            </w:r>
            <w:r w:rsidRPr="00FC4C9B">
              <w:rPr>
                <w:rFonts w:ascii="Arial Narrow" w:eastAsia="Times New Roman" w:hAnsi="Arial Narrow"/>
                <w:b/>
                <w:bCs/>
                <w:sz w:val="20"/>
                <w:szCs w:val="20"/>
                <w:lang w:eastAsia="en-AU"/>
              </w:rPr>
              <w:br/>
            </w:r>
            <w:r w:rsidRPr="00FC4C9B">
              <w:rPr>
                <w:rFonts w:ascii="Arial Narrow" w:eastAsia="Times New Roman" w:hAnsi="Arial Narrow"/>
                <w:sz w:val="20"/>
                <w:szCs w:val="20"/>
                <w:lang w:eastAsia="en-AU"/>
              </w:rPr>
              <w:fldChar w:fldCharType="begin">
                <w:ffData>
                  <w:name w:val="Check1"/>
                  <w:enabled/>
                  <w:calcOnExit w:val="0"/>
                  <w:checkBox>
                    <w:sizeAuto/>
                    <w:default w:val="1"/>
                  </w:checkBox>
                </w:ffData>
              </w:fldChar>
            </w:r>
            <w:bookmarkStart w:id="71" w:name="Check1"/>
            <w:r w:rsidRPr="00FC4C9B">
              <w:rPr>
                <w:rFonts w:ascii="Arial Narrow" w:eastAsia="Times New Roman" w:hAnsi="Arial Narrow"/>
                <w:sz w:val="20"/>
                <w:szCs w:val="20"/>
                <w:lang w:eastAsia="en-AU"/>
              </w:rPr>
              <w:instrText xml:space="preserve"> FORMCHECKBOX </w:instrText>
            </w:r>
            <w:r w:rsidRPr="00FC4C9B">
              <w:rPr>
                <w:rFonts w:ascii="Arial Narrow" w:eastAsia="Times New Roman" w:hAnsi="Arial Narrow"/>
                <w:b/>
                <w:bCs/>
                <w:sz w:val="20"/>
                <w:szCs w:val="20"/>
                <w:lang w:eastAsia="en-AU"/>
              </w:rPr>
            </w:r>
            <w:r w:rsidRPr="00FC4C9B">
              <w:rPr>
                <w:rFonts w:ascii="Arial Narrow" w:eastAsia="Times New Roman" w:hAnsi="Arial Narrow"/>
                <w:b/>
                <w:bCs/>
                <w:sz w:val="20"/>
                <w:szCs w:val="20"/>
                <w:lang w:eastAsia="en-AU"/>
              </w:rPr>
              <w:fldChar w:fldCharType="separate"/>
            </w:r>
            <w:r w:rsidRPr="00FC4C9B">
              <w:rPr>
                <w:rFonts w:ascii="Arial Narrow" w:eastAsia="Times New Roman" w:hAnsi="Arial Narrow"/>
                <w:sz w:val="20"/>
                <w:szCs w:val="20"/>
                <w:lang w:eastAsia="en-AU"/>
              </w:rPr>
              <w:fldChar w:fldCharType="end"/>
            </w:r>
            <w:bookmarkEnd w:id="71"/>
            <w:r w:rsidRPr="00FC4C9B">
              <w:rPr>
                <w:rFonts w:ascii="Arial Narrow" w:eastAsia="Times New Roman" w:hAnsi="Arial Narrow"/>
                <w:sz w:val="20"/>
                <w:szCs w:val="20"/>
                <w:lang w:eastAsia="en-AU"/>
              </w:rPr>
              <w:t xml:space="preserve"> Non-complex Authority Required (non-CAR)</w:t>
            </w:r>
          </w:p>
        </w:tc>
      </w:tr>
      <w:tr w:rsidR="002A50B5" w:rsidRPr="00FC4C9B" w14:paraId="0DECED1E" w14:textId="77777777">
        <w:tblPrEx>
          <w:tblCellMar>
            <w:top w:w="15" w:type="dxa"/>
            <w:bottom w:w="15" w:type="dxa"/>
          </w:tblCellMar>
        </w:tblPrEx>
        <w:trPr>
          <w:trHeight w:val="20"/>
        </w:trPr>
        <w:tc>
          <w:tcPr>
            <w:tcW w:w="562" w:type="dxa"/>
            <w:vMerge w:val="restart"/>
            <w:tcBorders>
              <w:left w:val="single" w:sz="4" w:space="0" w:color="auto"/>
              <w:right w:val="single" w:sz="4" w:space="0" w:color="auto"/>
            </w:tcBorders>
            <w:textDirection w:val="btLr"/>
            <w:vAlign w:val="center"/>
          </w:tcPr>
          <w:p w14:paraId="24692C35" w14:textId="77777777" w:rsidR="002A50B5" w:rsidRPr="00FC4C9B" w:rsidRDefault="002A50B5" w:rsidP="0041700E">
            <w:pPr>
              <w:jc w:val="center"/>
              <w:rPr>
                <w:rFonts w:ascii="Arial Narrow" w:hAnsi="Arial Narrow" w:cs="Arial"/>
                <w:sz w:val="20"/>
                <w:szCs w:val="20"/>
              </w:rPr>
            </w:pPr>
            <w:r w:rsidRPr="00FC4C9B">
              <w:rPr>
                <w:rFonts w:ascii="Arial Narrow" w:hAnsi="Arial Narrow" w:cs="Arial"/>
                <w:sz w:val="20"/>
                <w:szCs w:val="20"/>
              </w:rPr>
              <w:t>Prescribing rule level</w:t>
            </w:r>
          </w:p>
        </w:tc>
        <w:tc>
          <w:tcPr>
            <w:tcW w:w="709" w:type="dxa"/>
            <w:vAlign w:val="center"/>
          </w:tcPr>
          <w:p w14:paraId="71D1C66A" w14:textId="2362A9FA" w:rsidR="002A50B5" w:rsidRPr="00FC4C9B" w:rsidRDefault="002A50B5" w:rsidP="0041700E">
            <w:pPr>
              <w:rPr>
                <w:rFonts w:ascii="Arial Narrow" w:eastAsia="Times New Roman" w:hAnsi="Arial Narrow"/>
                <w:sz w:val="20"/>
                <w:szCs w:val="20"/>
                <w:lang w:eastAsia="en-AU"/>
              </w:rPr>
            </w:pPr>
          </w:p>
        </w:tc>
        <w:tc>
          <w:tcPr>
            <w:tcW w:w="7745" w:type="dxa"/>
            <w:gridSpan w:val="6"/>
            <w:vAlign w:val="center"/>
          </w:tcPr>
          <w:p w14:paraId="17B5D68F" w14:textId="77777777" w:rsidR="002A50B5" w:rsidRPr="00FC4C9B" w:rsidRDefault="002A50B5" w:rsidP="0041700E">
            <w:pPr>
              <w:rPr>
                <w:rFonts w:ascii="Arial Narrow" w:eastAsia="Times New Roman" w:hAnsi="Arial Narrow"/>
                <w:sz w:val="20"/>
                <w:szCs w:val="20"/>
                <w:lang w:eastAsia="en-AU"/>
              </w:rPr>
            </w:pPr>
            <w:r w:rsidRPr="00FC4C9B">
              <w:rPr>
                <w:rFonts w:ascii="Arial Narrow" w:eastAsia="Times New Roman" w:hAnsi="Arial Narrow"/>
                <w:b/>
                <w:bCs/>
                <w:sz w:val="20"/>
                <w:szCs w:val="20"/>
                <w:lang w:eastAsia="en-AU"/>
              </w:rPr>
              <w:t>Administrative Advice:</w:t>
            </w:r>
          </w:p>
          <w:p w14:paraId="35F4DDC7" w14:textId="77777777" w:rsidR="002A50B5" w:rsidRPr="00FC4C9B" w:rsidRDefault="002A50B5" w:rsidP="0041700E">
            <w:pPr>
              <w:rPr>
                <w:rFonts w:ascii="Arial Narrow" w:eastAsia="Times New Roman" w:hAnsi="Arial Narrow"/>
                <w:sz w:val="20"/>
                <w:szCs w:val="20"/>
                <w:lang w:eastAsia="en-AU"/>
              </w:rPr>
            </w:pPr>
            <w:r w:rsidRPr="00FC4C9B">
              <w:rPr>
                <w:rFonts w:ascii="Arial Narrow" w:eastAsia="Times New Roman" w:hAnsi="Arial Narrow"/>
                <w:sz w:val="20"/>
                <w:szCs w:val="20"/>
                <w:lang w:eastAsia="en-AU"/>
              </w:rPr>
              <w:t>No increase in the maximum quantity or number of units may be authorised.</w:t>
            </w:r>
          </w:p>
        </w:tc>
      </w:tr>
      <w:tr w:rsidR="002A50B5" w:rsidRPr="00FC4C9B" w14:paraId="421DE67E" w14:textId="77777777">
        <w:tblPrEx>
          <w:tblCellMar>
            <w:top w:w="15" w:type="dxa"/>
            <w:bottom w:w="15" w:type="dxa"/>
          </w:tblCellMar>
        </w:tblPrEx>
        <w:trPr>
          <w:trHeight w:val="20"/>
        </w:trPr>
        <w:tc>
          <w:tcPr>
            <w:tcW w:w="562" w:type="dxa"/>
            <w:vMerge/>
          </w:tcPr>
          <w:p w14:paraId="555158DC" w14:textId="77777777" w:rsidR="002A50B5" w:rsidRPr="00FC4C9B" w:rsidRDefault="002A50B5" w:rsidP="0041700E">
            <w:pPr>
              <w:rPr>
                <w:rFonts w:ascii="Arial Narrow" w:hAnsi="Arial Narrow" w:cs="Arial"/>
                <w:sz w:val="20"/>
                <w:szCs w:val="20"/>
              </w:rPr>
            </w:pPr>
          </w:p>
        </w:tc>
        <w:tc>
          <w:tcPr>
            <w:tcW w:w="709" w:type="dxa"/>
            <w:vAlign w:val="center"/>
          </w:tcPr>
          <w:p w14:paraId="2CCADC45" w14:textId="1B1FAC98" w:rsidR="002A50B5" w:rsidRPr="00FC4C9B" w:rsidRDefault="002A50B5" w:rsidP="0041700E">
            <w:pPr>
              <w:rPr>
                <w:rFonts w:ascii="Arial Narrow" w:eastAsia="Times New Roman" w:hAnsi="Arial Narrow"/>
                <w:sz w:val="20"/>
                <w:szCs w:val="20"/>
                <w:lang w:eastAsia="en-AU"/>
              </w:rPr>
            </w:pPr>
          </w:p>
        </w:tc>
        <w:tc>
          <w:tcPr>
            <w:tcW w:w="7745" w:type="dxa"/>
            <w:gridSpan w:val="6"/>
            <w:vAlign w:val="center"/>
          </w:tcPr>
          <w:p w14:paraId="7D710F91" w14:textId="77777777" w:rsidR="002A50B5" w:rsidRPr="00FC4C9B" w:rsidRDefault="002A50B5" w:rsidP="0041700E">
            <w:pPr>
              <w:rPr>
                <w:rFonts w:ascii="Arial Narrow" w:eastAsia="Times New Roman" w:hAnsi="Arial Narrow"/>
                <w:sz w:val="20"/>
                <w:szCs w:val="20"/>
                <w:lang w:eastAsia="en-AU"/>
              </w:rPr>
            </w:pPr>
            <w:r w:rsidRPr="00FC4C9B">
              <w:rPr>
                <w:rFonts w:ascii="Arial Narrow" w:eastAsia="Times New Roman" w:hAnsi="Arial Narrow"/>
                <w:b/>
                <w:bCs/>
                <w:sz w:val="20"/>
                <w:szCs w:val="20"/>
                <w:lang w:eastAsia="en-AU"/>
              </w:rPr>
              <w:t>Administrative Advice:</w:t>
            </w:r>
          </w:p>
          <w:p w14:paraId="756F18F8" w14:textId="77777777" w:rsidR="002A50B5" w:rsidRPr="00FC4C9B" w:rsidRDefault="002A50B5" w:rsidP="0041700E">
            <w:pPr>
              <w:rPr>
                <w:rFonts w:ascii="Arial Narrow" w:eastAsia="Times New Roman" w:hAnsi="Arial Narrow"/>
                <w:b/>
                <w:bCs/>
                <w:sz w:val="20"/>
                <w:szCs w:val="20"/>
                <w:lang w:eastAsia="en-AU"/>
              </w:rPr>
            </w:pPr>
            <w:r w:rsidRPr="00FC4C9B">
              <w:rPr>
                <w:rFonts w:ascii="Arial Narrow" w:eastAsia="Times New Roman" w:hAnsi="Arial Narrow"/>
                <w:sz w:val="20"/>
                <w:szCs w:val="20"/>
                <w:lang w:eastAsia="en-AU"/>
              </w:rPr>
              <w:t>No increase in the maximum number of repeats may be authorised.</w:t>
            </w:r>
          </w:p>
        </w:tc>
      </w:tr>
      <w:tr w:rsidR="002A50B5" w:rsidRPr="00FC4C9B" w14:paraId="7DDDBF7E" w14:textId="77777777">
        <w:tblPrEx>
          <w:tblCellMar>
            <w:top w:w="15" w:type="dxa"/>
            <w:bottom w:w="15" w:type="dxa"/>
          </w:tblCellMar>
        </w:tblPrEx>
        <w:trPr>
          <w:trHeight w:val="20"/>
        </w:trPr>
        <w:tc>
          <w:tcPr>
            <w:tcW w:w="562" w:type="dxa"/>
            <w:vMerge/>
          </w:tcPr>
          <w:p w14:paraId="1020481E" w14:textId="77777777" w:rsidR="002A50B5" w:rsidRPr="00FC4C9B" w:rsidRDefault="002A50B5" w:rsidP="0041700E">
            <w:pPr>
              <w:rPr>
                <w:rFonts w:ascii="Arial Narrow" w:hAnsi="Arial Narrow" w:cs="Arial"/>
                <w:sz w:val="20"/>
                <w:szCs w:val="20"/>
              </w:rPr>
            </w:pPr>
          </w:p>
        </w:tc>
        <w:tc>
          <w:tcPr>
            <w:tcW w:w="709" w:type="dxa"/>
            <w:vAlign w:val="center"/>
          </w:tcPr>
          <w:p w14:paraId="417B604B" w14:textId="292D15B7" w:rsidR="002A50B5" w:rsidRPr="00FC4C9B" w:rsidRDefault="002A50B5" w:rsidP="0041700E">
            <w:pPr>
              <w:rPr>
                <w:rFonts w:ascii="Arial Narrow" w:eastAsia="Times New Roman" w:hAnsi="Arial Narrow"/>
                <w:sz w:val="20"/>
                <w:szCs w:val="20"/>
                <w:lang w:eastAsia="en-AU"/>
              </w:rPr>
            </w:pPr>
          </w:p>
        </w:tc>
        <w:tc>
          <w:tcPr>
            <w:tcW w:w="7745" w:type="dxa"/>
            <w:gridSpan w:val="6"/>
            <w:vAlign w:val="center"/>
          </w:tcPr>
          <w:p w14:paraId="3529FC55" w14:textId="77777777" w:rsidR="002A50B5" w:rsidRPr="00FC4C9B" w:rsidRDefault="002A50B5" w:rsidP="0041700E">
            <w:pPr>
              <w:rPr>
                <w:rFonts w:ascii="Arial Narrow" w:eastAsia="Times New Roman" w:hAnsi="Arial Narrow"/>
                <w:sz w:val="20"/>
                <w:szCs w:val="20"/>
                <w:lang w:eastAsia="en-AU"/>
              </w:rPr>
            </w:pPr>
            <w:r w:rsidRPr="00FC4C9B">
              <w:rPr>
                <w:rFonts w:ascii="Arial Narrow" w:eastAsia="Times New Roman" w:hAnsi="Arial Narrow"/>
                <w:b/>
                <w:bCs/>
                <w:sz w:val="20"/>
                <w:szCs w:val="20"/>
                <w:lang w:eastAsia="en-AU"/>
              </w:rPr>
              <w:t>Administrative Advice:</w:t>
            </w:r>
          </w:p>
          <w:p w14:paraId="26C20F9D" w14:textId="77777777" w:rsidR="002A50B5" w:rsidRPr="00FC4C9B" w:rsidRDefault="002A50B5" w:rsidP="0041700E">
            <w:pPr>
              <w:rPr>
                <w:rFonts w:ascii="Arial Narrow" w:eastAsia="Times New Roman" w:hAnsi="Arial Narrow"/>
                <w:b/>
                <w:bCs/>
                <w:sz w:val="20"/>
                <w:szCs w:val="20"/>
                <w:lang w:eastAsia="en-AU"/>
              </w:rPr>
            </w:pPr>
            <w:r w:rsidRPr="00FC4C9B">
              <w:rPr>
                <w:rFonts w:ascii="Arial Narrow" w:eastAsia="Times New Roman" w:hAnsi="Arial Narrow"/>
                <w:sz w:val="20"/>
                <w:szCs w:val="20"/>
                <w:lang w:eastAsia="en-AU"/>
              </w:rPr>
              <w:t>Special Pricing Arrangements apply.</w:t>
            </w:r>
          </w:p>
        </w:tc>
      </w:tr>
      <w:tr w:rsidR="002A50B5" w:rsidRPr="00FC4C9B" w14:paraId="3999E791" w14:textId="77777777">
        <w:tblPrEx>
          <w:tblCellMar>
            <w:top w:w="15" w:type="dxa"/>
            <w:bottom w:w="15" w:type="dxa"/>
          </w:tblCellMar>
          <w:tblLook w:val="04A0" w:firstRow="1" w:lastRow="0" w:firstColumn="1" w:lastColumn="0" w:noHBand="0" w:noVBand="1"/>
        </w:tblPrEx>
        <w:trPr>
          <w:cantSplit/>
          <w:trHeight w:val="20"/>
        </w:trPr>
        <w:tc>
          <w:tcPr>
            <w:tcW w:w="1271" w:type="dxa"/>
            <w:gridSpan w:val="2"/>
            <w:vMerge w:val="restart"/>
            <w:vAlign w:val="center"/>
          </w:tcPr>
          <w:p w14:paraId="3F082D39" w14:textId="77777777" w:rsidR="002A50B5" w:rsidRPr="00FC4C9B" w:rsidRDefault="002A50B5" w:rsidP="0041700E">
            <w:pPr>
              <w:keepLines/>
              <w:rPr>
                <w:rFonts w:ascii="Arial Narrow" w:eastAsia="Times New Roman" w:hAnsi="Arial Narrow"/>
                <w:sz w:val="20"/>
                <w:szCs w:val="20"/>
                <w:lang w:eastAsia="en-AU"/>
              </w:rPr>
            </w:pPr>
          </w:p>
        </w:tc>
        <w:tc>
          <w:tcPr>
            <w:tcW w:w="7745" w:type="dxa"/>
            <w:gridSpan w:val="6"/>
            <w:vAlign w:val="center"/>
          </w:tcPr>
          <w:p w14:paraId="37BBC5A4" w14:textId="77777777" w:rsidR="002A50B5" w:rsidRPr="00FC4C9B" w:rsidRDefault="002A50B5" w:rsidP="0041700E">
            <w:pPr>
              <w:keepLines/>
              <w:rPr>
                <w:rFonts w:ascii="Arial Narrow" w:eastAsia="Times New Roman" w:hAnsi="Arial Narrow"/>
                <w:sz w:val="20"/>
                <w:szCs w:val="20"/>
                <w:lang w:eastAsia="en-AU"/>
              </w:rPr>
            </w:pPr>
            <w:r w:rsidRPr="4904BCD2">
              <w:rPr>
                <w:rFonts w:ascii="Arial Narrow" w:eastAsia="Times New Roman" w:hAnsi="Arial Narrow"/>
                <w:b/>
                <w:bCs/>
                <w:sz w:val="20"/>
                <w:szCs w:val="20"/>
                <w:lang w:eastAsia="en-AU"/>
              </w:rPr>
              <w:t xml:space="preserve">Episodicity: </w:t>
            </w:r>
            <w:r w:rsidRPr="4904BCD2">
              <w:rPr>
                <w:rFonts w:ascii="Arial Narrow" w:eastAsia="Times New Roman" w:hAnsi="Arial Narrow"/>
                <w:sz w:val="20"/>
                <w:szCs w:val="20"/>
                <w:lang w:eastAsia="en-AU"/>
              </w:rPr>
              <w:t>Chronic</w:t>
            </w:r>
          </w:p>
        </w:tc>
      </w:tr>
      <w:tr w:rsidR="002A50B5" w:rsidRPr="00FC4C9B" w14:paraId="0D383DDA" w14:textId="77777777">
        <w:tblPrEx>
          <w:tblCellMar>
            <w:top w:w="15" w:type="dxa"/>
            <w:bottom w:w="15" w:type="dxa"/>
          </w:tblCellMar>
          <w:tblLook w:val="04A0" w:firstRow="1" w:lastRow="0" w:firstColumn="1" w:lastColumn="0" w:noHBand="0" w:noVBand="1"/>
        </w:tblPrEx>
        <w:trPr>
          <w:cantSplit/>
          <w:trHeight w:val="20"/>
        </w:trPr>
        <w:tc>
          <w:tcPr>
            <w:tcW w:w="1271" w:type="dxa"/>
            <w:gridSpan w:val="2"/>
            <w:vMerge/>
            <w:vAlign w:val="center"/>
          </w:tcPr>
          <w:p w14:paraId="605567FC" w14:textId="77777777" w:rsidR="002A50B5" w:rsidRPr="00FC4C9B" w:rsidRDefault="002A50B5" w:rsidP="0041700E">
            <w:pPr>
              <w:keepLines/>
              <w:rPr>
                <w:rFonts w:ascii="Arial Narrow" w:eastAsia="Times New Roman" w:hAnsi="Arial Narrow"/>
                <w:sz w:val="20"/>
                <w:szCs w:val="20"/>
                <w:lang w:eastAsia="en-AU"/>
              </w:rPr>
            </w:pPr>
          </w:p>
        </w:tc>
        <w:tc>
          <w:tcPr>
            <w:tcW w:w="7745" w:type="dxa"/>
            <w:gridSpan w:val="6"/>
            <w:vAlign w:val="center"/>
          </w:tcPr>
          <w:p w14:paraId="4783253C" w14:textId="77777777" w:rsidR="002A50B5" w:rsidRPr="00FC4C9B" w:rsidRDefault="002A50B5" w:rsidP="0041700E">
            <w:pPr>
              <w:keepLines/>
              <w:rPr>
                <w:rFonts w:ascii="Arial Narrow" w:eastAsia="Times New Roman" w:hAnsi="Arial Narrow"/>
                <w:b/>
                <w:bCs/>
                <w:sz w:val="20"/>
                <w:szCs w:val="20"/>
                <w:lang w:eastAsia="en-AU"/>
              </w:rPr>
            </w:pPr>
            <w:r w:rsidRPr="00FC4C9B">
              <w:rPr>
                <w:rFonts w:ascii="Arial Narrow" w:eastAsia="Times New Roman" w:hAnsi="Arial Narrow"/>
                <w:b/>
                <w:bCs/>
                <w:sz w:val="20"/>
                <w:szCs w:val="20"/>
                <w:lang w:eastAsia="en-AU"/>
              </w:rPr>
              <w:t xml:space="preserve">Condition: </w:t>
            </w:r>
            <w:r w:rsidRPr="00FC4C9B">
              <w:rPr>
                <w:rFonts w:ascii="Arial Narrow" w:eastAsia="Times New Roman" w:hAnsi="Arial Narrow"/>
                <w:bCs/>
                <w:sz w:val="20"/>
                <w:szCs w:val="20"/>
                <w:lang w:eastAsia="en-AU"/>
              </w:rPr>
              <w:t>Hepatitis D infection</w:t>
            </w:r>
          </w:p>
        </w:tc>
      </w:tr>
      <w:tr w:rsidR="002A50B5" w:rsidRPr="00FC4C9B" w14:paraId="3871E196"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41A97983" w14:textId="41A6E6CC" w:rsidR="002A50B5" w:rsidRPr="00FC4C9B" w:rsidRDefault="002A50B5" w:rsidP="0041700E">
            <w:pPr>
              <w:keepLines/>
              <w:rPr>
                <w:rFonts w:ascii="Arial Narrow" w:eastAsia="Times New Roman" w:hAnsi="Arial Narrow"/>
                <w:sz w:val="20"/>
                <w:szCs w:val="20"/>
                <w:lang w:eastAsia="en-AU"/>
              </w:rPr>
            </w:pPr>
          </w:p>
        </w:tc>
        <w:tc>
          <w:tcPr>
            <w:tcW w:w="7745" w:type="dxa"/>
            <w:gridSpan w:val="6"/>
            <w:vAlign w:val="center"/>
            <w:hideMark/>
          </w:tcPr>
          <w:p w14:paraId="1DA75B9A" w14:textId="77777777" w:rsidR="002A50B5" w:rsidRPr="00FC4C9B" w:rsidRDefault="002A50B5" w:rsidP="0041700E">
            <w:pPr>
              <w:keepLines/>
              <w:rPr>
                <w:rFonts w:ascii="Arial Narrow" w:eastAsia="Times New Roman" w:hAnsi="Arial Narrow"/>
                <w:sz w:val="20"/>
                <w:szCs w:val="20"/>
                <w:lang w:eastAsia="en-AU"/>
              </w:rPr>
            </w:pPr>
            <w:r w:rsidRPr="00FC4C9B">
              <w:rPr>
                <w:rFonts w:ascii="Arial Narrow" w:eastAsia="Times New Roman" w:hAnsi="Arial Narrow"/>
                <w:b/>
                <w:bCs/>
                <w:sz w:val="20"/>
                <w:szCs w:val="20"/>
                <w:lang w:eastAsia="en-AU"/>
              </w:rPr>
              <w:t>Indication:</w:t>
            </w:r>
            <w:r w:rsidRPr="00FC4C9B">
              <w:rPr>
                <w:rFonts w:ascii="Arial Narrow" w:eastAsia="Times New Roman" w:hAnsi="Arial Narrow"/>
                <w:sz w:val="20"/>
                <w:szCs w:val="20"/>
                <w:lang w:eastAsia="en-AU"/>
              </w:rPr>
              <w:t xml:space="preserve"> Chronic Hepatitis D infection</w:t>
            </w:r>
          </w:p>
        </w:tc>
      </w:tr>
      <w:tr w:rsidR="002A50B5" w:rsidRPr="00FC4C9B" w14:paraId="165979ED"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03E80BA4" w14:textId="3AF0E75E" w:rsidR="002A50B5" w:rsidRPr="00FC4C9B" w:rsidRDefault="002A50B5" w:rsidP="0041700E">
            <w:pPr>
              <w:rPr>
                <w:rFonts w:ascii="Arial Narrow" w:eastAsia="Times New Roman" w:hAnsi="Arial Narrow"/>
                <w:sz w:val="20"/>
                <w:szCs w:val="20"/>
                <w:lang w:eastAsia="en-AU"/>
              </w:rPr>
            </w:pPr>
          </w:p>
        </w:tc>
        <w:tc>
          <w:tcPr>
            <w:tcW w:w="7745" w:type="dxa"/>
            <w:gridSpan w:val="6"/>
            <w:vAlign w:val="center"/>
            <w:hideMark/>
          </w:tcPr>
          <w:p w14:paraId="78134560" w14:textId="77777777" w:rsidR="002A50B5" w:rsidRPr="00FC4C9B" w:rsidRDefault="002A50B5" w:rsidP="0041700E">
            <w:pPr>
              <w:rPr>
                <w:rFonts w:ascii="Arial Narrow" w:eastAsia="Times New Roman" w:hAnsi="Arial Narrow"/>
                <w:sz w:val="20"/>
                <w:szCs w:val="20"/>
                <w:lang w:eastAsia="en-AU"/>
              </w:rPr>
            </w:pPr>
            <w:r w:rsidRPr="00FC4C9B">
              <w:rPr>
                <w:rFonts w:ascii="Arial Narrow" w:eastAsia="Times New Roman" w:hAnsi="Arial Narrow"/>
                <w:b/>
                <w:bCs/>
                <w:sz w:val="20"/>
                <w:szCs w:val="20"/>
                <w:lang w:eastAsia="en-AU"/>
              </w:rPr>
              <w:t xml:space="preserve">Clinical criteria: </w:t>
            </w:r>
          </w:p>
        </w:tc>
      </w:tr>
      <w:tr w:rsidR="002A50B5" w:rsidRPr="00FC4C9B" w14:paraId="349EF9B3"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01A72AEE" w14:textId="46E8D106" w:rsidR="002A50B5" w:rsidRPr="00FC4C9B" w:rsidRDefault="002A50B5" w:rsidP="0041700E">
            <w:pPr>
              <w:rPr>
                <w:rFonts w:ascii="Arial Narrow" w:eastAsia="Times New Roman" w:hAnsi="Arial Narrow"/>
                <w:sz w:val="20"/>
                <w:szCs w:val="20"/>
                <w:lang w:eastAsia="en-AU"/>
              </w:rPr>
            </w:pPr>
          </w:p>
        </w:tc>
        <w:tc>
          <w:tcPr>
            <w:tcW w:w="7745" w:type="dxa"/>
            <w:gridSpan w:val="6"/>
            <w:vAlign w:val="center"/>
            <w:hideMark/>
          </w:tcPr>
          <w:p w14:paraId="052697EC" w14:textId="77777777" w:rsidR="002A50B5" w:rsidRPr="00FC4C9B" w:rsidRDefault="002A50B5" w:rsidP="0041700E">
            <w:pPr>
              <w:rPr>
                <w:rFonts w:ascii="Arial Narrow" w:eastAsia="Times New Roman" w:hAnsi="Arial Narrow"/>
                <w:sz w:val="20"/>
                <w:szCs w:val="20"/>
                <w:lang w:eastAsia="en-AU"/>
              </w:rPr>
            </w:pPr>
            <w:r w:rsidRPr="4904BCD2">
              <w:rPr>
                <w:rFonts w:ascii="Arial Narrow" w:eastAsia="Times New Roman" w:hAnsi="Arial Narrow"/>
                <w:sz w:val="20"/>
                <w:szCs w:val="20"/>
                <w:lang w:eastAsia="en-AU"/>
              </w:rPr>
              <w:t>Patient must have detectable hepatitis delta virus (HDV) RNA</w:t>
            </w:r>
            <w:r w:rsidRPr="009F47C1">
              <w:rPr>
                <w:rFonts w:ascii="Arial Narrow" w:eastAsia="Times New Roman" w:hAnsi="Arial Narrow"/>
                <w:sz w:val="20"/>
                <w:szCs w:val="20"/>
                <w:lang w:eastAsia="en-AU"/>
              </w:rPr>
              <w:t xml:space="preserve"> levels prior to commencing treatment with bulevirtide</w:t>
            </w:r>
            <w:r w:rsidRPr="4904BCD2">
              <w:rPr>
                <w:rFonts w:ascii="Arial Narrow" w:eastAsia="Times New Roman" w:hAnsi="Arial Narrow"/>
                <w:sz w:val="20"/>
                <w:szCs w:val="20"/>
                <w:lang w:eastAsia="en-AU"/>
              </w:rPr>
              <w:t xml:space="preserve"> </w:t>
            </w:r>
          </w:p>
        </w:tc>
      </w:tr>
      <w:tr w:rsidR="002A50B5" w:rsidRPr="00FC4C9B" w14:paraId="284FFAD1"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51DE1982" w14:textId="77777777" w:rsidR="002A50B5" w:rsidRPr="00FC4C9B" w:rsidRDefault="002A50B5" w:rsidP="0041700E">
            <w:pPr>
              <w:rPr>
                <w:rFonts w:ascii="Arial Narrow" w:eastAsia="Times New Roman" w:hAnsi="Arial Narrow"/>
                <w:sz w:val="20"/>
                <w:szCs w:val="20"/>
                <w:lang w:eastAsia="en-AU"/>
              </w:rPr>
            </w:pPr>
          </w:p>
        </w:tc>
        <w:tc>
          <w:tcPr>
            <w:tcW w:w="7745" w:type="dxa"/>
            <w:gridSpan w:val="6"/>
            <w:vAlign w:val="center"/>
            <w:hideMark/>
          </w:tcPr>
          <w:p w14:paraId="508563BC" w14:textId="77777777" w:rsidR="002A50B5" w:rsidRPr="00FC4C9B" w:rsidRDefault="002A50B5" w:rsidP="0041700E">
            <w:pPr>
              <w:rPr>
                <w:rFonts w:ascii="Arial Narrow" w:eastAsia="Times New Roman" w:hAnsi="Arial Narrow"/>
                <w:sz w:val="20"/>
                <w:szCs w:val="20"/>
                <w:lang w:eastAsia="en-AU"/>
              </w:rPr>
            </w:pPr>
            <w:r w:rsidRPr="00FC4C9B">
              <w:rPr>
                <w:rFonts w:ascii="Arial Narrow" w:eastAsia="Times New Roman" w:hAnsi="Arial Narrow"/>
                <w:b/>
                <w:bCs/>
                <w:sz w:val="20"/>
                <w:szCs w:val="20"/>
                <w:lang w:eastAsia="en-AU"/>
              </w:rPr>
              <w:t>AND</w:t>
            </w:r>
          </w:p>
        </w:tc>
      </w:tr>
      <w:tr w:rsidR="002A50B5" w:rsidRPr="00FC4C9B" w14:paraId="7F1BCEFF"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F55DD66" w14:textId="6CA79EC8" w:rsidR="002A50B5" w:rsidRPr="00FC4C9B" w:rsidRDefault="002A50B5" w:rsidP="0041700E">
            <w:pPr>
              <w:rPr>
                <w:rFonts w:ascii="Arial Narrow" w:eastAsia="Times New Roman" w:hAnsi="Arial Narrow"/>
                <w:sz w:val="20"/>
                <w:szCs w:val="20"/>
                <w:lang w:eastAsia="en-AU"/>
              </w:rPr>
            </w:pPr>
          </w:p>
        </w:tc>
        <w:tc>
          <w:tcPr>
            <w:tcW w:w="7745" w:type="dxa"/>
            <w:gridSpan w:val="6"/>
            <w:vAlign w:val="center"/>
            <w:hideMark/>
          </w:tcPr>
          <w:p w14:paraId="3C1B51BF" w14:textId="77777777" w:rsidR="002A50B5" w:rsidRPr="00FC4C9B" w:rsidRDefault="002A50B5" w:rsidP="0041700E">
            <w:pPr>
              <w:rPr>
                <w:rFonts w:ascii="Arial Narrow" w:eastAsia="Times New Roman" w:hAnsi="Arial Narrow"/>
                <w:sz w:val="20"/>
                <w:szCs w:val="20"/>
                <w:lang w:eastAsia="en-AU"/>
              </w:rPr>
            </w:pPr>
            <w:r w:rsidRPr="00FC4C9B">
              <w:rPr>
                <w:rFonts w:ascii="Arial Narrow" w:eastAsia="Times New Roman" w:hAnsi="Arial Narrow"/>
                <w:b/>
                <w:bCs/>
                <w:sz w:val="20"/>
                <w:szCs w:val="20"/>
                <w:lang w:eastAsia="en-AU"/>
              </w:rPr>
              <w:t>Clinical criteria:</w:t>
            </w:r>
          </w:p>
        </w:tc>
      </w:tr>
      <w:tr w:rsidR="002A50B5" w:rsidRPr="00FC4C9B" w14:paraId="18FAEBE1"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8E0F8D5" w14:textId="7583430F" w:rsidR="002A50B5" w:rsidRPr="00FC4C9B" w:rsidRDefault="002A50B5" w:rsidP="0041700E">
            <w:pPr>
              <w:rPr>
                <w:rFonts w:ascii="Arial Narrow" w:eastAsia="Times New Roman" w:hAnsi="Arial Narrow"/>
                <w:sz w:val="20"/>
                <w:szCs w:val="20"/>
                <w:lang w:eastAsia="en-AU"/>
              </w:rPr>
            </w:pPr>
          </w:p>
        </w:tc>
        <w:tc>
          <w:tcPr>
            <w:tcW w:w="7745" w:type="dxa"/>
            <w:gridSpan w:val="6"/>
            <w:vAlign w:val="center"/>
            <w:hideMark/>
          </w:tcPr>
          <w:p w14:paraId="19B6E84F" w14:textId="77777777" w:rsidR="002A50B5" w:rsidRPr="00FC4C9B" w:rsidRDefault="002A50B5" w:rsidP="0041700E">
            <w:pPr>
              <w:rPr>
                <w:rFonts w:ascii="Arial Narrow" w:eastAsia="Times New Roman" w:hAnsi="Arial Narrow"/>
                <w:sz w:val="20"/>
                <w:szCs w:val="20"/>
                <w:lang w:eastAsia="en-AU"/>
              </w:rPr>
            </w:pPr>
            <w:r w:rsidRPr="4904BCD2">
              <w:rPr>
                <w:rFonts w:ascii="Arial Narrow" w:eastAsia="Times New Roman" w:hAnsi="Arial Narrow"/>
                <w:sz w:val="20"/>
                <w:szCs w:val="20"/>
                <w:lang w:eastAsia="en-AU"/>
              </w:rPr>
              <w:t xml:space="preserve">Patient must have elevated serum alanine transaminase (ALT) </w:t>
            </w:r>
            <w:r w:rsidRPr="0002272F">
              <w:rPr>
                <w:rFonts w:ascii="Arial Narrow" w:eastAsia="Times New Roman" w:hAnsi="Arial Narrow"/>
                <w:sz w:val="20"/>
                <w:szCs w:val="20"/>
                <w:lang w:eastAsia="en-AU"/>
              </w:rPr>
              <w:t>level prior to commencing treatment with bulevirtide</w:t>
            </w:r>
          </w:p>
        </w:tc>
      </w:tr>
      <w:tr w:rsidR="002A50B5" w:rsidRPr="00FC4C9B" w14:paraId="099CF408"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D37CDA9" w14:textId="77777777" w:rsidR="002A50B5" w:rsidRPr="00FC4C9B" w:rsidRDefault="002A50B5" w:rsidP="0041700E">
            <w:pPr>
              <w:rPr>
                <w:rFonts w:ascii="Arial Narrow" w:eastAsia="Times New Roman" w:hAnsi="Arial Narrow"/>
                <w:sz w:val="20"/>
                <w:szCs w:val="20"/>
                <w:lang w:eastAsia="en-AU"/>
              </w:rPr>
            </w:pPr>
          </w:p>
        </w:tc>
        <w:tc>
          <w:tcPr>
            <w:tcW w:w="7745" w:type="dxa"/>
            <w:gridSpan w:val="6"/>
            <w:vAlign w:val="center"/>
            <w:hideMark/>
          </w:tcPr>
          <w:p w14:paraId="10D9ABB5" w14:textId="77777777" w:rsidR="002A50B5" w:rsidRPr="00FC4C9B" w:rsidRDefault="002A50B5" w:rsidP="0041700E">
            <w:pPr>
              <w:rPr>
                <w:rFonts w:ascii="Arial Narrow" w:eastAsia="Times New Roman" w:hAnsi="Arial Narrow"/>
                <w:sz w:val="20"/>
                <w:szCs w:val="20"/>
                <w:lang w:eastAsia="en-AU"/>
              </w:rPr>
            </w:pPr>
            <w:r w:rsidRPr="00FC4C9B">
              <w:rPr>
                <w:rFonts w:ascii="Arial Narrow" w:eastAsia="Times New Roman" w:hAnsi="Arial Narrow"/>
                <w:b/>
                <w:bCs/>
                <w:sz w:val="20"/>
                <w:szCs w:val="20"/>
                <w:lang w:eastAsia="en-AU"/>
              </w:rPr>
              <w:t>AND</w:t>
            </w:r>
          </w:p>
        </w:tc>
      </w:tr>
      <w:tr w:rsidR="002A50B5" w:rsidRPr="00FC4C9B" w14:paraId="5D44939E"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54A9000" w14:textId="47B07F93" w:rsidR="002A50B5" w:rsidRPr="00FC4C9B" w:rsidRDefault="002A50B5" w:rsidP="0041700E">
            <w:pPr>
              <w:rPr>
                <w:rFonts w:ascii="Arial Narrow" w:eastAsia="Times New Roman" w:hAnsi="Arial Narrow"/>
                <w:sz w:val="20"/>
                <w:szCs w:val="20"/>
                <w:lang w:eastAsia="en-AU"/>
              </w:rPr>
            </w:pPr>
          </w:p>
        </w:tc>
        <w:tc>
          <w:tcPr>
            <w:tcW w:w="7745" w:type="dxa"/>
            <w:gridSpan w:val="6"/>
            <w:vAlign w:val="center"/>
            <w:hideMark/>
          </w:tcPr>
          <w:p w14:paraId="78833992" w14:textId="77777777" w:rsidR="002A50B5" w:rsidRPr="00FC4C9B" w:rsidRDefault="002A50B5" w:rsidP="0041700E">
            <w:pPr>
              <w:rPr>
                <w:rFonts w:ascii="Arial Narrow" w:eastAsia="Times New Roman" w:hAnsi="Arial Narrow"/>
                <w:sz w:val="20"/>
                <w:szCs w:val="20"/>
                <w:lang w:eastAsia="en-AU"/>
              </w:rPr>
            </w:pPr>
            <w:r w:rsidRPr="00FC4C9B">
              <w:rPr>
                <w:rFonts w:ascii="Arial Narrow" w:eastAsia="Times New Roman" w:hAnsi="Arial Narrow"/>
                <w:b/>
                <w:bCs/>
                <w:sz w:val="20"/>
                <w:szCs w:val="20"/>
                <w:lang w:eastAsia="en-AU"/>
              </w:rPr>
              <w:t>Clinical criteria:</w:t>
            </w:r>
          </w:p>
        </w:tc>
      </w:tr>
      <w:tr w:rsidR="002A50B5" w:rsidRPr="00FC4C9B" w14:paraId="078FA3B8"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ADFFEB9" w14:textId="591AFE3F" w:rsidR="002A50B5" w:rsidRPr="00FC4C9B" w:rsidRDefault="002A50B5" w:rsidP="0041700E">
            <w:pPr>
              <w:rPr>
                <w:rFonts w:ascii="Arial Narrow" w:eastAsia="Times New Roman" w:hAnsi="Arial Narrow"/>
                <w:sz w:val="20"/>
                <w:szCs w:val="20"/>
                <w:lang w:eastAsia="en-AU"/>
              </w:rPr>
            </w:pPr>
          </w:p>
        </w:tc>
        <w:tc>
          <w:tcPr>
            <w:tcW w:w="7745" w:type="dxa"/>
            <w:gridSpan w:val="6"/>
            <w:vAlign w:val="center"/>
            <w:hideMark/>
          </w:tcPr>
          <w:p w14:paraId="6E3BCF61" w14:textId="77777777" w:rsidR="002A50B5" w:rsidRPr="00FC4C9B" w:rsidRDefault="002A50B5" w:rsidP="0041700E">
            <w:pPr>
              <w:rPr>
                <w:rFonts w:ascii="Arial Narrow" w:eastAsia="Times New Roman" w:hAnsi="Arial Narrow"/>
                <w:sz w:val="20"/>
                <w:szCs w:val="20"/>
                <w:lang w:eastAsia="en-AU"/>
              </w:rPr>
            </w:pPr>
            <w:r w:rsidRPr="4904BCD2">
              <w:rPr>
                <w:rFonts w:ascii="Arial Narrow" w:eastAsia="Times New Roman" w:hAnsi="Arial Narrow"/>
                <w:sz w:val="20"/>
                <w:szCs w:val="20"/>
                <w:lang w:eastAsia="en-AU"/>
              </w:rPr>
              <w:t>Patient must not have current or previous (within last 2 years) decompensated liver disease</w:t>
            </w:r>
          </w:p>
        </w:tc>
      </w:tr>
      <w:tr w:rsidR="002A50B5" w:rsidRPr="00FC4C9B" w14:paraId="123E38CA"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C88777A" w14:textId="77777777" w:rsidR="002A50B5" w:rsidRPr="00FC4C9B" w:rsidRDefault="002A50B5" w:rsidP="0041700E">
            <w:pPr>
              <w:keepNext/>
              <w:rPr>
                <w:rFonts w:ascii="Arial Narrow" w:eastAsia="Times New Roman" w:hAnsi="Arial Narrow"/>
                <w:sz w:val="20"/>
                <w:szCs w:val="20"/>
                <w:lang w:eastAsia="en-AU"/>
              </w:rPr>
            </w:pPr>
          </w:p>
        </w:tc>
        <w:tc>
          <w:tcPr>
            <w:tcW w:w="7745" w:type="dxa"/>
            <w:gridSpan w:val="6"/>
            <w:vAlign w:val="center"/>
          </w:tcPr>
          <w:p w14:paraId="0A5C4E8D" w14:textId="77777777" w:rsidR="002A50B5" w:rsidRPr="00FC4C9B" w:rsidRDefault="002A50B5" w:rsidP="0041700E">
            <w:pPr>
              <w:keepNext/>
              <w:rPr>
                <w:rFonts w:ascii="Arial Narrow" w:eastAsia="Times New Roman" w:hAnsi="Arial Narrow"/>
                <w:b/>
                <w:bCs/>
                <w:sz w:val="20"/>
                <w:szCs w:val="20"/>
                <w:lang w:eastAsia="en-AU"/>
              </w:rPr>
            </w:pPr>
            <w:r w:rsidRPr="00FC4C9B">
              <w:rPr>
                <w:rFonts w:ascii="Arial Narrow" w:eastAsia="Times New Roman" w:hAnsi="Arial Narrow"/>
                <w:b/>
                <w:bCs/>
                <w:sz w:val="20"/>
                <w:szCs w:val="20"/>
                <w:lang w:eastAsia="en-AU"/>
              </w:rPr>
              <w:t>AND</w:t>
            </w:r>
          </w:p>
        </w:tc>
      </w:tr>
      <w:tr w:rsidR="002A50B5" w:rsidRPr="00FC4C9B" w14:paraId="4453CF4B"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8154E62" w14:textId="7B989A8A" w:rsidR="002A50B5" w:rsidRPr="00FC4C9B" w:rsidRDefault="002A50B5" w:rsidP="0041700E">
            <w:pPr>
              <w:keepNext/>
              <w:rPr>
                <w:rFonts w:ascii="Arial Narrow" w:eastAsia="Times New Roman" w:hAnsi="Arial Narrow"/>
                <w:sz w:val="20"/>
                <w:szCs w:val="20"/>
                <w:lang w:eastAsia="en-AU"/>
              </w:rPr>
            </w:pPr>
          </w:p>
        </w:tc>
        <w:tc>
          <w:tcPr>
            <w:tcW w:w="7745" w:type="dxa"/>
            <w:gridSpan w:val="6"/>
            <w:vAlign w:val="center"/>
          </w:tcPr>
          <w:p w14:paraId="646CFDDC" w14:textId="77777777" w:rsidR="002A50B5" w:rsidRPr="00FC4C9B" w:rsidRDefault="002A50B5" w:rsidP="0041700E">
            <w:pPr>
              <w:keepNext/>
              <w:rPr>
                <w:rFonts w:ascii="Arial Narrow" w:eastAsia="Times New Roman" w:hAnsi="Arial Narrow"/>
                <w:b/>
                <w:bCs/>
                <w:sz w:val="20"/>
                <w:szCs w:val="20"/>
                <w:lang w:eastAsia="en-AU"/>
              </w:rPr>
            </w:pPr>
            <w:r w:rsidRPr="00FC4C9B">
              <w:rPr>
                <w:rFonts w:ascii="Arial Narrow" w:eastAsia="Times New Roman" w:hAnsi="Arial Narrow"/>
                <w:b/>
                <w:bCs/>
                <w:sz w:val="20"/>
                <w:szCs w:val="20"/>
                <w:lang w:eastAsia="en-AU"/>
              </w:rPr>
              <w:t>Treatment criteria:</w:t>
            </w:r>
          </w:p>
        </w:tc>
      </w:tr>
      <w:tr w:rsidR="002A50B5" w:rsidRPr="00FC4C9B" w14:paraId="301F10F8"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E443913" w14:textId="286D904D" w:rsidR="002A50B5" w:rsidRPr="00FC4C9B" w:rsidRDefault="002A50B5" w:rsidP="0041700E">
            <w:pPr>
              <w:keepNext/>
              <w:rPr>
                <w:rFonts w:ascii="Arial Narrow" w:eastAsia="Times New Roman" w:hAnsi="Arial Narrow"/>
                <w:sz w:val="20"/>
                <w:szCs w:val="20"/>
                <w:lang w:eastAsia="en-AU"/>
              </w:rPr>
            </w:pPr>
          </w:p>
        </w:tc>
        <w:tc>
          <w:tcPr>
            <w:tcW w:w="7745" w:type="dxa"/>
            <w:gridSpan w:val="6"/>
            <w:vAlign w:val="center"/>
          </w:tcPr>
          <w:p w14:paraId="7A4E7D05" w14:textId="340BF753" w:rsidR="002A50B5" w:rsidRPr="00FC4C9B" w:rsidRDefault="00591636" w:rsidP="0041700E">
            <w:pPr>
              <w:keepNext/>
              <w:rPr>
                <w:rFonts w:ascii="Arial Narrow" w:eastAsia="Times New Roman" w:hAnsi="Arial Narrow"/>
                <w:sz w:val="20"/>
                <w:szCs w:val="20"/>
                <w:lang w:eastAsia="en-AU"/>
              </w:rPr>
            </w:pPr>
            <w:r>
              <w:rPr>
                <w:rFonts w:ascii="Arial Narrow" w:eastAsia="Times New Roman" w:hAnsi="Arial Narrow"/>
                <w:sz w:val="20"/>
                <w:szCs w:val="20"/>
                <w:lang w:eastAsia="en-AU"/>
              </w:rPr>
              <w:t>M</w:t>
            </w:r>
            <w:r w:rsidR="002A50B5" w:rsidRPr="4904BCD2">
              <w:rPr>
                <w:rFonts w:ascii="Arial Narrow" w:eastAsia="Times New Roman" w:hAnsi="Arial Narrow"/>
                <w:sz w:val="20"/>
                <w:szCs w:val="20"/>
                <w:lang w:eastAsia="en-AU"/>
              </w:rPr>
              <w:t>ust be initiated in consultation with a physician experienced in the management of patients with viral hepatitis</w:t>
            </w:r>
            <w:r w:rsidR="004A380C">
              <w:rPr>
                <w:rFonts w:ascii="Arial Narrow" w:eastAsia="Times New Roman" w:hAnsi="Arial Narrow"/>
                <w:sz w:val="20"/>
                <w:szCs w:val="20"/>
                <w:lang w:eastAsia="en-AU"/>
              </w:rPr>
              <w:t xml:space="preserve"> if treatment is being initi</w:t>
            </w:r>
            <w:r w:rsidR="008829CF">
              <w:rPr>
                <w:rFonts w:ascii="Arial Narrow" w:eastAsia="Times New Roman" w:hAnsi="Arial Narrow"/>
                <w:sz w:val="20"/>
                <w:szCs w:val="20"/>
                <w:lang w:eastAsia="en-AU"/>
              </w:rPr>
              <w:t>ated or continued</w:t>
            </w:r>
          </w:p>
        </w:tc>
      </w:tr>
      <w:tr w:rsidR="002A50B5" w:rsidRPr="00FC4C9B" w14:paraId="63D03364"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2DAC027" w14:textId="77777777" w:rsidR="002A50B5" w:rsidRPr="00FC4C9B" w:rsidRDefault="002A50B5" w:rsidP="0041700E">
            <w:pPr>
              <w:rPr>
                <w:rFonts w:ascii="Arial Narrow" w:eastAsia="Times New Roman" w:hAnsi="Arial Narrow"/>
                <w:strike/>
                <w:sz w:val="20"/>
                <w:szCs w:val="20"/>
                <w:lang w:eastAsia="en-AU"/>
              </w:rPr>
            </w:pPr>
          </w:p>
        </w:tc>
        <w:tc>
          <w:tcPr>
            <w:tcW w:w="7745" w:type="dxa"/>
            <w:gridSpan w:val="6"/>
            <w:vAlign w:val="center"/>
          </w:tcPr>
          <w:p w14:paraId="0D0A6BA4" w14:textId="51401260" w:rsidR="002A50B5" w:rsidRPr="000C21F5" w:rsidRDefault="000C21F5" w:rsidP="0041700E">
            <w:pPr>
              <w:rPr>
                <w:rFonts w:ascii="Arial Narrow" w:eastAsia="Times New Roman" w:hAnsi="Arial Narrow"/>
                <w:b/>
                <w:bCs/>
                <w:sz w:val="20"/>
                <w:szCs w:val="20"/>
                <w:lang w:eastAsia="en-AU"/>
              </w:rPr>
            </w:pPr>
            <w:r>
              <w:rPr>
                <w:rFonts w:ascii="Arial Narrow" w:eastAsia="Times New Roman" w:hAnsi="Arial Narrow"/>
                <w:b/>
                <w:bCs/>
                <w:sz w:val="20"/>
                <w:szCs w:val="20"/>
                <w:lang w:eastAsia="en-AU"/>
              </w:rPr>
              <w:t>OR</w:t>
            </w:r>
          </w:p>
        </w:tc>
      </w:tr>
      <w:tr w:rsidR="00E52EB2" w:rsidRPr="00FC4C9B" w14:paraId="3931DCC4"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EB07B2E" w14:textId="0E45B0AB" w:rsidR="00E52EB2" w:rsidRPr="00FC4C9B" w:rsidRDefault="00E52EB2" w:rsidP="0041700E">
            <w:pPr>
              <w:rPr>
                <w:rFonts w:ascii="Arial Narrow" w:eastAsia="Times New Roman" w:hAnsi="Arial Narrow"/>
                <w:sz w:val="20"/>
                <w:szCs w:val="20"/>
                <w:lang w:eastAsia="en-AU"/>
              </w:rPr>
            </w:pPr>
          </w:p>
        </w:tc>
        <w:tc>
          <w:tcPr>
            <w:tcW w:w="7745" w:type="dxa"/>
            <w:gridSpan w:val="6"/>
            <w:vAlign w:val="center"/>
          </w:tcPr>
          <w:p w14:paraId="63727651" w14:textId="7499D066" w:rsidR="00E52EB2" w:rsidRPr="00FC4C9B" w:rsidRDefault="00E52EB2" w:rsidP="0041700E">
            <w:pPr>
              <w:rPr>
                <w:rFonts w:ascii="Arial Narrow" w:eastAsia="Times New Roman" w:hAnsi="Arial Narrow"/>
                <w:b/>
                <w:bCs/>
                <w:sz w:val="20"/>
                <w:szCs w:val="20"/>
                <w:lang w:eastAsia="en-AU"/>
              </w:rPr>
            </w:pPr>
            <w:r w:rsidRPr="00FC4C9B">
              <w:rPr>
                <w:rFonts w:ascii="Arial Narrow" w:eastAsia="Times New Roman" w:hAnsi="Arial Narrow"/>
                <w:b/>
                <w:bCs/>
                <w:sz w:val="20"/>
                <w:szCs w:val="20"/>
                <w:lang w:eastAsia="en-AU"/>
              </w:rPr>
              <w:t>Treatment criteria:</w:t>
            </w:r>
          </w:p>
        </w:tc>
      </w:tr>
      <w:tr w:rsidR="008829CF" w:rsidRPr="00FC4C9B" w14:paraId="3E65A94A"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E0C76E7" w14:textId="1E317604" w:rsidR="008829CF" w:rsidRPr="00FC4C9B" w:rsidRDefault="008829CF" w:rsidP="0041700E">
            <w:pPr>
              <w:rPr>
                <w:rFonts w:ascii="Arial Narrow" w:eastAsia="Times New Roman" w:hAnsi="Arial Narrow"/>
                <w:sz w:val="20"/>
                <w:szCs w:val="20"/>
                <w:lang w:eastAsia="en-AU"/>
              </w:rPr>
            </w:pPr>
          </w:p>
        </w:tc>
        <w:tc>
          <w:tcPr>
            <w:tcW w:w="7745" w:type="dxa"/>
            <w:gridSpan w:val="6"/>
            <w:vAlign w:val="center"/>
          </w:tcPr>
          <w:p w14:paraId="3F3A65F1" w14:textId="7AAC060E" w:rsidR="008829CF" w:rsidRPr="00FC4C9B" w:rsidRDefault="00591636" w:rsidP="0041700E">
            <w:pPr>
              <w:rPr>
                <w:rFonts w:ascii="Arial Narrow" w:eastAsia="Times New Roman" w:hAnsi="Arial Narrow"/>
                <w:b/>
                <w:bCs/>
                <w:sz w:val="20"/>
                <w:szCs w:val="20"/>
                <w:lang w:eastAsia="en-AU"/>
              </w:rPr>
            </w:pPr>
            <w:r w:rsidRPr="0126C60A">
              <w:rPr>
                <w:rFonts w:ascii="Arial Narrow" w:eastAsia="Arial Narrow" w:hAnsi="Arial Narrow" w:cs="Arial Narrow"/>
                <w:sz w:val="20"/>
                <w:szCs w:val="20"/>
              </w:rPr>
              <w:t>Must be treated by a medical practitioner if treatment is being continued;</w:t>
            </w:r>
          </w:p>
        </w:tc>
      </w:tr>
      <w:tr w:rsidR="008829CF" w:rsidRPr="00FC4C9B" w14:paraId="5CFC26F7"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DD3799C" w14:textId="77777777" w:rsidR="008829CF" w:rsidRPr="00FC4C9B" w:rsidRDefault="008829CF" w:rsidP="0041700E">
            <w:pPr>
              <w:rPr>
                <w:rFonts w:ascii="Arial Narrow" w:eastAsia="Times New Roman" w:hAnsi="Arial Narrow"/>
                <w:sz w:val="20"/>
                <w:szCs w:val="20"/>
                <w:lang w:eastAsia="en-AU"/>
              </w:rPr>
            </w:pPr>
          </w:p>
        </w:tc>
        <w:tc>
          <w:tcPr>
            <w:tcW w:w="7745" w:type="dxa"/>
            <w:gridSpan w:val="6"/>
            <w:vAlign w:val="center"/>
          </w:tcPr>
          <w:p w14:paraId="44ED41A5" w14:textId="10D9E65D" w:rsidR="008829CF" w:rsidRPr="00FC4C9B" w:rsidRDefault="00756C63" w:rsidP="0041700E">
            <w:pPr>
              <w:rPr>
                <w:rFonts w:ascii="Arial Narrow" w:eastAsia="Times New Roman" w:hAnsi="Arial Narrow"/>
                <w:b/>
                <w:bCs/>
                <w:sz w:val="20"/>
                <w:szCs w:val="20"/>
                <w:lang w:eastAsia="en-AU"/>
              </w:rPr>
            </w:pPr>
            <w:r>
              <w:rPr>
                <w:rFonts w:ascii="Arial Narrow" w:eastAsia="Times New Roman" w:hAnsi="Arial Narrow"/>
                <w:b/>
                <w:bCs/>
                <w:sz w:val="20"/>
                <w:szCs w:val="20"/>
                <w:lang w:eastAsia="en-AU"/>
              </w:rPr>
              <w:t>OR</w:t>
            </w:r>
          </w:p>
        </w:tc>
      </w:tr>
      <w:tr w:rsidR="000872E5" w:rsidRPr="00FC4C9B" w14:paraId="13BE1419"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2465F83" w14:textId="6A893292" w:rsidR="000872E5" w:rsidRPr="00FC4C9B" w:rsidRDefault="000872E5" w:rsidP="0041700E">
            <w:pPr>
              <w:rPr>
                <w:rFonts w:ascii="Arial Narrow" w:eastAsia="Times New Roman" w:hAnsi="Arial Narrow"/>
                <w:sz w:val="20"/>
                <w:szCs w:val="20"/>
                <w:lang w:eastAsia="en-AU"/>
              </w:rPr>
            </w:pPr>
          </w:p>
        </w:tc>
        <w:tc>
          <w:tcPr>
            <w:tcW w:w="7745" w:type="dxa"/>
            <w:gridSpan w:val="6"/>
            <w:vAlign w:val="center"/>
          </w:tcPr>
          <w:p w14:paraId="50CAEB9F" w14:textId="13A402A5" w:rsidR="000872E5" w:rsidRDefault="000872E5" w:rsidP="0041700E">
            <w:pPr>
              <w:rPr>
                <w:rFonts w:ascii="Arial Narrow" w:eastAsia="Times New Roman" w:hAnsi="Arial Narrow"/>
                <w:b/>
                <w:bCs/>
                <w:sz w:val="20"/>
                <w:szCs w:val="20"/>
                <w:lang w:eastAsia="en-AU"/>
              </w:rPr>
            </w:pPr>
            <w:r w:rsidRPr="00FC4C9B">
              <w:rPr>
                <w:rFonts w:ascii="Arial Narrow" w:eastAsia="Times New Roman" w:hAnsi="Arial Narrow"/>
                <w:b/>
                <w:bCs/>
                <w:sz w:val="20"/>
                <w:szCs w:val="20"/>
                <w:lang w:eastAsia="en-AU"/>
              </w:rPr>
              <w:t>Treatment criteria:</w:t>
            </w:r>
          </w:p>
        </w:tc>
      </w:tr>
      <w:tr w:rsidR="000872E5" w:rsidRPr="00FC4C9B" w14:paraId="61BF1D16"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275E7FD" w14:textId="136BECA5" w:rsidR="000872E5" w:rsidRPr="00FC4C9B" w:rsidRDefault="000872E5" w:rsidP="0041700E">
            <w:pPr>
              <w:rPr>
                <w:rFonts w:ascii="Arial Narrow" w:eastAsia="Times New Roman" w:hAnsi="Arial Narrow"/>
                <w:sz w:val="20"/>
                <w:szCs w:val="20"/>
                <w:lang w:eastAsia="en-AU"/>
              </w:rPr>
            </w:pPr>
          </w:p>
        </w:tc>
        <w:tc>
          <w:tcPr>
            <w:tcW w:w="7745" w:type="dxa"/>
            <w:gridSpan w:val="6"/>
            <w:vAlign w:val="center"/>
          </w:tcPr>
          <w:p w14:paraId="50518098" w14:textId="2C607F55" w:rsidR="000872E5" w:rsidRPr="00E52EB2" w:rsidRDefault="000872E5" w:rsidP="0041700E">
            <w:pPr>
              <w:rPr>
                <w:rFonts w:ascii="Arial Narrow" w:eastAsia="Times New Roman" w:hAnsi="Arial Narrow"/>
                <w:sz w:val="20"/>
                <w:szCs w:val="20"/>
                <w:lang w:eastAsia="en-AU"/>
              </w:rPr>
            </w:pPr>
            <w:r w:rsidRPr="7BEEADF9">
              <w:rPr>
                <w:rFonts w:ascii="Arial Narrow" w:eastAsia="Arial Narrow" w:hAnsi="Arial Narrow" w:cs="Arial Narrow"/>
                <w:sz w:val="20"/>
                <w:szCs w:val="20"/>
              </w:rPr>
              <w:t xml:space="preserve">Must be treated by a nurse practitioner </w:t>
            </w:r>
            <w:r>
              <w:rPr>
                <w:rFonts w:ascii="Arial Narrow" w:eastAsia="Arial Narrow" w:hAnsi="Arial Narrow" w:cs="Arial Narrow"/>
                <w:sz w:val="20"/>
                <w:szCs w:val="20"/>
              </w:rPr>
              <w:t>in consultation with a medical practitioner if treatment is being continued.</w:t>
            </w:r>
          </w:p>
        </w:tc>
      </w:tr>
      <w:tr w:rsidR="002A50B5" w:rsidRPr="00FC4C9B" w14:paraId="3792ADF8"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55061BD" w14:textId="2E6223E0" w:rsidR="002A50B5" w:rsidRPr="00FC4C9B" w:rsidRDefault="002A50B5" w:rsidP="0041700E">
            <w:pPr>
              <w:rPr>
                <w:rFonts w:ascii="Arial Narrow" w:eastAsia="Times New Roman" w:hAnsi="Arial Narrow"/>
                <w:sz w:val="20"/>
                <w:szCs w:val="20"/>
                <w:lang w:eastAsia="en-AU"/>
              </w:rPr>
            </w:pPr>
          </w:p>
        </w:tc>
        <w:tc>
          <w:tcPr>
            <w:tcW w:w="7745" w:type="dxa"/>
            <w:gridSpan w:val="6"/>
            <w:vAlign w:val="center"/>
          </w:tcPr>
          <w:p w14:paraId="37C26468" w14:textId="77777777" w:rsidR="002A50B5" w:rsidRPr="00FC4C9B" w:rsidRDefault="002A50B5" w:rsidP="0041700E">
            <w:pPr>
              <w:rPr>
                <w:rFonts w:ascii="Arial Narrow" w:eastAsia="Times New Roman" w:hAnsi="Arial Narrow"/>
                <w:bCs/>
                <w:sz w:val="20"/>
                <w:szCs w:val="20"/>
                <w:lang w:eastAsia="en-AU"/>
              </w:rPr>
            </w:pPr>
            <w:r w:rsidRPr="00FC4C9B">
              <w:rPr>
                <w:rFonts w:ascii="Arial Narrow" w:eastAsia="Times New Roman" w:hAnsi="Arial Narrow"/>
                <w:b/>
                <w:bCs/>
                <w:sz w:val="20"/>
                <w:szCs w:val="20"/>
                <w:lang w:eastAsia="en-AU"/>
              </w:rPr>
              <w:t xml:space="preserve">Administrative Advice: </w:t>
            </w:r>
            <w:r w:rsidRPr="00FC4C9B">
              <w:rPr>
                <w:rFonts w:ascii="Arial Narrow" w:eastAsia="Times New Roman" w:hAnsi="Arial Narrow"/>
                <w:bCs/>
                <w:sz w:val="20"/>
                <w:szCs w:val="20"/>
                <w:lang w:eastAsia="en-AU"/>
              </w:rPr>
              <w:t>Treatment can be as monotherapy for chronic hepatitis D virus or in co-administration with another therapy for Hepatitis B virus infection.</w:t>
            </w:r>
          </w:p>
        </w:tc>
      </w:tr>
    </w:tbl>
    <w:p w14:paraId="45CF7080" w14:textId="3FCCB1F1" w:rsidR="00C2313D" w:rsidRDefault="00C2313D" w:rsidP="0041700E">
      <w:pPr>
        <w:rPr>
          <w:rFonts w:cs="Arial"/>
          <w:bCs/>
          <w:snapToGrid w:val="0"/>
          <w:lang w:val="en-GB"/>
        </w:rPr>
      </w:pPr>
    </w:p>
    <w:p w14:paraId="756D9179" w14:textId="48A5D81A" w:rsidR="00E4403D" w:rsidRDefault="00C2313D" w:rsidP="0041700E">
      <w:pPr>
        <w:jc w:val="left"/>
        <w:rPr>
          <w:b/>
          <w:i/>
          <w:iCs/>
          <w:snapToGrid w:val="0"/>
          <w:lang w:val="en-GB"/>
        </w:rPr>
      </w:pPr>
      <w:r w:rsidRPr="00907671">
        <w:rPr>
          <w:b/>
          <w:i/>
          <w:iCs/>
          <w:snapToGrid w:val="0"/>
          <w:lang w:val="en-GB"/>
        </w:rPr>
        <w:t xml:space="preserve">These restrictions may be subject to further review. Should there be any changes made to the restriction the sponsor will </w:t>
      </w:r>
      <w:proofErr w:type="gramStart"/>
      <w:r w:rsidRPr="00907671">
        <w:rPr>
          <w:b/>
          <w:i/>
          <w:iCs/>
          <w:snapToGrid w:val="0"/>
          <w:lang w:val="en-GB"/>
        </w:rPr>
        <w:t>be informed</w:t>
      </w:r>
      <w:proofErr w:type="gramEnd"/>
      <w:r w:rsidRPr="00907671">
        <w:rPr>
          <w:b/>
          <w:i/>
          <w:iCs/>
          <w:snapToGrid w:val="0"/>
          <w:lang w:val="en-GB"/>
        </w:rPr>
        <w:t>.</w:t>
      </w:r>
    </w:p>
    <w:p w14:paraId="4F854E90" w14:textId="77777777" w:rsidR="00E4403D" w:rsidRPr="00E4403D" w:rsidRDefault="00E4403D" w:rsidP="0041700E">
      <w:pPr>
        <w:keepNext/>
        <w:spacing w:before="240" w:after="120"/>
        <w:ind w:left="720" w:hanging="720"/>
        <w:jc w:val="left"/>
        <w:outlineLvl w:val="0"/>
        <w:rPr>
          <w:rFonts w:eastAsia="Times New Roman" w:cs="Arial"/>
          <w:b/>
          <w:bCs/>
          <w:snapToGrid w:val="0"/>
          <w:sz w:val="32"/>
          <w:szCs w:val="32"/>
          <w:lang w:val="en-GB" w:eastAsia="en-AU"/>
        </w:rPr>
      </w:pPr>
      <w:r w:rsidRPr="00E4403D">
        <w:rPr>
          <w:rFonts w:eastAsia="Times New Roman" w:cs="Arial"/>
          <w:b/>
          <w:snapToGrid w:val="0"/>
          <w:sz w:val="32"/>
          <w:szCs w:val="32"/>
          <w:lang w:eastAsia="en-AU"/>
        </w:rPr>
        <w:t>9</w:t>
      </w:r>
      <w:r w:rsidRPr="00E4403D">
        <w:rPr>
          <w:rFonts w:eastAsia="Times New Roman" w:cs="Arial"/>
          <w:b/>
          <w:snapToGrid w:val="0"/>
          <w:sz w:val="32"/>
          <w:szCs w:val="32"/>
          <w:lang w:eastAsia="en-AU"/>
        </w:rPr>
        <w:tab/>
        <w:t>Context for Decision</w:t>
      </w:r>
    </w:p>
    <w:p w14:paraId="4823B77D" w14:textId="77777777" w:rsidR="00E4403D" w:rsidRPr="00E4403D" w:rsidRDefault="00E4403D" w:rsidP="0041700E">
      <w:pPr>
        <w:spacing w:after="120"/>
        <w:ind w:left="720"/>
        <w:rPr>
          <w:rFonts w:eastAsia="Times New Roman" w:cs="Arial"/>
          <w:bCs/>
          <w:lang w:val="en-GB" w:eastAsia="en-AU"/>
        </w:rPr>
      </w:pPr>
      <w:r w:rsidRPr="00E4403D">
        <w:rPr>
          <w:rFonts w:eastAsia="Times New Roman" w:cs="Arial"/>
          <w:bCs/>
          <w:lang w:val="en-GB" w:eastAsia="en-AU"/>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w:t>
      </w:r>
      <w:proofErr w:type="gramStart"/>
      <w:r w:rsidRPr="00E4403D">
        <w:rPr>
          <w:rFonts w:eastAsia="Times New Roman" w:cs="Arial"/>
          <w:bCs/>
          <w:lang w:val="en-GB" w:eastAsia="en-AU"/>
        </w:rPr>
        <w:t>be made</w:t>
      </w:r>
      <w:proofErr w:type="gramEnd"/>
      <w:r w:rsidRPr="00E4403D">
        <w:rPr>
          <w:rFonts w:eastAsia="Times New Roman" w:cs="Arial"/>
          <w:bCs/>
          <w:lang w:val="en-GB" w:eastAsia="en-AU"/>
        </w:rPr>
        <w:t xml:space="preserve"> available through the PBS. The PBAC welcomes applications containing </w:t>
      </w:r>
      <w:proofErr w:type="gramStart"/>
      <w:r w:rsidRPr="00E4403D">
        <w:rPr>
          <w:rFonts w:eastAsia="Times New Roman" w:cs="Arial"/>
          <w:bCs/>
          <w:lang w:val="en-GB" w:eastAsia="en-AU"/>
        </w:rPr>
        <w:t>new information</w:t>
      </w:r>
      <w:proofErr w:type="gramEnd"/>
      <w:r w:rsidRPr="00E4403D">
        <w:rPr>
          <w:rFonts w:eastAsia="Times New Roman" w:cs="Arial"/>
          <w:bCs/>
          <w:lang w:val="en-GB" w:eastAsia="en-AU"/>
        </w:rPr>
        <w:t xml:space="preserve"> at any time.</w:t>
      </w:r>
    </w:p>
    <w:p w14:paraId="1D4313B3" w14:textId="77777777" w:rsidR="00E4403D" w:rsidRPr="00E4403D" w:rsidRDefault="00E4403D" w:rsidP="0041700E">
      <w:pPr>
        <w:keepNext/>
        <w:spacing w:before="240" w:after="120"/>
        <w:ind w:left="720" w:hanging="720"/>
        <w:jc w:val="left"/>
        <w:outlineLvl w:val="0"/>
        <w:rPr>
          <w:rFonts w:eastAsia="Times New Roman" w:cs="Arial"/>
          <w:b/>
          <w:snapToGrid w:val="0"/>
          <w:sz w:val="32"/>
          <w:szCs w:val="32"/>
          <w:lang w:eastAsia="en-AU"/>
        </w:rPr>
      </w:pPr>
      <w:r w:rsidRPr="00E4403D">
        <w:rPr>
          <w:rFonts w:eastAsia="Times New Roman" w:cs="Arial"/>
          <w:b/>
          <w:snapToGrid w:val="0"/>
          <w:sz w:val="32"/>
          <w:szCs w:val="32"/>
          <w:lang w:eastAsia="en-AU"/>
        </w:rPr>
        <w:t>10</w:t>
      </w:r>
      <w:r w:rsidRPr="00E4403D">
        <w:rPr>
          <w:rFonts w:eastAsia="Times New Roman" w:cs="Arial"/>
          <w:b/>
          <w:snapToGrid w:val="0"/>
          <w:sz w:val="32"/>
          <w:szCs w:val="32"/>
          <w:lang w:eastAsia="en-AU"/>
        </w:rPr>
        <w:tab/>
        <w:t>Sponsor’s Comment</w:t>
      </w:r>
    </w:p>
    <w:p w14:paraId="02E29619" w14:textId="009F5C4D" w:rsidR="00E4403D" w:rsidRPr="00E4403D" w:rsidRDefault="00E4403D" w:rsidP="0041700E">
      <w:pPr>
        <w:spacing w:after="120" w:line="276" w:lineRule="auto"/>
        <w:ind w:left="720"/>
        <w:rPr>
          <w:rFonts w:eastAsia="Calibri" w:cs="Arial"/>
          <w:bCs/>
          <w:szCs w:val="22"/>
        </w:rPr>
      </w:pPr>
      <w:r w:rsidRPr="00E4403D">
        <w:rPr>
          <w:rFonts w:eastAsia="Calibri" w:cs="Arial"/>
          <w:bCs/>
          <w:szCs w:val="22"/>
        </w:rPr>
        <w:t>The sponsor had no comment.</w:t>
      </w:r>
    </w:p>
    <w:p w14:paraId="78F5B63E" w14:textId="77777777" w:rsidR="00E4403D" w:rsidRPr="00614F96" w:rsidRDefault="00E4403D" w:rsidP="0041700E">
      <w:pPr>
        <w:jc w:val="left"/>
        <w:rPr>
          <w:b/>
          <w:i/>
          <w:iCs/>
          <w:snapToGrid w:val="0"/>
          <w:lang w:val="en-GB"/>
        </w:rPr>
      </w:pPr>
    </w:p>
    <w:sectPr w:rsidR="00E4403D" w:rsidRPr="00614F96" w:rsidSect="00F50184">
      <w:headerReference w:type="default" r:id="rId19"/>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28D90" w14:textId="77777777" w:rsidR="006A425A" w:rsidRDefault="006A425A" w:rsidP="00B27BD4">
      <w:r>
        <w:separator/>
      </w:r>
    </w:p>
  </w:endnote>
  <w:endnote w:type="continuationSeparator" w:id="0">
    <w:p w14:paraId="661BA6BE" w14:textId="77777777" w:rsidR="006A425A" w:rsidRDefault="006A425A" w:rsidP="00B27BD4">
      <w:r>
        <w:continuationSeparator/>
      </w:r>
    </w:p>
  </w:endnote>
  <w:endnote w:type="continuationNotice" w:id="1">
    <w:p w14:paraId="0C3B1D78" w14:textId="77777777" w:rsidR="006A425A" w:rsidRDefault="006A42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Body)">
    <w:altName w:val="Calibri"/>
    <w:charset w:val="00"/>
    <w:family w:val="roman"/>
    <w:pitch w:val="default"/>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0EA55" w14:textId="33785C4C" w:rsidR="001B7842" w:rsidRDefault="00972EC2">
    <w:pPr>
      <w:pStyle w:val="Footer"/>
    </w:pPr>
    <w:r>
      <w:rPr>
        <w:noProof/>
      </w:rPr>
      <mc:AlternateContent>
        <mc:Choice Requires="wps">
          <w:drawing>
            <wp:anchor distT="0" distB="0" distL="0" distR="0" simplePos="0" relativeHeight="251658245" behindDoc="0" locked="0" layoutInCell="1" allowOverlap="1" wp14:anchorId="2B79AF5F" wp14:editId="778DB64A">
              <wp:simplePos x="635" y="635"/>
              <wp:positionH relativeFrom="page">
                <wp:align>center</wp:align>
              </wp:positionH>
              <wp:positionV relativeFrom="page">
                <wp:align>bottom</wp:align>
              </wp:positionV>
              <wp:extent cx="551815" cy="376555"/>
              <wp:effectExtent l="0" t="0" r="635" b="0"/>
              <wp:wrapNone/>
              <wp:docPr id="103894659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DFC2C87" w14:textId="4E4522DD" w:rsidR="00972EC2" w:rsidRPr="00972EC2" w:rsidRDefault="00972EC2" w:rsidP="00972EC2">
                          <w:pPr>
                            <w:rPr>
                              <w:rFonts w:eastAsia="Calibri" w:cs="Calibri"/>
                              <w:noProof/>
                              <w:color w:val="FF0000"/>
                            </w:rPr>
                          </w:pPr>
                          <w:r w:rsidRPr="00972EC2">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79AF5F" id="_x0000_t202" coordsize="21600,21600" o:spt="202" path="m,l,21600r21600,l21600,xe">
              <v:stroke joinstyle="miter"/>
              <v:path gradientshapeok="t" o:connecttype="rect"/>
            </v:shapetype>
            <v:shape id="Text Box 6" o:spid="_x0000_s1028" type="#_x0000_t202" alt="OFFICIAL" style="position:absolute;left:0;text-align:left;margin-left:0;margin-top:0;width:43.45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7DFC2C87" w14:textId="4E4522DD" w:rsidR="00972EC2" w:rsidRPr="00972EC2" w:rsidRDefault="00972EC2" w:rsidP="00972EC2">
                    <w:pPr>
                      <w:rPr>
                        <w:rFonts w:eastAsia="Calibri" w:cs="Calibri"/>
                        <w:noProof/>
                        <w:color w:val="FF0000"/>
                      </w:rPr>
                    </w:pPr>
                    <w:r w:rsidRPr="00972EC2">
                      <w:rPr>
                        <w:rFonts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B6D60" w14:textId="4C722F09" w:rsidR="00CB7679" w:rsidRDefault="00972EC2">
    <w:pPr>
      <w:pStyle w:val="Footer"/>
      <w:jc w:val="center"/>
    </w:pPr>
    <w:r>
      <w:rPr>
        <w:noProof/>
      </w:rPr>
      <mc:AlternateContent>
        <mc:Choice Requires="wps">
          <w:drawing>
            <wp:anchor distT="0" distB="0" distL="0" distR="0" simplePos="0" relativeHeight="251658246" behindDoc="0" locked="0" layoutInCell="1" allowOverlap="1" wp14:anchorId="53833ACB" wp14:editId="0C495106">
              <wp:simplePos x="635" y="635"/>
              <wp:positionH relativeFrom="page">
                <wp:align>center</wp:align>
              </wp:positionH>
              <wp:positionV relativeFrom="page">
                <wp:align>bottom</wp:align>
              </wp:positionV>
              <wp:extent cx="551815" cy="376555"/>
              <wp:effectExtent l="0" t="0" r="635" b="0"/>
              <wp:wrapNone/>
              <wp:docPr id="105091520"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204CF5F" w14:textId="2D942BAE" w:rsidR="00972EC2" w:rsidRPr="00972EC2" w:rsidRDefault="00972EC2" w:rsidP="00972EC2">
                          <w:pPr>
                            <w:rPr>
                              <w:rFonts w:eastAsia="Calibri" w:cs="Calibri"/>
                              <w:noProof/>
                              <w:color w:val="FF0000"/>
                            </w:rPr>
                          </w:pPr>
                          <w:r w:rsidRPr="00972EC2">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833ACB" id="_x0000_t202" coordsize="21600,21600" o:spt="202" path="m,l,21600r21600,l21600,xe">
              <v:stroke joinstyle="miter"/>
              <v:path gradientshapeok="t" o:connecttype="rect"/>
            </v:shapetype>
            <v:shape id="Text Box 7" o:spid="_x0000_s1029" type="#_x0000_t202" alt="OFFICIAL" style="position:absolute;left:0;text-align:left;margin-left:0;margin-top:0;width:43.45pt;height:29.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2204CF5F" w14:textId="2D942BAE" w:rsidR="00972EC2" w:rsidRPr="00972EC2" w:rsidRDefault="00972EC2" w:rsidP="00972EC2">
                    <w:pPr>
                      <w:rPr>
                        <w:rFonts w:eastAsia="Calibri" w:cs="Calibri"/>
                        <w:noProof/>
                        <w:color w:val="FF0000"/>
                      </w:rPr>
                    </w:pPr>
                    <w:r w:rsidRPr="00972EC2">
                      <w:rPr>
                        <w:rFonts w:eastAsia="Calibri" w:cs="Calibri"/>
                        <w:noProof/>
                        <w:color w:val="FF0000"/>
                      </w:rPr>
                      <w:t>OFFICIAL</w:t>
                    </w:r>
                  </w:p>
                </w:txbxContent>
              </v:textbox>
              <w10:wrap anchorx="page" anchory="page"/>
            </v:shape>
          </w:pict>
        </mc:Fallback>
      </mc:AlternateContent>
    </w:r>
  </w:p>
  <w:sdt>
    <w:sdtPr>
      <w:rPr>
        <w:b/>
        <w:bCs/>
      </w:rPr>
      <w:id w:val="-1096857792"/>
      <w:docPartObj>
        <w:docPartGallery w:val="Page Numbers (Bottom of Page)"/>
        <w:docPartUnique/>
      </w:docPartObj>
    </w:sdtPr>
    <w:sdtEndPr>
      <w:rPr>
        <w:noProof/>
      </w:rPr>
    </w:sdtEndPr>
    <w:sdtContent>
      <w:p w14:paraId="54BFC095" w14:textId="77777777" w:rsidR="00CB7679" w:rsidRPr="00254615" w:rsidRDefault="00CB7679" w:rsidP="00656D58">
        <w:pPr>
          <w:pStyle w:val="Footer"/>
          <w:jc w:val="center"/>
          <w:rPr>
            <w:b/>
            <w:bCs/>
          </w:rPr>
        </w:pPr>
        <w:r w:rsidRPr="001363F6">
          <w:rPr>
            <w:b/>
            <w:bCs/>
          </w:rPr>
          <w:fldChar w:fldCharType="begin"/>
        </w:r>
        <w:r w:rsidRPr="001363F6">
          <w:rPr>
            <w:b/>
            <w:bCs/>
          </w:rPr>
          <w:instrText xml:space="preserve"> PAGE   \* MERGEFORMAT </w:instrText>
        </w:r>
        <w:r w:rsidRPr="001363F6">
          <w:rPr>
            <w:b/>
            <w:bCs/>
          </w:rPr>
          <w:fldChar w:fldCharType="separate"/>
        </w:r>
        <w:r w:rsidRPr="001363F6">
          <w:rPr>
            <w:b/>
            <w:bCs/>
            <w:noProof/>
          </w:rPr>
          <w:t>2</w:t>
        </w:r>
        <w:r w:rsidRPr="001363F6">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CF4A1" w14:textId="36AA0D29" w:rsidR="001B7842" w:rsidRDefault="00972EC2">
    <w:pPr>
      <w:pStyle w:val="Footer"/>
    </w:pPr>
    <w:r>
      <w:rPr>
        <w:noProof/>
      </w:rPr>
      <mc:AlternateContent>
        <mc:Choice Requires="wps">
          <w:drawing>
            <wp:anchor distT="0" distB="0" distL="0" distR="0" simplePos="0" relativeHeight="251658244" behindDoc="0" locked="0" layoutInCell="1" allowOverlap="1" wp14:anchorId="34C7B9D5" wp14:editId="7271F72F">
              <wp:simplePos x="635" y="635"/>
              <wp:positionH relativeFrom="page">
                <wp:align>center</wp:align>
              </wp:positionH>
              <wp:positionV relativeFrom="page">
                <wp:align>bottom</wp:align>
              </wp:positionV>
              <wp:extent cx="551815" cy="376555"/>
              <wp:effectExtent l="0" t="0" r="635" b="0"/>
              <wp:wrapNone/>
              <wp:docPr id="69822494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A41306D" w14:textId="01EB7807" w:rsidR="00972EC2" w:rsidRPr="00972EC2" w:rsidRDefault="00972EC2" w:rsidP="00972EC2">
                          <w:pPr>
                            <w:rPr>
                              <w:rFonts w:eastAsia="Calibri" w:cs="Calibri"/>
                              <w:noProof/>
                              <w:color w:val="FF0000"/>
                            </w:rPr>
                          </w:pPr>
                          <w:r w:rsidRPr="00972EC2">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C7B9D5" id="_x0000_t202" coordsize="21600,21600" o:spt="202" path="m,l,21600r21600,l21600,xe">
              <v:stroke joinstyle="miter"/>
              <v:path gradientshapeok="t" o:connecttype="rect"/>
            </v:shapetype>
            <v:shape id="Text Box 5" o:spid="_x0000_s1031" type="#_x0000_t202" alt="OFFICIAL" style="position:absolute;left:0;text-align:left;margin-left:0;margin-top:0;width:43.45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0A41306D" w14:textId="01EB7807" w:rsidR="00972EC2" w:rsidRPr="00972EC2" w:rsidRDefault="00972EC2" w:rsidP="00972EC2">
                    <w:pPr>
                      <w:rPr>
                        <w:rFonts w:eastAsia="Calibri" w:cs="Calibri"/>
                        <w:noProof/>
                        <w:color w:val="FF0000"/>
                      </w:rPr>
                    </w:pPr>
                    <w:r w:rsidRPr="00972EC2">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3DE5D" w14:textId="77777777" w:rsidR="006A425A" w:rsidRDefault="006A425A" w:rsidP="00B27BD4">
      <w:r>
        <w:separator/>
      </w:r>
    </w:p>
  </w:footnote>
  <w:footnote w:type="continuationSeparator" w:id="0">
    <w:p w14:paraId="721FEBFC" w14:textId="77777777" w:rsidR="006A425A" w:rsidRDefault="006A425A" w:rsidP="00B27BD4">
      <w:r>
        <w:continuationSeparator/>
      </w:r>
    </w:p>
  </w:footnote>
  <w:footnote w:type="continuationNotice" w:id="1">
    <w:p w14:paraId="05CA751F" w14:textId="77777777" w:rsidR="006A425A" w:rsidRDefault="006A425A"/>
  </w:footnote>
  <w:footnote w:id="2">
    <w:p w14:paraId="4F53CC97" w14:textId="77777777" w:rsidR="000B266B" w:rsidRDefault="000B266B" w:rsidP="000B266B">
      <w:pPr>
        <w:pStyle w:val="FootnoteText"/>
      </w:pPr>
      <w:r>
        <w:rPr>
          <w:rStyle w:val="FootnoteReference"/>
        </w:rPr>
        <w:footnoteRef/>
      </w:r>
      <w:r>
        <w:t xml:space="preserve"> </w:t>
      </w:r>
      <w:r w:rsidRPr="00D519A4">
        <w:t>Bichko V et al. Pathogenesis associated with replication of hepatitis delta virus. Infectious Agents and Diseases. 1994; 3: 94-97.</w:t>
      </w:r>
    </w:p>
  </w:footnote>
  <w:footnote w:id="3">
    <w:p w14:paraId="5CDC9711" w14:textId="77777777" w:rsidR="000B266B" w:rsidRDefault="000B266B" w:rsidP="000B266B">
      <w:pPr>
        <w:pStyle w:val="FootnoteText"/>
      </w:pPr>
      <w:r>
        <w:rPr>
          <w:rStyle w:val="FootnoteReference"/>
        </w:rPr>
        <w:footnoteRef/>
      </w:r>
      <w:r>
        <w:t xml:space="preserve"> </w:t>
      </w:r>
      <w:r w:rsidRPr="00A80FCD">
        <w:t>Miao Z et al. Estimating the global prevalence, disease progression, and clinical outcome of hepatitis Delta virus infection. Journal of Infectious Diseases. 2020; 221:1677-1687.</w:t>
      </w:r>
      <w:r>
        <w:t xml:space="preserve"> </w:t>
      </w:r>
    </w:p>
  </w:footnote>
  <w:footnote w:id="4">
    <w:p w14:paraId="159C5BB1" w14:textId="77777777" w:rsidR="000B266B" w:rsidRDefault="000B266B" w:rsidP="000B266B">
      <w:pPr>
        <w:pStyle w:val="FootnoteText"/>
      </w:pPr>
      <w:r>
        <w:rPr>
          <w:rStyle w:val="FootnoteReference"/>
        </w:rPr>
        <w:footnoteRef/>
      </w:r>
      <w:r>
        <w:t xml:space="preserve"> </w:t>
      </w:r>
      <w:r w:rsidRPr="00A80FCD">
        <w:t>Fattovich G et al. Influence of hepatitis delta virus infection on morbidity and mortality in compensated cirrhosis type B. The European Concerted Action on Viral Hepatitis (Eurohep). Gut. 2000; 46: 420-426.</w:t>
      </w:r>
    </w:p>
  </w:footnote>
  <w:footnote w:id="5">
    <w:p w14:paraId="2A765A16" w14:textId="77777777" w:rsidR="000B266B" w:rsidRDefault="000B266B" w:rsidP="000B266B">
      <w:pPr>
        <w:pStyle w:val="FootnoteText"/>
      </w:pPr>
      <w:r>
        <w:rPr>
          <w:rStyle w:val="FootnoteReference"/>
        </w:rPr>
        <w:footnoteRef/>
      </w:r>
      <w:r>
        <w:t xml:space="preserve"> </w:t>
      </w:r>
      <w:r w:rsidRPr="00FD44B1">
        <w:t xml:space="preserve">Gish RG, Wong RJ, Di Tanna GL, </w:t>
      </w:r>
      <w:r>
        <w:t>et l.</w:t>
      </w:r>
      <w:r w:rsidRPr="00FD44B1">
        <w:t xml:space="preserve"> Association of hepatitis delta virus with liver morbidity and mortality: A systematic literature review and meta-analysis. Hepatology (Baltimore, Md). 2024;79(5):1129-40.</w:t>
      </w:r>
    </w:p>
  </w:footnote>
  <w:footnote w:id="6">
    <w:p w14:paraId="196ACE18" w14:textId="77777777" w:rsidR="000B266B" w:rsidRDefault="000B266B" w:rsidP="000B266B">
      <w:pPr>
        <w:pStyle w:val="FootnoteText"/>
      </w:pPr>
      <w:r>
        <w:rPr>
          <w:rStyle w:val="FootnoteReference"/>
        </w:rPr>
        <w:footnoteRef/>
      </w:r>
      <w:r>
        <w:t xml:space="preserve"> </w:t>
      </w:r>
      <w:r w:rsidRPr="008B4F93">
        <w:t xml:space="preserve">Palom A, Sopena S, </w:t>
      </w:r>
      <w:r w:rsidRPr="002C55BA">
        <w:rPr>
          <w:i/>
          <w:iCs/>
        </w:rPr>
        <w:t>et al</w:t>
      </w:r>
      <w:r w:rsidRPr="008B4F93">
        <w:t xml:space="preserve">. One-quarter of chronic hepatitis D patients reach HDV-RNA decline or undetectability during the natural course of the disease. </w:t>
      </w:r>
      <w:r w:rsidRPr="002C55BA">
        <w:rPr>
          <w:i/>
          <w:iCs/>
        </w:rPr>
        <w:t xml:space="preserve">Alimentary </w:t>
      </w:r>
      <w:r>
        <w:rPr>
          <w:i/>
          <w:iCs/>
        </w:rPr>
        <w:t>P</w:t>
      </w:r>
      <w:r w:rsidRPr="002C55BA">
        <w:rPr>
          <w:i/>
          <w:iCs/>
        </w:rPr>
        <w:t xml:space="preserve">harmacology &amp; </w:t>
      </w:r>
      <w:r>
        <w:rPr>
          <w:i/>
          <w:iCs/>
        </w:rPr>
        <w:t>T</w:t>
      </w:r>
      <w:r w:rsidRPr="002C55BA">
        <w:rPr>
          <w:i/>
          <w:iCs/>
        </w:rPr>
        <w:t>herapeutics</w:t>
      </w:r>
      <w:r w:rsidRPr="008B4F93">
        <w:t>. 2021;54(4):462-9.</w:t>
      </w:r>
    </w:p>
  </w:footnote>
  <w:footnote w:id="7">
    <w:p w14:paraId="317128DD" w14:textId="77777777" w:rsidR="000B266B" w:rsidRDefault="000B266B" w:rsidP="000B266B">
      <w:pPr>
        <w:pStyle w:val="FootnoteText"/>
      </w:pPr>
      <w:r>
        <w:rPr>
          <w:rStyle w:val="FootnoteReference"/>
        </w:rPr>
        <w:footnoteRef/>
      </w:r>
      <w:r>
        <w:t xml:space="preserve"> </w:t>
      </w:r>
      <w:r w:rsidRPr="003A4EEF">
        <w:t xml:space="preserve">Redwood L, Currow D, </w:t>
      </w:r>
      <w:r>
        <w:rPr>
          <w:i/>
          <w:iCs/>
        </w:rPr>
        <w:t>et al</w:t>
      </w:r>
      <w:r w:rsidRPr="003A4EEF">
        <w:t xml:space="preserve">. Australian population norms for health-related quality of life measured using the EQ-5D-5L, and relationships with sociodemographic characteristics. </w:t>
      </w:r>
      <w:r w:rsidRPr="005218D1">
        <w:rPr>
          <w:i/>
          <w:iCs/>
        </w:rPr>
        <w:t>Qual Life Res</w:t>
      </w:r>
      <w:r w:rsidRPr="003A4EEF">
        <w:t>. 2024;33(3):721-33.</w:t>
      </w:r>
    </w:p>
  </w:footnote>
  <w:footnote w:id="8">
    <w:p w14:paraId="5D397E53" w14:textId="77777777" w:rsidR="000B266B" w:rsidRDefault="000B266B" w:rsidP="000B266B">
      <w:pPr>
        <w:pStyle w:val="FootnoteText"/>
      </w:pPr>
      <w:r>
        <w:rPr>
          <w:rStyle w:val="FootnoteReference"/>
        </w:rPr>
        <w:footnoteRef/>
      </w:r>
      <w:r>
        <w:t xml:space="preserve"> </w:t>
      </w:r>
      <w:r w:rsidRPr="005218D1">
        <w:t xml:space="preserve">Wright M, Grieve R, </w:t>
      </w:r>
      <w:r>
        <w:rPr>
          <w:i/>
          <w:iCs/>
        </w:rPr>
        <w:t>et al</w:t>
      </w:r>
      <w:r w:rsidRPr="005218D1">
        <w:t xml:space="preserve">. Health benefits of antiviral therapy for mild chronic hepatitis C: randomised controlled trial and economic evaluation. </w:t>
      </w:r>
      <w:r w:rsidRPr="005218D1">
        <w:rPr>
          <w:i/>
          <w:iCs/>
        </w:rPr>
        <w:t>Health Technol Assess</w:t>
      </w:r>
      <w:r w:rsidRPr="005218D1">
        <w:t>. 2006;10(21):1-113, iii.</w:t>
      </w:r>
    </w:p>
  </w:footnote>
  <w:footnote w:id="9">
    <w:p w14:paraId="01B02068" w14:textId="77777777" w:rsidR="000B266B" w:rsidRDefault="000B266B" w:rsidP="000B266B">
      <w:pPr>
        <w:pStyle w:val="FootnoteText"/>
      </w:pPr>
      <w:r>
        <w:rPr>
          <w:rStyle w:val="FootnoteReference"/>
        </w:rPr>
        <w:footnoteRef/>
      </w:r>
      <w:r>
        <w:t xml:space="preserve"> </w:t>
      </w:r>
      <w:r w:rsidRPr="00F54099">
        <w:t xml:space="preserve">Bermingham SL, Hughes R, </w:t>
      </w:r>
      <w:r w:rsidRPr="00F54099">
        <w:rPr>
          <w:i/>
          <w:iCs/>
        </w:rPr>
        <w:t>et al</w:t>
      </w:r>
      <w:r w:rsidRPr="00F54099">
        <w:t>. Cost-</w:t>
      </w:r>
      <w:r>
        <w:t>e</w:t>
      </w:r>
      <w:r w:rsidRPr="00F54099">
        <w:t xml:space="preserve">ffectiveness </w:t>
      </w:r>
      <w:r>
        <w:t>a</w:t>
      </w:r>
      <w:r w:rsidRPr="00F54099">
        <w:t xml:space="preserve">nalysis of </w:t>
      </w:r>
      <w:r>
        <w:t>a</w:t>
      </w:r>
      <w:r w:rsidRPr="00F54099">
        <w:t xml:space="preserve">lternative </w:t>
      </w:r>
      <w:r>
        <w:t>a</w:t>
      </w:r>
      <w:r w:rsidRPr="00F54099">
        <w:t xml:space="preserve">ntiviral </w:t>
      </w:r>
      <w:r>
        <w:t>s</w:t>
      </w:r>
      <w:r w:rsidRPr="00F54099">
        <w:t xml:space="preserve">trategies for the </w:t>
      </w:r>
      <w:r>
        <w:t>tr</w:t>
      </w:r>
      <w:r w:rsidRPr="00F54099">
        <w:t>eatment of HBeAg-</w:t>
      </w:r>
      <w:r>
        <w:t>p</w:t>
      </w:r>
      <w:r w:rsidRPr="00F54099">
        <w:t>ositive and HBeAg-</w:t>
      </w:r>
      <w:r>
        <w:t>n</w:t>
      </w:r>
      <w:r w:rsidRPr="00F54099">
        <w:t xml:space="preserve">egative </w:t>
      </w:r>
      <w:r>
        <w:t>c</w:t>
      </w:r>
      <w:r w:rsidRPr="00F54099">
        <w:t xml:space="preserve">hronic </w:t>
      </w:r>
      <w:r>
        <w:t>h</w:t>
      </w:r>
      <w:r w:rsidRPr="00F54099">
        <w:t xml:space="preserve">epatitis B in the United Kingdom. </w:t>
      </w:r>
      <w:r w:rsidRPr="00F54099">
        <w:rPr>
          <w:i/>
          <w:iCs/>
        </w:rPr>
        <w:t>Value Health</w:t>
      </w:r>
      <w:r w:rsidRPr="00F54099">
        <w:t>. 2015 Sep;18(6):800-9.</w:t>
      </w:r>
    </w:p>
  </w:footnote>
  <w:footnote w:id="10">
    <w:p w14:paraId="5CD7D89F" w14:textId="77777777" w:rsidR="000B266B" w:rsidRPr="0000764D" w:rsidRDefault="000B266B" w:rsidP="000B266B">
      <w:pPr>
        <w:pStyle w:val="FootnoteText"/>
        <w:rPr>
          <w:lang w:val="en-US"/>
        </w:rPr>
      </w:pPr>
      <w:r>
        <w:rPr>
          <w:rStyle w:val="FootnoteReference"/>
        </w:rPr>
        <w:footnoteRef/>
      </w:r>
      <w:r>
        <w:t xml:space="preserve"> </w:t>
      </w:r>
      <w:r>
        <w:rPr>
          <w:lang w:val="en-US"/>
        </w:rPr>
        <w:t xml:space="preserve">12.34 years </w:t>
      </w:r>
      <w:r>
        <w:rPr>
          <w:rFonts w:cstheme="minorHAnsi"/>
          <w:lang w:val="en-US"/>
        </w:rPr>
        <w:t>×</w:t>
      </w:r>
      <w:r>
        <w:rPr>
          <w:lang w:val="en-US"/>
        </w:rPr>
        <w:t xml:space="preserve"> 90% compliance </w:t>
      </w:r>
      <w:r>
        <w:rPr>
          <w:rFonts w:cstheme="minorHAnsi"/>
          <w:lang w:val="en-US"/>
        </w:rPr>
        <w:t>×</w:t>
      </w:r>
      <w:r>
        <w:rPr>
          <w:lang w:val="en-US"/>
        </w:rPr>
        <w:t xml:space="preserve"> (52 </w:t>
      </w:r>
      <w:r>
        <w:rPr>
          <w:rFonts w:cstheme="minorHAnsi"/>
          <w:lang w:val="en-US"/>
        </w:rPr>
        <w:t>×</w:t>
      </w:r>
      <w:r>
        <w:rPr>
          <w:lang w:val="en-US"/>
        </w:rPr>
        <w:t xml:space="preserve"> 7) days per year / 60 days per script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D9711" w14:textId="74B5A5C0" w:rsidR="001B7842" w:rsidRDefault="00972EC2">
    <w:pPr>
      <w:pStyle w:val="Header"/>
    </w:pPr>
    <w:r>
      <w:rPr>
        <w:noProof/>
      </w:rPr>
      <mc:AlternateContent>
        <mc:Choice Requires="wps">
          <w:drawing>
            <wp:anchor distT="0" distB="0" distL="0" distR="0" simplePos="0" relativeHeight="251658241" behindDoc="0" locked="0" layoutInCell="1" allowOverlap="1" wp14:anchorId="77A4BAEC" wp14:editId="160611C1">
              <wp:simplePos x="635" y="635"/>
              <wp:positionH relativeFrom="page">
                <wp:align>center</wp:align>
              </wp:positionH>
              <wp:positionV relativeFrom="page">
                <wp:align>top</wp:align>
              </wp:positionV>
              <wp:extent cx="551815" cy="376555"/>
              <wp:effectExtent l="0" t="0" r="635" b="4445"/>
              <wp:wrapNone/>
              <wp:docPr id="140246165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9DA42BB" w14:textId="453EE8FC" w:rsidR="00972EC2" w:rsidRPr="00972EC2" w:rsidRDefault="00972EC2" w:rsidP="00972EC2">
                          <w:pPr>
                            <w:rPr>
                              <w:rFonts w:eastAsia="Calibri" w:cs="Calibri"/>
                              <w:noProof/>
                              <w:color w:val="FF0000"/>
                            </w:rPr>
                          </w:pPr>
                          <w:r w:rsidRPr="00972EC2">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A4BAEC"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79DA42BB" w14:textId="453EE8FC" w:rsidR="00972EC2" w:rsidRPr="00972EC2" w:rsidRDefault="00972EC2" w:rsidP="00972EC2">
                    <w:pPr>
                      <w:rPr>
                        <w:rFonts w:eastAsia="Calibri" w:cs="Calibri"/>
                        <w:noProof/>
                        <w:color w:val="FF0000"/>
                      </w:rPr>
                    </w:pPr>
                    <w:r w:rsidRPr="00972EC2">
                      <w:rPr>
                        <w:rFonts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E5A7C" w14:textId="19F05CC1" w:rsidR="00CB7679" w:rsidRPr="00056684" w:rsidRDefault="00972EC2" w:rsidP="00656D58">
    <w:pPr>
      <w:pStyle w:val="Header"/>
      <w:keepNext/>
      <w:ind w:left="360"/>
      <w:jc w:val="center"/>
      <w:rPr>
        <w:rFonts w:asciiTheme="minorHAnsi" w:hAnsiTheme="minorHAnsi" w:cs="Arial"/>
        <w:i/>
        <w:color w:val="808080"/>
      </w:rPr>
    </w:pPr>
    <w:r>
      <w:rPr>
        <w:rFonts w:asciiTheme="minorHAnsi" w:hAnsiTheme="minorHAnsi" w:cs="Arial"/>
        <w:i/>
        <w:noProof/>
        <w:color w:val="808080"/>
      </w:rPr>
      <mc:AlternateContent>
        <mc:Choice Requires="wps">
          <w:drawing>
            <wp:anchor distT="0" distB="0" distL="0" distR="0" simplePos="0" relativeHeight="251658242" behindDoc="0" locked="0" layoutInCell="1" allowOverlap="1" wp14:anchorId="35232A76" wp14:editId="25816ADD">
              <wp:simplePos x="635" y="635"/>
              <wp:positionH relativeFrom="page">
                <wp:align>center</wp:align>
              </wp:positionH>
              <wp:positionV relativeFrom="page">
                <wp:align>top</wp:align>
              </wp:positionV>
              <wp:extent cx="551815" cy="376555"/>
              <wp:effectExtent l="0" t="0" r="635" b="4445"/>
              <wp:wrapNone/>
              <wp:docPr id="196485157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35504B0" w14:textId="6FA17D85" w:rsidR="00972EC2" w:rsidRPr="00972EC2" w:rsidRDefault="00972EC2" w:rsidP="00972EC2">
                          <w:pPr>
                            <w:rPr>
                              <w:rFonts w:eastAsia="Calibri" w:cs="Calibri"/>
                              <w:noProof/>
                              <w:color w:val="FF0000"/>
                            </w:rPr>
                          </w:pPr>
                          <w:r w:rsidRPr="00972EC2">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232A76"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035504B0" w14:textId="6FA17D85" w:rsidR="00972EC2" w:rsidRPr="00972EC2" w:rsidRDefault="00972EC2" w:rsidP="00972EC2">
                    <w:pPr>
                      <w:rPr>
                        <w:rFonts w:eastAsia="Calibri" w:cs="Calibri"/>
                        <w:noProof/>
                        <w:color w:val="FF0000"/>
                      </w:rPr>
                    </w:pPr>
                    <w:r w:rsidRPr="00972EC2">
                      <w:rPr>
                        <w:rFonts w:eastAsia="Calibri" w:cs="Calibri"/>
                        <w:noProof/>
                        <w:color w:val="FF0000"/>
                      </w:rPr>
                      <w:t>OFFICIAL</w:t>
                    </w:r>
                  </w:p>
                </w:txbxContent>
              </v:textbox>
              <w10:wrap anchorx="page" anchory="page"/>
            </v:shape>
          </w:pict>
        </mc:Fallback>
      </mc:AlternateContent>
    </w:r>
    <w:r w:rsidR="001E030D">
      <w:rPr>
        <w:rFonts w:asciiTheme="minorHAnsi" w:hAnsiTheme="minorHAnsi" w:cs="Arial"/>
        <w:i/>
        <w:color w:val="808080"/>
      </w:rPr>
      <w:t>Public Summary Document</w:t>
    </w:r>
    <w:r w:rsidR="00CB7679">
      <w:rPr>
        <w:rFonts w:cs="Arial"/>
        <w:i/>
        <w:color w:val="808080"/>
      </w:rPr>
      <w:t xml:space="preserve"> </w:t>
    </w:r>
    <w:r w:rsidR="00CB7679" w:rsidRPr="00056684">
      <w:rPr>
        <w:rFonts w:asciiTheme="minorHAnsi" w:hAnsiTheme="minorHAnsi" w:cs="Arial"/>
        <w:i/>
        <w:color w:val="808080"/>
      </w:rPr>
      <w:t xml:space="preserve">– </w:t>
    </w:r>
    <w:r w:rsidR="00E43B8F">
      <w:rPr>
        <w:rFonts w:asciiTheme="minorHAnsi" w:hAnsiTheme="minorHAnsi" w:cs="Arial"/>
        <w:i/>
        <w:color w:val="808080"/>
      </w:rPr>
      <w:t xml:space="preserve">March </w:t>
    </w:r>
    <w:r w:rsidR="00CB7679">
      <w:rPr>
        <w:rFonts w:asciiTheme="minorHAnsi" w:hAnsiTheme="minorHAnsi" w:cs="Arial"/>
        <w:i/>
        <w:color w:val="808080"/>
      </w:rPr>
      <w:t>202</w:t>
    </w:r>
    <w:r w:rsidR="00CB7679">
      <w:rPr>
        <w:rFonts w:cs="Arial"/>
        <w:i/>
        <w:color w:val="808080"/>
      </w:rPr>
      <w:t>5</w:t>
    </w:r>
    <w:r w:rsidR="00CB7679" w:rsidRPr="00056684">
      <w:rPr>
        <w:rFonts w:asciiTheme="minorHAnsi" w:hAnsiTheme="minorHAnsi" w:cs="Arial"/>
        <w:i/>
        <w:color w:val="808080"/>
      </w:rPr>
      <w:t xml:space="preserve"> PBAC Meeting</w:t>
    </w:r>
    <w:r w:rsidR="00797788">
      <w:rPr>
        <w:rFonts w:asciiTheme="minorHAnsi" w:hAnsiTheme="minorHAnsi" w:cs="Arial"/>
        <w:i/>
        <w:color w:val="808080"/>
      </w:rPr>
      <w:t xml:space="preserve"> with July 2025 Addendum</w:t>
    </w:r>
  </w:p>
  <w:p w14:paraId="5E11FAE5" w14:textId="48D189FD" w:rsidR="00CB7679" w:rsidRDefault="00CB7679" w:rsidP="00656D58">
    <w:pPr>
      <w:pStyle w:val="Header"/>
      <w:jc w:val="center"/>
      <w:rPr>
        <w:rFonts w:cs="Arial"/>
        <w:i/>
        <w:color w:val="808080"/>
      </w:rPr>
    </w:pPr>
  </w:p>
  <w:p w14:paraId="0D2F6162" w14:textId="77777777" w:rsidR="00CB7679" w:rsidRDefault="00CB767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98596" w14:textId="03BD1082" w:rsidR="001B7842" w:rsidRDefault="00972EC2">
    <w:pPr>
      <w:pStyle w:val="Header"/>
    </w:pPr>
    <w:r>
      <w:rPr>
        <w:noProof/>
      </w:rPr>
      <mc:AlternateContent>
        <mc:Choice Requires="wps">
          <w:drawing>
            <wp:anchor distT="0" distB="0" distL="0" distR="0" simplePos="0" relativeHeight="251658240" behindDoc="0" locked="0" layoutInCell="1" allowOverlap="1" wp14:anchorId="072EF1BE" wp14:editId="5A111E6A">
              <wp:simplePos x="635" y="635"/>
              <wp:positionH relativeFrom="page">
                <wp:align>center</wp:align>
              </wp:positionH>
              <wp:positionV relativeFrom="page">
                <wp:align>top</wp:align>
              </wp:positionV>
              <wp:extent cx="551815" cy="376555"/>
              <wp:effectExtent l="0" t="0" r="635" b="4445"/>
              <wp:wrapNone/>
              <wp:docPr id="103126132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27BDD1E" w14:textId="54DEA209" w:rsidR="00972EC2" w:rsidRPr="00972EC2" w:rsidRDefault="00972EC2" w:rsidP="00972EC2">
                          <w:pPr>
                            <w:rPr>
                              <w:rFonts w:eastAsia="Calibri" w:cs="Calibri"/>
                              <w:noProof/>
                              <w:color w:val="FF0000"/>
                            </w:rPr>
                          </w:pPr>
                          <w:r w:rsidRPr="00972EC2">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2EF1BE"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327BDD1E" w14:textId="54DEA209" w:rsidR="00972EC2" w:rsidRPr="00972EC2" w:rsidRDefault="00972EC2" w:rsidP="00972EC2">
                    <w:pPr>
                      <w:rPr>
                        <w:rFonts w:eastAsia="Calibri" w:cs="Calibri"/>
                        <w:noProof/>
                        <w:color w:val="FF0000"/>
                      </w:rPr>
                    </w:pPr>
                    <w:r w:rsidRPr="00972EC2">
                      <w:rPr>
                        <w:rFonts w:eastAsia="Calibri" w:cs="Calibri"/>
                        <w:noProof/>
                        <w:color w:val="FF000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AEBE0" w14:textId="5BCFF038" w:rsidR="00791E2F" w:rsidRPr="00791E2F" w:rsidRDefault="00972EC2" w:rsidP="00791E2F">
    <w:pPr>
      <w:rPr>
        <w:rFonts w:asciiTheme="minorHAnsi" w:hAnsiTheme="minorHAnsi" w:cs="Arial"/>
        <w:i/>
        <w:noProof/>
        <w:color w:val="808080"/>
      </w:rPr>
    </w:pPr>
    <w:r>
      <w:rPr>
        <w:rFonts w:asciiTheme="minorHAnsi" w:hAnsiTheme="minorHAnsi" w:cs="Arial"/>
        <w:i/>
        <w:noProof/>
        <w:color w:val="808080"/>
      </w:rPr>
      <mc:AlternateContent>
        <mc:Choice Requires="wps">
          <w:drawing>
            <wp:anchor distT="0" distB="0" distL="0" distR="0" simplePos="0" relativeHeight="251658243" behindDoc="0" locked="0" layoutInCell="1" allowOverlap="1" wp14:anchorId="533F6AE3" wp14:editId="30A1BC14">
              <wp:simplePos x="635" y="635"/>
              <wp:positionH relativeFrom="page">
                <wp:align>center</wp:align>
              </wp:positionH>
              <wp:positionV relativeFrom="page">
                <wp:align>top</wp:align>
              </wp:positionV>
              <wp:extent cx="551815" cy="376555"/>
              <wp:effectExtent l="0" t="0" r="635" b="4445"/>
              <wp:wrapNone/>
              <wp:docPr id="66100118"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2F18F97" w14:textId="781E5198" w:rsidR="00972EC2" w:rsidRPr="00972EC2" w:rsidRDefault="00972EC2" w:rsidP="00972EC2">
                          <w:pPr>
                            <w:rPr>
                              <w:rFonts w:eastAsia="Calibri" w:cs="Calibri"/>
                              <w:noProof/>
                              <w:color w:val="FF0000"/>
                            </w:rPr>
                          </w:pPr>
                          <w:r w:rsidRPr="00972EC2">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3F6AE3" id="_x0000_t202" coordsize="21600,21600" o:spt="202" path="m,l,21600r21600,l21600,xe">
              <v:stroke joinstyle="miter"/>
              <v:path gradientshapeok="t" o:connecttype="rect"/>
            </v:shapetype>
            <v:shape id="Text Box 4" o:spid="_x0000_s1032" type="#_x0000_t202" alt="OFFICIAL" style="position:absolute;left:0;text-align:left;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32F18F97" w14:textId="781E5198" w:rsidR="00972EC2" w:rsidRPr="00972EC2" w:rsidRDefault="00972EC2" w:rsidP="00972EC2">
                    <w:pPr>
                      <w:rPr>
                        <w:rFonts w:eastAsia="Calibri" w:cs="Calibri"/>
                        <w:noProof/>
                        <w:color w:val="FF0000"/>
                      </w:rPr>
                    </w:pPr>
                    <w:r w:rsidRPr="00972EC2">
                      <w:rPr>
                        <w:rFonts w:eastAsia="Calibri" w:cs="Calibri"/>
                        <w:noProof/>
                        <w:color w:val="FF0000"/>
                      </w:rPr>
                      <w:t>OFFICIAL</w:t>
                    </w:r>
                  </w:p>
                </w:txbxContent>
              </v:textbox>
              <w10:wrap anchorx="page" anchory="page"/>
            </v:shape>
          </w:pict>
        </mc:Fallback>
      </mc:AlternateContent>
    </w:r>
    <w:r w:rsidR="00791E2F" w:rsidRPr="00791E2F">
      <w:rPr>
        <w:rFonts w:asciiTheme="minorHAnsi" w:hAnsiTheme="minorHAnsi" w:cs="Arial"/>
        <w:i/>
        <w:noProof/>
        <w:color w:val="808080"/>
      </w:rPr>
      <w:t>Public Summary Document – March 2025 PBAC Meeting with July 2025 Addendum</w:t>
    </w:r>
  </w:p>
  <w:p w14:paraId="2A34AA18" w14:textId="77777777" w:rsidR="00E43B8F" w:rsidRDefault="00E43B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073C"/>
    <w:multiLevelType w:val="multilevel"/>
    <w:tmpl w:val="B156A7D0"/>
    <w:styleLink w:val="Style1"/>
    <w:lvl w:ilvl="0">
      <w:start w:val="1"/>
      <w:numFmt w:val="decimal"/>
      <w:lvlText w:val="%1"/>
      <w:lvlJc w:val="left"/>
      <w:pPr>
        <w:ind w:left="720" w:hanging="720"/>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80" w:hanging="1080"/>
      </w:pPr>
      <w:rPr>
        <w:rFonts w:asciiTheme="minorHAnsi" w:hAnsiTheme="minorHAnsi" w:hint="default"/>
        <w:b w:val="0"/>
        <w:i w:val="0"/>
        <w:color w:val="auto"/>
        <w:sz w:val="24"/>
        <w:u w:val="none"/>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911EE3"/>
    <w:multiLevelType w:val="hybridMultilevel"/>
    <w:tmpl w:val="5090105E"/>
    <w:lvl w:ilvl="0" w:tplc="28F829A2">
      <w:start w:val="1"/>
      <w:numFmt w:val="bullet"/>
      <w:lvlText w:val=""/>
      <w:lvlJc w:val="left"/>
      <w:pPr>
        <w:ind w:left="1080" w:hanging="360"/>
      </w:pPr>
      <w:rPr>
        <w:rFonts w:ascii="Symbol" w:hAnsi="Symbol"/>
      </w:rPr>
    </w:lvl>
    <w:lvl w:ilvl="1" w:tplc="B5FCF6EC">
      <w:start w:val="1"/>
      <w:numFmt w:val="bullet"/>
      <w:lvlText w:val=""/>
      <w:lvlJc w:val="left"/>
      <w:pPr>
        <w:ind w:left="1080" w:hanging="360"/>
      </w:pPr>
      <w:rPr>
        <w:rFonts w:ascii="Symbol" w:hAnsi="Symbol"/>
      </w:rPr>
    </w:lvl>
    <w:lvl w:ilvl="2" w:tplc="4468A284">
      <w:start w:val="1"/>
      <w:numFmt w:val="bullet"/>
      <w:lvlText w:val=""/>
      <w:lvlJc w:val="left"/>
      <w:pPr>
        <w:ind w:left="1080" w:hanging="360"/>
      </w:pPr>
      <w:rPr>
        <w:rFonts w:ascii="Symbol" w:hAnsi="Symbol"/>
      </w:rPr>
    </w:lvl>
    <w:lvl w:ilvl="3" w:tplc="315E540C">
      <w:start w:val="1"/>
      <w:numFmt w:val="bullet"/>
      <w:lvlText w:val=""/>
      <w:lvlJc w:val="left"/>
      <w:pPr>
        <w:ind w:left="1080" w:hanging="360"/>
      </w:pPr>
      <w:rPr>
        <w:rFonts w:ascii="Symbol" w:hAnsi="Symbol"/>
      </w:rPr>
    </w:lvl>
    <w:lvl w:ilvl="4" w:tplc="C6A430C2">
      <w:start w:val="1"/>
      <w:numFmt w:val="bullet"/>
      <w:lvlText w:val=""/>
      <w:lvlJc w:val="left"/>
      <w:pPr>
        <w:ind w:left="1080" w:hanging="360"/>
      </w:pPr>
      <w:rPr>
        <w:rFonts w:ascii="Symbol" w:hAnsi="Symbol"/>
      </w:rPr>
    </w:lvl>
    <w:lvl w:ilvl="5" w:tplc="EF3C9942">
      <w:start w:val="1"/>
      <w:numFmt w:val="bullet"/>
      <w:lvlText w:val=""/>
      <w:lvlJc w:val="left"/>
      <w:pPr>
        <w:ind w:left="1080" w:hanging="360"/>
      </w:pPr>
      <w:rPr>
        <w:rFonts w:ascii="Symbol" w:hAnsi="Symbol"/>
      </w:rPr>
    </w:lvl>
    <w:lvl w:ilvl="6" w:tplc="F2C035FC">
      <w:start w:val="1"/>
      <w:numFmt w:val="bullet"/>
      <w:lvlText w:val=""/>
      <w:lvlJc w:val="left"/>
      <w:pPr>
        <w:ind w:left="1080" w:hanging="360"/>
      </w:pPr>
      <w:rPr>
        <w:rFonts w:ascii="Symbol" w:hAnsi="Symbol"/>
      </w:rPr>
    </w:lvl>
    <w:lvl w:ilvl="7" w:tplc="6024D05C">
      <w:start w:val="1"/>
      <w:numFmt w:val="bullet"/>
      <w:lvlText w:val=""/>
      <w:lvlJc w:val="left"/>
      <w:pPr>
        <w:ind w:left="1080" w:hanging="360"/>
      </w:pPr>
      <w:rPr>
        <w:rFonts w:ascii="Symbol" w:hAnsi="Symbol"/>
      </w:rPr>
    </w:lvl>
    <w:lvl w:ilvl="8" w:tplc="0DBA1190">
      <w:start w:val="1"/>
      <w:numFmt w:val="bullet"/>
      <w:lvlText w:val=""/>
      <w:lvlJc w:val="left"/>
      <w:pPr>
        <w:ind w:left="1080" w:hanging="360"/>
      </w:pPr>
      <w:rPr>
        <w:rFonts w:ascii="Symbol" w:hAnsi="Symbol"/>
      </w:rPr>
    </w:lvl>
  </w:abstractNum>
  <w:abstractNum w:abstractNumId="2" w15:restartNumberingAfterBreak="0">
    <w:nsid w:val="09617AC2"/>
    <w:multiLevelType w:val="multilevel"/>
    <w:tmpl w:val="92846974"/>
    <w:lvl w:ilvl="0">
      <w:start w:val="1"/>
      <w:numFmt w:val="bullet"/>
      <w:pStyle w:val="MainBodyBulletPoint"/>
      <w:lvlText w:val=""/>
      <w:lvlJc w:val="left"/>
      <w:pPr>
        <w:ind w:left="720" w:hanging="360"/>
      </w:pPr>
      <w:rPr>
        <w:rFonts w:ascii="Symbol" w:hAnsi="Symbol" w:hint="default"/>
      </w:rPr>
    </w:lvl>
    <w:lvl w:ilvl="1">
      <w:start w:val="1"/>
      <w:numFmt w:val="bullet"/>
      <w:lvlText w:val=""/>
      <w:lvlJc w:val="left"/>
      <w:pPr>
        <w:ind w:left="1440" w:hanging="47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FF556F"/>
    <w:multiLevelType w:val="hybridMultilevel"/>
    <w:tmpl w:val="6BC035C4"/>
    <w:lvl w:ilvl="0" w:tplc="FB942214">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BE3F07"/>
    <w:multiLevelType w:val="hybridMultilevel"/>
    <w:tmpl w:val="64C0A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634013"/>
    <w:multiLevelType w:val="multilevel"/>
    <w:tmpl w:val="E5BAAC60"/>
    <w:lvl w:ilvl="0">
      <w:start w:val="1"/>
      <w:numFmt w:val="bullet"/>
      <w:pStyle w:val="MSACESBulletPoint"/>
      <w:lvlText w:val=""/>
      <w:lvlJc w:val="left"/>
      <w:pPr>
        <w:ind w:left="717" w:hanging="360"/>
      </w:pPr>
      <w:rPr>
        <w:rFonts w:ascii="Symbol" w:hAnsi="Symbol" w:hint="default"/>
      </w:rPr>
    </w:lvl>
    <w:lvl w:ilvl="1">
      <w:start w:val="1"/>
      <w:numFmt w:val="bullet"/>
      <w:lvlText w:val=""/>
      <w:lvlJc w:val="left"/>
      <w:pPr>
        <w:ind w:left="1191" w:hanging="397"/>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23B6274A"/>
    <w:multiLevelType w:val="hybridMultilevel"/>
    <w:tmpl w:val="A49EC250"/>
    <w:lvl w:ilvl="0" w:tplc="1A28F5A2">
      <w:start w:val="1"/>
      <w:numFmt w:val="decimal"/>
      <w:lvlText w:val="%1."/>
      <w:lvlJc w:val="left"/>
      <w:pPr>
        <w:ind w:left="360" w:hanging="360"/>
      </w:pPr>
      <w:rPr>
        <w:rFonts w:hint="default"/>
        <w:b w:val="0"/>
        <w:bCs/>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7575C58"/>
    <w:multiLevelType w:val="multilevel"/>
    <w:tmpl w:val="8F0E7E5E"/>
    <w:lvl w:ilvl="0">
      <w:start w:val="1"/>
      <w:numFmt w:val="bullet"/>
      <w:pStyle w:val="InstructionBulletpoint"/>
      <w:lvlText w:val=""/>
      <w:lvlJc w:val="left"/>
      <w:pPr>
        <w:ind w:left="720" w:hanging="360"/>
      </w:pPr>
      <w:rPr>
        <w:rFonts w:ascii="Symbol" w:hAnsi="Symbol" w:hint="default"/>
        <w:color w:val="auto"/>
      </w:rPr>
    </w:lvl>
    <w:lvl w:ilvl="1">
      <w:start w:val="1"/>
      <w:numFmt w:val="bullet"/>
      <w:lvlText w:val=""/>
      <w:lvlJc w:val="left"/>
      <w:pPr>
        <w:ind w:left="1440" w:hanging="47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85529D"/>
    <w:multiLevelType w:val="hybridMultilevel"/>
    <w:tmpl w:val="2A46262E"/>
    <w:lvl w:ilvl="0" w:tplc="7804AF38">
      <w:numFmt w:val="bullet"/>
      <w:lvlText w:val="-"/>
      <w:lvlJc w:val="left"/>
      <w:pPr>
        <w:ind w:left="663" w:hanging="360"/>
      </w:pPr>
      <w:rPr>
        <w:rFonts w:ascii="Calibri" w:eastAsiaTheme="minorHAnsi" w:hAnsi="Calibri" w:cs="Calibri" w:hint="default"/>
      </w:rPr>
    </w:lvl>
    <w:lvl w:ilvl="1" w:tplc="0C090003" w:tentative="1">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9" w15:restartNumberingAfterBreak="0">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F5195D"/>
    <w:multiLevelType w:val="hybridMultilevel"/>
    <w:tmpl w:val="C768794C"/>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67718E"/>
    <w:multiLevelType w:val="hybridMultilevel"/>
    <w:tmpl w:val="46DE2846"/>
    <w:lvl w:ilvl="0" w:tplc="90CC6EA6">
      <w:start w:val="1"/>
      <w:numFmt w:val="bullet"/>
      <w:lvlText w:val=""/>
      <w:lvlJc w:val="left"/>
      <w:pPr>
        <w:ind w:left="720" w:hanging="360"/>
      </w:pPr>
      <w:rPr>
        <w:rFonts w:ascii="Symbol" w:hAnsi="Symbol"/>
      </w:rPr>
    </w:lvl>
    <w:lvl w:ilvl="1" w:tplc="6EA2D226">
      <w:start w:val="1"/>
      <w:numFmt w:val="bullet"/>
      <w:lvlText w:val=""/>
      <w:lvlJc w:val="left"/>
      <w:pPr>
        <w:ind w:left="720" w:hanging="360"/>
      </w:pPr>
      <w:rPr>
        <w:rFonts w:ascii="Symbol" w:hAnsi="Symbol"/>
      </w:rPr>
    </w:lvl>
    <w:lvl w:ilvl="2" w:tplc="9DDC7E7A">
      <w:start w:val="1"/>
      <w:numFmt w:val="bullet"/>
      <w:lvlText w:val=""/>
      <w:lvlJc w:val="left"/>
      <w:pPr>
        <w:ind w:left="720" w:hanging="360"/>
      </w:pPr>
      <w:rPr>
        <w:rFonts w:ascii="Symbol" w:hAnsi="Symbol"/>
      </w:rPr>
    </w:lvl>
    <w:lvl w:ilvl="3" w:tplc="83E0A9D4">
      <w:start w:val="1"/>
      <w:numFmt w:val="bullet"/>
      <w:lvlText w:val=""/>
      <w:lvlJc w:val="left"/>
      <w:pPr>
        <w:ind w:left="720" w:hanging="360"/>
      </w:pPr>
      <w:rPr>
        <w:rFonts w:ascii="Symbol" w:hAnsi="Symbol"/>
      </w:rPr>
    </w:lvl>
    <w:lvl w:ilvl="4" w:tplc="9A52EAFE">
      <w:start w:val="1"/>
      <w:numFmt w:val="bullet"/>
      <w:lvlText w:val=""/>
      <w:lvlJc w:val="left"/>
      <w:pPr>
        <w:ind w:left="720" w:hanging="360"/>
      </w:pPr>
      <w:rPr>
        <w:rFonts w:ascii="Symbol" w:hAnsi="Symbol"/>
      </w:rPr>
    </w:lvl>
    <w:lvl w:ilvl="5" w:tplc="AFD28514">
      <w:start w:val="1"/>
      <w:numFmt w:val="bullet"/>
      <w:lvlText w:val=""/>
      <w:lvlJc w:val="left"/>
      <w:pPr>
        <w:ind w:left="720" w:hanging="360"/>
      </w:pPr>
      <w:rPr>
        <w:rFonts w:ascii="Symbol" w:hAnsi="Symbol"/>
      </w:rPr>
    </w:lvl>
    <w:lvl w:ilvl="6" w:tplc="D7C43730">
      <w:start w:val="1"/>
      <w:numFmt w:val="bullet"/>
      <w:lvlText w:val=""/>
      <w:lvlJc w:val="left"/>
      <w:pPr>
        <w:ind w:left="720" w:hanging="360"/>
      </w:pPr>
      <w:rPr>
        <w:rFonts w:ascii="Symbol" w:hAnsi="Symbol"/>
      </w:rPr>
    </w:lvl>
    <w:lvl w:ilvl="7" w:tplc="B3BA7AD8">
      <w:start w:val="1"/>
      <w:numFmt w:val="bullet"/>
      <w:lvlText w:val=""/>
      <w:lvlJc w:val="left"/>
      <w:pPr>
        <w:ind w:left="720" w:hanging="360"/>
      </w:pPr>
      <w:rPr>
        <w:rFonts w:ascii="Symbol" w:hAnsi="Symbol"/>
      </w:rPr>
    </w:lvl>
    <w:lvl w:ilvl="8" w:tplc="42B68ABE">
      <w:start w:val="1"/>
      <w:numFmt w:val="bullet"/>
      <w:lvlText w:val=""/>
      <w:lvlJc w:val="left"/>
      <w:pPr>
        <w:ind w:left="720" w:hanging="360"/>
      </w:pPr>
      <w:rPr>
        <w:rFonts w:ascii="Symbol" w:hAnsi="Symbol"/>
      </w:rPr>
    </w:lvl>
  </w:abstractNum>
  <w:abstractNum w:abstractNumId="12" w15:restartNumberingAfterBreak="0">
    <w:nsid w:val="36360581"/>
    <w:multiLevelType w:val="hybridMultilevel"/>
    <w:tmpl w:val="9BD0F126"/>
    <w:lvl w:ilvl="0" w:tplc="D4EE54C0">
      <w:start w:val="1"/>
      <w:numFmt w:val="bullet"/>
      <w:lvlText w:val=""/>
      <w:lvlJc w:val="left"/>
      <w:pPr>
        <w:ind w:left="1080" w:hanging="360"/>
      </w:pPr>
      <w:rPr>
        <w:rFonts w:ascii="Symbol" w:hAnsi="Symbol"/>
      </w:rPr>
    </w:lvl>
    <w:lvl w:ilvl="1" w:tplc="9D147132">
      <w:start w:val="1"/>
      <w:numFmt w:val="bullet"/>
      <w:lvlText w:val=""/>
      <w:lvlJc w:val="left"/>
      <w:pPr>
        <w:ind w:left="1080" w:hanging="360"/>
      </w:pPr>
      <w:rPr>
        <w:rFonts w:ascii="Symbol" w:hAnsi="Symbol"/>
      </w:rPr>
    </w:lvl>
    <w:lvl w:ilvl="2" w:tplc="192C3464">
      <w:start w:val="1"/>
      <w:numFmt w:val="bullet"/>
      <w:lvlText w:val=""/>
      <w:lvlJc w:val="left"/>
      <w:pPr>
        <w:ind w:left="1080" w:hanging="360"/>
      </w:pPr>
      <w:rPr>
        <w:rFonts w:ascii="Symbol" w:hAnsi="Symbol"/>
      </w:rPr>
    </w:lvl>
    <w:lvl w:ilvl="3" w:tplc="2A58B9D6">
      <w:start w:val="1"/>
      <w:numFmt w:val="bullet"/>
      <w:lvlText w:val=""/>
      <w:lvlJc w:val="left"/>
      <w:pPr>
        <w:ind w:left="1080" w:hanging="360"/>
      </w:pPr>
      <w:rPr>
        <w:rFonts w:ascii="Symbol" w:hAnsi="Symbol"/>
      </w:rPr>
    </w:lvl>
    <w:lvl w:ilvl="4" w:tplc="B860EC80">
      <w:start w:val="1"/>
      <w:numFmt w:val="bullet"/>
      <w:lvlText w:val=""/>
      <w:lvlJc w:val="left"/>
      <w:pPr>
        <w:ind w:left="1080" w:hanging="360"/>
      </w:pPr>
      <w:rPr>
        <w:rFonts w:ascii="Symbol" w:hAnsi="Symbol"/>
      </w:rPr>
    </w:lvl>
    <w:lvl w:ilvl="5" w:tplc="9D3EDDC6">
      <w:start w:val="1"/>
      <w:numFmt w:val="bullet"/>
      <w:lvlText w:val=""/>
      <w:lvlJc w:val="left"/>
      <w:pPr>
        <w:ind w:left="1080" w:hanging="360"/>
      </w:pPr>
      <w:rPr>
        <w:rFonts w:ascii="Symbol" w:hAnsi="Symbol"/>
      </w:rPr>
    </w:lvl>
    <w:lvl w:ilvl="6" w:tplc="B65A333C">
      <w:start w:val="1"/>
      <w:numFmt w:val="bullet"/>
      <w:lvlText w:val=""/>
      <w:lvlJc w:val="left"/>
      <w:pPr>
        <w:ind w:left="1080" w:hanging="360"/>
      </w:pPr>
      <w:rPr>
        <w:rFonts w:ascii="Symbol" w:hAnsi="Symbol"/>
      </w:rPr>
    </w:lvl>
    <w:lvl w:ilvl="7" w:tplc="FC10A31C">
      <w:start w:val="1"/>
      <w:numFmt w:val="bullet"/>
      <w:lvlText w:val=""/>
      <w:lvlJc w:val="left"/>
      <w:pPr>
        <w:ind w:left="1080" w:hanging="360"/>
      </w:pPr>
      <w:rPr>
        <w:rFonts w:ascii="Symbol" w:hAnsi="Symbol"/>
      </w:rPr>
    </w:lvl>
    <w:lvl w:ilvl="8" w:tplc="E758C5CE">
      <w:start w:val="1"/>
      <w:numFmt w:val="bullet"/>
      <w:lvlText w:val=""/>
      <w:lvlJc w:val="left"/>
      <w:pPr>
        <w:ind w:left="1080" w:hanging="360"/>
      </w:pPr>
      <w:rPr>
        <w:rFonts w:ascii="Symbol" w:hAnsi="Symbol"/>
      </w:rPr>
    </w:lvl>
  </w:abstractNum>
  <w:abstractNum w:abstractNumId="13" w15:restartNumberingAfterBreak="0">
    <w:nsid w:val="38096A79"/>
    <w:multiLevelType w:val="multilevel"/>
    <w:tmpl w:val="54C0B3FC"/>
    <w:styleLink w:val="Style3"/>
    <w:lvl w:ilvl="0">
      <w:start w:val="1"/>
      <w:numFmt w:val="decimal"/>
      <w:lvlText w:val="%1"/>
      <w:lvlJc w:val="left"/>
      <w:pPr>
        <w:ind w:left="1077" w:hanging="1077"/>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80" w:hanging="1080"/>
      </w:pPr>
      <w:rPr>
        <w:rFonts w:hint="default"/>
        <w:b w:val="0"/>
        <w:i w:val="0"/>
        <w:color w:val="auto"/>
        <w:u w:val="none"/>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55215E"/>
    <w:multiLevelType w:val="hybridMultilevel"/>
    <w:tmpl w:val="AE58D640"/>
    <w:lvl w:ilvl="0" w:tplc="648A5FE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880C79"/>
    <w:multiLevelType w:val="hybridMultilevel"/>
    <w:tmpl w:val="510253CE"/>
    <w:lvl w:ilvl="0" w:tplc="5FA472DA">
      <w:start w:val="1"/>
      <w:numFmt w:val="bullet"/>
      <w:lvlText w:val=""/>
      <w:lvlJc w:val="left"/>
      <w:pPr>
        <w:ind w:left="720" w:hanging="360"/>
      </w:pPr>
      <w:rPr>
        <w:rFonts w:ascii="Symbol" w:hAnsi="Symbol"/>
      </w:rPr>
    </w:lvl>
    <w:lvl w:ilvl="1" w:tplc="8B024BF8">
      <w:start w:val="1"/>
      <w:numFmt w:val="bullet"/>
      <w:lvlText w:val=""/>
      <w:lvlJc w:val="left"/>
      <w:pPr>
        <w:ind w:left="720" w:hanging="360"/>
      </w:pPr>
      <w:rPr>
        <w:rFonts w:ascii="Symbol" w:hAnsi="Symbol"/>
      </w:rPr>
    </w:lvl>
    <w:lvl w:ilvl="2" w:tplc="F1E6C542">
      <w:start w:val="1"/>
      <w:numFmt w:val="bullet"/>
      <w:lvlText w:val=""/>
      <w:lvlJc w:val="left"/>
      <w:pPr>
        <w:ind w:left="720" w:hanging="360"/>
      </w:pPr>
      <w:rPr>
        <w:rFonts w:ascii="Symbol" w:hAnsi="Symbol"/>
      </w:rPr>
    </w:lvl>
    <w:lvl w:ilvl="3" w:tplc="1CE2739C">
      <w:start w:val="1"/>
      <w:numFmt w:val="bullet"/>
      <w:lvlText w:val=""/>
      <w:lvlJc w:val="left"/>
      <w:pPr>
        <w:ind w:left="720" w:hanging="360"/>
      </w:pPr>
      <w:rPr>
        <w:rFonts w:ascii="Symbol" w:hAnsi="Symbol"/>
      </w:rPr>
    </w:lvl>
    <w:lvl w:ilvl="4" w:tplc="A17C7B32">
      <w:start w:val="1"/>
      <w:numFmt w:val="bullet"/>
      <w:lvlText w:val=""/>
      <w:lvlJc w:val="left"/>
      <w:pPr>
        <w:ind w:left="720" w:hanging="360"/>
      </w:pPr>
      <w:rPr>
        <w:rFonts w:ascii="Symbol" w:hAnsi="Symbol"/>
      </w:rPr>
    </w:lvl>
    <w:lvl w:ilvl="5" w:tplc="B0FA169C">
      <w:start w:val="1"/>
      <w:numFmt w:val="bullet"/>
      <w:lvlText w:val=""/>
      <w:lvlJc w:val="left"/>
      <w:pPr>
        <w:ind w:left="720" w:hanging="360"/>
      </w:pPr>
      <w:rPr>
        <w:rFonts w:ascii="Symbol" w:hAnsi="Symbol"/>
      </w:rPr>
    </w:lvl>
    <w:lvl w:ilvl="6" w:tplc="D9D089A4">
      <w:start w:val="1"/>
      <w:numFmt w:val="bullet"/>
      <w:lvlText w:val=""/>
      <w:lvlJc w:val="left"/>
      <w:pPr>
        <w:ind w:left="720" w:hanging="360"/>
      </w:pPr>
      <w:rPr>
        <w:rFonts w:ascii="Symbol" w:hAnsi="Symbol"/>
      </w:rPr>
    </w:lvl>
    <w:lvl w:ilvl="7" w:tplc="F8347E14">
      <w:start w:val="1"/>
      <w:numFmt w:val="bullet"/>
      <w:lvlText w:val=""/>
      <w:lvlJc w:val="left"/>
      <w:pPr>
        <w:ind w:left="720" w:hanging="360"/>
      </w:pPr>
      <w:rPr>
        <w:rFonts w:ascii="Symbol" w:hAnsi="Symbol"/>
      </w:rPr>
    </w:lvl>
    <w:lvl w:ilvl="8" w:tplc="60A2C136">
      <w:start w:val="1"/>
      <w:numFmt w:val="bullet"/>
      <w:lvlText w:val=""/>
      <w:lvlJc w:val="left"/>
      <w:pPr>
        <w:ind w:left="720" w:hanging="360"/>
      </w:pPr>
      <w:rPr>
        <w:rFonts w:ascii="Symbol" w:hAnsi="Symbol"/>
      </w:rPr>
    </w:lvl>
  </w:abstractNum>
  <w:abstractNum w:abstractNumId="16" w15:restartNumberingAfterBreak="0">
    <w:nsid w:val="400716AC"/>
    <w:multiLevelType w:val="hybridMultilevel"/>
    <w:tmpl w:val="DA1015A6"/>
    <w:lvl w:ilvl="0" w:tplc="0C090001">
      <w:start w:val="1"/>
      <w:numFmt w:val="bullet"/>
      <w:lvlText w:val=""/>
      <w:lvlJc w:val="left"/>
      <w:pPr>
        <w:ind w:left="1279" w:hanging="360"/>
      </w:pPr>
      <w:rPr>
        <w:rFonts w:ascii="Symbol" w:hAnsi="Symbol" w:hint="default"/>
      </w:rPr>
    </w:lvl>
    <w:lvl w:ilvl="1" w:tplc="0C090003">
      <w:start w:val="1"/>
      <w:numFmt w:val="bullet"/>
      <w:lvlText w:val="o"/>
      <w:lvlJc w:val="left"/>
      <w:pPr>
        <w:ind w:left="1999" w:hanging="360"/>
      </w:pPr>
      <w:rPr>
        <w:rFonts w:ascii="Courier New" w:hAnsi="Courier New" w:cs="Courier New" w:hint="default"/>
      </w:rPr>
    </w:lvl>
    <w:lvl w:ilvl="2" w:tplc="0C090005" w:tentative="1">
      <w:start w:val="1"/>
      <w:numFmt w:val="bullet"/>
      <w:lvlText w:val=""/>
      <w:lvlJc w:val="left"/>
      <w:pPr>
        <w:ind w:left="2719" w:hanging="360"/>
      </w:pPr>
      <w:rPr>
        <w:rFonts w:ascii="Wingdings" w:hAnsi="Wingdings" w:hint="default"/>
      </w:rPr>
    </w:lvl>
    <w:lvl w:ilvl="3" w:tplc="0C090001" w:tentative="1">
      <w:start w:val="1"/>
      <w:numFmt w:val="bullet"/>
      <w:lvlText w:val=""/>
      <w:lvlJc w:val="left"/>
      <w:pPr>
        <w:ind w:left="3439" w:hanging="360"/>
      </w:pPr>
      <w:rPr>
        <w:rFonts w:ascii="Symbol" w:hAnsi="Symbol" w:hint="default"/>
      </w:rPr>
    </w:lvl>
    <w:lvl w:ilvl="4" w:tplc="0C090003" w:tentative="1">
      <w:start w:val="1"/>
      <w:numFmt w:val="bullet"/>
      <w:lvlText w:val="o"/>
      <w:lvlJc w:val="left"/>
      <w:pPr>
        <w:ind w:left="4159" w:hanging="360"/>
      </w:pPr>
      <w:rPr>
        <w:rFonts w:ascii="Courier New" w:hAnsi="Courier New" w:cs="Courier New" w:hint="default"/>
      </w:rPr>
    </w:lvl>
    <w:lvl w:ilvl="5" w:tplc="0C090005" w:tentative="1">
      <w:start w:val="1"/>
      <w:numFmt w:val="bullet"/>
      <w:lvlText w:val=""/>
      <w:lvlJc w:val="left"/>
      <w:pPr>
        <w:ind w:left="4879" w:hanging="360"/>
      </w:pPr>
      <w:rPr>
        <w:rFonts w:ascii="Wingdings" w:hAnsi="Wingdings" w:hint="default"/>
      </w:rPr>
    </w:lvl>
    <w:lvl w:ilvl="6" w:tplc="0C090001" w:tentative="1">
      <w:start w:val="1"/>
      <w:numFmt w:val="bullet"/>
      <w:lvlText w:val=""/>
      <w:lvlJc w:val="left"/>
      <w:pPr>
        <w:ind w:left="5599" w:hanging="360"/>
      </w:pPr>
      <w:rPr>
        <w:rFonts w:ascii="Symbol" w:hAnsi="Symbol" w:hint="default"/>
      </w:rPr>
    </w:lvl>
    <w:lvl w:ilvl="7" w:tplc="0C090003" w:tentative="1">
      <w:start w:val="1"/>
      <w:numFmt w:val="bullet"/>
      <w:lvlText w:val="o"/>
      <w:lvlJc w:val="left"/>
      <w:pPr>
        <w:ind w:left="6319" w:hanging="360"/>
      </w:pPr>
      <w:rPr>
        <w:rFonts w:ascii="Courier New" w:hAnsi="Courier New" w:cs="Courier New" w:hint="default"/>
      </w:rPr>
    </w:lvl>
    <w:lvl w:ilvl="8" w:tplc="0C090005" w:tentative="1">
      <w:start w:val="1"/>
      <w:numFmt w:val="bullet"/>
      <w:lvlText w:val=""/>
      <w:lvlJc w:val="left"/>
      <w:pPr>
        <w:ind w:left="7039" w:hanging="360"/>
      </w:pPr>
      <w:rPr>
        <w:rFonts w:ascii="Wingdings" w:hAnsi="Wingdings" w:hint="default"/>
      </w:rPr>
    </w:lvl>
  </w:abstractNum>
  <w:abstractNum w:abstractNumId="17" w15:restartNumberingAfterBreak="0">
    <w:nsid w:val="40B81F4E"/>
    <w:multiLevelType w:val="hybridMultilevel"/>
    <w:tmpl w:val="749E3922"/>
    <w:lvl w:ilvl="0" w:tplc="35B278DE">
      <w:start w:val="1"/>
      <w:numFmt w:val="bullet"/>
      <w:lvlText w:val=""/>
      <w:lvlJc w:val="left"/>
      <w:pPr>
        <w:ind w:left="1080" w:hanging="360"/>
      </w:pPr>
      <w:rPr>
        <w:rFonts w:ascii="Symbol" w:hAnsi="Symbol"/>
      </w:rPr>
    </w:lvl>
    <w:lvl w:ilvl="1" w:tplc="51DA7898">
      <w:start w:val="1"/>
      <w:numFmt w:val="bullet"/>
      <w:lvlText w:val=""/>
      <w:lvlJc w:val="left"/>
      <w:pPr>
        <w:ind w:left="1080" w:hanging="360"/>
      </w:pPr>
      <w:rPr>
        <w:rFonts w:ascii="Symbol" w:hAnsi="Symbol"/>
      </w:rPr>
    </w:lvl>
    <w:lvl w:ilvl="2" w:tplc="BF4A2372">
      <w:start w:val="1"/>
      <w:numFmt w:val="bullet"/>
      <w:lvlText w:val=""/>
      <w:lvlJc w:val="left"/>
      <w:pPr>
        <w:ind w:left="1080" w:hanging="360"/>
      </w:pPr>
      <w:rPr>
        <w:rFonts w:ascii="Symbol" w:hAnsi="Symbol"/>
      </w:rPr>
    </w:lvl>
    <w:lvl w:ilvl="3" w:tplc="267821C6">
      <w:start w:val="1"/>
      <w:numFmt w:val="bullet"/>
      <w:lvlText w:val=""/>
      <w:lvlJc w:val="left"/>
      <w:pPr>
        <w:ind w:left="1080" w:hanging="360"/>
      </w:pPr>
      <w:rPr>
        <w:rFonts w:ascii="Symbol" w:hAnsi="Symbol"/>
      </w:rPr>
    </w:lvl>
    <w:lvl w:ilvl="4" w:tplc="30CA2D3C">
      <w:start w:val="1"/>
      <w:numFmt w:val="bullet"/>
      <w:lvlText w:val=""/>
      <w:lvlJc w:val="left"/>
      <w:pPr>
        <w:ind w:left="1080" w:hanging="360"/>
      </w:pPr>
      <w:rPr>
        <w:rFonts w:ascii="Symbol" w:hAnsi="Symbol"/>
      </w:rPr>
    </w:lvl>
    <w:lvl w:ilvl="5" w:tplc="BA5E3D40">
      <w:start w:val="1"/>
      <w:numFmt w:val="bullet"/>
      <w:lvlText w:val=""/>
      <w:lvlJc w:val="left"/>
      <w:pPr>
        <w:ind w:left="1080" w:hanging="360"/>
      </w:pPr>
      <w:rPr>
        <w:rFonts w:ascii="Symbol" w:hAnsi="Symbol"/>
      </w:rPr>
    </w:lvl>
    <w:lvl w:ilvl="6" w:tplc="3DEE1EA0">
      <w:start w:val="1"/>
      <w:numFmt w:val="bullet"/>
      <w:lvlText w:val=""/>
      <w:lvlJc w:val="left"/>
      <w:pPr>
        <w:ind w:left="1080" w:hanging="360"/>
      </w:pPr>
      <w:rPr>
        <w:rFonts w:ascii="Symbol" w:hAnsi="Symbol"/>
      </w:rPr>
    </w:lvl>
    <w:lvl w:ilvl="7" w:tplc="684EDD14">
      <w:start w:val="1"/>
      <w:numFmt w:val="bullet"/>
      <w:lvlText w:val=""/>
      <w:lvlJc w:val="left"/>
      <w:pPr>
        <w:ind w:left="1080" w:hanging="360"/>
      </w:pPr>
      <w:rPr>
        <w:rFonts w:ascii="Symbol" w:hAnsi="Symbol"/>
      </w:rPr>
    </w:lvl>
    <w:lvl w:ilvl="8" w:tplc="F1F4D5D0">
      <w:start w:val="1"/>
      <w:numFmt w:val="bullet"/>
      <w:lvlText w:val=""/>
      <w:lvlJc w:val="left"/>
      <w:pPr>
        <w:ind w:left="1080" w:hanging="360"/>
      </w:pPr>
      <w:rPr>
        <w:rFonts w:ascii="Symbol" w:hAnsi="Symbol"/>
      </w:rPr>
    </w:lvl>
  </w:abstractNum>
  <w:abstractNum w:abstractNumId="18" w15:restartNumberingAfterBreak="0">
    <w:nsid w:val="42376C72"/>
    <w:multiLevelType w:val="hybridMultilevel"/>
    <w:tmpl w:val="3A7C2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095746"/>
    <w:multiLevelType w:val="hybridMultilevel"/>
    <w:tmpl w:val="28BC0FCE"/>
    <w:lvl w:ilvl="0" w:tplc="A26EFB64">
      <w:start w:val="1"/>
      <w:numFmt w:val="bullet"/>
      <w:pStyle w:val="Instructionaltext-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8F515F3"/>
    <w:multiLevelType w:val="multilevel"/>
    <w:tmpl w:val="2CF07F1E"/>
    <w:styleLink w:val="MSACESBulletpoints"/>
    <w:lvl w:ilvl="0">
      <w:start w:val="1"/>
      <w:numFmt w:val="bullet"/>
      <w:lvlText w:val=""/>
      <w:lvlJc w:val="left"/>
      <w:pPr>
        <w:ind w:left="717" w:hanging="360"/>
      </w:pPr>
      <w:rPr>
        <w:rFonts w:ascii="Symbol" w:hAnsi="Symbol" w:hint="default"/>
      </w:rPr>
    </w:lvl>
    <w:lvl w:ilvl="1">
      <w:start w:val="1"/>
      <w:numFmt w:val="bullet"/>
      <w:lvlText w:val=""/>
      <w:lvlJc w:val="left"/>
      <w:pPr>
        <w:ind w:left="714" w:firstLine="1086"/>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2" w15:restartNumberingAfterBreak="0">
    <w:nsid w:val="52E13F0D"/>
    <w:multiLevelType w:val="multilevel"/>
    <w:tmpl w:val="2CA63A9E"/>
    <w:lvl w:ilvl="0">
      <w:start w:val="1"/>
      <w:numFmt w:val="decimal"/>
      <w:lvlText w:val="%1"/>
      <w:lvlJc w:val="left"/>
      <w:pPr>
        <w:ind w:left="720" w:hanging="720"/>
      </w:pPr>
      <w:rPr>
        <w:rFonts w:hint="default"/>
        <w:b/>
        <w:i w:val="0"/>
        <w:iCs/>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Text w:val="%5)"/>
      <w:lvlJc w:val="left"/>
      <w:pPr>
        <w:ind w:left="360" w:hanging="360"/>
      </w:p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9456899"/>
    <w:multiLevelType w:val="multilevel"/>
    <w:tmpl w:val="31027912"/>
    <w:lvl w:ilvl="0">
      <w:start w:val="1"/>
      <w:numFmt w:val="bullet"/>
      <w:pStyle w:val="PBACESParagraphBulletPoint"/>
      <w:lvlText w:val=""/>
      <w:lvlJc w:val="left"/>
      <w:pPr>
        <w:ind w:left="1494" w:hanging="360"/>
      </w:pPr>
      <w:rPr>
        <w:rFonts w:ascii="Symbol" w:hAnsi="Symbol" w:hint="default"/>
      </w:rPr>
    </w:lvl>
    <w:lvl w:ilvl="1">
      <w:start w:val="1"/>
      <w:numFmt w:val="bullet"/>
      <w:lvlText w:val=""/>
      <w:lvlJc w:val="left"/>
      <w:pPr>
        <w:ind w:left="1905" w:hanging="374"/>
      </w:pPr>
      <w:rPr>
        <w:rFonts w:ascii="Symbol" w:hAnsi="Symbol" w:hint="default"/>
      </w:rPr>
    </w:lvl>
    <w:lvl w:ilvl="2">
      <w:start w:val="1"/>
      <w:numFmt w:val="bullet"/>
      <w:lvlText w:val=""/>
      <w:lvlJc w:val="left"/>
      <w:pPr>
        <w:ind w:left="2302" w:hanging="374"/>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71C6142"/>
    <w:multiLevelType w:val="hybridMultilevel"/>
    <w:tmpl w:val="CC88F724"/>
    <w:lvl w:ilvl="0" w:tplc="B84CBBAC">
      <w:start w:val="1"/>
      <w:numFmt w:val="bullet"/>
      <w:lvlText w:val=""/>
      <w:lvlJc w:val="left"/>
      <w:pPr>
        <w:ind w:left="1080" w:hanging="360"/>
      </w:pPr>
      <w:rPr>
        <w:rFonts w:ascii="Symbol" w:hAnsi="Symbol"/>
      </w:rPr>
    </w:lvl>
    <w:lvl w:ilvl="1" w:tplc="4F46831E">
      <w:start w:val="1"/>
      <w:numFmt w:val="bullet"/>
      <w:lvlText w:val=""/>
      <w:lvlJc w:val="left"/>
      <w:pPr>
        <w:ind w:left="1080" w:hanging="360"/>
      </w:pPr>
      <w:rPr>
        <w:rFonts w:ascii="Symbol" w:hAnsi="Symbol"/>
      </w:rPr>
    </w:lvl>
    <w:lvl w:ilvl="2" w:tplc="909E9F14">
      <w:start w:val="1"/>
      <w:numFmt w:val="bullet"/>
      <w:lvlText w:val=""/>
      <w:lvlJc w:val="left"/>
      <w:pPr>
        <w:ind w:left="1080" w:hanging="360"/>
      </w:pPr>
      <w:rPr>
        <w:rFonts w:ascii="Symbol" w:hAnsi="Symbol"/>
      </w:rPr>
    </w:lvl>
    <w:lvl w:ilvl="3" w:tplc="50A8CCFA">
      <w:start w:val="1"/>
      <w:numFmt w:val="bullet"/>
      <w:lvlText w:val=""/>
      <w:lvlJc w:val="left"/>
      <w:pPr>
        <w:ind w:left="1080" w:hanging="360"/>
      </w:pPr>
      <w:rPr>
        <w:rFonts w:ascii="Symbol" w:hAnsi="Symbol"/>
      </w:rPr>
    </w:lvl>
    <w:lvl w:ilvl="4" w:tplc="28548FB8">
      <w:start w:val="1"/>
      <w:numFmt w:val="bullet"/>
      <w:lvlText w:val=""/>
      <w:lvlJc w:val="left"/>
      <w:pPr>
        <w:ind w:left="1080" w:hanging="360"/>
      </w:pPr>
      <w:rPr>
        <w:rFonts w:ascii="Symbol" w:hAnsi="Symbol"/>
      </w:rPr>
    </w:lvl>
    <w:lvl w:ilvl="5" w:tplc="1FF2CD06">
      <w:start w:val="1"/>
      <w:numFmt w:val="bullet"/>
      <w:lvlText w:val=""/>
      <w:lvlJc w:val="left"/>
      <w:pPr>
        <w:ind w:left="1080" w:hanging="360"/>
      </w:pPr>
      <w:rPr>
        <w:rFonts w:ascii="Symbol" w:hAnsi="Symbol"/>
      </w:rPr>
    </w:lvl>
    <w:lvl w:ilvl="6" w:tplc="EC8C79C0">
      <w:start w:val="1"/>
      <w:numFmt w:val="bullet"/>
      <w:lvlText w:val=""/>
      <w:lvlJc w:val="left"/>
      <w:pPr>
        <w:ind w:left="1080" w:hanging="360"/>
      </w:pPr>
      <w:rPr>
        <w:rFonts w:ascii="Symbol" w:hAnsi="Symbol"/>
      </w:rPr>
    </w:lvl>
    <w:lvl w:ilvl="7" w:tplc="605281F2">
      <w:start w:val="1"/>
      <w:numFmt w:val="bullet"/>
      <w:lvlText w:val=""/>
      <w:lvlJc w:val="left"/>
      <w:pPr>
        <w:ind w:left="1080" w:hanging="360"/>
      </w:pPr>
      <w:rPr>
        <w:rFonts w:ascii="Symbol" w:hAnsi="Symbol"/>
      </w:rPr>
    </w:lvl>
    <w:lvl w:ilvl="8" w:tplc="BE3C9DCC">
      <w:start w:val="1"/>
      <w:numFmt w:val="bullet"/>
      <w:lvlText w:val=""/>
      <w:lvlJc w:val="left"/>
      <w:pPr>
        <w:ind w:left="1080" w:hanging="360"/>
      </w:pPr>
      <w:rPr>
        <w:rFonts w:ascii="Symbol" w:hAnsi="Symbol"/>
      </w:rPr>
    </w:lvl>
  </w:abstractNum>
  <w:abstractNum w:abstractNumId="25" w15:restartNumberingAfterBreak="0">
    <w:nsid w:val="672C46CE"/>
    <w:multiLevelType w:val="hybridMultilevel"/>
    <w:tmpl w:val="5C382292"/>
    <w:lvl w:ilvl="0" w:tplc="9C48FD82">
      <w:start w:val="2"/>
      <w:numFmt w:val="decimal"/>
      <w:lvlText w:val="%1."/>
      <w:lvlJc w:val="left"/>
      <w:pPr>
        <w:ind w:left="360" w:hanging="360"/>
      </w:pPr>
      <w:rPr>
        <w:rFonts w:hint="default"/>
        <w:b w:val="0"/>
        <w:bCs/>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4D033C"/>
    <w:multiLevelType w:val="multilevel"/>
    <w:tmpl w:val="0406AF26"/>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 w:val="0"/>
        <w:bCs/>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8911BEF"/>
    <w:multiLevelType w:val="multilevel"/>
    <w:tmpl w:val="54C0B3FC"/>
    <w:styleLink w:val="Style2"/>
    <w:lvl w:ilvl="0">
      <w:start w:val="1"/>
      <w:numFmt w:val="decimal"/>
      <w:lvlText w:val="%1"/>
      <w:lvlJc w:val="left"/>
      <w:pPr>
        <w:ind w:left="1077" w:hanging="1077"/>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80" w:hanging="1080"/>
      </w:pPr>
      <w:rPr>
        <w:rFonts w:hint="default"/>
        <w:b w:val="0"/>
        <w:i w:val="0"/>
        <w:color w:val="auto"/>
        <w:u w:val="none"/>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8CE3801"/>
    <w:multiLevelType w:val="multilevel"/>
    <w:tmpl w:val="2974C158"/>
    <w:lvl w:ilvl="0">
      <w:start w:val="1"/>
      <w:numFmt w:val="upperRoman"/>
      <w:pStyle w:val="Heading1"/>
      <w:lvlText w:val="Article %1."/>
      <w:lvlJc w:val="left"/>
      <w:pPr>
        <w:ind w:left="0" w:firstLine="0"/>
      </w:pPr>
    </w:lvl>
    <w:lvl w:ilvl="1">
      <w:start w:val="1"/>
      <w:numFmt w:val="decimalZero"/>
      <w:isLgl/>
      <w:lvlText w:val="Section %1.%2"/>
      <w:lvlJc w:val="left"/>
      <w:pPr>
        <w:ind w:left="0" w:firstLine="0"/>
      </w:pPr>
      <w:rPr>
        <w:b w:val="0"/>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0"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207CD4"/>
    <w:multiLevelType w:val="multilevel"/>
    <w:tmpl w:val="0AA479AC"/>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16cid:durableId="635526436">
    <w:abstractNumId w:val="27"/>
  </w:num>
  <w:num w:numId="2" w16cid:durableId="1104037253">
    <w:abstractNumId w:val="29"/>
  </w:num>
  <w:num w:numId="3" w16cid:durableId="1943294745">
    <w:abstractNumId w:val="9"/>
  </w:num>
  <w:num w:numId="4" w16cid:durableId="1422219559">
    <w:abstractNumId w:val="14"/>
  </w:num>
  <w:num w:numId="5" w16cid:durableId="1728722686">
    <w:abstractNumId w:val="5"/>
  </w:num>
  <w:num w:numId="6" w16cid:durableId="821584777">
    <w:abstractNumId w:val="21"/>
  </w:num>
  <w:num w:numId="7" w16cid:durableId="1831209707">
    <w:abstractNumId w:val="2"/>
  </w:num>
  <w:num w:numId="8" w16cid:durableId="1213539042">
    <w:abstractNumId w:val="7"/>
  </w:num>
  <w:num w:numId="9" w16cid:durableId="1119836982">
    <w:abstractNumId w:val="23"/>
  </w:num>
  <w:num w:numId="10" w16cid:durableId="376708755">
    <w:abstractNumId w:val="0"/>
  </w:num>
  <w:num w:numId="11" w16cid:durableId="1170438738">
    <w:abstractNumId w:val="28"/>
  </w:num>
  <w:num w:numId="12" w16cid:durableId="832525810">
    <w:abstractNumId w:val="13"/>
  </w:num>
  <w:num w:numId="13" w16cid:durableId="219446458">
    <w:abstractNumId w:val="20"/>
  </w:num>
  <w:num w:numId="14" w16cid:durableId="1707633875">
    <w:abstractNumId w:val="30"/>
  </w:num>
  <w:num w:numId="15" w16cid:durableId="432748491">
    <w:abstractNumId w:val="18"/>
  </w:num>
  <w:num w:numId="16" w16cid:durableId="1716932451">
    <w:abstractNumId w:val="3"/>
  </w:num>
  <w:num w:numId="17" w16cid:durableId="210267045">
    <w:abstractNumId w:val="19"/>
  </w:num>
  <w:num w:numId="18" w16cid:durableId="1234050769">
    <w:abstractNumId w:val="4"/>
  </w:num>
  <w:num w:numId="19" w16cid:durableId="1484590348">
    <w:abstractNumId w:val="10"/>
  </w:num>
  <w:num w:numId="20" w16cid:durableId="1899894539">
    <w:abstractNumId w:val="16"/>
  </w:num>
  <w:num w:numId="21" w16cid:durableId="504587935">
    <w:abstractNumId w:val="8"/>
  </w:num>
  <w:num w:numId="22" w16cid:durableId="1021971401">
    <w:abstractNumId w:val="6"/>
  </w:num>
  <w:num w:numId="23" w16cid:durableId="1947349301">
    <w:abstractNumId w:val="32"/>
  </w:num>
  <w:num w:numId="24" w16cid:durableId="1107315545">
    <w:abstractNumId w:val="25"/>
  </w:num>
  <w:num w:numId="25" w16cid:durableId="126240624">
    <w:abstractNumId w:val="26"/>
  </w:num>
  <w:num w:numId="26" w16cid:durableId="480733828">
    <w:abstractNumId w:val="27"/>
  </w:num>
  <w:num w:numId="27" w16cid:durableId="506402519">
    <w:abstractNumId w:val="17"/>
  </w:num>
  <w:num w:numId="28" w16cid:durableId="1990473042">
    <w:abstractNumId w:val="12"/>
  </w:num>
  <w:num w:numId="29" w16cid:durableId="11498240">
    <w:abstractNumId w:val="1"/>
  </w:num>
  <w:num w:numId="30" w16cid:durableId="97412859">
    <w:abstractNumId w:val="11"/>
  </w:num>
  <w:num w:numId="31" w16cid:durableId="1864439630">
    <w:abstractNumId w:val="15"/>
  </w:num>
  <w:num w:numId="32" w16cid:durableId="421875390">
    <w:abstractNumId w:val="24"/>
  </w:num>
  <w:num w:numId="33" w16cid:durableId="1055855744">
    <w:abstractNumId w:val="27"/>
  </w:num>
  <w:num w:numId="34" w16cid:durableId="1646541367">
    <w:abstractNumId w:val="27"/>
  </w:num>
  <w:num w:numId="35" w16cid:durableId="708845429">
    <w:abstractNumId w:val="31"/>
  </w:num>
  <w:num w:numId="36" w16cid:durableId="1954316156">
    <w:abstractNumId w:val="27"/>
  </w:num>
  <w:num w:numId="37" w16cid:durableId="1435172960">
    <w:abstractNumId w:val="27"/>
  </w:num>
  <w:num w:numId="38" w16cid:durableId="88044048">
    <w:abstractNumId w:val="27"/>
  </w:num>
  <w:num w:numId="39" w16cid:durableId="1590196166">
    <w:abstractNumId w:val="27"/>
  </w:num>
  <w:num w:numId="40" w16cid:durableId="924144435">
    <w:abstractNumId w:val="27"/>
  </w:num>
  <w:num w:numId="41" w16cid:durableId="1765766101">
    <w:abstractNumId w:val="27"/>
  </w:num>
  <w:num w:numId="42" w16cid:durableId="1102064738">
    <w:abstractNumId w:val="27"/>
  </w:num>
  <w:num w:numId="43" w16cid:durableId="365637912">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184"/>
    <w:rsid w:val="0000278B"/>
    <w:rsid w:val="00005890"/>
    <w:rsid w:val="00011295"/>
    <w:rsid w:val="0002272F"/>
    <w:rsid w:val="00026B28"/>
    <w:rsid w:val="000270EB"/>
    <w:rsid w:val="000306B0"/>
    <w:rsid w:val="000307FF"/>
    <w:rsid w:val="00033A39"/>
    <w:rsid w:val="00035E5C"/>
    <w:rsid w:val="00036D5F"/>
    <w:rsid w:val="000407F7"/>
    <w:rsid w:val="000408D6"/>
    <w:rsid w:val="000420A5"/>
    <w:rsid w:val="00042543"/>
    <w:rsid w:val="00043010"/>
    <w:rsid w:val="00044E2A"/>
    <w:rsid w:val="00046978"/>
    <w:rsid w:val="00050E9E"/>
    <w:rsid w:val="00052C68"/>
    <w:rsid w:val="000554F1"/>
    <w:rsid w:val="0005746B"/>
    <w:rsid w:val="00062536"/>
    <w:rsid w:val="00063499"/>
    <w:rsid w:val="00064850"/>
    <w:rsid w:val="00065FAA"/>
    <w:rsid w:val="00066E9B"/>
    <w:rsid w:val="000701C4"/>
    <w:rsid w:val="0007262E"/>
    <w:rsid w:val="00075D1A"/>
    <w:rsid w:val="00077E1A"/>
    <w:rsid w:val="000803FA"/>
    <w:rsid w:val="000804A7"/>
    <w:rsid w:val="000843E8"/>
    <w:rsid w:val="000872E5"/>
    <w:rsid w:val="00090BD2"/>
    <w:rsid w:val="000930EF"/>
    <w:rsid w:val="0009602E"/>
    <w:rsid w:val="00096A58"/>
    <w:rsid w:val="000A31D5"/>
    <w:rsid w:val="000A77B1"/>
    <w:rsid w:val="000B1774"/>
    <w:rsid w:val="000B266B"/>
    <w:rsid w:val="000B2E48"/>
    <w:rsid w:val="000C0217"/>
    <w:rsid w:val="000C0F33"/>
    <w:rsid w:val="000C0F7E"/>
    <w:rsid w:val="000C21F5"/>
    <w:rsid w:val="000C2C71"/>
    <w:rsid w:val="000D0502"/>
    <w:rsid w:val="000D4086"/>
    <w:rsid w:val="000E0095"/>
    <w:rsid w:val="000E61CA"/>
    <w:rsid w:val="000E64E7"/>
    <w:rsid w:val="000F21A8"/>
    <w:rsid w:val="000F34E1"/>
    <w:rsid w:val="000F4BDF"/>
    <w:rsid w:val="000F4F22"/>
    <w:rsid w:val="000F4FC0"/>
    <w:rsid w:val="000F6910"/>
    <w:rsid w:val="001008A8"/>
    <w:rsid w:val="00102E6A"/>
    <w:rsid w:val="00106822"/>
    <w:rsid w:val="001226D7"/>
    <w:rsid w:val="00124884"/>
    <w:rsid w:val="00124FF5"/>
    <w:rsid w:val="00126963"/>
    <w:rsid w:val="00134E89"/>
    <w:rsid w:val="00135E22"/>
    <w:rsid w:val="00141437"/>
    <w:rsid w:val="00141D53"/>
    <w:rsid w:val="0014228B"/>
    <w:rsid w:val="00142A29"/>
    <w:rsid w:val="00142EE5"/>
    <w:rsid w:val="001447C3"/>
    <w:rsid w:val="00145544"/>
    <w:rsid w:val="00145D02"/>
    <w:rsid w:val="001526CC"/>
    <w:rsid w:val="00153AF4"/>
    <w:rsid w:val="001548F9"/>
    <w:rsid w:val="0015559E"/>
    <w:rsid w:val="00157A9A"/>
    <w:rsid w:val="00162AEA"/>
    <w:rsid w:val="0016629B"/>
    <w:rsid w:val="00166454"/>
    <w:rsid w:val="00172FB8"/>
    <w:rsid w:val="0018104A"/>
    <w:rsid w:val="0018199C"/>
    <w:rsid w:val="00184D3B"/>
    <w:rsid w:val="001852A0"/>
    <w:rsid w:val="0018617E"/>
    <w:rsid w:val="001866D7"/>
    <w:rsid w:val="0019559C"/>
    <w:rsid w:val="0019717D"/>
    <w:rsid w:val="001A18F8"/>
    <w:rsid w:val="001A30BF"/>
    <w:rsid w:val="001A47C6"/>
    <w:rsid w:val="001A7F6E"/>
    <w:rsid w:val="001B158D"/>
    <w:rsid w:val="001B1E80"/>
    <w:rsid w:val="001B2490"/>
    <w:rsid w:val="001B332F"/>
    <w:rsid w:val="001B4AC8"/>
    <w:rsid w:val="001B580F"/>
    <w:rsid w:val="001B7842"/>
    <w:rsid w:val="001C223A"/>
    <w:rsid w:val="001C39DE"/>
    <w:rsid w:val="001D2D40"/>
    <w:rsid w:val="001D379A"/>
    <w:rsid w:val="001D3BAE"/>
    <w:rsid w:val="001E030D"/>
    <w:rsid w:val="001E5AA5"/>
    <w:rsid w:val="001F1805"/>
    <w:rsid w:val="001F2AA5"/>
    <w:rsid w:val="001F36CD"/>
    <w:rsid w:val="001F50E1"/>
    <w:rsid w:val="001F5588"/>
    <w:rsid w:val="001F6765"/>
    <w:rsid w:val="002004EB"/>
    <w:rsid w:val="00201B43"/>
    <w:rsid w:val="00201DF4"/>
    <w:rsid w:val="0020516D"/>
    <w:rsid w:val="00205F4E"/>
    <w:rsid w:val="00210CCC"/>
    <w:rsid w:val="00211159"/>
    <w:rsid w:val="002112A6"/>
    <w:rsid w:val="002117DF"/>
    <w:rsid w:val="00215090"/>
    <w:rsid w:val="00216753"/>
    <w:rsid w:val="00220765"/>
    <w:rsid w:val="00222B88"/>
    <w:rsid w:val="00223EAC"/>
    <w:rsid w:val="00226DCE"/>
    <w:rsid w:val="00236C7D"/>
    <w:rsid w:val="00242B43"/>
    <w:rsid w:val="00243311"/>
    <w:rsid w:val="00245A67"/>
    <w:rsid w:val="00246809"/>
    <w:rsid w:val="00246C0C"/>
    <w:rsid w:val="002520D1"/>
    <w:rsid w:val="002628A9"/>
    <w:rsid w:val="00262BD9"/>
    <w:rsid w:val="00264ABA"/>
    <w:rsid w:val="00264F58"/>
    <w:rsid w:val="00270A70"/>
    <w:rsid w:val="002755B3"/>
    <w:rsid w:val="00280050"/>
    <w:rsid w:val="00280410"/>
    <w:rsid w:val="002823EF"/>
    <w:rsid w:val="00284DE8"/>
    <w:rsid w:val="00285455"/>
    <w:rsid w:val="00291783"/>
    <w:rsid w:val="002925C6"/>
    <w:rsid w:val="002940E2"/>
    <w:rsid w:val="002963E6"/>
    <w:rsid w:val="002A50B5"/>
    <w:rsid w:val="002B2D7A"/>
    <w:rsid w:val="002B3A8E"/>
    <w:rsid w:val="002B4007"/>
    <w:rsid w:val="002B40F6"/>
    <w:rsid w:val="002B51F2"/>
    <w:rsid w:val="002B5B98"/>
    <w:rsid w:val="002C508A"/>
    <w:rsid w:val="002D13F2"/>
    <w:rsid w:val="002D20D5"/>
    <w:rsid w:val="002D5995"/>
    <w:rsid w:val="002E0901"/>
    <w:rsid w:val="002E6960"/>
    <w:rsid w:val="002E71C9"/>
    <w:rsid w:val="002F01D8"/>
    <w:rsid w:val="002F410A"/>
    <w:rsid w:val="002F5303"/>
    <w:rsid w:val="00302F2B"/>
    <w:rsid w:val="003117AA"/>
    <w:rsid w:val="0031323F"/>
    <w:rsid w:val="00313F13"/>
    <w:rsid w:val="00314D6D"/>
    <w:rsid w:val="00314EFE"/>
    <w:rsid w:val="00316803"/>
    <w:rsid w:val="003177DB"/>
    <w:rsid w:val="00317F7E"/>
    <w:rsid w:val="00323464"/>
    <w:rsid w:val="00323958"/>
    <w:rsid w:val="00324997"/>
    <w:rsid w:val="00326DBD"/>
    <w:rsid w:val="003346AB"/>
    <w:rsid w:val="00336053"/>
    <w:rsid w:val="00336BD9"/>
    <w:rsid w:val="00342AA8"/>
    <w:rsid w:val="00343734"/>
    <w:rsid w:val="003453DF"/>
    <w:rsid w:val="003513C2"/>
    <w:rsid w:val="00351BE8"/>
    <w:rsid w:val="00352F7E"/>
    <w:rsid w:val="003627AF"/>
    <w:rsid w:val="00363110"/>
    <w:rsid w:val="0036781E"/>
    <w:rsid w:val="00372995"/>
    <w:rsid w:val="00385026"/>
    <w:rsid w:val="0038787D"/>
    <w:rsid w:val="00387A78"/>
    <w:rsid w:val="0039762D"/>
    <w:rsid w:val="00397BFE"/>
    <w:rsid w:val="003A1090"/>
    <w:rsid w:val="003A5958"/>
    <w:rsid w:val="003A6778"/>
    <w:rsid w:val="003B0A04"/>
    <w:rsid w:val="003B1378"/>
    <w:rsid w:val="003B4BD8"/>
    <w:rsid w:val="003B6730"/>
    <w:rsid w:val="003C3704"/>
    <w:rsid w:val="003C3C99"/>
    <w:rsid w:val="003C4EFD"/>
    <w:rsid w:val="003C5CA1"/>
    <w:rsid w:val="003D0255"/>
    <w:rsid w:val="003D10BD"/>
    <w:rsid w:val="003D176A"/>
    <w:rsid w:val="003D2358"/>
    <w:rsid w:val="003D3983"/>
    <w:rsid w:val="003D3BDB"/>
    <w:rsid w:val="003D5CC0"/>
    <w:rsid w:val="003D6483"/>
    <w:rsid w:val="003D694B"/>
    <w:rsid w:val="003E5FF9"/>
    <w:rsid w:val="003E7C3C"/>
    <w:rsid w:val="003F0209"/>
    <w:rsid w:val="003F2E40"/>
    <w:rsid w:val="003F315B"/>
    <w:rsid w:val="003F3551"/>
    <w:rsid w:val="003F385C"/>
    <w:rsid w:val="003F5583"/>
    <w:rsid w:val="003F7D7D"/>
    <w:rsid w:val="00403772"/>
    <w:rsid w:val="00406156"/>
    <w:rsid w:val="00414198"/>
    <w:rsid w:val="00414268"/>
    <w:rsid w:val="004159FA"/>
    <w:rsid w:val="0041621D"/>
    <w:rsid w:val="0041700E"/>
    <w:rsid w:val="00425F92"/>
    <w:rsid w:val="004263C7"/>
    <w:rsid w:val="0043105C"/>
    <w:rsid w:val="004323FB"/>
    <w:rsid w:val="00433026"/>
    <w:rsid w:val="00434873"/>
    <w:rsid w:val="0044137D"/>
    <w:rsid w:val="00444A0B"/>
    <w:rsid w:val="004457D6"/>
    <w:rsid w:val="00457821"/>
    <w:rsid w:val="004604BD"/>
    <w:rsid w:val="00464159"/>
    <w:rsid w:val="00472D77"/>
    <w:rsid w:val="0047381C"/>
    <w:rsid w:val="00480B67"/>
    <w:rsid w:val="00481D6C"/>
    <w:rsid w:val="00485122"/>
    <w:rsid w:val="00490A61"/>
    <w:rsid w:val="00491C6A"/>
    <w:rsid w:val="004A105A"/>
    <w:rsid w:val="004A171D"/>
    <w:rsid w:val="004A187A"/>
    <w:rsid w:val="004A2F44"/>
    <w:rsid w:val="004A380C"/>
    <w:rsid w:val="004A3833"/>
    <w:rsid w:val="004A49D3"/>
    <w:rsid w:val="004A4D28"/>
    <w:rsid w:val="004A6849"/>
    <w:rsid w:val="004B4D09"/>
    <w:rsid w:val="004B6CAC"/>
    <w:rsid w:val="004C4578"/>
    <w:rsid w:val="004D276F"/>
    <w:rsid w:val="004D2CCF"/>
    <w:rsid w:val="004D33B3"/>
    <w:rsid w:val="004D6001"/>
    <w:rsid w:val="004E0E45"/>
    <w:rsid w:val="004E2CD0"/>
    <w:rsid w:val="004E574D"/>
    <w:rsid w:val="004E708B"/>
    <w:rsid w:val="004F4535"/>
    <w:rsid w:val="004F4BBC"/>
    <w:rsid w:val="004F7DD9"/>
    <w:rsid w:val="005000E7"/>
    <w:rsid w:val="005013CB"/>
    <w:rsid w:val="00505DE8"/>
    <w:rsid w:val="00507FE2"/>
    <w:rsid w:val="00512F95"/>
    <w:rsid w:val="00517F6A"/>
    <w:rsid w:val="005335A2"/>
    <w:rsid w:val="00540779"/>
    <w:rsid w:val="005432DE"/>
    <w:rsid w:val="0054572A"/>
    <w:rsid w:val="00547F58"/>
    <w:rsid w:val="005525B7"/>
    <w:rsid w:val="00565522"/>
    <w:rsid w:val="00565892"/>
    <w:rsid w:val="005659AA"/>
    <w:rsid w:val="00566CE9"/>
    <w:rsid w:val="00570070"/>
    <w:rsid w:val="005700B6"/>
    <w:rsid w:val="00571B77"/>
    <w:rsid w:val="005738D3"/>
    <w:rsid w:val="00574490"/>
    <w:rsid w:val="00576C98"/>
    <w:rsid w:val="00580A83"/>
    <w:rsid w:val="00583A2C"/>
    <w:rsid w:val="005847F4"/>
    <w:rsid w:val="005861C1"/>
    <w:rsid w:val="00587886"/>
    <w:rsid w:val="00587CB2"/>
    <w:rsid w:val="00591636"/>
    <w:rsid w:val="00592A3A"/>
    <w:rsid w:val="005961DD"/>
    <w:rsid w:val="00597AF4"/>
    <w:rsid w:val="005A32F3"/>
    <w:rsid w:val="005A3908"/>
    <w:rsid w:val="005B12AA"/>
    <w:rsid w:val="005B76A4"/>
    <w:rsid w:val="005B7B1D"/>
    <w:rsid w:val="005C1DF3"/>
    <w:rsid w:val="005C3627"/>
    <w:rsid w:val="005C6768"/>
    <w:rsid w:val="005D2BC7"/>
    <w:rsid w:val="005D429F"/>
    <w:rsid w:val="005D47EF"/>
    <w:rsid w:val="005D4B94"/>
    <w:rsid w:val="005D5EC0"/>
    <w:rsid w:val="005D6469"/>
    <w:rsid w:val="005E037A"/>
    <w:rsid w:val="005E0EF0"/>
    <w:rsid w:val="005E1D13"/>
    <w:rsid w:val="005E27B8"/>
    <w:rsid w:val="005E3A18"/>
    <w:rsid w:val="005E4433"/>
    <w:rsid w:val="005E6CB8"/>
    <w:rsid w:val="005F2378"/>
    <w:rsid w:val="005F30F6"/>
    <w:rsid w:val="005F73BD"/>
    <w:rsid w:val="00604FED"/>
    <w:rsid w:val="006064C5"/>
    <w:rsid w:val="00606FB0"/>
    <w:rsid w:val="0061128F"/>
    <w:rsid w:val="00612ABA"/>
    <w:rsid w:val="00614054"/>
    <w:rsid w:val="00614962"/>
    <w:rsid w:val="00614F96"/>
    <w:rsid w:val="00620488"/>
    <w:rsid w:val="0062455E"/>
    <w:rsid w:val="00627B5D"/>
    <w:rsid w:val="00630CD7"/>
    <w:rsid w:val="0063497D"/>
    <w:rsid w:val="00635C8F"/>
    <w:rsid w:val="00640BA2"/>
    <w:rsid w:val="006410AB"/>
    <w:rsid w:val="00651DD3"/>
    <w:rsid w:val="0065361B"/>
    <w:rsid w:val="00655125"/>
    <w:rsid w:val="00655E44"/>
    <w:rsid w:val="00656D58"/>
    <w:rsid w:val="006645A9"/>
    <w:rsid w:val="006700DF"/>
    <w:rsid w:val="0067494E"/>
    <w:rsid w:val="00676033"/>
    <w:rsid w:val="00684D1C"/>
    <w:rsid w:val="00686DD5"/>
    <w:rsid w:val="006901FE"/>
    <w:rsid w:val="0069200A"/>
    <w:rsid w:val="0069365F"/>
    <w:rsid w:val="00694F37"/>
    <w:rsid w:val="006964F5"/>
    <w:rsid w:val="00697AC1"/>
    <w:rsid w:val="006A034E"/>
    <w:rsid w:val="006A1589"/>
    <w:rsid w:val="006A3024"/>
    <w:rsid w:val="006A425A"/>
    <w:rsid w:val="006B13D9"/>
    <w:rsid w:val="006B22D1"/>
    <w:rsid w:val="006B2895"/>
    <w:rsid w:val="006B42D9"/>
    <w:rsid w:val="006B5104"/>
    <w:rsid w:val="006B6104"/>
    <w:rsid w:val="006B6543"/>
    <w:rsid w:val="006C14F1"/>
    <w:rsid w:val="006C7FB7"/>
    <w:rsid w:val="006D0040"/>
    <w:rsid w:val="006D1480"/>
    <w:rsid w:val="006D3E45"/>
    <w:rsid w:val="006E3338"/>
    <w:rsid w:val="006E3800"/>
    <w:rsid w:val="006E4A19"/>
    <w:rsid w:val="006E6403"/>
    <w:rsid w:val="006F1552"/>
    <w:rsid w:val="006F1CFF"/>
    <w:rsid w:val="006F4443"/>
    <w:rsid w:val="006F62E5"/>
    <w:rsid w:val="006F763B"/>
    <w:rsid w:val="0070271F"/>
    <w:rsid w:val="00702B10"/>
    <w:rsid w:val="00702EE2"/>
    <w:rsid w:val="0070766A"/>
    <w:rsid w:val="00707BA8"/>
    <w:rsid w:val="0071043D"/>
    <w:rsid w:val="007271F6"/>
    <w:rsid w:val="00734394"/>
    <w:rsid w:val="00735018"/>
    <w:rsid w:val="0073536C"/>
    <w:rsid w:val="00736777"/>
    <w:rsid w:val="00736B03"/>
    <w:rsid w:val="0074126C"/>
    <w:rsid w:val="00741751"/>
    <w:rsid w:val="007501AF"/>
    <w:rsid w:val="00752884"/>
    <w:rsid w:val="0075648D"/>
    <w:rsid w:val="00756C63"/>
    <w:rsid w:val="00762A6E"/>
    <w:rsid w:val="00762AD6"/>
    <w:rsid w:val="0076669F"/>
    <w:rsid w:val="00767469"/>
    <w:rsid w:val="00770EDF"/>
    <w:rsid w:val="0077171E"/>
    <w:rsid w:val="0077240A"/>
    <w:rsid w:val="007726E0"/>
    <w:rsid w:val="0077679C"/>
    <w:rsid w:val="00780F2E"/>
    <w:rsid w:val="0078139F"/>
    <w:rsid w:val="00781F35"/>
    <w:rsid w:val="00784414"/>
    <w:rsid w:val="007848CD"/>
    <w:rsid w:val="007902FF"/>
    <w:rsid w:val="00791E2F"/>
    <w:rsid w:val="00792C49"/>
    <w:rsid w:val="00794B46"/>
    <w:rsid w:val="007970BB"/>
    <w:rsid w:val="00797788"/>
    <w:rsid w:val="007A1B24"/>
    <w:rsid w:val="007A3E50"/>
    <w:rsid w:val="007B1E4B"/>
    <w:rsid w:val="007B5EEC"/>
    <w:rsid w:val="007C0A09"/>
    <w:rsid w:val="007C0AF3"/>
    <w:rsid w:val="007C3F95"/>
    <w:rsid w:val="007C69C9"/>
    <w:rsid w:val="007C6B88"/>
    <w:rsid w:val="007D0196"/>
    <w:rsid w:val="007D0DFF"/>
    <w:rsid w:val="007D171F"/>
    <w:rsid w:val="007D7A36"/>
    <w:rsid w:val="007E5F83"/>
    <w:rsid w:val="007E6C17"/>
    <w:rsid w:val="007E7A97"/>
    <w:rsid w:val="007F215C"/>
    <w:rsid w:val="007F4A46"/>
    <w:rsid w:val="007F53CF"/>
    <w:rsid w:val="007F6237"/>
    <w:rsid w:val="007F6955"/>
    <w:rsid w:val="007F6983"/>
    <w:rsid w:val="00802DDD"/>
    <w:rsid w:val="008035AE"/>
    <w:rsid w:val="008042DF"/>
    <w:rsid w:val="008058B3"/>
    <w:rsid w:val="00810143"/>
    <w:rsid w:val="008103CD"/>
    <w:rsid w:val="008121B3"/>
    <w:rsid w:val="008126EC"/>
    <w:rsid w:val="0081293C"/>
    <w:rsid w:val="00813FB1"/>
    <w:rsid w:val="00816C8C"/>
    <w:rsid w:val="008172A1"/>
    <w:rsid w:val="00830C53"/>
    <w:rsid w:val="008346AD"/>
    <w:rsid w:val="0084252E"/>
    <w:rsid w:val="00842F80"/>
    <w:rsid w:val="00854784"/>
    <w:rsid w:val="008568C2"/>
    <w:rsid w:val="00856F61"/>
    <w:rsid w:val="00862553"/>
    <w:rsid w:val="00871D45"/>
    <w:rsid w:val="00872B0E"/>
    <w:rsid w:val="00872CEE"/>
    <w:rsid w:val="008760F6"/>
    <w:rsid w:val="008829CF"/>
    <w:rsid w:val="00890D5A"/>
    <w:rsid w:val="008943E8"/>
    <w:rsid w:val="00894702"/>
    <w:rsid w:val="00897065"/>
    <w:rsid w:val="008A4591"/>
    <w:rsid w:val="008A5CA5"/>
    <w:rsid w:val="008A7EE8"/>
    <w:rsid w:val="008B08AA"/>
    <w:rsid w:val="008B1853"/>
    <w:rsid w:val="008B6075"/>
    <w:rsid w:val="008B648F"/>
    <w:rsid w:val="008B76E4"/>
    <w:rsid w:val="008B77D5"/>
    <w:rsid w:val="008C007A"/>
    <w:rsid w:val="008C2ACA"/>
    <w:rsid w:val="008C2B90"/>
    <w:rsid w:val="008C2E0F"/>
    <w:rsid w:val="008C3A03"/>
    <w:rsid w:val="008D42D4"/>
    <w:rsid w:val="008F03EF"/>
    <w:rsid w:val="0090672F"/>
    <w:rsid w:val="00907D70"/>
    <w:rsid w:val="00911306"/>
    <w:rsid w:val="00911590"/>
    <w:rsid w:val="00912CEC"/>
    <w:rsid w:val="00913D92"/>
    <w:rsid w:val="00914834"/>
    <w:rsid w:val="00914DE6"/>
    <w:rsid w:val="00916B29"/>
    <w:rsid w:val="00917F5E"/>
    <w:rsid w:val="00921219"/>
    <w:rsid w:val="009237B8"/>
    <w:rsid w:val="00933336"/>
    <w:rsid w:val="00936CB4"/>
    <w:rsid w:val="00941EA4"/>
    <w:rsid w:val="0094228F"/>
    <w:rsid w:val="009442A0"/>
    <w:rsid w:val="00945772"/>
    <w:rsid w:val="00946A87"/>
    <w:rsid w:val="009471D0"/>
    <w:rsid w:val="00950946"/>
    <w:rsid w:val="009513B9"/>
    <w:rsid w:val="00951D09"/>
    <w:rsid w:val="00955F7F"/>
    <w:rsid w:val="00956018"/>
    <w:rsid w:val="00965A29"/>
    <w:rsid w:val="009664B9"/>
    <w:rsid w:val="00970C62"/>
    <w:rsid w:val="009729AA"/>
    <w:rsid w:val="00972EC2"/>
    <w:rsid w:val="009751E0"/>
    <w:rsid w:val="00976DC3"/>
    <w:rsid w:val="009771F2"/>
    <w:rsid w:val="00980C2C"/>
    <w:rsid w:val="00982AF5"/>
    <w:rsid w:val="0098407B"/>
    <w:rsid w:val="00985697"/>
    <w:rsid w:val="00987D5E"/>
    <w:rsid w:val="00991B49"/>
    <w:rsid w:val="00991C63"/>
    <w:rsid w:val="0099287E"/>
    <w:rsid w:val="009964A9"/>
    <w:rsid w:val="00997B61"/>
    <w:rsid w:val="009A2418"/>
    <w:rsid w:val="009A57C5"/>
    <w:rsid w:val="009A65CA"/>
    <w:rsid w:val="009B1F91"/>
    <w:rsid w:val="009B27B7"/>
    <w:rsid w:val="009B6BB8"/>
    <w:rsid w:val="009C0245"/>
    <w:rsid w:val="009C0426"/>
    <w:rsid w:val="009C0D07"/>
    <w:rsid w:val="009C5381"/>
    <w:rsid w:val="009C58D8"/>
    <w:rsid w:val="009C66FA"/>
    <w:rsid w:val="009C7A48"/>
    <w:rsid w:val="009D2673"/>
    <w:rsid w:val="009D304C"/>
    <w:rsid w:val="009D4140"/>
    <w:rsid w:val="009D6687"/>
    <w:rsid w:val="009D7B5F"/>
    <w:rsid w:val="009E32DC"/>
    <w:rsid w:val="009E6127"/>
    <w:rsid w:val="009F0E53"/>
    <w:rsid w:val="009F1410"/>
    <w:rsid w:val="009F36A6"/>
    <w:rsid w:val="009F47C1"/>
    <w:rsid w:val="00A00903"/>
    <w:rsid w:val="00A027E7"/>
    <w:rsid w:val="00A04FAE"/>
    <w:rsid w:val="00A05EF8"/>
    <w:rsid w:val="00A05F56"/>
    <w:rsid w:val="00A06FE4"/>
    <w:rsid w:val="00A13862"/>
    <w:rsid w:val="00A166FD"/>
    <w:rsid w:val="00A22520"/>
    <w:rsid w:val="00A236EB"/>
    <w:rsid w:val="00A27DE0"/>
    <w:rsid w:val="00A304D8"/>
    <w:rsid w:val="00A31786"/>
    <w:rsid w:val="00A31D1B"/>
    <w:rsid w:val="00A32466"/>
    <w:rsid w:val="00A40892"/>
    <w:rsid w:val="00A4099B"/>
    <w:rsid w:val="00A429C0"/>
    <w:rsid w:val="00A47459"/>
    <w:rsid w:val="00A47C2A"/>
    <w:rsid w:val="00A50281"/>
    <w:rsid w:val="00A5330C"/>
    <w:rsid w:val="00A53F12"/>
    <w:rsid w:val="00A5624A"/>
    <w:rsid w:val="00A61BAA"/>
    <w:rsid w:val="00A63506"/>
    <w:rsid w:val="00A6421C"/>
    <w:rsid w:val="00A643DF"/>
    <w:rsid w:val="00A76AA7"/>
    <w:rsid w:val="00A83569"/>
    <w:rsid w:val="00A84422"/>
    <w:rsid w:val="00A856A4"/>
    <w:rsid w:val="00A90CFD"/>
    <w:rsid w:val="00A91E01"/>
    <w:rsid w:val="00A9614D"/>
    <w:rsid w:val="00AA1C51"/>
    <w:rsid w:val="00AA524B"/>
    <w:rsid w:val="00AB01F2"/>
    <w:rsid w:val="00AB20EC"/>
    <w:rsid w:val="00AB304D"/>
    <w:rsid w:val="00AB5788"/>
    <w:rsid w:val="00AB60EF"/>
    <w:rsid w:val="00AC31FB"/>
    <w:rsid w:val="00AC403E"/>
    <w:rsid w:val="00AC6AC1"/>
    <w:rsid w:val="00AD00A3"/>
    <w:rsid w:val="00AD1CBA"/>
    <w:rsid w:val="00AD1E44"/>
    <w:rsid w:val="00AD3B81"/>
    <w:rsid w:val="00AD41D3"/>
    <w:rsid w:val="00AD4822"/>
    <w:rsid w:val="00AE3F28"/>
    <w:rsid w:val="00AE3F46"/>
    <w:rsid w:val="00AE53D1"/>
    <w:rsid w:val="00AE7B05"/>
    <w:rsid w:val="00AF52BC"/>
    <w:rsid w:val="00AF5E1F"/>
    <w:rsid w:val="00AF7E2D"/>
    <w:rsid w:val="00B00C45"/>
    <w:rsid w:val="00B0265A"/>
    <w:rsid w:val="00B03D5B"/>
    <w:rsid w:val="00B07742"/>
    <w:rsid w:val="00B07F62"/>
    <w:rsid w:val="00B1532B"/>
    <w:rsid w:val="00B17622"/>
    <w:rsid w:val="00B225A5"/>
    <w:rsid w:val="00B23E5A"/>
    <w:rsid w:val="00B2656D"/>
    <w:rsid w:val="00B27BD4"/>
    <w:rsid w:val="00B3096C"/>
    <w:rsid w:val="00B31B41"/>
    <w:rsid w:val="00B35518"/>
    <w:rsid w:val="00B36303"/>
    <w:rsid w:val="00B369DE"/>
    <w:rsid w:val="00B4364C"/>
    <w:rsid w:val="00B445FD"/>
    <w:rsid w:val="00B459C1"/>
    <w:rsid w:val="00B526BE"/>
    <w:rsid w:val="00B617A6"/>
    <w:rsid w:val="00B6278A"/>
    <w:rsid w:val="00B65545"/>
    <w:rsid w:val="00B71548"/>
    <w:rsid w:val="00B77C92"/>
    <w:rsid w:val="00B84657"/>
    <w:rsid w:val="00B870A2"/>
    <w:rsid w:val="00B90B7B"/>
    <w:rsid w:val="00B91C1F"/>
    <w:rsid w:val="00B97315"/>
    <w:rsid w:val="00BA104C"/>
    <w:rsid w:val="00BA1F98"/>
    <w:rsid w:val="00BA26CC"/>
    <w:rsid w:val="00BA5A17"/>
    <w:rsid w:val="00BB1CA1"/>
    <w:rsid w:val="00BB579F"/>
    <w:rsid w:val="00BC08D9"/>
    <w:rsid w:val="00BC2D72"/>
    <w:rsid w:val="00BC5AD1"/>
    <w:rsid w:val="00BD0B2C"/>
    <w:rsid w:val="00BD726D"/>
    <w:rsid w:val="00BE3415"/>
    <w:rsid w:val="00BE357C"/>
    <w:rsid w:val="00BE4FC2"/>
    <w:rsid w:val="00BE53C8"/>
    <w:rsid w:val="00BE7E4A"/>
    <w:rsid w:val="00BE7F55"/>
    <w:rsid w:val="00BF3AD4"/>
    <w:rsid w:val="00C001AD"/>
    <w:rsid w:val="00C02A2F"/>
    <w:rsid w:val="00C05DC0"/>
    <w:rsid w:val="00C1057C"/>
    <w:rsid w:val="00C1096B"/>
    <w:rsid w:val="00C11352"/>
    <w:rsid w:val="00C143A2"/>
    <w:rsid w:val="00C15E1C"/>
    <w:rsid w:val="00C16EA6"/>
    <w:rsid w:val="00C17C03"/>
    <w:rsid w:val="00C2313D"/>
    <w:rsid w:val="00C2577A"/>
    <w:rsid w:val="00C25A8B"/>
    <w:rsid w:val="00C27030"/>
    <w:rsid w:val="00C27071"/>
    <w:rsid w:val="00C3053D"/>
    <w:rsid w:val="00C31D01"/>
    <w:rsid w:val="00C33922"/>
    <w:rsid w:val="00C3699E"/>
    <w:rsid w:val="00C37FE9"/>
    <w:rsid w:val="00C405A6"/>
    <w:rsid w:val="00C51B4E"/>
    <w:rsid w:val="00C52327"/>
    <w:rsid w:val="00C52F85"/>
    <w:rsid w:val="00C53CC9"/>
    <w:rsid w:val="00C5628B"/>
    <w:rsid w:val="00C61D40"/>
    <w:rsid w:val="00C62E86"/>
    <w:rsid w:val="00C65123"/>
    <w:rsid w:val="00C6552E"/>
    <w:rsid w:val="00C67040"/>
    <w:rsid w:val="00C67AFA"/>
    <w:rsid w:val="00C70D2C"/>
    <w:rsid w:val="00C76706"/>
    <w:rsid w:val="00C770D9"/>
    <w:rsid w:val="00C778CF"/>
    <w:rsid w:val="00C84923"/>
    <w:rsid w:val="00C85F97"/>
    <w:rsid w:val="00C86BDA"/>
    <w:rsid w:val="00C9017B"/>
    <w:rsid w:val="00C90426"/>
    <w:rsid w:val="00C94089"/>
    <w:rsid w:val="00C95D3F"/>
    <w:rsid w:val="00C975D4"/>
    <w:rsid w:val="00CA02F3"/>
    <w:rsid w:val="00CA5C0D"/>
    <w:rsid w:val="00CB7679"/>
    <w:rsid w:val="00CC2282"/>
    <w:rsid w:val="00CC73F8"/>
    <w:rsid w:val="00CC7D4F"/>
    <w:rsid w:val="00CD11E1"/>
    <w:rsid w:val="00CD13D4"/>
    <w:rsid w:val="00CD1469"/>
    <w:rsid w:val="00CD2D07"/>
    <w:rsid w:val="00CD594F"/>
    <w:rsid w:val="00CD6DAB"/>
    <w:rsid w:val="00CD6FCD"/>
    <w:rsid w:val="00CE0BA4"/>
    <w:rsid w:val="00CE250E"/>
    <w:rsid w:val="00CE2C40"/>
    <w:rsid w:val="00CE3384"/>
    <w:rsid w:val="00CE34AC"/>
    <w:rsid w:val="00CE37D3"/>
    <w:rsid w:val="00CE5C39"/>
    <w:rsid w:val="00CE6762"/>
    <w:rsid w:val="00CF557A"/>
    <w:rsid w:val="00CF7D5E"/>
    <w:rsid w:val="00D00614"/>
    <w:rsid w:val="00D01A6D"/>
    <w:rsid w:val="00D03ED0"/>
    <w:rsid w:val="00D06E3C"/>
    <w:rsid w:val="00D121F1"/>
    <w:rsid w:val="00D12AA4"/>
    <w:rsid w:val="00D131C8"/>
    <w:rsid w:val="00D135A7"/>
    <w:rsid w:val="00D1511E"/>
    <w:rsid w:val="00D165F7"/>
    <w:rsid w:val="00D23E93"/>
    <w:rsid w:val="00D24C42"/>
    <w:rsid w:val="00D4088D"/>
    <w:rsid w:val="00D44476"/>
    <w:rsid w:val="00D53395"/>
    <w:rsid w:val="00D54796"/>
    <w:rsid w:val="00D56408"/>
    <w:rsid w:val="00D614AB"/>
    <w:rsid w:val="00D617EF"/>
    <w:rsid w:val="00D61905"/>
    <w:rsid w:val="00D61F05"/>
    <w:rsid w:val="00D625E3"/>
    <w:rsid w:val="00D63440"/>
    <w:rsid w:val="00D66287"/>
    <w:rsid w:val="00D66C06"/>
    <w:rsid w:val="00D70DBB"/>
    <w:rsid w:val="00D73111"/>
    <w:rsid w:val="00D76F73"/>
    <w:rsid w:val="00D76FD0"/>
    <w:rsid w:val="00D8013B"/>
    <w:rsid w:val="00D80C3B"/>
    <w:rsid w:val="00D8111F"/>
    <w:rsid w:val="00D9145C"/>
    <w:rsid w:val="00D95333"/>
    <w:rsid w:val="00D97443"/>
    <w:rsid w:val="00DA062E"/>
    <w:rsid w:val="00DA2075"/>
    <w:rsid w:val="00DA25AE"/>
    <w:rsid w:val="00DA2972"/>
    <w:rsid w:val="00DA2C95"/>
    <w:rsid w:val="00DA3DFE"/>
    <w:rsid w:val="00DA742E"/>
    <w:rsid w:val="00DB385D"/>
    <w:rsid w:val="00DB6766"/>
    <w:rsid w:val="00DC3572"/>
    <w:rsid w:val="00DC562B"/>
    <w:rsid w:val="00DC60CA"/>
    <w:rsid w:val="00DC7FB7"/>
    <w:rsid w:val="00DD3292"/>
    <w:rsid w:val="00DD625F"/>
    <w:rsid w:val="00DD6FA4"/>
    <w:rsid w:val="00DE1411"/>
    <w:rsid w:val="00DF3536"/>
    <w:rsid w:val="00DF38AC"/>
    <w:rsid w:val="00E00216"/>
    <w:rsid w:val="00E016FF"/>
    <w:rsid w:val="00E01AB3"/>
    <w:rsid w:val="00E01B34"/>
    <w:rsid w:val="00E0238A"/>
    <w:rsid w:val="00E05739"/>
    <w:rsid w:val="00E0614A"/>
    <w:rsid w:val="00E07D36"/>
    <w:rsid w:val="00E07EAF"/>
    <w:rsid w:val="00E11BFD"/>
    <w:rsid w:val="00E147EB"/>
    <w:rsid w:val="00E16643"/>
    <w:rsid w:val="00E240FA"/>
    <w:rsid w:val="00E27716"/>
    <w:rsid w:val="00E27C12"/>
    <w:rsid w:val="00E3230B"/>
    <w:rsid w:val="00E34E71"/>
    <w:rsid w:val="00E4118F"/>
    <w:rsid w:val="00E412EC"/>
    <w:rsid w:val="00E4199C"/>
    <w:rsid w:val="00E41B54"/>
    <w:rsid w:val="00E43B8F"/>
    <w:rsid w:val="00E43D8A"/>
    <w:rsid w:val="00E4403D"/>
    <w:rsid w:val="00E45665"/>
    <w:rsid w:val="00E4623D"/>
    <w:rsid w:val="00E50396"/>
    <w:rsid w:val="00E52EB2"/>
    <w:rsid w:val="00E558E5"/>
    <w:rsid w:val="00E62203"/>
    <w:rsid w:val="00E65190"/>
    <w:rsid w:val="00E65D41"/>
    <w:rsid w:val="00E72342"/>
    <w:rsid w:val="00E73FC2"/>
    <w:rsid w:val="00E760EF"/>
    <w:rsid w:val="00E76F6D"/>
    <w:rsid w:val="00E80704"/>
    <w:rsid w:val="00E82E86"/>
    <w:rsid w:val="00E839C4"/>
    <w:rsid w:val="00E9022F"/>
    <w:rsid w:val="00E92BAA"/>
    <w:rsid w:val="00E942A9"/>
    <w:rsid w:val="00EA09CA"/>
    <w:rsid w:val="00EA364A"/>
    <w:rsid w:val="00EA683B"/>
    <w:rsid w:val="00EB123B"/>
    <w:rsid w:val="00EB154A"/>
    <w:rsid w:val="00EB1E80"/>
    <w:rsid w:val="00EC0BC9"/>
    <w:rsid w:val="00EC1EB3"/>
    <w:rsid w:val="00EC2B0C"/>
    <w:rsid w:val="00EC4BCF"/>
    <w:rsid w:val="00EC58E2"/>
    <w:rsid w:val="00ED229F"/>
    <w:rsid w:val="00ED2E75"/>
    <w:rsid w:val="00ED3AD3"/>
    <w:rsid w:val="00ED561C"/>
    <w:rsid w:val="00ED5D04"/>
    <w:rsid w:val="00ED602F"/>
    <w:rsid w:val="00ED6300"/>
    <w:rsid w:val="00ED6579"/>
    <w:rsid w:val="00ED7CED"/>
    <w:rsid w:val="00EE19DC"/>
    <w:rsid w:val="00EE4EB5"/>
    <w:rsid w:val="00EF2830"/>
    <w:rsid w:val="00EF3535"/>
    <w:rsid w:val="00EF407B"/>
    <w:rsid w:val="00EF4637"/>
    <w:rsid w:val="00EF727A"/>
    <w:rsid w:val="00F006A5"/>
    <w:rsid w:val="00F02577"/>
    <w:rsid w:val="00F02B1B"/>
    <w:rsid w:val="00F07D82"/>
    <w:rsid w:val="00F13408"/>
    <w:rsid w:val="00F14388"/>
    <w:rsid w:val="00F14D6C"/>
    <w:rsid w:val="00F174AD"/>
    <w:rsid w:val="00F266A9"/>
    <w:rsid w:val="00F26A69"/>
    <w:rsid w:val="00F304B3"/>
    <w:rsid w:val="00F313B1"/>
    <w:rsid w:val="00F41192"/>
    <w:rsid w:val="00F432B8"/>
    <w:rsid w:val="00F50184"/>
    <w:rsid w:val="00F518B6"/>
    <w:rsid w:val="00F5199C"/>
    <w:rsid w:val="00F51DD0"/>
    <w:rsid w:val="00F57E32"/>
    <w:rsid w:val="00F61E67"/>
    <w:rsid w:val="00F62976"/>
    <w:rsid w:val="00F6386A"/>
    <w:rsid w:val="00F652CB"/>
    <w:rsid w:val="00F70CAD"/>
    <w:rsid w:val="00F77180"/>
    <w:rsid w:val="00F77ADE"/>
    <w:rsid w:val="00F80B20"/>
    <w:rsid w:val="00F83F76"/>
    <w:rsid w:val="00F84F3C"/>
    <w:rsid w:val="00F86641"/>
    <w:rsid w:val="00F86B37"/>
    <w:rsid w:val="00F87126"/>
    <w:rsid w:val="00F90BF1"/>
    <w:rsid w:val="00F926EF"/>
    <w:rsid w:val="00F93C6F"/>
    <w:rsid w:val="00F94838"/>
    <w:rsid w:val="00F9543A"/>
    <w:rsid w:val="00F963C2"/>
    <w:rsid w:val="00F976DD"/>
    <w:rsid w:val="00F97A2A"/>
    <w:rsid w:val="00FA21C8"/>
    <w:rsid w:val="00FA41CC"/>
    <w:rsid w:val="00FA42E8"/>
    <w:rsid w:val="00FA6E45"/>
    <w:rsid w:val="00FB0164"/>
    <w:rsid w:val="00FB1C52"/>
    <w:rsid w:val="00FB31B2"/>
    <w:rsid w:val="00FB48E2"/>
    <w:rsid w:val="00FB502E"/>
    <w:rsid w:val="00FB59A0"/>
    <w:rsid w:val="00FB5CA2"/>
    <w:rsid w:val="00FB7C25"/>
    <w:rsid w:val="00FB7EDE"/>
    <w:rsid w:val="00FC1DF8"/>
    <w:rsid w:val="00FC2BE3"/>
    <w:rsid w:val="00FC2C48"/>
    <w:rsid w:val="00FC6C45"/>
    <w:rsid w:val="00FD159C"/>
    <w:rsid w:val="00FD1898"/>
    <w:rsid w:val="00FD2DCB"/>
    <w:rsid w:val="00FD614B"/>
    <w:rsid w:val="00FE124D"/>
    <w:rsid w:val="00FE48E8"/>
    <w:rsid w:val="00FF334D"/>
    <w:rsid w:val="00FF379A"/>
    <w:rsid w:val="00FF4EBA"/>
    <w:rsid w:val="00FF6794"/>
    <w:rsid w:val="00FF6ABD"/>
    <w:rsid w:val="160A712A"/>
    <w:rsid w:val="1A568DDF"/>
    <w:rsid w:val="5044FE16"/>
    <w:rsid w:val="60A5E557"/>
    <w:rsid w:val="7045864C"/>
    <w:rsid w:val="718D791D"/>
    <w:rsid w:val="78905B0D"/>
    <w:rsid w:val="7F9E91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0F8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2"/>
    <w:lsdException w:name="heading 2" w:semiHidden="1" w:uiPriority="3" w:unhideWhenUsed="1"/>
    <w:lsdException w:name="heading 3" w:semiHidden="1" w:uiPriority="3" w:unhideWhenUsed="1"/>
    <w:lsdException w:name="heading 4" w:semiHidden="1" w:uiPriority="3" w:unhideWhenUsed="1"/>
    <w:lsdException w:name="heading 5" w:semiHidden="1" w:uiPriority="10" w:unhideWhenUsed="1"/>
    <w:lsdException w:name="heading 6" w:semiHidden="1" w:uiPriority="12" w:unhideWhenUsed="1"/>
    <w:lsdException w:name="heading 7" w:semiHidden="1" w:uiPriority="12" w:unhideWhenUsed="1"/>
    <w:lsdException w:name="heading 8" w:semiHidden="1" w:uiPriority="7" w:unhideWhenUsed="1"/>
    <w:lsdException w:name="heading 9" w:semiHidden="1" w:uiPriority="1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4"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Grid" w:uiPriority="39"/>
    <w:lsdException w:name="Table Theme" w:semiHidden="1" w:unhideWhenUsed="1"/>
    <w:lsdException w:name="Placeholder Text" w:semiHidden="1"/>
    <w:lsdException w:name="No Spacing"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42"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AD4"/>
    <w:pPr>
      <w:jc w:val="both"/>
    </w:pPr>
    <w:rPr>
      <w:rFonts w:ascii="Calibri" w:eastAsiaTheme="minorHAnsi" w:hAnsi="Calibri" w:cstheme="minorBidi"/>
      <w:sz w:val="24"/>
      <w:szCs w:val="24"/>
    </w:rPr>
  </w:style>
  <w:style w:type="paragraph" w:styleId="Heading1">
    <w:name w:val="heading 1"/>
    <w:basedOn w:val="Normal"/>
    <w:next w:val="Normal"/>
    <w:link w:val="Heading1Char"/>
    <w:uiPriority w:val="2"/>
    <w:rsid w:val="003627AF"/>
    <w:pPr>
      <w:keepNext/>
      <w:keepLines/>
      <w:numPr>
        <w:numId w:val="2"/>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3-BodyText"/>
    <w:link w:val="Heading2Char"/>
    <w:uiPriority w:val="3"/>
    <w:rsid w:val="00997B61"/>
    <w:pPr>
      <w:keepNext/>
      <w:spacing w:line="360" w:lineRule="auto"/>
      <w:outlineLvl w:val="1"/>
    </w:pPr>
    <w:rPr>
      <w:rFonts w:asciiTheme="minorHAnsi" w:eastAsiaTheme="majorEastAsia" w:hAnsiTheme="minorHAnsi" w:cstheme="majorBidi"/>
      <w:i/>
      <w:spacing w:val="5"/>
      <w:kern w:val="28"/>
      <w:sz w:val="28"/>
      <w:szCs w:val="36"/>
    </w:rPr>
  </w:style>
  <w:style w:type="paragraph" w:styleId="Heading3">
    <w:name w:val="heading 3"/>
    <w:basedOn w:val="Normal"/>
    <w:next w:val="Normal"/>
    <w:link w:val="Heading3Char"/>
    <w:uiPriority w:val="3"/>
    <w:unhideWhenUsed/>
    <w:rsid w:val="003627AF"/>
    <w:pPr>
      <w:keepNext/>
      <w:keepLines/>
      <w:numPr>
        <w:ilvl w:val="2"/>
        <w:numId w:val="2"/>
      </w:numPr>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3"/>
    <w:unhideWhenUsed/>
    <w:rsid w:val="00314EFE"/>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aliases w:val="Heading 2 - Body"/>
    <w:basedOn w:val="Heading2"/>
    <w:next w:val="Normal"/>
    <w:link w:val="Heading5Char"/>
    <w:uiPriority w:val="10"/>
    <w:semiHidden/>
    <w:rsid w:val="00F50184"/>
    <w:pPr>
      <w:keepLines/>
      <w:spacing w:before="360" w:after="120" w:line="240" w:lineRule="auto"/>
      <w:jc w:val="left"/>
      <w:outlineLvl w:val="4"/>
    </w:pPr>
    <w:rPr>
      <w:rFonts w:ascii="Arial" w:hAnsi="Arial"/>
      <w:b/>
      <w:snapToGrid w:val="0"/>
      <w:spacing w:val="0"/>
      <w:kern w:val="0"/>
      <w:szCs w:val="28"/>
    </w:rPr>
  </w:style>
  <w:style w:type="paragraph" w:styleId="Heading6">
    <w:name w:val="heading 6"/>
    <w:aliases w:val="Heading 3 - Body"/>
    <w:basedOn w:val="Heading3"/>
    <w:next w:val="Normal"/>
    <w:link w:val="Heading6Char"/>
    <w:uiPriority w:val="12"/>
    <w:semiHidden/>
    <w:rsid w:val="00F50184"/>
    <w:pPr>
      <w:numPr>
        <w:ilvl w:val="5"/>
      </w:numPr>
      <w:spacing w:before="120" w:after="120"/>
      <w:ind w:left="0" w:firstLine="0"/>
      <w:outlineLvl w:val="5"/>
    </w:pPr>
    <w:rPr>
      <w:rFonts w:asciiTheme="minorHAnsi" w:hAnsiTheme="minorHAnsi"/>
      <w:b/>
      <w:color w:val="auto"/>
      <w:szCs w:val="28"/>
    </w:rPr>
  </w:style>
  <w:style w:type="paragraph" w:styleId="Heading7">
    <w:name w:val="heading 7"/>
    <w:basedOn w:val="Heading1"/>
    <w:next w:val="Normal"/>
    <w:link w:val="Heading7Char"/>
    <w:uiPriority w:val="12"/>
    <w:semiHidden/>
    <w:rsid w:val="00F50184"/>
    <w:pPr>
      <w:numPr>
        <w:numId w:val="0"/>
      </w:numPr>
      <w:spacing w:before="120" w:after="120" w:line="259" w:lineRule="auto"/>
      <w:ind w:left="1296" w:hanging="1296"/>
      <w:jc w:val="left"/>
      <w:outlineLvl w:val="6"/>
    </w:pPr>
    <w:rPr>
      <w:rFonts w:asciiTheme="minorHAnsi" w:hAnsiTheme="minorHAnsi"/>
      <w:b/>
      <w:i/>
      <w:color w:val="auto"/>
      <w:sz w:val="24"/>
      <w:szCs w:val="24"/>
    </w:rPr>
  </w:style>
  <w:style w:type="paragraph" w:styleId="Heading8">
    <w:name w:val="heading 8"/>
    <w:basedOn w:val="Normal"/>
    <w:next w:val="Normal"/>
    <w:link w:val="Heading8Char"/>
    <w:uiPriority w:val="7"/>
    <w:unhideWhenUsed/>
    <w:rsid w:val="003627A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12"/>
    <w:unhideWhenUsed/>
    <w:rsid w:val="003627AF"/>
    <w:pPr>
      <w:numPr>
        <w:ilvl w:val="8"/>
      </w:numPr>
      <w:spacing w:before="40"/>
      <w:outlineLvl w:val="8"/>
    </w:pPr>
    <w:rPr>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link w:val="TableTextChar"/>
    <w:qFormat/>
    <w:rsid w:val="00F50184"/>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F50184"/>
    <w:rPr>
      <w:rFonts w:ascii="Arial Narrow" w:eastAsiaTheme="majorEastAsia" w:hAnsi="Arial Narrow" w:cstheme="majorBidi"/>
      <w:bCs/>
      <w:szCs w:val="24"/>
    </w:rPr>
  </w:style>
  <w:style w:type="paragraph" w:customStyle="1" w:styleId="GeneralHeading">
    <w:name w:val="General Heading"/>
    <w:qFormat/>
    <w:rsid w:val="00F50184"/>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F50184"/>
    <w:pPr>
      <w:keepNext/>
    </w:pPr>
    <w:rPr>
      <w:rFonts w:ascii="Arial Narrow" w:eastAsiaTheme="majorEastAsia" w:hAnsi="Arial Narrow"/>
      <w:b/>
      <w:szCs w:val="24"/>
      <w:lang w:val="en-US"/>
    </w:rPr>
  </w:style>
  <w:style w:type="paragraph" w:customStyle="1" w:styleId="2-SectionHeading">
    <w:name w:val="2-Section Heading"/>
    <w:next w:val="3-BodyText"/>
    <w:qFormat/>
    <w:rsid w:val="00F50184"/>
    <w:pPr>
      <w:keepNext/>
      <w:numPr>
        <w:numId w:val="26"/>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F50184"/>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F50184"/>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F50184"/>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F50184"/>
    <w:rPr>
      <w:rFonts w:ascii="Arial Narrow" w:eastAsiaTheme="majorEastAsia" w:hAnsi="Arial Narrow" w:cstheme="majorBidi"/>
      <w:b/>
      <w:bCs/>
      <w:szCs w:val="24"/>
    </w:rPr>
  </w:style>
  <w:style w:type="paragraph" w:customStyle="1" w:styleId="3-BodyText">
    <w:name w:val="3-Body Text"/>
    <w:link w:val="3-BodyTextChar"/>
    <w:qFormat/>
    <w:rsid w:val="00F50184"/>
    <w:pPr>
      <w:numPr>
        <w:ilvl w:val="1"/>
        <w:numId w:val="26"/>
      </w:numPr>
      <w:spacing w:before="60" w:after="6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F50184"/>
    <w:rPr>
      <w:rFonts w:asciiTheme="minorHAnsi" w:eastAsiaTheme="minorHAnsi" w:hAnsiTheme="minorHAnsi" w:cstheme="minorBidi"/>
      <w:snapToGrid/>
      <w:sz w:val="24"/>
      <w:szCs w:val="22"/>
    </w:rPr>
  </w:style>
  <w:style w:type="paragraph" w:styleId="ListParagraph">
    <w:name w:val="List Paragraph"/>
    <w:aliases w:val="Body Text Bullet Points,PBAC ES Paragraph,Numbered para,BulletPoints,List Paragraph1,Bullet point,List Paragraph11,Recommendation,Section heading,Footnote,Styl moj,Akapit z listą11,ES Paragraph,PBAC normal points,Bullet List,Figure_name,l"/>
    <w:link w:val="ListParagraphChar"/>
    <w:uiPriority w:val="34"/>
    <w:qFormat/>
    <w:rsid w:val="00F50184"/>
    <w:pPr>
      <w:spacing w:after="120"/>
    </w:pPr>
    <w:rPr>
      <w:rFonts w:asciiTheme="minorHAnsi" w:hAnsiTheme="minorHAnsi" w:cs="Arial"/>
      <w:snapToGrid w:val="0"/>
      <w:sz w:val="24"/>
      <w:szCs w:val="24"/>
    </w:rPr>
  </w:style>
  <w:style w:type="paragraph" w:customStyle="1" w:styleId="PageFooter">
    <w:name w:val="Page Footer"/>
    <w:basedOn w:val="Normal"/>
    <w:link w:val="PageFooterChar"/>
    <w:qFormat/>
    <w:rsid w:val="00F50184"/>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F50184"/>
    <w:rPr>
      <w:rFonts w:ascii="Calibri" w:eastAsiaTheme="minorHAnsi" w:hAnsi="Calibri" w:cs="Arial"/>
      <w:b/>
      <w:sz w:val="24"/>
      <w:szCs w:val="24"/>
    </w:rPr>
  </w:style>
  <w:style w:type="paragraph" w:customStyle="1" w:styleId="TableFigureFooter">
    <w:name w:val="Table/Figure Footer"/>
    <w:basedOn w:val="Normal"/>
    <w:next w:val="3-BodyText"/>
    <w:link w:val="TableFigureFooterChar"/>
    <w:qFormat/>
    <w:rsid w:val="00F50184"/>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F50184"/>
    <w:rPr>
      <w:rFonts w:ascii="Arial Narrow" w:eastAsiaTheme="minorHAnsi" w:hAnsi="Arial Narrow" w:cs="Arial"/>
      <w:snapToGrid w:val="0"/>
      <w:sz w:val="18"/>
      <w:szCs w:val="22"/>
    </w:rPr>
  </w:style>
  <w:style w:type="character" w:customStyle="1" w:styleId="Heading2Char">
    <w:name w:val="Heading 2 Char"/>
    <w:basedOn w:val="DefaultParagraphFont"/>
    <w:link w:val="Heading2"/>
    <w:uiPriority w:val="3"/>
    <w:rsid w:val="00997B61"/>
    <w:rPr>
      <w:rFonts w:asciiTheme="minorHAnsi" w:eastAsiaTheme="majorEastAsia" w:hAnsiTheme="minorHAnsi" w:cstheme="majorBidi"/>
      <w:i/>
      <w:spacing w:val="5"/>
      <w:kern w:val="28"/>
      <w:sz w:val="28"/>
      <w:szCs w:val="36"/>
    </w:rPr>
  </w:style>
  <w:style w:type="character" w:customStyle="1" w:styleId="Heading8Char">
    <w:name w:val="Heading 8 Char"/>
    <w:basedOn w:val="DefaultParagraphFont"/>
    <w:link w:val="Heading8"/>
    <w:uiPriority w:val="7"/>
    <w:rsid w:val="003627AF"/>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12"/>
    <w:rsid w:val="003627AF"/>
    <w:rPr>
      <w:rFonts w:asciiTheme="majorHAnsi" w:eastAsiaTheme="majorEastAsia" w:hAnsiTheme="majorHAnsi" w:cstheme="majorBidi"/>
      <w:i/>
      <w:iCs/>
      <w:color w:val="272727" w:themeColor="text1" w:themeTint="D8"/>
      <w:sz w:val="21"/>
      <w:szCs w:val="21"/>
    </w:rPr>
  </w:style>
  <w:style w:type="character" w:customStyle="1" w:styleId="Heading1Char">
    <w:name w:val="Heading 1 Char"/>
    <w:basedOn w:val="DefaultParagraphFont"/>
    <w:link w:val="Heading1"/>
    <w:uiPriority w:val="2"/>
    <w:rsid w:val="003627A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3"/>
    <w:rsid w:val="003627AF"/>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aliases w:val="Body Text Bullet Points Char,PBAC ES Paragraph Char,Numbered para Char,BulletPoints Char,List Paragraph1 Char,Bullet point Char,List Paragraph11 Char,Recommendation Char,Section heading Char,Footnote Char,Styl moj Char,l Char"/>
    <w:basedOn w:val="DefaultParagraphFont"/>
    <w:link w:val="ListParagraph"/>
    <w:uiPriority w:val="34"/>
    <w:qFormat/>
    <w:locked/>
    <w:rsid w:val="00F50184"/>
    <w:rPr>
      <w:rFonts w:asciiTheme="minorHAnsi" w:hAnsiTheme="minorHAnsi" w:cs="Arial"/>
      <w:snapToGrid w:val="0"/>
      <w:sz w:val="24"/>
      <w:szCs w:val="24"/>
    </w:rPr>
  </w:style>
  <w:style w:type="paragraph" w:styleId="TOCHeading">
    <w:name w:val="TOC Heading"/>
    <w:basedOn w:val="Heading1"/>
    <w:next w:val="Normal"/>
    <w:uiPriority w:val="42"/>
    <w:semiHidden/>
    <w:unhideWhenUsed/>
    <w:rsid w:val="003627AF"/>
    <w:pPr>
      <w:outlineLvl w:val="9"/>
    </w:pPr>
  </w:style>
  <w:style w:type="paragraph" w:customStyle="1" w:styleId="PageHeader">
    <w:name w:val="Page Header"/>
    <w:basedOn w:val="Normal"/>
    <w:link w:val="PageHeaderChar"/>
    <w:qFormat/>
    <w:rsid w:val="00F50184"/>
    <w:pPr>
      <w:keepNext/>
      <w:tabs>
        <w:tab w:val="center" w:pos="4513"/>
        <w:tab w:val="right" w:pos="9026"/>
      </w:tabs>
      <w:jc w:val="center"/>
    </w:pPr>
    <w:rPr>
      <w:i/>
      <w:iCs/>
    </w:rPr>
  </w:style>
  <w:style w:type="paragraph" w:customStyle="1" w:styleId="4-SubsectionHeading">
    <w:name w:val="4-Subsection Heading"/>
    <w:basedOn w:val="Heading2"/>
    <w:next w:val="3-BodyText"/>
    <w:link w:val="4-SubsectionHeadingChar"/>
    <w:qFormat/>
    <w:rsid w:val="00F50184"/>
    <w:pPr>
      <w:spacing w:before="120" w:after="120" w:line="240" w:lineRule="auto"/>
    </w:pPr>
    <w:rPr>
      <w:b/>
    </w:rPr>
  </w:style>
  <w:style w:type="table" w:styleId="TableGrid">
    <w:name w:val="Table Grid"/>
    <w:aliases w:val="Summary box,Table Gridbeth,CMA Table Template,ASD Table,MSD Table Grid,RTI AMCP Table,new style,PBAC table,Legemiddelverket 3"/>
    <w:basedOn w:val="TableNormal"/>
    <w:uiPriority w:val="39"/>
    <w:rsid w:val="00B27B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3"/>
    <w:rsid w:val="00314EFE"/>
    <w:rPr>
      <w:rFonts w:asciiTheme="majorHAnsi" w:eastAsiaTheme="majorEastAsia" w:hAnsiTheme="majorHAnsi" w:cstheme="majorBidi"/>
      <w:i/>
      <w:iCs/>
      <w:color w:val="2E74B5" w:themeColor="accent1" w:themeShade="BF"/>
      <w:sz w:val="24"/>
      <w:szCs w:val="24"/>
    </w:rPr>
  </w:style>
  <w:style w:type="character" w:customStyle="1" w:styleId="PageHeaderChar">
    <w:name w:val="Page Header Char"/>
    <w:basedOn w:val="DefaultParagraphFont"/>
    <w:link w:val="PageHeader"/>
    <w:rsid w:val="00F50184"/>
    <w:rPr>
      <w:rFonts w:ascii="Calibri" w:eastAsiaTheme="minorHAnsi" w:hAnsi="Calibri" w:cstheme="minorBidi"/>
      <w:i/>
      <w:iCs/>
      <w:sz w:val="24"/>
      <w:szCs w:val="24"/>
    </w:rPr>
  </w:style>
  <w:style w:type="paragraph" w:customStyle="1" w:styleId="5-SubsectionSubheading">
    <w:name w:val="5-Subsection Subheading"/>
    <w:basedOn w:val="Heading3"/>
    <w:next w:val="3-BodyText"/>
    <w:link w:val="5-SubsectionSubheadingChar"/>
    <w:qFormat/>
    <w:rsid w:val="00F50184"/>
    <w:pPr>
      <w:numPr>
        <w:ilvl w:val="0"/>
        <w:numId w:val="0"/>
      </w:numPr>
    </w:pPr>
    <w:rPr>
      <w:rFonts w:asciiTheme="minorHAnsi" w:hAnsiTheme="minorHAnsi"/>
      <w:b/>
      <w:color w:val="000000" w:themeColor="text1"/>
    </w:rPr>
  </w:style>
  <w:style w:type="character" w:customStyle="1" w:styleId="4-SubsectionHeadingChar">
    <w:name w:val="4-Subsection Heading Char"/>
    <w:basedOn w:val="Heading2Char"/>
    <w:link w:val="4-SubsectionHeading"/>
    <w:rsid w:val="00F50184"/>
    <w:rPr>
      <w:rFonts w:asciiTheme="minorHAnsi" w:eastAsiaTheme="majorEastAsia" w:hAnsiTheme="minorHAnsi" w:cstheme="majorBidi"/>
      <w:b/>
      <w:i/>
      <w:spacing w:val="5"/>
      <w:kern w:val="28"/>
      <w:sz w:val="28"/>
      <w:szCs w:val="36"/>
    </w:rPr>
  </w:style>
  <w:style w:type="character" w:customStyle="1" w:styleId="5-SubsectionSubheadingChar">
    <w:name w:val="5-Subsection Subheading Char"/>
    <w:basedOn w:val="Heading3Char"/>
    <w:link w:val="5-SubsectionSubheading"/>
    <w:rsid w:val="00F50184"/>
    <w:rPr>
      <w:rFonts w:asciiTheme="minorHAnsi" w:eastAsiaTheme="majorEastAsia" w:hAnsiTheme="minorHAnsi" w:cstheme="majorBidi"/>
      <w:b/>
      <w:color w:val="000000" w:themeColor="text1"/>
      <w:sz w:val="24"/>
      <w:szCs w:val="24"/>
    </w:rPr>
  </w:style>
  <w:style w:type="paragraph" w:styleId="Header">
    <w:name w:val="header"/>
    <w:aliases w:val="Header title,he=header,cntr/bld,AG Header"/>
    <w:basedOn w:val="Normal"/>
    <w:link w:val="HeaderChar"/>
    <w:uiPriority w:val="99"/>
    <w:unhideWhenUsed/>
    <w:rsid w:val="00DB6766"/>
    <w:pPr>
      <w:tabs>
        <w:tab w:val="center" w:pos="4513"/>
        <w:tab w:val="right" w:pos="9026"/>
      </w:tabs>
    </w:pPr>
  </w:style>
  <w:style w:type="character" w:customStyle="1" w:styleId="HeaderChar">
    <w:name w:val="Header Char"/>
    <w:aliases w:val="Header title Char,he=header Char,cntr/bld Char,AG Header Char"/>
    <w:basedOn w:val="DefaultParagraphFont"/>
    <w:link w:val="Header"/>
    <w:uiPriority w:val="99"/>
    <w:rsid w:val="00DB6766"/>
    <w:rPr>
      <w:rFonts w:ascii="Calibri" w:hAnsi="Calibri"/>
      <w:sz w:val="24"/>
      <w:szCs w:val="24"/>
    </w:rPr>
  </w:style>
  <w:style w:type="paragraph" w:styleId="Footer">
    <w:name w:val="footer"/>
    <w:basedOn w:val="Normal"/>
    <w:link w:val="FooterChar"/>
    <w:uiPriority w:val="99"/>
    <w:unhideWhenUsed/>
    <w:rsid w:val="00DB6766"/>
    <w:pPr>
      <w:tabs>
        <w:tab w:val="center" w:pos="4513"/>
        <w:tab w:val="right" w:pos="9026"/>
      </w:tabs>
    </w:pPr>
  </w:style>
  <w:style w:type="character" w:customStyle="1" w:styleId="FooterChar">
    <w:name w:val="Footer Char"/>
    <w:basedOn w:val="DefaultParagraphFont"/>
    <w:link w:val="Footer"/>
    <w:uiPriority w:val="99"/>
    <w:rsid w:val="00DB6766"/>
    <w:rPr>
      <w:rFonts w:ascii="Calibri" w:hAnsi="Calibri"/>
      <w:sz w:val="24"/>
      <w:szCs w:val="24"/>
    </w:rPr>
  </w:style>
  <w:style w:type="character" w:styleId="CommentReference">
    <w:name w:val="annotation reference"/>
    <w:aliases w:val="Table Title,-H18"/>
    <w:basedOn w:val="DefaultParagraphFont"/>
    <w:uiPriority w:val="99"/>
    <w:unhideWhenUsed/>
    <w:qFormat/>
    <w:rsid w:val="00A05EF8"/>
    <w:rPr>
      <w:sz w:val="16"/>
      <w:szCs w:val="16"/>
    </w:rPr>
  </w:style>
  <w:style w:type="paragraph" w:styleId="CommentText">
    <w:name w:val="annotation text"/>
    <w:basedOn w:val="Normal"/>
    <w:link w:val="CommentTextChar"/>
    <w:unhideWhenUsed/>
    <w:rsid w:val="00A05EF8"/>
    <w:rPr>
      <w:sz w:val="20"/>
      <w:szCs w:val="20"/>
    </w:rPr>
  </w:style>
  <w:style w:type="character" w:customStyle="1" w:styleId="CommentTextChar">
    <w:name w:val="Comment Text Char"/>
    <w:basedOn w:val="DefaultParagraphFont"/>
    <w:link w:val="CommentText"/>
    <w:rsid w:val="00A05EF8"/>
    <w:rPr>
      <w:rFonts w:ascii="Calibri" w:hAnsi="Calibri"/>
    </w:rPr>
  </w:style>
  <w:style w:type="paragraph" w:styleId="CommentSubject">
    <w:name w:val="annotation subject"/>
    <w:basedOn w:val="CommentText"/>
    <w:next w:val="CommentText"/>
    <w:link w:val="CommentSubjectChar"/>
    <w:uiPriority w:val="99"/>
    <w:semiHidden/>
    <w:unhideWhenUsed/>
    <w:rsid w:val="00A05EF8"/>
    <w:rPr>
      <w:b/>
      <w:bCs/>
    </w:rPr>
  </w:style>
  <w:style w:type="character" w:customStyle="1" w:styleId="CommentSubjectChar">
    <w:name w:val="Comment Subject Char"/>
    <w:basedOn w:val="CommentTextChar"/>
    <w:link w:val="CommentSubject"/>
    <w:uiPriority w:val="99"/>
    <w:semiHidden/>
    <w:rsid w:val="00A05EF8"/>
    <w:rPr>
      <w:rFonts w:ascii="Calibri" w:hAnsi="Calibri"/>
      <w:b/>
      <w:bCs/>
    </w:rPr>
  </w:style>
  <w:style w:type="paragraph" w:styleId="BalloonText">
    <w:name w:val="Balloon Text"/>
    <w:basedOn w:val="Normal"/>
    <w:link w:val="BalloonTextChar"/>
    <w:uiPriority w:val="9"/>
    <w:semiHidden/>
    <w:unhideWhenUsed/>
    <w:rsid w:val="00A05EF8"/>
    <w:rPr>
      <w:rFonts w:ascii="Segoe UI" w:hAnsi="Segoe UI" w:cs="Segoe UI"/>
      <w:sz w:val="18"/>
      <w:szCs w:val="18"/>
    </w:rPr>
  </w:style>
  <w:style w:type="character" w:customStyle="1" w:styleId="BalloonTextChar">
    <w:name w:val="Balloon Text Char"/>
    <w:basedOn w:val="DefaultParagraphFont"/>
    <w:link w:val="BalloonText"/>
    <w:uiPriority w:val="9"/>
    <w:semiHidden/>
    <w:rsid w:val="00A05EF8"/>
    <w:rPr>
      <w:rFonts w:ascii="Segoe UI" w:hAnsi="Segoe UI" w:cs="Segoe UI"/>
      <w:sz w:val="18"/>
      <w:szCs w:val="18"/>
    </w:rPr>
  </w:style>
  <w:style w:type="paragraph" w:styleId="ListBullet">
    <w:name w:val="List Bullet"/>
    <w:basedOn w:val="Normal"/>
    <w:uiPriority w:val="99"/>
    <w:semiHidden/>
    <w:unhideWhenUsed/>
    <w:rsid w:val="002E6960"/>
    <w:pPr>
      <w:contextualSpacing/>
    </w:pPr>
  </w:style>
  <w:style w:type="character" w:customStyle="1" w:styleId="Heading5Char">
    <w:name w:val="Heading 5 Char"/>
    <w:aliases w:val="Heading 2 - Body Char"/>
    <w:basedOn w:val="DefaultParagraphFont"/>
    <w:link w:val="Heading5"/>
    <w:uiPriority w:val="10"/>
    <w:semiHidden/>
    <w:rsid w:val="00F50184"/>
    <w:rPr>
      <w:rFonts w:ascii="Arial" w:eastAsiaTheme="majorEastAsia" w:hAnsi="Arial" w:cstheme="majorBidi"/>
      <w:b/>
      <w:i/>
      <w:snapToGrid w:val="0"/>
      <w:sz w:val="28"/>
      <w:szCs w:val="28"/>
    </w:rPr>
  </w:style>
  <w:style w:type="character" w:customStyle="1" w:styleId="Heading6Char">
    <w:name w:val="Heading 6 Char"/>
    <w:aliases w:val="Heading 3 - Body Char"/>
    <w:basedOn w:val="DefaultParagraphFont"/>
    <w:link w:val="Heading6"/>
    <w:uiPriority w:val="12"/>
    <w:semiHidden/>
    <w:rsid w:val="00F50184"/>
    <w:rPr>
      <w:rFonts w:asciiTheme="minorHAnsi" w:eastAsiaTheme="majorEastAsia" w:hAnsiTheme="minorHAnsi" w:cstheme="majorBidi"/>
      <w:b/>
      <w:sz w:val="24"/>
      <w:szCs w:val="28"/>
    </w:rPr>
  </w:style>
  <w:style w:type="character" w:customStyle="1" w:styleId="Heading7Char">
    <w:name w:val="Heading 7 Char"/>
    <w:basedOn w:val="DefaultParagraphFont"/>
    <w:link w:val="Heading7"/>
    <w:uiPriority w:val="12"/>
    <w:semiHidden/>
    <w:rsid w:val="00F50184"/>
    <w:rPr>
      <w:rFonts w:asciiTheme="minorHAnsi" w:eastAsiaTheme="majorEastAsia" w:hAnsiTheme="minorHAnsi" w:cstheme="majorBidi"/>
      <w:b/>
      <w:i/>
      <w:sz w:val="24"/>
      <w:szCs w:val="24"/>
    </w:rPr>
  </w:style>
  <w:style w:type="paragraph" w:customStyle="1" w:styleId="InstructionalText">
    <w:name w:val="Instructional Text"/>
    <w:basedOn w:val="MSACESParagraph"/>
    <w:link w:val="InstructionalTextChar"/>
    <w:uiPriority w:val="3"/>
    <w:rsid w:val="00F50184"/>
    <w:pPr>
      <w:jc w:val="both"/>
    </w:pPr>
    <w:rPr>
      <w:rFonts w:asciiTheme="minorHAnsi" w:hAnsiTheme="minorHAnsi" w:cstheme="minorHAnsi"/>
      <w:color w:val="3366FF"/>
    </w:rPr>
  </w:style>
  <w:style w:type="paragraph" w:styleId="Caption">
    <w:name w:val="caption"/>
    <w:aliases w:val="Table and Figure Name,Table and Figure name,Caption Char2 Char,Caption Char Char Char2,Caption Char1 Char Char Char1,Caption Char2 Char Char Char1 Char1,Caption Char Char1 Char Char Char1 Char1,Caption Char1 Char Char Char Char Char Char,- H17"/>
    <w:next w:val="Normal"/>
    <w:link w:val="CaptionChar"/>
    <w:autoRedefine/>
    <w:uiPriority w:val="35"/>
    <w:rsid w:val="00F50184"/>
    <w:pPr>
      <w:keepNext/>
      <w:tabs>
        <w:tab w:val="left" w:pos="1418"/>
      </w:tabs>
      <w:spacing w:before="240" w:line="259" w:lineRule="auto"/>
      <w:ind w:left="1418" w:hanging="1418"/>
      <w:contextualSpacing/>
      <w:jc w:val="both"/>
    </w:pPr>
    <w:rPr>
      <w:rFonts w:ascii="Arial Narrow" w:eastAsiaTheme="minorHAnsi" w:hAnsi="Arial Narrow" w:cstheme="minorBidi"/>
      <w:b/>
      <w:i/>
      <w:color w:val="000000" w:themeColor="text1"/>
      <w:szCs w:val="18"/>
    </w:rPr>
  </w:style>
  <w:style w:type="character" w:styleId="Hyperlink">
    <w:name w:val="Hyperlink"/>
    <w:basedOn w:val="DefaultParagraphFont"/>
    <w:uiPriority w:val="99"/>
    <w:semiHidden/>
    <w:rsid w:val="00F50184"/>
    <w:rPr>
      <w:color w:val="00B0F0"/>
      <w:u w:val="single"/>
    </w:rPr>
  </w:style>
  <w:style w:type="paragraph" w:styleId="FootnoteText">
    <w:name w:val="footnote text"/>
    <w:basedOn w:val="Normal"/>
    <w:link w:val="FootnoteTextChar"/>
    <w:uiPriority w:val="99"/>
    <w:semiHidden/>
    <w:rsid w:val="00F50184"/>
    <w:rPr>
      <w:sz w:val="18"/>
      <w:szCs w:val="20"/>
    </w:rPr>
  </w:style>
  <w:style w:type="character" w:customStyle="1" w:styleId="FootnoteTextChar">
    <w:name w:val="Footnote Text Char"/>
    <w:basedOn w:val="DefaultParagraphFont"/>
    <w:link w:val="FootnoteText"/>
    <w:uiPriority w:val="99"/>
    <w:semiHidden/>
    <w:rsid w:val="00F50184"/>
    <w:rPr>
      <w:rFonts w:asciiTheme="minorHAnsi" w:eastAsiaTheme="minorHAnsi" w:hAnsiTheme="minorHAnsi" w:cstheme="minorBidi"/>
      <w:sz w:val="18"/>
    </w:rPr>
  </w:style>
  <w:style w:type="character" w:styleId="FootnoteReference">
    <w:name w:val="footnote reference"/>
    <w:basedOn w:val="DefaultParagraphFont"/>
    <w:uiPriority w:val="99"/>
    <w:rsid w:val="00F50184"/>
    <w:rPr>
      <w:vertAlign w:val="superscript"/>
    </w:rPr>
  </w:style>
  <w:style w:type="character" w:customStyle="1" w:styleId="InstructionalTextChar">
    <w:name w:val="Instructional Text Char"/>
    <w:basedOn w:val="DefaultParagraphFont"/>
    <w:link w:val="InstructionalText"/>
    <w:uiPriority w:val="3"/>
    <w:rsid w:val="00F50184"/>
    <w:rPr>
      <w:rFonts w:asciiTheme="minorHAnsi" w:eastAsiaTheme="minorHAnsi" w:hAnsiTheme="minorHAnsi" w:cstheme="minorHAnsi"/>
      <w:color w:val="3366FF"/>
      <w:sz w:val="24"/>
      <w:szCs w:val="22"/>
    </w:rPr>
  </w:style>
  <w:style w:type="character" w:customStyle="1" w:styleId="CaptionChar">
    <w:name w:val="Caption Char"/>
    <w:aliases w:val="Table and Figure Name Char,Table and Figure name Char,Caption Char2 Char Char,Caption Char Char Char2 Char,Caption Char1 Char Char Char1 Char,Caption Char2 Char Char Char1 Char1 Char,Caption Char Char1 Char Char Char1 Char1 Char,- H17 Char"/>
    <w:link w:val="Caption"/>
    <w:uiPriority w:val="35"/>
    <w:rsid w:val="00F50184"/>
    <w:rPr>
      <w:rFonts w:ascii="Arial Narrow" w:eastAsiaTheme="minorHAnsi" w:hAnsi="Arial Narrow" w:cstheme="minorBidi"/>
      <w:b/>
      <w:i/>
      <w:color w:val="000000" w:themeColor="text1"/>
      <w:szCs w:val="18"/>
    </w:rPr>
  </w:style>
  <w:style w:type="paragraph" w:customStyle="1" w:styleId="TableFooter">
    <w:name w:val="Table Footer"/>
    <w:basedOn w:val="Normal"/>
    <w:link w:val="TableFooterChar"/>
    <w:rsid w:val="00F50184"/>
    <w:pPr>
      <w:widowControl w:val="0"/>
      <w:spacing w:after="240"/>
      <w:contextualSpacing/>
    </w:pPr>
    <w:rPr>
      <w:rFonts w:ascii="Arial Narrow" w:eastAsia="Times New Roman" w:hAnsi="Arial Narrow" w:cs="Arial"/>
      <w:snapToGrid w:val="0"/>
      <w:sz w:val="18"/>
      <w:szCs w:val="20"/>
    </w:rPr>
  </w:style>
  <w:style w:type="character" w:customStyle="1" w:styleId="TableFooterChar">
    <w:name w:val="Table Footer Char"/>
    <w:link w:val="TableFooter"/>
    <w:rsid w:val="00F50184"/>
    <w:rPr>
      <w:rFonts w:ascii="Arial Narrow" w:hAnsi="Arial Narrow" w:cs="Arial"/>
      <w:snapToGrid w:val="0"/>
      <w:sz w:val="18"/>
    </w:rPr>
  </w:style>
  <w:style w:type="paragraph" w:styleId="TOC2">
    <w:name w:val="toc 2"/>
    <w:basedOn w:val="Normal"/>
    <w:next w:val="Normal"/>
    <w:autoRedefine/>
    <w:uiPriority w:val="39"/>
    <w:rsid w:val="00F50184"/>
    <w:pPr>
      <w:widowControl w:val="0"/>
      <w:tabs>
        <w:tab w:val="right" w:leader="dot" w:pos="9016"/>
      </w:tabs>
      <w:ind w:left="284"/>
      <w:jc w:val="left"/>
    </w:pPr>
    <w:rPr>
      <w:rFonts w:eastAsia="Times New Roman" w:cs="Calibri"/>
      <w:i/>
      <w:snapToGrid w:val="0"/>
    </w:rPr>
  </w:style>
  <w:style w:type="paragraph" w:styleId="TOC1">
    <w:name w:val="toc 1"/>
    <w:basedOn w:val="Normal"/>
    <w:next w:val="Normal"/>
    <w:autoRedefine/>
    <w:uiPriority w:val="39"/>
    <w:rsid w:val="00F50184"/>
    <w:pPr>
      <w:widowControl w:val="0"/>
      <w:tabs>
        <w:tab w:val="left" w:pos="510"/>
        <w:tab w:val="left" w:pos="1077"/>
        <w:tab w:val="right" w:leader="dot" w:pos="9015"/>
      </w:tabs>
      <w:spacing w:before="240" w:after="120"/>
    </w:pPr>
    <w:rPr>
      <w:rFonts w:ascii="Arial" w:eastAsia="Times New Roman" w:hAnsi="Arial" w:cs="Arial"/>
      <w:b/>
      <w:bCs/>
      <w:snapToGrid w:val="0"/>
      <w:sz w:val="20"/>
      <w:szCs w:val="20"/>
    </w:rPr>
  </w:style>
  <w:style w:type="paragraph" w:styleId="NoSpacing">
    <w:name w:val="No Spacing"/>
    <w:uiPriority w:val="10"/>
    <w:rsid w:val="00F50184"/>
    <w:pPr>
      <w:widowControl w:val="0"/>
      <w:jc w:val="both"/>
    </w:pPr>
    <w:rPr>
      <w:rFonts w:ascii="Arial" w:hAnsi="Arial" w:cs="Arial"/>
      <w:snapToGrid w:val="0"/>
      <w:sz w:val="22"/>
    </w:rPr>
  </w:style>
  <w:style w:type="paragraph" w:styleId="NormalWeb">
    <w:name w:val="Normal (Web)"/>
    <w:basedOn w:val="Normal"/>
    <w:uiPriority w:val="99"/>
    <w:semiHidden/>
    <w:rsid w:val="00F50184"/>
    <w:pPr>
      <w:spacing w:before="100" w:after="100"/>
    </w:pPr>
    <w:rPr>
      <w:rFonts w:ascii="Times New Roman" w:eastAsia="Times New Roman" w:hAnsi="Times New Roman" w:cs="Times New Roman"/>
      <w:szCs w:val="20"/>
      <w:lang w:val="en-GB"/>
    </w:rPr>
  </w:style>
  <w:style w:type="paragraph" w:styleId="TOC3">
    <w:name w:val="toc 3"/>
    <w:basedOn w:val="Normal"/>
    <w:next w:val="Normal"/>
    <w:autoRedefine/>
    <w:uiPriority w:val="39"/>
    <w:semiHidden/>
    <w:rsid w:val="00F50184"/>
    <w:pPr>
      <w:widowControl w:val="0"/>
      <w:tabs>
        <w:tab w:val="right" w:pos="1134"/>
        <w:tab w:val="right" w:leader="dot" w:pos="9015"/>
      </w:tabs>
      <w:ind w:left="1758" w:hanging="879"/>
    </w:pPr>
    <w:rPr>
      <w:rFonts w:ascii="Arial" w:eastAsia="Times New Roman" w:hAnsi="Arial" w:cs="Arial"/>
      <w:snapToGrid w:val="0"/>
      <w:sz w:val="20"/>
      <w:szCs w:val="20"/>
    </w:rPr>
  </w:style>
  <w:style w:type="paragraph" w:styleId="TOC4">
    <w:name w:val="toc 4"/>
    <w:basedOn w:val="Normal"/>
    <w:next w:val="Normal"/>
    <w:autoRedefine/>
    <w:uiPriority w:val="39"/>
    <w:semiHidden/>
    <w:rsid w:val="00F50184"/>
    <w:pPr>
      <w:widowControl w:val="0"/>
      <w:ind w:left="660"/>
    </w:pPr>
    <w:rPr>
      <w:rFonts w:eastAsia="Times New Roman" w:cs="Arial"/>
      <w:snapToGrid w:val="0"/>
      <w:sz w:val="20"/>
      <w:szCs w:val="20"/>
    </w:rPr>
  </w:style>
  <w:style w:type="paragraph" w:styleId="TOC5">
    <w:name w:val="toc 5"/>
    <w:basedOn w:val="Normal"/>
    <w:next w:val="Normal"/>
    <w:autoRedefine/>
    <w:uiPriority w:val="39"/>
    <w:semiHidden/>
    <w:rsid w:val="00F50184"/>
    <w:pPr>
      <w:widowControl w:val="0"/>
      <w:ind w:left="880"/>
    </w:pPr>
    <w:rPr>
      <w:rFonts w:eastAsia="Times New Roman" w:cs="Arial"/>
      <w:snapToGrid w:val="0"/>
      <w:sz w:val="20"/>
      <w:szCs w:val="20"/>
    </w:rPr>
  </w:style>
  <w:style w:type="paragraph" w:styleId="TOC6">
    <w:name w:val="toc 6"/>
    <w:basedOn w:val="Normal"/>
    <w:next w:val="Normal"/>
    <w:autoRedefine/>
    <w:uiPriority w:val="39"/>
    <w:semiHidden/>
    <w:rsid w:val="00F50184"/>
    <w:pPr>
      <w:widowControl w:val="0"/>
      <w:ind w:left="1100"/>
    </w:pPr>
    <w:rPr>
      <w:rFonts w:eastAsia="Times New Roman" w:cs="Arial"/>
      <w:snapToGrid w:val="0"/>
      <w:sz w:val="20"/>
      <w:szCs w:val="20"/>
    </w:rPr>
  </w:style>
  <w:style w:type="paragraph" w:styleId="TOC7">
    <w:name w:val="toc 7"/>
    <w:basedOn w:val="Normal"/>
    <w:next w:val="Normal"/>
    <w:autoRedefine/>
    <w:uiPriority w:val="39"/>
    <w:semiHidden/>
    <w:rsid w:val="00F50184"/>
    <w:pPr>
      <w:widowControl w:val="0"/>
      <w:ind w:left="1320"/>
    </w:pPr>
    <w:rPr>
      <w:rFonts w:eastAsia="Times New Roman" w:cs="Arial"/>
      <w:snapToGrid w:val="0"/>
      <w:sz w:val="20"/>
      <w:szCs w:val="20"/>
    </w:rPr>
  </w:style>
  <w:style w:type="paragraph" w:styleId="TOC8">
    <w:name w:val="toc 8"/>
    <w:basedOn w:val="Normal"/>
    <w:next w:val="Normal"/>
    <w:autoRedefine/>
    <w:uiPriority w:val="39"/>
    <w:semiHidden/>
    <w:rsid w:val="00F50184"/>
    <w:pPr>
      <w:widowControl w:val="0"/>
      <w:ind w:left="1540"/>
    </w:pPr>
    <w:rPr>
      <w:rFonts w:eastAsia="Times New Roman" w:cs="Arial"/>
      <w:snapToGrid w:val="0"/>
      <w:sz w:val="20"/>
      <w:szCs w:val="20"/>
    </w:rPr>
  </w:style>
  <w:style w:type="paragraph" w:styleId="TOC9">
    <w:name w:val="toc 9"/>
    <w:basedOn w:val="Normal"/>
    <w:next w:val="Normal"/>
    <w:autoRedefine/>
    <w:uiPriority w:val="9"/>
    <w:semiHidden/>
    <w:rsid w:val="00F50184"/>
    <w:pPr>
      <w:widowControl w:val="0"/>
      <w:ind w:left="1760"/>
    </w:pPr>
    <w:rPr>
      <w:rFonts w:eastAsia="Times New Roman" w:cs="Arial"/>
      <w:snapToGrid w:val="0"/>
      <w:sz w:val="20"/>
      <w:szCs w:val="20"/>
    </w:rPr>
  </w:style>
  <w:style w:type="paragraph" w:styleId="Revision">
    <w:name w:val="Revision"/>
    <w:hidden/>
    <w:uiPriority w:val="99"/>
    <w:semiHidden/>
    <w:rsid w:val="00F50184"/>
    <w:rPr>
      <w:rFonts w:ascii="Arial" w:hAnsi="Arial" w:cs="Arial"/>
      <w:snapToGrid w:val="0"/>
      <w:sz w:val="22"/>
    </w:rPr>
  </w:style>
  <w:style w:type="numbering" w:customStyle="1" w:styleId="Headings">
    <w:name w:val="Headings"/>
    <w:uiPriority w:val="99"/>
    <w:rsid w:val="00F50184"/>
    <w:pPr>
      <w:numPr>
        <w:numId w:val="3"/>
      </w:numPr>
    </w:pPr>
  </w:style>
  <w:style w:type="character" w:styleId="FollowedHyperlink">
    <w:name w:val="FollowedHyperlink"/>
    <w:basedOn w:val="DefaultParagraphFont"/>
    <w:uiPriority w:val="99"/>
    <w:semiHidden/>
    <w:rsid w:val="00F50184"/>
    <w:rPr>
      <w:color w:val="954F72" w:themeColor="followedHyperlink"/>
      <w:u w:val="single"/>
    </w:rPr>
  </w:style>
  <w:style w:type="paragraph" w:customStyle="1" w:styleId="PBACESHeading1">
    <w:name w:val="PBAC ES Heading 1"/>
    <w:basedOn w:val="Heading1"/>
    <w:next w:val="ListParagraph"/>
    <w:link w:val="PBACESHeading1Char"/>
    <w:uiPriority w:val="1"/>
    <w:qFormat/>
    <w:rsid w:val="00F50184"/>
    <w:pPr>
      <w:numPr>
        <w:numId w:val="0"/>
      </w:numPr>
      <w:tabs>
        <w:tab w:val="left" w:pos="1077"/>
      </w:tabs>
      <w:spacing w:after="120"/>
      <w:ind w:left="720" w:hanging="720"/>
      <w:jc w:val="left"/>
    </w:pPr>
    <w:rPr>
      <w:rFonts w:asciiTheme="minorHAnsi" w:hAnsiTheme="minorHAnsi" w:cs="Arial"/>
      <w:b/>
      <w:snapToGrid w:val="0"/>
    </w:rPr>
  </w:style>
  <w:style w:type="paragraph" w:customStyle="1" w:styleId="Heading1subheading">
    <w:name w:val="Heading 1 subheading"/>
    <w:basedOn w:val="Heading1"/>
    <w:next w:val="Normal"/>
    <w:link w:val="Heading1subheadingChar"/>
    <w:uiPriority w:val="3"/>
    <w:rsid w:val="00F50184"/>
    <w:pPr>
      <w:numPr>
        <w:numId w:val="0"/>
      </w:numPr>
      <w:spacing w:before="400" w:after="120" w:line="259" w:lineRule="auto"/>
      <w:ind w:left="576" w:hanging="576"/>
      <w:jc w:val="left"/>
    </w:pPr>
    <w:rPr>
      <w:rFonts w:asciiTheme="minorHAnsi" w:hAnsiTheme="minorHAnsi"/>
      <w:b/>
      <w:caps/>
      <w:szCs w:val="28"/>
    </w:rPr>
  </w:style>
  <w:style w:type="paragraph" w:customStyle="1" w:styleId="Heading2SECTION2">
    <w:name w:val="Heading 2 SECTION 2"/>
    <w:basedOn w:val="Heading2"/>
    <w:next w:val="Normal"/>
    <w:link w:val="Heading2SECTION2Char"/>
    <w:uiPriority w:val="3"/>
    <w:rsid w:val="00F50184"/>
    <w:pPr>
      <w:keepLines/>
      <w:tabs>
        <w:tab w:val="left" w:pos="1134"/>
      </w:tabs>
      <w:spacing w:before="360" w:after="120" w:line="240" w:lineRule="auto"/>
      <w:jc w:val="left"/>
    </w:pPr>
    <w:rPr>
      <w:rFonts w:ascii="Arial" w:hAnsi="Arial"/>
      <w:b/>
      <w:snapToGrid w:val="0"/>
      <w:szCs w:val="28"/>
    </w:rPr>
  </w:style>
  <w:style w:type="character" w:customStyle="1" w:styleId="Heading1subheadingChar">
    <w:name w:val="Heading 1 subheading Char"/>
    <w:basedOn w:val="Heading1Char"/>
    <w:link w:val="Heading1subheading"/>
    <w:uiPriority w:val="3"/>
    <w:rsid w:val="00F50184"/>
    <w:rPr>
      <w:rFonts w:asciiTheme="minorHAnsi" w:eastAsiaTheme="majorEastAsia" w:hAnsiTheme="minorHAnsi" w:cstheme="majorBidi"/>
      <w:b/>
      <w:caps/>
      <w:color w:val="2E74B5" w:themeColor="accent1" w:themeShade="BF"/>
      <w:sz w:val="32"/>
      <w:szCs w:val="28"/>
    </w:rPr>
  </w:style>
  <w:style w:type="character" w:customStyle="1" w:styleId="Heading2SECTION2Char">
    <w:name w:val="Heading 2 SECTION 2 Char"/>
    <w:basedOn w:val="Heading2Char"/>
    <w:link w:val="Heading2SECTION2"/>
    <w:uiPriority w:val="3"/>
    <w:rsid w:val="00F50184"/>
    <w:rPr>
      <w:rFonts w:ascii="Arial" w:eastAsiaTheme="majorEastAsia" w:hAnsi="Arial" w:cstheme="majorBidi"/>
      <w:b/>
      <w:i/>
      <w:snapToGrid w:val="0"/>
      <w:spacing w:val="5"/>
      <w:kern w:val="28"/>
      <w:sz w:val="28"/>
      <w:szCs w:val="28"/>
    </w:rPr>
  </w:style>
  <w:style w:type="paragraph" w:customStyle="1" w:styleId="Comment">
    <w:name w:val="Comment"/>
    <w:basedOn w:val="Normal"/>
    <w:link w:val="CommentChar"/>
    <w:uiPriority w:val="4"/>
    <w:semiHidden/>
    <w:rsid w:val="00F50184"/>
    <w:pPr>
      <w:tabs>
        <w:tab w:val="num" w:pos="720"/>
      </w:tabs>
      <w:spacing w:after="240" w:line="312" w:lineRule="auto"/>
    </w:pPr>
    <w:rPr>
      <w:rFonts w:eastAsia="Times New Roman" w:cs="Tahoma"/>
      <w:i/>
      <w:color w:val="C00000"/>
      <w:sz w:val="22"/>
      <w:lang w:eastAsia="en-AU"/>
    </w:rPr>
  </w:style>
  <w:style w:type="character" w:customStyle="1" w:styleId="CommentChar">
    <w:name w:val="Comment Char"/>
    <w:basedOn w:val="DefaultParagraphFont"/>
    <w:link w:val="Comment"/>
    <w:uiPriority w:val="4"/>
    <w:semiHidden/>
    <w:rsid w:val="00F50184"/>
    <w:rPr>
      <w:rFonts w:ascii="Calibri" w:hAnsi="Calibri" w:cs="Tahoma"/>
      <w:i/>
      <w:color w:val="C00000"/>
      <w:sz w:val="22"/>
      <w:szCs w:val="22"/>
      <w:lang w:eastAsia="en-AU"/>
    </w:rPr>
  </w:style>
  <w:style w:type="paragraph" w:customStyle="1" w:styleId="OutlineHeading1">
    <w:name w:val="Outline Heading 1"/>
    <w:basedOn w:val="Heading1"/>
    <w:next w:val="Normal"/>
    <w:link w:val="OutlineHeading1Char"/>
    <w:uiPriority w:val="3"/>
    <w:rsid w:val="00F50184"/>
    <w:pPr>
      <w:numPr>
        <w:numId w:val="0"/>
      </w:numPr>
      <w:spacing w:before="400" w:after="120" w:line="259" w:lineRule="auto"/>
      <w:jc w:val="left"/>
    </w:pPr>
    <w:rPr>
      <w:rFonts w:asciiTheme="minorHAnsi" w:hAnsiTheme="minorHAnsi"/>
      <w:b/>
      <w:szCs w:val="28"/>
    </w:rPr>
  </w:style>
  <w:style w:type="table" w:customStyle="1" w:styleId="PBACTableStyle">
    <w:name w:val="PBAC Table Style"/>
    <w:basedOn w:val="TableGrid1"/>
    <w:uiPriority w:val="99"/>
    <w:rsid w:val="00F50184"/>
    <w:pPr>
      <w:widowControl w:val="0"/>
      <w:contextualSpacing/>
      <w:jc w:val="center"/>
    </w:pPr>
    <w:rPr>
      <w:rFonts w:ascii="Arial Narrow" w:hAnsi="Arial Narrow"/>
      <w:color w:val="000000" w:themeColor="text1"/>
      <w:lang w:val="en-US"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Arial Narrow" w:hAnsi="Arial Narrow"/>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Arial Narrow" w:hAnsi="Arial Narrow"/>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Arial Narrow" w:hAnsi="Arial Narrow"/>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styleId="ListTable1Light">
    <w:name w:val="List Table 1 Light"/>
    <w:basedOn w:val="TableNormal"/>
    <w:uiPriority w:val="46"/>
    <w:rsid w:val="00F50184"/>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urfulAccent6">
    <w:name w:val="List Table 7 Colorful Accent 6"/>
    <w:basedOn w:val="TableNormal"/>
    <w:uiPriority w:val="52"/>
    <w:rsid w:val="00F50184"/>
    <w:rPr>
      <w:rFonts w:asciiTheme="minorHAnsi" w:eastAsiaTheme="minorHAnsi" w:hAnsiTheme="minorHAnsi" w:cstheme="minorBidi"/>
      <w:color w:val="538135" w:themeColor="accent6"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InstructionBulletpoint">
    <w:name w:val="Instruction Bullet point"/>
    <w:basedOn w:val="InstructionalText"/>
    <w:link w:val="InstructionBulletpointChar"/>
    <w:uiPriority w:val="3"/>
    <w:rsid w:val="00F50184"/>
    <w:pPr>
      <w:numPr>
        <w:numId w:val="8"/>
      </w:numPr>
      <w:spacing w:after="120"/>
      <w:jc w:val="left"/>
    </w:pPr>
    <w:rPr>
      <w:rFonts w:ascii="Calibri" w:hAnsi="Calibri"/>
    </w:rPr>
  </w:style>
  <w:style w:type="paragraph" w:customStyle="1" w:styleId="PBACESHeading2">
    <w:name w:val="PBAC ES Heading 2"/>
    <w:basedOn w:val="Heading2"/>
    <w:link w:val="PBACESHeading2Char"/>
    <w:uiPriority w:val="1"/>
    <w:qFormat/>
    <w:rsid w:val="00F50184"/>
    <w:pPr>
      <w:keepLines/>
      <w:spacing w:before="360" w:after="120" w:line="240" w:lineRule="auto"/>
      <w:ind w:left="720" w:hanging="720"/>
      <w:jc w:val="left"/>
    </w:pPr>
    <w:rPr>
      <w:rFonts w:asciiTheme="majorHAnsi" w:hAnsiTheme="majorHAnsi"/>
      <w:b/>
      <w:snapToGrid w:val="0"/>
      <w:szCs w:val="28"/>
    </w:rPr>
  </w:style>
  <w:style w:type="character" w:customStyle="1" w:styleId="InstructionBulletpointChar">
    <w:name w:val="Instruction Bullet point Char"/>
    <w:basedOn w:val="InstructionalTextChar"/>
    <w:link w:val="InstructionBulletpoint"/>
    <w:uiPriority w:val="3"/>
    <w:rsid w:val="00F50184"/>
    <w:rPr>
      <w:rFonts w:ascii="Calibri" w:eastAsiaTheme="minorHAnsi" w:hAnsi="Calibri" w:cstheme="minorHAnsi"/>
      <w:color w:val="3366FF"/>
      <w:sz w:val="24"/>
      <w:szCs w:val="22"/>
    </w:rPr>
  </w:style>
  <w:style w:type="character" w:customStyle="1" w:styleId="PBACESHeading2Char">
    <w:name w:val="PBAC ES Heading 2 Char"/>
    <w:basedOn w:val="Heading2Char"/>
    <w:link w:val="PBACESHeading2"/>
    <w:uiPriority w:val="1"/>
    <w:rsid w:val="00F50184"/>
    <w:rPr>
      <w:rFonts w:asciiTheme="majorHAnsi" w:eastAsiaTheme="majorEastAsia" w:hAnsiTheme="majorHAnsi" w:cstheme="majorBidi"/>
      <w:b/>
      <w:i/>
      <w:snapToGrid w:val="0"/>
      <w:spacing w:val="5"/>
      <w:kern w:val="28"/>
      <w:sz w:val="28"/>
      <w:szCs w:val="28"/>
    </w:rPr>
  </w:style>
  <w:style w:type="paragraph" w:customStyle="1" w:styleId="CommentTabletext">
    <w:name w:val="Comment Table text"/>
    <w:basedOn w:val="Normal"/>
    <w:uiPriority w:val="4"/>
    <w:semiHidden/>
    <w:rsid w:val="00F50184"/>
    <w:pPr>
      <w:tabs>
        <w:tab w:val="num" w:pos="720"/>
      </w:tabs>
      <w:spacing w:before="40" w:after="40"/>
      <w:ind w:left="720"/>
    </w:pPr>
    <w:rPr>
      <w:rFonts w:ascii="Arial Narrow" w:eastAsia="Times New Roman" w:hAnsi="Arial Narrow" w:cs="Tahoma"/>
      <w:i/>
      <w:sz w:val="20"/>
      <w:szCs w:val="20"/>
      <w:lang w:eastAsia="en-AU"/>
    </w:rPr>
  </w:style>
  <w:style w:type="paragraph" w:customStyle="1" w:styleId="PBACESHeadingCAPS">
    <w:name w:val="PBAC ES Heading CAPS"/>
    <w:basedOn w:val="PBACESHeading2"/>
    <w:link w:val="PBACESHeadingCAPSChar"/>
    <w:uiPriority w:val="1"/>
    <w:qFormat/>
    <w:rsid w:val="00F50184"/>
    <w:rPr>
      <w:i w:val="0"/>
      <w:smallCaps/>
      <w:sz w:val="32"/>
    </w:rPr>
  </w:style>
  <w:style w:type="paragraph" w:customStyle="1" w:styleId="PBACESHeading3">
    <w:name w:val="PBAC ES Heading 3"/>
    <w:basedOn w:val="PBACESHeading2"/>
    <w:link w:val="PBACESHeading3Char"/>
    <w:uiPriority w:val="1"/>
    <w:qFormat/>
    <w:rsid w:val="00F50184"/>
    <w:pPr>
      <w:ind w:left="1080" w:hanging="1080"/>
    </w:pPr>
    <w:rPr>
      <w:i w:val="0"/>
      <w:sz w:val="24"/>
    </w:rPr>
  </w:style>
  <w:style w:type="character" w:customStyle="1" w:styleId="PBACESHeadingCAPSChar">
    <w:name w:val="PBAC ES Heading CAPS Char"/>
    <w:basedOn w:val="PBACESHeading2Char"/>
    <w:link w:val="PBACESHeadingCAPS"/>
    <w:uiPriority w:val="1"/>
    <w:rsid w:val="00F50184"/>
    <w:rPr>
      <w:rFonts w:asciiTheme="majorHAnsi" w:eastAsiaTheme="majorEastAsia" w:hAnsiTheme="majorHAnsi" w:cstheme="majorBidi"/>
      <w:b/>
      <w:i w:val="0"/>
      <w:smallCaps/>
      <w:snapToGrid w:val="0"/>
      <w:spacing w:val="5"/>
      <w:kern w:val="28"/>
      <w:sz w:val="32"/>
      <w:szCs w:val="28"/>
    </w:rPr>
  </w:style>
  <w:style w:type="character" w:customStyle="1" w:styleId="PBACESHeading3Char">
    <w:name w:val="PBAC ES Heading 3 Char"/>
    <w:basedOn w:val="PBACESHeading2Char"/>
    <w:link w:val="PBACESHeading3"/>
    <w:uiPriority w:val="1"/>
    <w:rsid w:val="00F50184"/>
    <w:rPr>
      <w:rFonts w:asciiTheme="majorHAnsi" w:eastAsiaTheme="majorEastAsia" w:hAnsiTheme="majorHAnsi" w:cstheme="majorBidi"/>
      <w:b/>
      <w:i w:val="0"/>
      <w:snapToGrid w:val="0"/>
      <w:spacing w:val="5"/>
      <w:kern w:val="28"/>
      <w:sz w:val="24"/>
      <w:szCs w:val="28"/>
    </w:rPr>
  </w:style>
  <w:style w:type="paragraph" w:customStyle="1" w:styleId="Level1">
    <w:name w:val="Level 1"/>
    <w:basedOn w:val="Normal"/>
    <w:uiPriority w:val="3"/>
    <w:semiHidden/>
    <w:rsid w:val="00F50184"/>
  </w:style>
  <w:style w:type="paragraph" w:customStyle="1" w:styleId="PBACESParagraphBulletPoint">
    <w:name w:val="PBAC ES Paragraph Bullet Point"/>
    <w:basedOn w:val="ListParagraph"/>
    <w:link w:val="PBACESParagraphBulletPointChar"/>
    <w:uiPriority w:val="1"/>
    <w:rsid w:val="00F50184"/>
    <w:pPr>
      <w:numPr>
        <w:numId w:val="9"/>
      </w:numPr>
      <w:spacing w:before="120"/>
      <w:ind w:left="1491" w:hanging="357"/>
      <w:jc w:val="both"/>
    </w:pPr>
    <w:rPr>
      <w:rFonts w:eastAsiaTheme="minorHAnsi" w:cstheme="minorBidi"/>
      <w:snapToGrid/>
      <w:color w:val="000000" w:themeColor="text1"/>
      <w:szCs w:val="22"/>
    </w:rPr>
  </w:style>
  <w:style w:type="character" w:customStyle="1" w:styleId="PBACESParagraphBulletPointChar">
    <w:name w:val="PBAC ES Paragraph Bullet Point Char"/>
    <w:basedOn w:val="ListParagraphChar"/>
    <w:link w:val="PBACESParagraphBulletPoint"/>
    <w:uiPriority w:val="1"/>
    <w:rsid w:val="00F50184"/>
    <w:rPr>
      <w:rFonts w:asciiTheme="minorHAnsi" w:eastAsiaTheme="minorHAnsi" w:hAnsiTheme="minorHAnsi" w:cstheme="minorBidi"/>
      <w:snapToGrid/>
      <w:color w:val="000000" w:themeColor="text1"/>
      <w:sz w:val="24"/>
      <w:szCs w:val="22"/>
    </w:rPr>
  </w:style>
  <w:style w:type="paragraph" w:customStyle="1" w:styleId="OutlineHeading2">
    <w:name w:val="Outline Heading 2"/>
    <w:basedOn w:val="Heading2"/>
    <w:link w:val="OutlineHeading2Char"/>
    <w:uiPriority w:val="3"/>
    <w:rsid w:val="00F50184"/>
    <w:pPr>
      <w:keepLines/>
      <w:spacing w:before="360" w:after="120" w:line="240" w:lineRule="auto"/>
      <w:jc w:val="left"/>
    </w:pPr>
    <w:rPr>
      <w:rFonts w:ascii="Arial" w:hAnsi="Arial"/>
      <w:b/>
      <w:snapToGrid w:val="0"/>
      <w:szCs w:val="28"/>
    </w:rPr>
  </w:style>
  <w:style w:type="character" w:customStyle="1" w:styleId="OutlineHeading2Char">
    <w:name w:val="Outline Heading 2 Char"/>
    <w:basedOn w:val="Heading2Char"/>
    <w:link w:val="OutlineHeading2"/>
    <w:uiPriority w:val="3"/>
    <w:rsid w:val="00F50184"/>
    <w:rPr>
      <w:rFonts w:ascii="Arial" w:eastAsiaTheme="majorEastAsia" w:hAnsi="Arial" w:cstheme="majorBidi"/>
      <w:b/>
      <w:i/>
      <w:snapToGrid w:val="0"/>
      <w:spacing w:val="5"/>
      <w:kern w:val="28"/>
      <w:sz w:val="28"/>
      <w:szCs w:val="28"/>
    </w:rPr>
  </w:style>
  <w:style w:type="table" w:styleId="TableGrid1">
    <w:name w:val="Table Grid 1"/>
    <w:basedOn w:val="TableNormal"/>
    <w:uiPriority w:val="99"/>
    <w:semiHidden/>
    <w:unhideWhenUsed/>
    <w:rsid w:val="00F50184"/>
    <w:pPr>
      <w:spacing w:before="120" w:after="160"/>
      <w:jc w:val="both"/>
    </w:pPr>
    <w:rPr>
      <w:rFonts w:asciiTheme="minorHAnsi" w:eastAsiaTheme="minorHAnsi" w:hAnsi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Number">
    <w:name w:val="Table Number"/>
    <w:basedOn w:val="TableText"/>
    <w:link w:val="TableNumberChar"/>
    <w:rsid w:val="00F50184"/>
    <w:pPr>
      <w:keepNext w:val="0"/>
      <w:widowControl w:val="0"/>
      <w:tabs>
        <w:tab w:val="decimal" w:pos="396"/>
      </w:tabs>
      <w:jc w:val="center"/>
    </w:pPr>
    <w:rPr>
      <w:rFonts w:eastAsiaTheme="minorHAnsi" w:cstheme="minorBidi"/>
      <w:bCs w:val="0"/>
      <w:szCs w:val="22"/>
    </w:rPr>
  </w:style>
  <w:style w:type="paragraph" w:customStyle="1" w:styleId="TableRowHeader">
    <w:name w:val="Table Row Header"/>
    <w:basedOn w:val="TableText"/>
    <w:link w:val="TableRowHeaderChar"/>
    <w:rsid w:val="00F50184"/>
    <w:pPr>
      <w:keepNext w:val="0"/>
      <w:widowControl w:val="0"/>
      <w:jc w:val="center"/>
    </w:pPr>
    <w:rPr>
      <w:rFonts w:eastAsiaTheme="minorHAnsi" w:cstheme="minorBidi"/>
      <w:b/>
      <w:bCs w:val="0"/>
      <w:szCs w:val="22"/>
    </w:rPr>
  </w:style>
  <w:style w:type="character" w:styleId="HTMLCite">
    <w:name w:val="HTML Cite"/>
    <w:basedOn w:val="DefaultParagraphFont"/>
    <w:uiPriority w:val="99"/>
    <w:semiHidden/>
    <w:rsid w:val="00F50184"/>
    <w:rPr>
      <w:i/>
      <w:iCs/>
    </w:rPr>
  </w:style>
  <w:style w:type="paragraph" w:customStyle="1" w:styleId="Heading2Clinical">
    <w:name w:val="Heading 2 Clinical"/>
    <w:basedOn w:val="Heading3"/>
    <w:next w:val="Normal"/>
    <w:link w:val="Heading2ClinicalChar"/>
    <w:uiPriority w:val="1"/>
    <w:semiHidden/>
    <w:rsid w:val="00F50184"/>
    <w:pPr>
      <w:numPr>
        <w:ilvl w:val="0"/>
        <w:numId w:val="0"/>
      </w:numPr>
      <w:tabs>
        <w:tab w:val="left" w:pos="1418"/>
      </w:tabs>
      <w:spacing w:before="120" w:after="120"/>
    </w:pPr>
    <w:rPr>
      <w:rFonts w:asciiTheme="minorHAnsi" w:hAnsiTheme="minorHAnsi"/>
      <w:b/>
      <w:i/>
      <w:color w:val="000000" w:themeColor="text1"/>
      <w:sz w:val="28"/>
      <w:szCs w:val="28"/>
    </w:rPr>
  </w:style>
  <w:style w:type="character" w:customStyle="1" w:styleId="Heading2ClinicalChar">
    <w:name w:val="Heading 2 Clinical Char"/>
    <w:basedOn w:val="Heading4Char"/>
    <w:link w:val="Heading2Clinical"/>
    <w:uiPriority w:val="1"/>
    <w:semiHidden/>
    <w:rsid w:val="00F50184"/>
    <w:rPr>
      <w:rFonts w:asciiTheme="minorHAnsi" w:eastAsiaTheme="majorEastAsia" w:hAnsiTheme="minorHAnsi" w:cstheme="majorBidi"/>
      <w:b/>
      <w:i/>
      <w:iCs w:val="0"/>
      <w:color w:val="000000" w:themeColor="text1"/>
      <w:sz w:val="28"/>
      <w:szCs w:val="28"/>
    </w:rPr>
  </w:style>
  <w:style w:type="paragraph" w:customStyle="1" w:styleId="MSACSubtitle">
    <w:name w:val="MSAC Subtitle"/>
    <w:basedOn w:val="Normal"/>
    <w:next w:val="Normal"/>
    <w:link w:val="MSACSubtitleChar"/>
    <w:uiPriority w:val="1"/>
    <w:rsid w:val="00F50184"/>
    <w:pPr>
      <w:spacing w:after="240"/>
      <w:jc w:val="center"/>
    </w:pPr>
    <w:rPr>
      <w:rFonts w:ascii="Arial" w:hAnsi="Arial"/>
      <w:b/>
      <w:i/>
      <w:color w:val="000080"/>
      <w:sz w:val="28"/>
    </w:rPr>
  </w:style>
  <w:style w:type="character" w:customStyle="1" w:styleId="PBACESHeading1Char">
    <w:name w:val="PBAC ES Heading 1 Char"/>
    <w:basedOn w:val="Heading1Char"/>
    <w:link w:val="PBACESHeading1"/>
    <w:uiPriority w:val="1"/>
    <w:rsid w:val="00F50184"/>
    <w:rPr>
      <w:rFonts w:asciiTheme="minorHAnsi" w:eastAsiaTheme="majorEastAsia" w:hAnsiTheme="minorHAnsi" w:cs="Arial"/>
      <w:b/>
      <w:snapToGrid w:val="0"/>
      <w:color w:val="2E74B5" w:themeColor="accent1" w:themeShade="BF"/>
      <w:sz w:val="32"/>
      <w:szCs w:val="32"/>
    </w:rPr>
  </w:style>
  <w:style w:type="character" w:customStyle="1" w:styleId="MSACSubtitleChar">
    <w:name w:val="MSAC Subtitle Char"/>
    <w:basedOn w:val="DefaultParagraphFont"/>
    <w:link w:val="MSACSubtitle"/>
    <w:uiPriority w:val="1"/>
    <w:rsid w:val="00F50184"/>
    <w:rPr>
      <w:rFonts w:ascii="Arial" w:eastAsiaTheme="minorHAnsi" w:hAnsi="Arial" w:cstheme="minorBidi"/>
      <w:b/>
      <w:i/>
      <w:color w:val="000080"/>
      <w:sz w:val="28"/>
      <w:szCs w:val="22"/>
    </w:rPr>
  </w:style>
  <w:style w:type="paragraph" w:customStyle="1" w:styleId="MSACHeading1">
    <w:name w:val="MSAC Heading 1"/>
    <w:basedOn w:val="Heading1"/>
    <w:next w:val="MSACESParagraph"/>
    <w:link w:val="MSACHeading1Char"/>
    <w:uiPriority w:val="1"/>
    <w:qFormat/>
    <w:rsid w:val="00F50184"/>
    <w:pPr>
      <w:numPr>
        <w:numId w:val="0"/>
      </w:numPr>
      <w:spacing w:before="160" w:after="240" w:line="259" w:lineRule="auto"/>
      <w:ind w:left="720" w:hanging="720"/>
      <w:jc w:val="left"/>
    </w:pPr>
    <w:rPr>
      <w:rFonts w:ascii="Arial" w:hAnsi="Arial"/>
      <w:b/>
      <w:color w:val="auto"/>
      <w:sz w:val="24"/>
      <w:szCs w:val="28"/>
    </w:rPr>
  </w:style>
  <w:style w:type="paragraph" w:customStyle="1" w:styleId="MSACESParagraph">
    <w:name w:val="MSAC ES Paragraph"/>
    <w:link w:val="MSACESParagraphChar"/>
    <w:uiPriority w:val="1"/>
    <w:rsid w:val="00F50184"/>
    <w:pPr>
      <w:spacing w:after="240"/>
    </w:pPr>
    <w:rPr>
      <w:rFonts w:eastAsiaTheme="minorHAnsi" w:cstheme="minorBidi"/>
      <w:sz w:val="24"/>
      <w:szCs w:val="22"/>
    </w:rPr>
  </w:style>
  <w:style w:type="character" w:customStyle="1" w:styleId="MSACHeading1Char">
    <w:name w:val="MSAC Heading 1 Char"/>
    <w:basedOn w:val="DefaultParagraphFont"/>
    <w:link w:val="MSACHeading1"/>
    <w:uiPriority w:val="1"/>
    <w:rsid w:val="00F50184"/>
    <w:rPr>
      <w:rFonts w:ascii="Arial" w:eastAsiaTheme="majorEastAsia" w:hAnsi="Arial" w:cstheme="majorBidi"/>
      <w:b/>
      <w:sz w:val="24"/>
      <w:szCs w:val="28"/>
    </w:rPr>
  </w:style>
  <w:style w:type="paragraph" w:customStyle="1" w:styleId="MSACESHeading2">
    <w:name w:val="MSAC ES Heading 2"/>
    <w:basedOn w:val="Heading2"/>
    <w:next w:val="MSACESParagraph"/>
    <w:link w:val="MSACESHeading2Char"/>
    <w:uiPriority w:val="1"/>
    <w:qFormat/>
    <w:rsid w:val="00F50184"/>
    <w:pPr>
      <w:keepLines/>
      <w:spacing w:before="360" w:after="120" w:line="240" w:lineRule="auto"/>
      <w:ind w:left="720" w:hanging="720"/>
      <w:jc w:val="left"/>
    </w:pPr>
    <w:rPr>
      <w:rFonts w:ascii="Cambria" w:hAnsi="Cambria"/>
      <w:b/>
      <w:i w:val="0"/>
      <w:snapToGrid w:val="0"/>
      <w:spacing w:val="0"/>
      <w:kern w:val="0"/>
      <w:sz w:val="24"/>
      <w:szCs w:val="28"/>
    </w:rPr>
  </w:style>
  <w:style w:type="paragraph" w:customStyle="1" w:styleId="MSACESBulletPoint">
    <w:name w:val="MSAC ES Bullet Point"/>
    <w:basedOn w:val="MSACESParagraph"/>
    <w:link w:val="MSACESBulletPointChar"/>
    <w:uiPriority w:val="1"/>
    <w:rsid w:val="00F50184"/>
    <w:pPr>
      <w:numPr>
        <w:numId w:val="5"/>
      </w:numPr>
      <w:spacing w:before="120" w:after="120"/>
      <w:ind w:left="714" w:hanging="357"/>
    </w:pPr>
  </w:style>
  <w:style w:type="character" w:customStyle="1" w:styleId="MSACESHeading2Char">
    <w:name w:val="MSAC ES Heading 2 Char"/>
    <w:basedOn w:val="DefaultParagraphFont"/>
    <w:link w:val="MSACESHeading2"/>
    <w:uiPriority w:val="1"/>
    <w:rsid w:val="00F50184"/>
    <w:rPr>
      <w:rFonts w:ascii="Cambria" w:eastAsiaTheme="majorEastAsia" w:hAnsi="Cambria" w:cstheme="majorBidi"/>
      <w:b/>
      <w:snapToGrid w:val="0"/>
      <w:sz w:val="24"/>
      <w:szCs w:val="28"/>
    </w:rPr>
  </w:style>
  <w:style w:type="character" w:customStyle="1" w:styleId="TableNumberChar">
    <w:name w:val="Table Number Char"/>
    <w:basedOn w:val="TableTextChar"/>
    <w:link w:val="TableNumber"/>
    <w:rsid w:val="00F50184"/>
    <w:rPr>
      <w:rFonts w:ascii="Arial Narrow" w:eastAsiaTheme="minorHAnsi" w:hAnsi="Arial Narrow" w:cstheme="minorBidi"/>
      <w:bCs w:val="0"/>
      <w:szCs w:val="22"/>
    </w:rPr>
  </w:style>
  <w:style w:type="character" w:customStyle="1" w:styleId="MSACESParagraphChar">
    <w:name w:val="MSAC ES Paragraph Char"/>
    <w:basedOn w:val="DefaultParagraphFont"/>
    <w:link w:val="MSACESParagraph"/>
    <w:uiPriority w:val="1"/>
    <w:rsid w:val="00F50184"/>
    <w:rPr>
      <w:rFonts w:eastAsiaTheme="minorHAnsi" w:cstheme="minorBidi"/>
      <w:sz w:val="24"/>
      <w:szCs w:val="22"/>
    </w:rPr>
  </w:style>
  <w:style w:type="character" w:customStyle="1" w:styleId="MSACESBulletPointChar">
    <w:name w:val="MSAC ES Bullet Point Char"/>
    <w:basedOn w:val="MSACESParagraphChar"/>
    <w:link w:val="MSACESBulletPoint"/>
    <w:uiPriority w:val="1"/>
    <w:rsid w:val="00F50184"/>
    <w:rPr>
      <w:rFonts w:eastAsiaTheme="minorHAnsi" w:cstheme="minorBidi"/>
      <w:sz w:val="24"/>
      <w:szCs w:val="22"/>
    </w:rPr>
  </w:style>
  <w:style w:type="paragraph" w:customStyle="1" w:styleId="ESHeading1">
    <w:name w:val="ES Heading 1"/>
    <w:basedOn w:val="Heading1"/>
    <w:next w:val="Heading1"/>
    <w:uiPriority w:val="8"/>
    <w:semiHidden/>
    <w:rsid w:val="00F50184"/>
    <w:pPr>
      <w:numPr>
        <w:numId w:val="0"/>
      </w:numPr>
      <w:spacing w:after="120"/>
      <w:ind w:left="720" w:hanging="720"/>
      <w:jc w:val="left"/>
    </w:pPr>
    <w:rPr>
      <w:rFonts w:asciiTheme="minorHAnsi" w:eastAsia="Times New Roman" w:hAnsiTheme="minorHAnsi" w:cs="Arial"/>
      <w:b/>
      <w:snapToGrid w:val="0"/>
      <w:color w:val="auto"/>
    </w:rPr>
  </w:style>
  <w:style w:type="paragraph" w:customStyle="1" w:styleId="ESHeading2">
    <w:name w:val="ES Heading 2"/>
    <w:basedOn w:val="Heading2"/>
    <w:uiPriority w:val="8"/>
    <w:semiHidden/>
    <w:rsid w:val="00F50184"/>
    <w:pPr>
      <w:keepLines/>
      <w:spacing w:before="360" w:after="120" w:line="240" w:lineRule="auto"/>
      <w:ind w:left="720" w:hanging="720"/>
      <w:jc w:val="left"/>
    </w:pPr>
    <w:rPr>
      <w:rFonts w:asciiTheme="majorHAnsi" w:hAnsiTheme="majorHAnsi"/>
      <w:b/>
      <w:snapToGrid w:val="0"/>
      <w:spacing w:val="0"/>
      <w:kern w:val="0"/>
      <w:szCs w:val="28"/>
    </w:rPr>
  </w:style>
  <w:style w:type="paragraph" w:customStyle="1" w:styleId="ESHeadingCAPS">
    <w:name w:val="ES Heading CAPS"/>
    <w:basedOn w:val="ESHeading2"/>
    <w:uiPriority w:val="8"/>
    <w:semiHidden/>
    <w:rsid w:val="00F50184"/>
    <w:rPr>
      <w:i w:val="0"/>
      <w:smallCaps/>
      <w:sz w:val="32"/>
    </w:rPr>
  </w:style>
  <w:style w:type="paragraph" w:customStyle="1" w:styleId="ESHeading3">
    <w:name w:val="ES Heading 3"/>
    <w:basedOn w:val="ESHeading2"/>
    <w:uiPriority w:val="8"/>
    <w:semiHidden/>
    <w:rsid w:val="00F50184"/>
    <w:pPr>
      <w:ind w:left="1080" w:hanging="1080"/>
    </w:pPr>
    <w:rPr>
      <w:i w:val="0"/>
      <w:sz w:val="24"/>
    </w:rPr>
  </w:style>
  <w:style w:type="numbering" w:customStyle="1" w:styleId="MSACESBulletpoints">
    <w:name w:val="MSAC ES Bullet points"/>
    <w:uiPriority w:val="99"/>
    <w:rsid w:val="00F50184"/>
    <w:pPr>
      <w:numPr>
        <w:numId w:val="6"/>
      </w:numPr>
    </w:pPr>
  </w:style>
  <w:style w:type="paragraph" w:customStyle="1" w:styleId="MainBodyBulletPoint">
    <w:name w:val="MainBody Bullet Point"/>
    <w:basedOn w:val="InstructionBulletpoint"/>
    <w:link w:val="MainBodyBulletPointChar"/>
    <w:uiPriority w:val="1"/>
    <w:rsid w:val="00F50184"/>
    <w:pPr>
      <w:numPr>
        <w:numId w:val="7"/>
      </w:numPr>
      <w:ind w:left="714" w:hanging="357"/>
    </w:pPr>
  </w:style>
  <w:style w:type="character" w:customStyle="1" w:styleId="MainBodyBulletPointChar">
    <w:name w:val="MainBody Bullet Point Char"/>
    <w:basedOn w:val="InstructionBulletpointChar"/>
    <w:link w:val="MainBodyBulletPoint"/>
    <w:uiPriority w:val="1"/>
    <w:rsid w:val="00F50184"/>
    <w:rPr>
      <w:rFonts w:ascii="Calibri" w:eastAsiaTheme="minorHAnsi" w:hAnsi="Calibri" w:cstheme="minorHAnsi"/>
      <w:color w:val="3366FF"/>
      <w:sz w:val="24"/>
      <w:szCs w:val="22"/>
    </w:rPr>
  </w:style>
  <w:style w:type="character" w:customStyle="1" w:styleId="OutlineHeading1Char">
    <w:name w:val="Outline Heading 1 Char"/>
    <w:basedOn w:val="Heading1Char"/>
    <w:link w:val="OutlineHeading1"/>
    <w:uiPriority w:val="3"/>
    <w:rsid w:val="00F50184"/>
    <w:rPr>
      <w:rFonts w:asciiTheme="minorHAnsi" w:eastAsiaTheme="majorEastAsia" w:hAnsiTheme="minorHAnsi" w:cstheme="majorBidi"/>
      <w:b/>
      <w:color w:val="2E74B5" w:themeColor="accent1" w:themeShade="BF"/>
      <w:sz w:val="32"/>
      <w:szCs w:val="28"/>
    </w:rPr>
  </w:style>
  <w:style w:type="numbering" w:customStyle="1" w:styleId="Style1">
    <w:name w:val="Style1"/>
    <w:uiPriority w:val="99"/>
    <w:rsid w:val="00F50184"/>
    <w:pPr>
      <w:numPr>
        <w:numId w:val="10"/>
      </w:numPr>
    </w:pPr>
  </w:style>
  <w:style w:type="numbering" w:customStyle="1" w:styleId="Style2">
    <w:name w:val="Style2"/>
    <w:uiPriority w:val="99"/>
    <w:rsid w:val="00F50184"/>
    <w:pPr>
      <w:numPr>
        <w:numId w:val="11"/>
      </w:numPr>
    </w:pPr>
  </w:style>
  <w:style w:type="table" w:customStyle="1" w:styleId="ListTable1Light1">
    <w:name w:val="List Table 1 Light1"/>
    <w:basedOn w:val="TableNormal"/>
    <w:uiPriority w:val="46"/>
    <w:rsid w:val="00F50184"/>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61">
    <w:name w:val="List Table 7 Colorful - Accent 61"/>
    <w:basedOn w:val="TableNormal"/>
    <w:uiPriority w:val="52"/>
    <w:rsid w:val="00F50184"/>
    <w:rPr>
      <w:rFonts w:asciiTheme="minorHAnsi" w:eastAsiaTheme="minorHAnsi" w:hAnsiTheme="minorHAnsi" w:cstheme="minorBidi"/>
      <w:color w:val="538135" w:themeColor="accent6"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rsid w:val="00F50184"/>
    <w:rPr>
      <w:i/>
      <w:iCs/>
    </w:rPr>
  </w:style>
  <w:style w:type="numbering" w:customStyle="1" w:styleId="Style3">
    <w:name w:val="Style3"/>
    <w:uiPriority w:val="99"/>
    <w:rsid w:val="00F50184"/>
    <w:pPr>
      <w:numPr>
        <w:numId w:val="12"/>
      </w:numPr>
    </w:pPr>
  </w:style>
  <w:style w:type="character" w:customStyle="1" w:styleId="TableRowHeaderChar">
    <w:name w:val="Table Row Header Char"/>
    <w:basedOn w:val="TableTextChar"/>
    <w:link w:val="TableRowHeader"/>
    <w:rsid w:val="00F50184"/>
    <w:rPr>
      <w:rFonts w:ascii="Arial Narrow" w:eastAsiaTheme="minorHAnsi" w:hAnsi="Arial Narrow" w:cstheme="minorBidi"/>
      <w:b/>
      <w:bCs w:val="0"/>
      <w:szCs w:val="22"/>
    </w:rPr>
  </w:style>
  <w:style w:type="paragraph" w:customStyle="1" w:styleId="Guidelinescross-ref">
    <w:name w:val="Guidelines cross-ref"/>
    <w:basedOn w:val="Normal"/>
    <w:rsid w:val="00F50184"/>
    <w:pPr>
      <w:spacing w:before="240" w:after="240" w:line="259" w:lineRule="auto"/>
      <w:jc w:val="left"/>
    </w:pPr>
    <w:rPr>
      <w:rFonts w:ascii="Franklin Gothic Book" w:hAnsi="Franklin Gothic Book"/>
      <w:b/>
      <w:color w:val="0070C0"/>
    </w:rPr>
  </w:style>
  <w:style w:type="paragraph" w:customStyle="1" w:styleId="Instructionaltext0">
    <w:name w:val="Instructional text"/>
    <w:basedOn w:val="Normal"/>
    <w:link w:val="InstructionaltextChar0"/>
    <w:rsid w:val="00F50184"/>
    <w:pPr>
      <w:spacing w:line="259" w:lineRule="auto"/>
      <w:jc w:val="left"/>
    </w:pPr>
    <w:rPr>
      <w:rFonts w:ascii="Franklin Gothic Book" w:hAnsi="Franklin Gothic Book"/>
      <w:color w:val="258221"/>
      <w:sz w:val="22"/>
    </w:rPr>
  </w:style>
  <w:style w:type="character" w:customStyle="1" w:styleId="InstructionaltextChar0">
    <w:name w:val="Instructional text Char"/>
    <w:basedOn w:val="DefaultParagraphFont"/>
    <w:link w:val="Instructionaltext0"/>
    <w:rsid w:val="00F50184"/>
    <w:rPr>
      <w:rFonts w:ascii="Franklin Gothic Book" w:eastAsiaTheme="minorHAnsi" w:hAnsi="Franklin Gothic Book" w:cstheme="minorBidi"/>
      <w:color w:val="258221"/>
      <w:sz w:val="22"/>
      <w:szCs w:val="22"/>
    </w:rPr>
  </w:style>
  <w:style w:type="paragraph" w:customStyle="1" w:styleId="Instructionaltext-afterfiguretable">
    <w:name w:val="Instructional text - after figure/table"/>
    <w:basedOn w:val="Instructionaltext0"/>
    <w:rsid w:val="00F50184"/>
    <w:pPr>
      <w:spacing w:before="360"/>
    </w:pPr>
  </w:style>
  <w:style w:type="paragraph" w:customStyle="1" w:styleId="Instructionaltext-bullet">
    <w:name w:val="Instructional text - bullet"/>
    <w:basedOn w:val="Instructionaltext0"/>
    <w:rsid w:val="00F50184"/>
    <w:pPr>
      <w:numPr>
        <w:numId w:val="13"/>
      </w:numPr>
      <w:tabs>
        <w:tab w:val="num" w:pos="360"/>
        <w:tab w:val="num" w:pos="1209"/>
      </w:tabs>
      <w:ind w:left="714" w:hanging="357"/>
    </w:pPr>
  </w:style>
  <w:style w:type="paragraph" w:customStyle="1" w:styleId="Bullet">
    <w:name w:val="Bullet"/>
    <w:basedOn w:val="Normal"/>
    <w:rsid w:val="00F50184"/>
    <w:pPr>
      <w:numPr>
        <w:numId w:val="16"/>
      </w:numPr>
      <w:spacing w:after="120"/>
      <w:jc w:val="left"/>
    </w:pPr>
    <w:rPr>
      <w:sz w:val="22"/>
    </w:rPr>
  </w:style>
  <w:style w:type="paragraph" w:customStyle="1" w:styleId="Summaryboxheading">
    <w:name w:val="Summary box heading"/>
    <w:basedOn w:val="Normal"/>
    <w:rsid w:val="00F50184"/>
    <w:pPr>
      <w:spacing w:after="100" w:afterAutospacing="1" w:line="259" w:lineRule="auto"/>
    </w:pPr>
    <w:rPr>
      <w:rFonts w:ascii="Arial Narrow" w:eastAsia="Times New Roman" w:hAnsi="Arial Narrow" w:cs="Tahoma"/>
      <w:b/>
      <w:sz w:val="22"/>
      <w:lang w:eastAsia="en-AU"/>
    </w:rPr>
  </w:style>
  <w:style w:type="paragraph" w:customStyle="1" w:styleId="Tabletext0">
    <w:name w:val="Table text"/>
    <w:basedOn w:val="Normal"/>
    <w:link w:val="TabletextChar0"/>
    <w:rsid w:val="00F50184"/>
    <w:pPr>
      <w:jc w:val="left"/>
    </w:pPr>
    <w:rPr>
      <w:rFonts w:ascii="Arial Narrow" w:eastAsia="Times New Roman" w:hAnsi="Arial Narrow" w:cs="Times New Roman"/>
      <w:snapToGrid w:val="0"/>
      <w:sz w:val="20"/>
      <w:lang w:eastAsia="en-AU"/>
    </w:rPr>
  </w:style>
  <w:style w:type="character" w:customStyle="1" w:styleId="TabletextChar0">
    <w:name w:val="Table text Char"/>
    <w:link w:val="Tabletext0"/>
    <w:rsid w:val="00F50184"/>
    <w:rPr>
      <w:rFonts w:ascii="Arial Narrow" w:hAnsi="Arial Narrow"/>
      <w:snapToGrid w:val="0"/>
      <w:szCs w:val="24"/>
      <w:lang w:eastAsia="en-AU"/>
    </w:rPr>
  </w:style>
  <w:style w:type="table" w:customStyle="1" w:styleId="ASDTable1">
    <w:name w:val="ASD Table1"/>
    <w:basedOn w:val="TableNormal"/>
    <w:next w:val="TableGrid"/>
    <w:uiPriority w:val="39"/>
    <w:rsid w:val="00F50184"/>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ListParagraph"/>
    <w:rsid w:val="00F50184"/>
    <w:pPr>
      <w:numPr>
        <w:numId w:val="17"/>
      </w:numPr>
      <w:tabs>
        <w:tab w:val="num" w:pos="360"/>
      </w:tabs>
      <w:ind w:hanging="720"/>
      <w:contextualSpacing/>
      <w:jc w:val="both"/>
    </w:pPr>
    <w:rPr>
      <w:lang w:eastAsia="en-AU"/>
    </w:rPr>
  </w:style>
  <w:style w:type="paragraph" w:customStyle="1" w:styleId="Commentitalics">
    <w:name w:val="Comment (italics)"/>
    <w:basedOn w:val="Normal"/>
    <w:next w:val="Normal"/>
    <w:rsid w:val="00F50184"/>
    <w:rPr>
      <w:rFonts w:eastAsia="Times New Roman" w:cs="Arial"/>
      <w:i/>
      <w:lang w:eastAsia="en-AU"/>
    </w:rPr>
  </w:style>
  <w:style w:type="paragraph" w:customStyle="1" w:styleId="RegularText">
    <w:name w:val="Regular Text"/>
    <w:basedOn w:val="BodyText"/>
    <w:link w:val="RegularTextChar"/>
    <w:rsid w:val="00F50184"/>
    <w:pPr>
      <w:spacing w:after="0"/>
      <w:jc w:val="left"/>
    </w:pPr>
    <w:rPr>
      <w:rFonts w:cs="Arial"/>
      <w:b/>
      <w:lang w:eastAsia="en-AU"/>
    </w:rPr>
  </w:style>
  <w:style w:type="character" w:customStyle="1" w:styleId="RegularTextChar">
    <w:name w:val="Regular Text Char"/>
    <w:basedOn w:val="BodyTextChar"/>
    <w:link w:val="RegularText"/>
    <w:rsid w:val="00F50184"/>
    <w:rPr>
      <w:rFonts w:ascii="Calibri" w:eastAsiaTheme="minorHAnsi" w:hAnsi="Calibri" w:cs="Arial"/>
      <w:b/>
      <w:sz w:val="24"/>
      <w:szCs w:val="24"/>
      <w:lang w:eastAsia="en-AU"/>
    </w:rPr>
  </w:style>
  <w:style w:type="paragraph" w:styleId="BodyText">
    <w:name w:val="Body Text"/>
    <w:basedOn w:val="Normal"/>
    <w:link w:val="BodyTextChar"/>
    <w:uiPriority w:val="4"/>
    <w:semiHidden/>
    <w:unhideWhenUsed/>
    <w:rsid w:val="00F50184"/>
    <w:pPr>
      <w:spacing w:after="120"/>
    </w:pPr>
  </w:style>
  <w:style w:type="character" w:customStyle="1" w:styleId="BodyTextChar">
    <w:name w:val="Body Text Char"/>
    <w:basedOn w:val="DefaultParagraphFont"/>
    <w:link w:val="BodyText"/>
    <w:uiPriority w:val="4"/>
    <w:semiHidden/>
    <w:rsid w:val="00F50184"/>
    <w:rPr>
      <w:rFonts w:asciiTheme="minorHAnsi" w:eastAsiaTheme="minorHAnsi" w:hAnsiTheme="minorHAnsi" w:cstheme="minorBidi"/>
      <w:sz w:val="24"/>
      <w:szCs w:val="22"/>
    </w:rPr>
  </w:style>
  <w:style w:type="paragraph" w:customStyle="1" w:styleId="TableHeading">
    <w:name w:val="TableHeading"/>
    <w:basedOn w:val="Normal"/>
    <w:link w:val="TableHeadingChar"/>
    <w:rsid w:val="00F50184"/>
    <w:pPr>
      <w:keepNext/>
      <w:spacing w:after="60"/>
      <w:jc w:val="left"/>
    </w:pPr>
    <w:rPr>
      <w:rFonts w:ascii="Arial Narrow" w:hAnsi="Arial Narrow"/>
      <w:b/>
      <w:sz w:val="20"/>
    </w:rPr>
  </w:style>
  <w:style w:type="character" w:customStyle="1" w:styleId="TableHeadingChar">
    <w:name w:val="TableHeading Char"/>
    <w:link w:val="TableHeading"/>
    <w:rsid w:val="00F50184"/>
    <w:rPr>
      <w:rFonts w:ascii="Arial Narrow" w:eastAsiaTheme="minorHAnsi" w:hAnsi="Arial Narrow" w:cstheme="minorBidi"/>
      <w:b/>
      <w:szCs w:val="22"/>
    </w:rPr>
  </w:style>
  <w:style w:type="paragraph" w:customStyle="1" w:styleId="ExecSumBodyText">
    <w:name w:val="Exec Sum Body Text"/>
    <w:basedOn w:val="Normal"/>
    <w:link w:val="ExecSumBodyTextChar"/>
    <w:uiPriority w:val="99"/>
    <w:rsid w:val="00F50184"/>
    <w:pPr>
      <w:spacing w:after="120"/>
      <w:ind w:left="720" w:hanging="720"/>
    </w:pPr>
    <w:rPr>
      <w:rFonts w:eastAsia="Times New Roman" w:cs="Arial"/>
      <w:snapToGrid w:val="0"/>
      <w:lang w:eastAsia="en-AU"/>
    </w:rPr>
  </w:style>
  <w:style w:type="character" w:customStyle="1" w:styleId="ExecSumBodyTextChar">
    <w:name w:val="Exec Sum Body Text Char"/>
    <w:basedOn w:val="DefaultParagraphFont"/>
    <w:link w:val="ExecSumBodyText"/>
    <w:uiPriority w:val="99"/>
    <w:rsid w:val="00F50184"/>
    <w:rPr>
      <w:rFonts w:asciiTheme="minorHAnsi" w:hAnsiTheme="minorHAnsi" w:cs="Arial"/>
      <w:snapToGrid w:val="0"/>
      <w:sz w:val="24"/>
      <w:szCs w:val="24"/>
      <w:lang w:eastAsia="en-AU"/>
    </w:rPr>
  </w:style>
  <w:style w:type="table" w:customStyle="1" w:styleId="RTIAMCPTable1">
    <w:name w:val="RTI AMCP Table1"/>
    <w:basedOn w:val="TableNormal"/>
    <w:next w:val="TableGrid"/>
    <w:uiPriority w:val="39"/>
    <w:rsid w:val="00F50184"/>
    <w:rPr>
      <w:rFonts w:asciiTheme="minorHAnsi" w:eastAsiaTheme="minorHAnsi" w:hAnsiTheme="minorHAnsi" w:cs="Calibri (Body)"/>
      <w:sz w:val="22"/>
      <w:szCs w:val="22"/>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character" w:customStyle="1" w:styleId="ui-provider">
    <w:name w:val="ui-provider"/>
    <w:basedOn w:val="DefaultParagraphFont"/>
    <w:rsid w:val="00F50184"/>
  </w:style>
  <w:style w:type="table" w:customStyle="1" w:styleId="RTIAMCPTable2">
    <w:name w:val="RTI AMCP Table2"/>
    <w:basedOn w:val="TableNormal"/>
    <w:next w:val="TableGrid"/>
    <w:uiPriority w:val="39"/>
    <w:rsid w:val="00F50184"/>
    <w:rPr>
      <w:rFonts w:asciiTheme="minorHAnsi" w:eastAsiaTheme="minorHAnsi" w:hAnsiTheme="minorHAnsi" w:cs="Calibri (Body)"/>
      <w:sz w:val="22"/>
      <w:szCs w:val="22"/>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RTIAMCPTable3">
    <w:name w:val="RTI AMCP Table3"/>
    <w:basedOn w:val="TableNormal"/>
    <w:next w:val="TableGrid"/>
    <w:uiPriority w:val="39"/>
    <w:rsid w:val="00F50184"/>
    <w:rPr>
      <w:rFonts w:asciiTheme="minorHAnsi" w:eastAsiaTheme="minorHAnsi" w:hAnsiTheme="minorHAnsi" w:cs="Calibri (Body)"/>
      <w:sz w:val="22"/>
      <w:szCs w:val="22"/>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newstyle1">
    <w:name w:val="new style1"/>
    <w:basedOn w:val="TableNormal"/>
    <w:next w:val="TableGrid"/>
    <w:uiPriority w:val="39"/>
    <w:rsid w:val="00F50184"/>
    <w:pPr>
      <w:jc w:val="both"/>
    </w:pPr>
    <w:rPr>
      <w:rFonts w:ascii="Arial" w:eastAsia="MS PGothic" w:hAnsi="Arial"/>
      <w:sz w:val="22"/>
      <w:szCs w:val="24"/>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F50184"/>
    <w:pPr>
      <w:autoSpaceDE w:val="0"/>
      <w:autoSpaceDN w:val="0"/>
      <w:adjustRightInd w:val="0"/>
    </w:pPr>
    <w:rPr>
      <w:rFonts w:ascii="Arial" w:hAnsi="Arial" w:cs="Arial"/>
      <w:color w:val="000000"/>
      <w:sz w:val="24"/>
      <w:szCs w:val="24"/>
      <w:lang w:val="en-US"/>
    </w:rPr>
  </w:style>
  <w:style w:type="character" w:customStyle="1" w:styleId="DefaultChar">
    <w:name w:val="Default Char"/>
    <w:basedOn w:val="DefaultParagraphFont"/>
    <w:link w:val="Default"/>
    <w:rsid w:val="00F50184"/>
    <w:rPr>
      <w:rFonts w:ascii="Arial" w:hAnsi="Arial" w:cs="Arial"/>
      <w:color w:val="000000"/>
      <w:sz w:val="24"/>
      <w:szCs w:val="24"/>
      <w:lang w:val="en-US"/>
    </w:rPr>
  </w:style>
  <w:style w:type="paragraph" w:customStyle="1" w:styleId="PBACTableText">
    <w:name w:val="PBAC Table Text"/>
    <w:basedOn w:val="Normal"/>
    <w:link w:val="PBACTableTextChar"/>
    <w:rsid w:val="00F50184"/>
    <w:pPr>
      <w:spacing w:before="40" w:after="40"/>
      <w:jc w:val="left"/>
    </w:pPr>
    <w:rPr>
      <w:rFonts w:ascii="Arial Narrow" w:hAnsi="Arial Narrow" w:cs="Calibri (Body)"/>
      <w:sz w:val="20"/>
      <w:lang w:val="en-US"/>
    </w:rPr>
  </w:style>
  <w:style w:type="character" w:customStyle="1" w:styleId="PBACTableTextChar">
    <w:name w:val="PBAC Table Text Char"/>
    <w:basedOn w:val="DefaultParagraphFont"/>
    <w:link w:val="PBACTableText"/>
    <w:rsid w:val="00F50184"/>
    <w:rPr>
      <w:rFonts w:ascii="Arial Narrow" w:eastAsiaTheme="minorHAnsi" w:hAnsi="Arial Narrow" w:cs="Calibri (Body)"/>
      <w:szCs w:val="22"/>
      <w:lang w:val="en-US"/>
    </w:rPr>
  </w:style>
  <w:style w:type="table" w:customStyle="1" w:styleId="Evideratable">
    <w:name w:val="Evidera table"/>
    <w:basedOn w:val="TableNormal"/>
    <w:rsid w:val="00F50184"/>
    <w:pPr>
      <w:spacing w:before="40" w:after="40"/>
    </w:pPr>
    <w:rPr>
      <w:rFonts w:asciiTheme="minorHAnsi" w:hAnsiTheme="minorHAnsi"/>
      <w:lang w:val="en-GB" w:eastAsia="en-GB"/>
    </w:rPr>
    <w:tblPr>
      <w:tblStyleRowBandSize w:val="1"/>
      <w:tblInd w:w="0" w:type="nil"/>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8" w:space="0" w:color="E7E6E6" w:themeColor="background2"/>
        <w:insideV w:val="dotted" w:sz="8" w:space="0" w:color="E7E6E6" w:themeColor="background2"/>
      </w:tblBorders>
    </w:tblPr>
    <w:tblStylePr w:type="firstRow">
      <w:rPr>
        <w:rFonts w:asciiTheme="majorHAnsi" w:hAnsiTheme="majorHAnsi" w:hint="default"/>
        <w:b/>
        <w:sz w:val="18"/>
        <w:szCs w:val="18"/>
      </w:rPr>
      <w:tblPr/>
      <w:tcPr>
        <w:tcBorders>
          <w:top w:val="single" w:sz="4" w:space="0" w:color="E7E6E6" w:themeColor="background2"/>
          <w:left w:val="single" w:sz="4" w:space="0" w:color="E7E6E6" w:themeColor="background2"/>
          <w:bottom w:val="single" w:sz="18" w:space="0" w:color="4472C4" w:themeColor="accent5"/>
          <w:right w:val="single" w:sz="4" w:space="0" w:color="E7E6E6" w:themeColor="background2"/>
          <w:insideH w:val="single" w:sz="18" w:space="0" w:color="4472C4" w:themeColor="accent5"/>
          <w:insideV w:val="dotted" w:sz="4" w:space="0" w:color="E7E6E6" w:themeColor="background2"/>
          <w:tl2br w:val="nil"/>
          <w:tr2bl w:val="nil"/>
        </w:tcBorders>
        <w:shd w:val="clear" w:color="auto" w:fill="D9D9D9"/>
      </w:tcPr>
    </w:tblStylePr>
    <w:tblStylePr w:type="lastRow">
      <w:pPr>
        <w:wordWrap/>
        <w:spacing w:beforeLines="0" w:before="100" w:beforeAutospacing="1" w:afterLines="0" w:after="100" w:afterAutospacing="1" w:line="240" w:lineRule="auto"/>
      </w:pPr>
      <w:rPr>
        <w:rFonts w:ascii="Arial" w:hAnsi="Arial" w:cs="Arial" w:hint="default"/>
      </w:rPr>
      <w:tblPr/>
      <w:tcPr>
        <w:tcBorders>
          <w:top w:val="nil"/>
          <w:left w:val="nil"/>
          <w:bottom w:val="single" w:sz="18" w:space="0" w:color="C00000"/>
          <w:right w:val="nil"/>
          <w:insideH w:val="nil"/>
          <w:insideV w:val="nil"/>
          <w:tl2br w:val="nil"/>
          <w:tr2bl w:val="nil"/>
        </w:tcBorders>
      </w:tcPr>
    </w:tblStylePr>
    <w:tblStylePr w:type="firstCol">
      <w:tblPr/>
      <w:tcPr>
        <w:tcBorders>
          <w:left w:val="single" w:sz="4" w:space="0" w:color="E7E6E6" w:themeColor="background2"/>
        </w:tcBorders>
      </w:tcPr>
    </w:tblStylePr>
    <w:tblStylePr w:type="lastCol">
      <w:tblPr/>
      <w:tcPr>
        <w:tcBorders>
          <w:left w:val="nil"/>
          <w:right w:val="single" w:sz="4" w:space="0" w:color="E7E6E6" w:themeColor="background2"/>
        </w:tcBorders>
      </w:tcPr>
    </w:tblStylePr>
    <w:tblStylePr w:type="band1Horz">
      <w:tblPr/>
      <w:tcPr>
        <w:tcBorders>
          <w:insideV w:val="dotted" w:sz="4" w:space="0" w:color="E7E6E6" w:themeColor="background2"/>
        </w:tcBorders>
      </w:tcPr>
    </w:tblStylePr>
    <w:tblStylePr w:type="seCell">
      <w:tblPr/>
      <w:tcPr>
        <w:tcBorders>
          <w:right w:val="single" w:sz="4" w:space="0" w:color="E7E6E6" w:themeColor="background2"/>
        </w:tcBorders>
      </w:tcPr>
    </w:tblStylePr>
    <w:tblStylePr w:type="swCell">
      <w:tblPr/>
      <w:tcPr>
        <w:tcBorders>
          <w:left w:val="single" w:sz="4" w:space="0" w:color="E7E6E6" w:themeColor="background2"/>
        </w:tcBorders>
      </w:tcPr>
    </w:tblStylePr>
  </w:style>
  <w:style w:type="table" w:customStyle="1" w:styleId="TableGrid10">
    <w:name w:val="Table Grid1"/>
    <w:basedOn w:val="TableNormal"/>
    <w:next w:val="TableGrid"/>
    <w:rsid w:val="00F5018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BACTableStyle1">
    <w:name w:val="PBAC Table Style1"/>
    <w:basedOn w:val="TableGrid1"/>
    <w:uiPriority w:val="99"/>
    <w:rsid w:val="00F50184"/>
    <w:pPr>
      <w:widowControl w:val="0"/>
      <w:spacing w:after="0"/>
      <w:contextualSpacing/>
      <w:jc w:val="center"/>
    </w:pPr>
    <w:rPr>
      <w:rFonts w:ascii="Arial Narrow" w:hAnsi="Arial Narrow"/>
      <w:color w:val="000000" w:themeColor="text1"/>
      <w:sz w:val="20"/>
      <w:szCs w:val="20"/>
      <w:lang w:val="en-US"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Arial Narrow" w:hAnsi="Arial Narrow"/>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Arial Narrow" w:hAnsi="Arial Narrow"/>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Arial Narrow" w:hAnsi="Arial Narrow"/>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paragraph" w:customStyle="1" w:styleId="EndNoteBibliographyTitle">
    <w:name w:val="EndNote Bibliography Title"/>
    <w:basedOn w:val="Normal"/>
    <w:link w:val="EndNoteBibliographyTitleChar"/>
    <w:rsid w:val="00F50184"/>
    <w:pPr>
      <w:jc w:val="center"/>
    </w:pPr>
    <w:rPr>
      <w:rFonts w:ascii="Arial Narrow" w:hAnsi="Arial Narrow" w:cstheme="minorHAnsi"/>
      <w:noProof/>
      <w:color w:val="3366FF"/>
      <w:lang w:val="en-US"/>
    </w:rPr>
  </w:style>
  <w:style w:type="character" w:customStyle="1" w:styleId="EndNoteBibliographyTitleChar">
    <w:name w:val="EndNote Bibliography Title Char"/>
    <w:basedOn w:val="InstructionalTextChar"/>
    <w:link w:val="EndNoteBibliographyTitle"/>
    <w:rsid w:val="00F50184"/>
    <w:rPr>
      <w:rFonts w:ascii="Arial Narrow" w:eastAsiaTheme="minorHAnsi" w:hAnsi="Arial Narrow" w:cstheme="minorHAnsi"/>
      <w:noProof/>
      <w:color w:val="3366FF"/>
      <w:sz w:val="24"/>
      <w:szCs w:val="22"/>
      <w:lang w:val="en-US"/>
    </w:rPr>
  </w:style>
  <w:style w:type="paragraph" w:customStyle="1" w:styleId="EndNoteBibliography">
    <w:name w:val="EndNote Bibliography"/>
    <w:basedOn w:val="Normal"/>
    <w:link w:val="EndNoteBibliographyChar"/>
    <w:rsid w:val="00F50184"/>
    <w:rPr>
      <w:rFonts w:ascii="Arial Narrow" w:hAnsi="Arial Narrow" w:cstheme="minorHAnsi"/>
      <w:noProof/>
      <w:color w:val="3366FF"/>
      <w:lang w:val="en-US"/>
    </w:rPr>
  </w:style>
  <w:style w:type="character" w:customStyle="1" w:styleId="EndNoteBibliographyChar">
    <w:name w:val="EndNote Bibliography Char"/>
    <w:basedOn w:val="InstructionalTextChar"/>
    <w:link w:val="EndNoteBibliography"/>
    <w:rsid w:val="00F50184"/>
    <w:rPr>
      <w:rFonts w:ascii="Arial Narrow" w:eastAsiaTheme="minorHAnsi" w:hAnsi="Arial Narrow" w:cstheme="minorHAnsi"/>
      <w:noProof/>
      <w:color w:val="3366FF"/>
      <w:sz w:val="24"/>
      <w:szCs w:val="22"/>
      <w:lang w:val="en-US"/>
    </w:rPr>
  </w:style>
  <w:style w:type="character" w:styleId="Mention">
    <w:name w:val="Mention"/>
    <w:basedOn w:val="DefaultParagraphFont"/>
    <w:uiPriority w:val="99"/>
    <w:unhideWhenUsed/>
    <w:rsid w:val="00F50184"/>
    <w:rPr>
      <w:color w:val="2B579A"/>
      <w:shd w:val="clear" w:color="auto" w:fill="E1DFDD"/>
    </w:rPr>
  </w:style>
  <w:style w:type="paragraph" w:customStyle="1" w:styleId="3-SubsectionHeading">
    <w:name w:val="3-Subsection Heading"/>
    <w:basedOn w:val="Heading2"/>
    <w:next w:val="Normal"/>
    <w:link w:val="3-SubsectionHeadingChar"/>
    <w:rsid w:val="00F50184"/>
    <w:pPr>
      <w:spacing w:before="120" w:after="120" w:line="240" w:lineRule="auto"/>
      <w:outlineLvl w:val="9"/>
    </w:pPr>
    <w:rPr>
      <w:rFonts w:ascii="Arial" w:hAnsi="Arial"/>
      <w:b/>
      <w:color w:val="2E74B5" w:themeColor="accent1" w:themeShade="BF"/>
    </w:rPr>
  </w:style>
  <w:style w:type="character" w:customStyle="1" w:styleId="3-SubsectionHeadingChar">
    <w:name w:val="3-Subsection Heading Char"/>
    <w:basedOn w:val="Heading2Char"/>
    <w:link w:val="3-SubsectionHeading"/>
    <w:rsid w:val="00F50184"/>
    <w:rPr>
      <w:rFonts w:ascii="Arial" w:eastAsiaTheme="majorEastAsia" w:hAnsi="Arial" w:cstheme="majorBidi"/>
      <w:b/>
      <w:i/>
      <w:color w:val="2E74B5" w:themeColor="accent1" w:themeShade="BF"/>
      <w:spacing w:val="5"/>
      <w:kern w:val="28"/>
      <w:sz w:val="28"/>
      <w:szCs w:val="36"/>
    </w:rPr>
  </w:style>
  <w:style w:type="paragraph" w:customStyle="1" w:styleId="2Sections">
    <w:name w:val="2. Sections"/>
    <w:qFormat/>
    <w:rsid w:val="002963E6"/>
    <w:pPr>
      <w:spacing w:before="240" w:after="120"/>
      <w:ind w:left="720" w:hanging="720"/>
      <w:outlineLvl w:val="0"/>
    </w:pPr>
    <w:rPr>
      <w:rFonts w:asciiTheme="minorHAnsi" w:hAnsiTheme="minorHAnsi" w:cs="Arial"/>
      <w:b/>
      <w:snapToGrid w:val="0"/>
      <w:sz w:val="32"/>
      <w:szCs w:val="32"/>
    </w:rPr>
  </w:style>
  <w:style w:type="character" w:styleId="UnresolvedMention">
    <w:name w:val="Unresolved Mention"/>
    <w:basedOn w:val="DefaultParagraphFont"/>
    <w:uiPriority w:val="99"/>
    <w:semiHidden/>
    <w:unhideWhenUsed/>
    <w:rsid w:val="00834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22668">
      <w:bodyDiv w:val="1"/>
      <w:marLeft w:val="0"/>
      <w:marRight w:val="0"/>
      <w:marTop w:val="0"/>
      <w:marBottom w:val="0"/>
      <w:divBdr>
        <w:top w:val="none" w:sz="0" w:space="0" w:color="auto"/>
        <w:left w:val="none" w:sz="0" w:space="0" w:color="auto"/>
        <w:bottom w:val="none" w:sz="0" w:space="0" w:color="auto"/>
        <w:right w:val="none" w:sz="0" w:space="0" w:color="auto"/>
      </w:divBdr>
    </w:div>
    <w:div w:id="395903727">
      <w:bodyDiv w:val="1"/>
      <w:marLeft w:val="0"/>
      <w:marRight w:val="0"/>
      <w:marTop w:val="0"/>
      <w:marBottom w:val="0"/>
      <w:divBdr>
        <w:top w:val="none" w:sz="0" w:space="0" w:color="auto"/>
        <w:left w:val="none" w:sz="0" w:space="0" w:color="auto"/>
        <w:bottom w:val="none" w:sz="0" w:space="0" w:color="auto"/>
        <w:right w:val="none" w:sz="0" w:space="0" w:color="auto"/>
      </w:divBdr>
    </w:div>
    <w:div w:id="508101537">
      <w:bodyDiv w:val="1"/>
      <w:marLeft w:val="0"/>
      <w:marRight w:val="0"/>
      <w:marTop w:val="0"/>
      <w:marBottom w:val="0"/>
      <w:divBdr>
        <w:top w:val="none" w:sz="0" w:space="0" w:color="auto"/>
        <w:left w:val="none" w:sz="0" w:space="0" w:color="auto"/>
        <w:bottom w:val="none" w:sz="0" w:space="0" w:color="auto"/>
        <w:right w:val="none" w:sz="0" w:space="0" w:color="auto"/>
      </w:divBdr>
    </w:div>
    <w:div w:id="610164027">
      <w:bodyDiv w:val="1"/>
      <w:marLeft w:val="0"/>
      <w:marRight w:val="0"/>
      <w:marTop w:val="0"/>
      <w:marBottom w:val="0"/>
      <w:divBdr>
        <w:top w:val="none" w:sz="0" w:space="0" w:color="auto"/>
        <w:left w:val="none" w:sz="0" w:space="0" w:color="auto"/>
        <w:bottom w:val="none" w:sz="0" w:space="0" w:color="auto"/>
        <w:right w:val="none" w:sz="0" w:space="0" w:color="auto"/>
      </w:divBdr>
    </w:div>
    <w:div w:id="758336526">
      <w:bodyDiv w:val="1"/>
      <w:marLeft w:val="0"/>
      <w:marRight w:val="0"/>
      <w:marTop w:val="0"/>
      <w:marBottom w:val="0"/>
      <w:divBdr>
        <w:top w:val="none" w:sz="0" w:space="0" w:color="auto"/>
        <w:left w:val="none" w:sz="0" w:space="0" w:color="auto"/>
        <w:bottom w:val="none" w:sz="0" w:space="0" w:color="auto"/>
        <w:right w:val="none" w:sz="0" w:space="0" w:color="auto"/>
      </w:divBdr>
    </w:div>
    <w:div w:id="860432032">
      <w:bodyDiv w:val="1"/>
      <w:marLeft w:val="0"/>
      <w:marRight w:val="0"/>
      <w:marTop w:val="0"/>
      <w:marBottom w:val="0"/>
      <w:divBdr>
        <w:top w:val="none" w:sz="0" w:space="0" w:color="auto"/>
        <w:left w:val="none" w:sz="0" w:space="0" w:color="auto"/>
        <w:bottom w:val="none" w:sz="0" w:space="0" w:color="auto"/>
        <w:right w:val="none" w:sz="0" w:space="0" w:color="auto"/>
      </w:divBdr>
    </w:div>
    <w:div w:id="1496409533">
      <w:bodyDiv w:val="1"/>
      <w:marLeft w:val="0"/>
      <w:marRight w:val="0"/>
      <w:marTop w:val="0"/>
      <w:marBottom w:val="0"/>
      <w:divBdr>
        <w:top w:val="none" w:sz="0" w:space="0" w:color="auto"/>
        <w:left w:val="none" w:sz="0" w:space="0" w:color="auto"/>
        <w:bottom w:val="none" w:sz="0" w:space="0" w:color="auto"/>
        <w:right w:val="none" w:sz="0" w:space="0" w:color="auto"/>
      </w:divBdr>
    </w:div>
    <w:div w:id="194873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nindss.health.gov.au/pbi-dashboard/"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e51428b0228e67eced309ab2eb588d06">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38a8809e295465d0786272f204bf628"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FB5186-A817-4530-8BA9-7E945CEE0E9B}">
  <ds:schemaRefs>
    <ds:schemaRef ds:uri="http://schemas.openxmlformats.org/officeDocument/2006/bibliography"/>
  </ds:schemaRefs>
</ds:datastoreItem>
</file>

<file path=customXml/itemProps2.xml><?xml version="1.0" encoding="utf-8"?>
<ds:datastoreItem xmlns:ds="http://schemas.openxmlformats.org/officeDocument/2006/customXml" ds:itemID="{BEEF5EDB-2337-456C-A90F-F19849D58024}">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3.xml><?xml version="1.0" encoding="utf-8"?>
<ds:datastoreItem xmlns:ds="http://schemas.openxmlformats.org/officeDocument/2006/customXml" ds:itemID="{34828C0F-99B5-4FC0-BBE8-90BA12E58F48}">
  <ds:schemaRefs>
    <ds:schemaRef ds:uri="http://schemas.microsoft.com/sharepoint/v3/contenttype/forms"/>
  </ds:schemaRefs>
</ds:datastoreItem>
</file>

<file path=customXml/itemProps4.xml><?xml version="1.0" encoding="utf-8"?>
<ds:datastoreItem xmlns:ds="http://schemas.openxmlformats.org/officeDocument/2006/customXml" ds:itemID="{AD9AA540-235C-4AC4-A0EA-E962E93E510E}"/>
</file>

<file path=docProps/app.xml><?xml version="1.0" encoding="utf-8"?>
<Properties xmlns="http://schemas.openxmlformats.org/officeDocument/2006/extended-properties" xmlns:vt="http://schemas.openxmlformats.org/officeDocument/2006/docPropsVTypes">
  <Template>Normal.dotm</Template>
  <TotalTime>0</TotalTime>
  <Pages>51</Pages>
  <Words>21376</Words>
  <Characters>115009</Characters>
  <Application>Microsoft Office Word</Application>
  <DocSecurity>0</DocSecurity>
  <Lines>3485</Lines>
  <Paragraphs>1948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134437</CharactersWithSpaces>
  <SharedDoc>false</SharedDoc>
  <HLinks>
    <vt:vector size="6" baseType="variant">
      <vt:variant>
        <vt:i4>6357112</vt:i4>
      </vt:variant>
      <vt:variant>
        <vt:i4>114</vt:i4>
      </vt:variant>
      <vt:variant>
        <vt:i4>0</vt:i4>
      </vt:variant>
      <vt:variant>
        <vt:i4>5</vt:i4>
      </vt:variant>
      <vt:variant>
        <vt:lpwstr>https://nindss.health.gov.au/pbi-dashboard/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2025-10-27T04:10:00Z</dcterms:created>
  <dcterms:modified xsi:type="dcterms:W3CDTF">2025-10-27T04:11:00Z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3d77cc89,5397ddd9,751d4172,3f09b96</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299e1135,3ded1126,64391c0</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2025-10-27T03:52:28Z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1c552b36-567c-469c-b5e1-da3cdb68c23f</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0x0101007FED174C5281F747A8037A05221D6DBD</vt:lpwstr>
  </property>
  <property fmtid="{D5CDD505-2E9C-101B-9397-08002B2CF9AE}" pid="19" name="docLang">
    <vt:lpwstr>en</vt:lpwstr>
  </property>
</Properties>
</file>