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386A" w14:textId="77777777" w:rsidR="00446943" w:rsidRPr="00446943" w:rsidRDefault="003A6609" w:rsidP="004C3629">
      <w:pPr>
        <w:pStyle w:val="1-MainHeading"/>
      </w:pPr>
      <w:bookmarkStart w:id="0" w:name="_Toc107927616"/>
      <w:bookmarkStart w:id="1" w:name="_Toc188452560"/>
      <w:bookmarkStart w:id="2" w:name="_Toc107927647"/>
      <w:bookmarkStart w:id="3" w:name="_Toc380746195"/>
      <w:bookmarkStart w:id="4" w:name="_Toc380746321"/>
      <w:bookmarkStart w:id="5" w:name="_Toc380746602"/>
      <w:r w:rsidRPr="589E218A">
        <w:t>5.01</w:t>
      </w:r>
      <w:r>
        <w:tab/>
      </w:r>
      <w:r w:rsidR="00754A1B" w:rsidRPr="589E218A">
        <w:t xml:space="preserve">AMIVANTAMAB </w:t>
      </w:r>
      <w:r>
        <w:br/>
      </w:r>
      <w:r w:rsidR="00754A1B" w:rsidRPr="589E218A">
        <w:t xml:space="preserve">Solution concentrate for I.V. infusion 350 mg in 7 mL, Rybrevant®, </w:t>
      </w:r>
      <w:r>
        <w:br/>
      </w:r>
      <w:r w:rsidR="00754A1B" w:rsidRPr="589E218A">
        <w:t xml:space="preserve">LAZERTINIB, </w:t>
      </w:r>
      <w:r>
        <w:br/>
      </w:r>
      <w:r w:rsidR="00754A1B" w:rsidRPr="589E218A">
        <w:t>Tablet 80 mg (as mesylate monohydrate),</w:t>
      </w:r>
      <w:r>
        <w:br/>
      </w:r>
      <w:r w:rsidR="00754A1B" w:rsidRPr="589E218A">
        <w:t xml:space="preserve">Tablet 240 mg (as mesylate monohydrate), </w:t>
      </w:r>
      <w:r>
        <w:br/>
      </w:r>
      <w:r w:rsidR="00754A1B" w:rsidRPr="589E218A">
        <w:t>Lazcluze®,</w:t>
      </w:r>
      <w:r>
        <w:br/>
      </w:r>
      <w:r w:rsidR="00754A1B" w:rsidRPr="589E218A">
        <w:t>JANSSEN-CILAG PTY LTD</w:t>
      </w:r>
      <w:bookmarkEnd w:id="0"/>
      <w:bookmarkEnd w:id="1"/>
    </w:p>
    <w:p w14:paraId="1290CEA2" w14:textId="422B202D" w:rsidR="00754A1B" w:rsidRPr="00F72816" w:rsidRDefault="00754A1B" w:rsidP="00AE108D">
      <w:pPr>
        <w:pStyle w:val="2-SectionHeading"/>
      </w:pPr>
      <w:bookmarkStart w:id="6" w:name="_Toc107927618"/>
      <w:bookmarkStart w:id="7" w:name="_Toc188452562"/>
      <w:r w:rsidRPr="00F72816">
        <w:t xml:space="preserve">Purpose </w:t>
      </w:r>
      <w:r w:rsidRPr="00AE108D">
        <w:t>of</w:t>
      </w:r>
      <w:r w:rsidRPr="00F72816">
        <w:t xml:space="preserve"> submission</w:t>
      </w:r>
      <w:bookmarkEnd w:id="6"/>
      <w:bookmarkEnd w:id="7"/>
    </w:p>
    <w:p w14:paraId="0A388180" w14:textId="4E598216" w:rsidR="00757F56" w:rsidRDefault="00754A1B" w:rsidP="006A783A">
      <w:pPr>
        <w:pStyle w:val="3-BodyText"/>
        <w:ind w:left="709"/>
      </w:pPr>
      <w:r>
        <w:t xml:space="preserve">The Category 2 submission requested a Section 100 </w:t>
      </w:r>
      <w:r w:rsidR="008E057A">
        <w:t>(</w:t>
      </w:r>
      <w:r w:rsidR="21027394">
        <w:t>Efficient Funding of Chemotherapy Program</w:t>
      </w:r>
      <w:r w:rsidR="008E057A">
        <w:t>)</w:t>
      </w:r>
      <w:r w:rsidR="21027394">
        <w:t xml:space="preserve"> </w:t>
      </w:r>
      <w:r>
        <w:t>Authority Required Pharmaceutical Benefits Scheme (PBS) listing for amivantamab and a Section 85</w:t>
      </w:r>
      <w:r w:rsidR="00815DC8">
        <w:t xml:space="preserve"> Authority Required</w:t>
      </w:r>
      <w:r>
        <w:t xml:space="preserve"> PBS listing of lazertinib used as combination therapy for the first-line treatment of patients with locally advanced or metastatic non-small cell lung cancer (NSCLC) with evidence in tumour material of an activating epidermal growth factor receptor mutation (</w:t>
      </w:r>
      <w:r w:rsidRPr="09E766B3">
        <w:rPr>
          <w:i/>
          <w:iCs/>
        </w:rPr>
        <w:t>EGFR</w:t>
      </w:r>
      <w:r>
        <w:t xml:space="preserve">m) known to confer sensitivity to </w:t>
      </w:r>
      <w:r w:rsidRPr="09E766B3">
        <w:rPr>
          <w:i/>
          <w:iCs/>
        </w:rPr>
        <w:t>EGFR</w:t>
      </w:r>
      <w:r>
        <w:t xml:space="preserve"> tyrosine kinase inhibitors (TKIs). </w:t>
      </w:r>
    </w:p>
    <w:p w14:paraId="5853EA67" w14:textId="10DAC045" w:rsidR="00754A1B" w:rsidRPr="0098262F" w:rsidRDefault="009E6BDD" w:rsidP="006A783A">
      <w:pPr>
        <w:pStyle w:val="3-BodyText"/>
        <w:ind w:left="709"/>
      </w:pPr>
      <w:r w:rsidRPr="0015297B">
        <w:t xml:space="preserve">While the submission did not </w:t>
      </w:r>
      <w:r w:rsidR="00D168E1" w:rsidRPr="0015297B">
        <w:t xml:space="preserve">specify the type of </w:t>
      </w:r>
      <w:r w:rsidR="00D168E1" w:rsidRPr="0015297B">
        <w:rPr>
          <w:i/>
          <w:iCs/>
        </w:rPr>
        <w:t>EGFR</w:t>
      </w:r>
      <w:r w:rsidR="00D168E1" w:rsidRPr="0015297B">
        <w:t xml:space="preserve"> mutation in the wording of the request, </w:t>
      </w:r>
      <w:r w:rsidR="001E7728" w:rsidRPr="0015297B">
        <w:t>it refer</w:t>
      </w:r>
      <w:r w:rsidR="00F9318E">
        <w:t>red</w:t>
      </w:r>
      <w:r w:rsidR="001E7728" w:rsidRPr="0015297B">
        <w:t xml:space="preserve"> to exon 19 deletions or exon 21 L858R substitution</w:t>
      </w:r>
      <w:r w:rsidR="003045F7" w:rsidRPr="0015297B">
        <w:t>,</w:t>
      </w:r>
      <w:r w:rsidR="00021CEB" w:rsidRPr="0015297B">
        <w:t xml:space="preserve"> as specified </w:t>
      </w:r>
      <w:r w:rsidR="009D6E0F" w:rsidRPr="0015297B">
        <w:t>in the</w:t>
      </w:r>
      <w:r w:rsidR="00DD5886" w:rsidRPr="0015297B">
        <w:t xml:space="preserve"> requested TGA indications for both </w:t>
      </w:r>
      <w:r w:rsidR="00B91B1E" w:rsidRPr="0015297B">
        <w:t xml:space="preserve">amivantamab and </w:t>
      </w:r>
      <w:r w:rsidR="00A369B5" w:rsidRPr="0015297B">
        <w:t>l</w:t>
      </w:r>
      <w:r w:rsidR="00B91B1E" w:rsidRPr="0015297B">
        <w:t>azertinib</w:t>
      </w:r>
      <w:r w:rsidR="001353C1">
        <w:t>,</w:t>
      </w:r>
      <w:r w:rsidR="003045F7" w:rsidRPr="0015297B">
        <w:t xml:space="preserve"> and the</w:t>
      </w:r>
      <w:r w:rsidR="00687F85" w:rsidRPr="0015297B">
        <w:t xml:space="preserve"> inclusion criteria of the</w:t>
      </w:r>
      <w:r w:rsidR="003045F7" w:rsidRPr="0015297B">
        <w:t xml:space="preserve"> pivotal MARIPOSA trial</w:t>
      </w:r>
      <w:r w:rsidR="00B91B1E" w:rsidRPr="0015297B">
        <w:t>.</w:t>
      </w:r>
    </w:p>
    <w:p w14:paraId="26544B2F" w14:textId="3204F668" w:rsidR="00754A1B" w:rsidRPr="0098262F" w:rsidRDefault="00754A1B" w:rsidP="006A783A">
      <w:pPr>
        <w:pStyle w:val="3-BodyText"/>
        <w:ind w:left="709"/>
      </w:pPr>
      <w:r w:rsidRPr="589E218A">
        <w:t xml:space="preserve">Listing was requested on the basis of a cost-effectiveness analysis versus osimertinib. The key components of the clinical issues addressed by the submission are presented in </w:t>
      </w:r>
      <w:r>
        <w:fldChar w:fldCharType="begin"/>
      </w:r>
      <w:r>
        <w:instrText xml:space="preserve"> REF _Ref185478361 \h  \* MERGEFORMAT </w:instrText>
      </w:r>
      <w:r>
        <w:fldChar w:fldCharType="separate"/>
      </w:r>
      <w:r w:rsidR="00184F9A" w:rsidRPr="589E218A">
        <w:t xml:space="preserve">Table </w:t>
      </w:r>
      <w:r w:rsidR="00184F9A">
        <w:t>1</w:t>
      </w:r>
      <w:r>
        <w:fldChar w:fldCharType="end"/>
      </w:r>
      <w:r w:rsidRPr="589E218A">
        <w:t>.</w:t>
      </w:r>
    </w:p>
    <w:p w14:paraId="0AD514C8" w14:textId="104E52FF" w:rsidR="00754A1B" w:rsidRPr="0098262F" w:rsidRDefault="00754A1B" w:rsidP="589E218A">
      <w:pPr>
        <w:pStyle w:val="TableFigureHeading"/>
        <w:rPr>
          <w:rStyle w:val="CommentReference"/>
          <w:b/>
        </w:rPr>
      </w:pPr>
      <w:bookmarkStart w:id="8" w:name="_Ref185478361"/>
      <w:r w:rsidRPr="589E218A">
        <w:t xml:space="preserve">Table </w:t>
      </w:r>
      <w:r w:rsidRPr="589E218A">
        <w:fldChar w:fldCharType="begin"/>
      </w:r>
      <w:r>
        <w:instrText xml:space="preserve"> SEQ Table \* ARABIC </w:instrText>
      </w:r>
      <w:r w:rsidRPr="589E218A">
        <w:fldChar w:fldCharType="separate"/>
      </w:r>
      <w:r w:rsidR="00184F9A">
        <w:rPr>
          <w:noProof/>
        </w:rPr>
        <w:t>1</w:t>
      </w:r>
      <w:r w:rsidRPr="589E218A">
        <w:rPr>
          <w:noProof/>
        </w:rPr>
        <w:fldChar w:fldCharType="end"/>
      </w:r>
      <w:bookmarkEnd w:id="8"/>
      <w:r w:rsidRPr="589E218A">
        <w:t>:</w:t>
      </w:r>
      <w:r w:rsidRPr="589E218A">
        <w:rPr>
          <w:rStyle w:val="CommentReference"/>
          <w:b/>
        </w:rPr>
        <w:t xml:space="preserve"> Key components of the clinical issue addressed by the submission (as stated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754A1B" w:rsidRPr="0098262F" w14:paraId="080C7637" w14:textId="77777777" w:rsidTr="589E218A">
        <w:trPr>
          <w:tblHeader/>
        </w:trPr>
        <w:tc>
          <w:tcPr>
            <w:tcW w:w="924" w:type="pct"/>
            <w:shd w:val="clear" w:color="auto" w:fill="auto"/>
          </w:tcPr>
          <w:p w14:paraId="2B8AF3CE" w14:textId="77777777" w:rsidR="00754A1B" w:rsidRPr="0098262F" w:rsidRDefault="00754A1B">
            <w:pPr>
              <w:pStyle w:val="In-tableHeading"/>
              <w:rPr>
                <w:szCs w:val="20"/>
                <w:lang w:val="en-AU"/>
              </w:rPr>
            </w:pPr>
            <w:r w:rsidRPr="0098262F">
              <w:rPr>
                <w:lang w:val="en-AU"/>
              </w:rPr>
              <w:t>Component</w:t>
            </w:r>
          </w:p>
        </w:tc>
        <w:tc>
          <w:tcPr>
            <w:tcW w:w="4076" w:type="pct"/>
            <w:shd w:val="clear" w:color="auto" w:fill="auto"/>
          </w:tcPr>
          <w:p w14:paraId="0CB7F3B1" w14:textId="77777777" w:rsidR="00754A1B" w:rsidRPr="0098262F" w:rsidRDefault="00754A1B">
            <w:pPr>
              <w:pStyle w:val="In-tableHeading"/>
              <w:rPr>
                <w:lang w:val="en-AU"/>
              </w:rPr>
            </w:pPr>
            <w:r w:rsidRPr="0098262F">
              <w:rPr>
                <w:lang w:val="en-AU"/>
              </w:rPr>
              <w:t>Description</w:t>
            </w:r>
          </w:p>
        </w:tc>
      </w:tr>
      <w:tr w:rsidR="00754A1B" w:rsidRPr="0098262F" w14:paraId="6A040AE5" w14:textId="77777777" w:rsidTr="589E218A">
        <w:trPr>
          <w:tblHeader/>
        </w:trPr>
        <w:tc>
          <w:tcPr>
            <w:tcW w:w="924" w:type="pct"/>
            <w:shd w:val="clear" w:color="auto" w:fill="auto"/>
          </w:tcPr>
          <w:p w14:paraId="611FD633" w14:textId="77777777" w:rsidR="00754A1B" w:rsidRPr="0098262F" w:rsidRDefault="00754A1B">
            <w:pPr>
              <w:pStyle w:val="TableText0"/>
            </w:pPr>
            <w:r w:rsidRPr="0098262F">
              <w:t>Population</w:t>
            </w:r>
          </w:p>
        </w:tc>
        <w:tc>
          <w:tcPr>
            <w:tcW w:w="4076" w:type="pct"/>
            <w:shd w:val="clear" w:color="auto" w:fill="auto"/>
            <w:vAlign w:val="center"/>
          </w:tcPr>
          <w:p w14:paraId="1D69418A" w14:textId="0B4129FD" w:rsidR="00754A1B" w:rsidRPr="0098262F" w:rsidRDefault="00754A1B">
            <w:pPr>
              <w:pStyle w:val="TableText0"/>
            </w:pPr>
            <w:r w:rsidRPr="00243EAB">
              <w:t xml:space="preserve">First-line treatment of patients with locally advanced or metastatic </w:t>
            </w:r>
            <w:r w:rsidR="00F639C0" w:rsidRPr="00F639C0">
              <w:rPr>
                <w:i/>
              </w:rPr>
              <w:t>EGFR</w:t>
            </w:r>
            <w:r w:rsidRPr="00243EAB">
              <w:t xml:space="preserve"> gene mutation positive NSCLC</w:t>
            </w:r>
            <w:r>
              <w:t>.</w:t>
            </w:r>
          </w:p>
        </w:tc>
      </w:tr>
      <w:tr w:rsidR="00754A1B" w:rsidRPr="0098262F" w14:paraId="4EA275E6" w14:textId="77777777" w:rsidTr="589E218A">
        <w:trPr>
          <w:tblHeader/>
        </w:trPr>
        <w:tc>
          <w:tcPr>
            <w:tcW w:w="924" w:type="pct"/>
            <w:shd w:val="clear" w:color="auto" w:fill="auto"/>
          </w:tcPr>
          <w:p w14:paraId="3822E323" w14:textId="77777777" w:rsidR="00754A1B" w:rsidRPr="0098262F" w:rsidRDefault="00754A1B">
            <w:pPr>
              <w:pStyle w:val="TableText0"/>
            </w:pPr>
            <w:r w:rsidRPr="0098262F">
              <w:t>Intervention</w:t>
            </w:r>
          </w:p>
        </w:tc>
        <w:tc>
          <w:tcPr>
            <w:tcW w:w="4076" w:type="pct"/>
            <w:shd w:val="clear" w:color="auto" w:fill="auto"/>
            <w:vAlign w:val="center"/>
          </w:tcPr>
          <w:p w14:paraId="2D70776E" w14:textId="77777777" w:rsidR="00754A1B" w:rsidRPr="0098262F" w:rsidRDefault="00754A1B">
            <w:pPr>
              <w:pStyle w:val="TableText0"/>
            </w:pPr>
            <w:r w:rsidRPr="589E218A">
              <w:t>Amivantamab IV infusion (QW for 4 weeks) in combination with lazertinib 240 mg oral tablet once daily, followed by amivantamab IV infusion Q2W starting at Week 5 in combination with lazertinib 240 mg oral tablet once daily until disease progression.</w:t>
            </w:r>
          </w:p>
        </w:tc>
      </w:tr>
      <w:tr w:rsidR="00754A1B" w:rsidRPr="0098262F" w14:paraId="356CBED0" w14:textId="77777777" w:rsidTr="589E218A">
        <w:trPr>
          <w:tblHeader/>
        </w:trPr>
        <w:tc>
          <w:tcPr>
            <w:tcW w:w="924" w:type="pct"/>
            <w:shd w:val="clear" w:color="auto" w:fill="auto"/>
          </w:tcPr>
          <w:p w14:paraId="4991E892" w14:textId="77777777" w:rsidR="00754A1B" w:rsidRPr="0098262F" w:rsidRDefault="00754A1B">
            <w:pPr>
              <w:pStyle w:val="TableText0"/>
            </w:pPr>
            <w:r w:rsidRPr="0098262F">
              <w:t>Comparator</w:t>
            </w:r>
          </w:p>
        </w:tc>
        <w:tc>
          <w:tcPr>
            <w:tcW w:w="4076" w:type="pct"/>
            <w:shd w:val="clear" w:color="auto" w:fill="auto"/>
            <w:vAlign w:val="center"/>
          </w:tcPr>
          <w:p w14:paraId="7D941814" w14:textId="77777777" w:rsidR="00754A1B" w:rsidRPr="0098262F" w:rsidRDefault="00754A1B">
            <w:pPr>
              <w:pStyle w:val="TableText0"/>
            </w:pPr>
            <w:r w:rsidRPr="00243EAB">
              <w:t>Osimertinib 80 mg tablet once daily until disease progression</w:t>
            </w:r>
            <w:r>
              <w:t>.</w:t>
            </w:r>
          </w:p>
        </w:tc>
      </w:tr>
      <w:tr w:rsidR="00754A1B" w:rsidRPr="0098262F" w14:paraId="5A07AEB4" w14:textId="77777777" w:rsidTr="589E218A">
        <w:trPr>
          <w:tblHeader/>
        </w:trPr>
        <w:tc>
          <w:tcPr>
            <w:tcW w:w="924" w:type="pct"/>
            <w:shd w:val="clear" w:color="auto" w:fill="auto"/>
          </w:tcPr>
          <w:p w14:paraId="27E0FBAB" w14:textId="77777777" w:rsidR="00754A1B" w:rsidRPr="0098262F" w:rsidRDefault="00754A1B">
            <w:pPr>
              <w:pStyle w:val="TableText0"/>
            </w:pPr>
            <w:r w:rsidRPr="0098262F">
              <w:t>Outcomes</w:t>
            </w:r>
          </w:p>
        </w:tc>
        <w:tc>
          <w:tcPr>
            <w:tcW w:w="4076" w:type="pct"/>
            <w:shd w:val="clear" w:color="auto" w:fill="auto"/>
            <w:vAlign w:val="center"/>
          </w:tcPr>
          <w:p w14:paraId="7D239B3F" w14:textId="77777777" w:rsidR="00754A1B" w:rsidRPr="0098262F" w:rsidRDefault="00754A1B">
            <w:pPr>
              <w:pStyle w:val="TableText0"/>
            </w:pPr>
            <w:r w:rsidRPr="589E218A">
              <w:t>PFS, OS, ORR, DoR, TTST, PFS2, TTSP, icPFS, HRQoL, and safety.</w:t>
            </w:r>
          </w:p>
        </w:tc>
      </w:tr>
      <w:tr w:rsidR="00754A1B" w:rsidRPr="0098262F" w14:paraId="7E78AF0B" w14:textId="77777777" w:rsidTr="589E218A">
        <w:trPr>
          <w:tblHeader/>
        </w:trPr>
        <w:tc>
          <w:tcPr>
            <w:tcW w:w="924" w:type="pct"/>
            <w:shd w:val="clear" w:color="auto" w:fill="auto"/>
          </w:tcPr>
          <w:p w14:paraId="73C6221A" w14:textId="77777777" w:rsidR="00754A1B" w:rsidRPr="0098262F" w:rsidRDefault="00754A1B">
            <w:pPr>
              <w:pStyle w:val="TableText0"/>
            </w:pPr>
            <w:r w:rsidRPr="0098262F">
              <w:t>Clinical claim</w:t>
            </w:r>
          </w:p>
        </w:tc>
        <w:tc>
          <w:tcPr>
            <w:tcW w:w="4076" w:type="pct"/>
            <w:shd w:val="clear" w:color="auto" w:fill="auto"/>
            <w:vAlign w:val="center"/>
          </w:tcPr>
          <w:p w14:paraId="1317432C" w14:textId="1199EA60" w:rsidR="00754A1B" w:rsidRPr="0098262F" w:rsidRDefault="00754A1B">
            <w:pPr>
              <w:pStyle w:val="TableText0"/>
            </w:pPr>
            <w:r w:rsidRPr="589E218A">
              <w:t xml:space="preserve">In patients with locally advanced or metastatic </w:t>
            </w:r>
            <w:r w:rsidR="00F639C0" w:rsidRPr="589E218A">
              <w:rPr>
                <w:i/>
                <w:iCs/>
              </w:rPr>
              <w:t>EGFR</w:t>
            </w:r>
            <w:r w:rsidRPr="589E218A">
              <w:t>m NSCLC, first-line treatment with amivantamab in combination with lazertinib, is superior in effectiveness and inferior but manageable in safety compared with osimertinib.</w:t>
            </w:r>
          </w:p>
        </w:tc>
      </w:tr>
    </w:tbl>
    <w:p w14:paraId="76E044CF" w14:textId="77777777" w:rsidR="00754A1B" w:rsidRDefault="00754A1B" w:rsidP="00754A1B">
      <w:pPr>
        <w:pStyle w:val="FooterTableFigure"/>
      </w:pPr>
      <w:r w:rsidRPr="0098262F">
        <w:t xml:space="preserve">Source: </w:t>
      </w:r>
      <w:r>
        <w:t xml:space="preserve">Table 1.1, p20 </w:t>
      </w:r>
      <w:r w:rsidRPr="0098262F">
        <w:t>of the submission.</w:t>
      </w:r>
    </w:p>
    <w:p w14:paraId="14BCB74E" w14:textId="7A2AD9E4" w:rsidR="00754A1B" w:rsidRDefault="00754A1B" w:rsidP="00754A1B">
      <w:pPr>
        <w:pStyle w:val="FooterTableFigure"/>
      </w:pPr>
      <w:r w:rsidRPr="589E218A">
        <w:t xml:space="preserve">DoR = duration of response, </w:t>
      </w:r>
      <w:r w:rsidR="00F639C0" w:rsidRPr="589E218A">
        <w:rPr>
          <w:i/>
          <w:iCs/>
        </w:rPr>
        <w:t>EGFR</w:t>
      </w:r>
      <w:r w:rsidRPr="589E218A">
        <w:t xml:space="preserve"> = epidermal growth factor receptor, HRQoL = health-related quality of life, icPFS = intracranial PFS, IV = intravenous, mg = milligram, NSCLC = non-small cell lung cancer, ORR = objective response rate, OS = overall survival, PFS = progression free survival, PFS2 = PFS after first subsequent treatment, QW = once weekly, Q2W = once every two weeks, TTSP = time to symptomatic progression, TTST = time to subsequent treatment.</w:t>
      </w:r>
    </w:p>
    <w:p w14:paraId="46FEBE5C" w14:textId="3BB8D14E" w:rsidR="00ED0271" w:rsidRDefault="00B47851" w:rsidP="000E6049">
      <w:pPr>
        <w:pStyle w:val="3-BodyText"/>
        <w:ind w:left="709"/>
      </w:pPr>
      <w:r w:rsidRPr="589E218A">
        <w:lastRenderedPageBreak/>
        <w:t>The submission requested PBS listing of amivantamab plus lazertinib (A+L)</w:t>
      </w:r>
      <w:r w:rsidR="00ED0271">
        <w:t xml:space="preserve"> for </w:t>
      </w:r>
      <w:r w:rsidR="00AE34D4">
        <w:t>two</w:t>
      </w:r>
      <w:r w:rsidR="00ED0271">
        <w:t xml:space="preserve"> populations:</w:t>
      </w:r>
    </w:p>
    <w:p w14:paraId="4F14DEA8" w14:textId="35924C8F" w:rsidR="00754A1B" w:rsidRDefault="00BF2537" w:rsidP="00ED0271">
      <w:pPr>
        <w:pStyle w:val="3-BodyText"/>
        <w:numPr>
          <w:ilvl w:val="0"/>
          <w:numId w:val="28"/>
        </w:numPr>
      </w:pPr>
      <w:r>
        <w:t>P</w:t>
      </w:r>
      <w:r w:rsidR="00D31C7F" w:rsidRPr="589E218A">
        <w:t>rimarily</w:t>
      </w:r>
      <w:r>
        <w:t>,</w:t>
      </w:r>
      <w:r w:rsidR="00B47851" w:rsidRPr="589E218A">
        <w:t xml:space="preserve"> for patients who have</w:t>
      </w:r>
      <w:r w:rsidR="005A3836" w:rsidRPr="589E218A">
        <w:t xml:space="preserve"> been diagnosed </w:t>
      </w:r>
      <w:r w:rsidR="005A3836" w:rsidRPr="589E218A">
        <w:rPr>
          <w:i/>
          <w:iCs/>
        </w:rPr>
        <w:t>de novo</w:t>
      </w:r>
      <w:r w:rsidR="005A3836" w:rsidRPr="589E218A">
        <w:t xml:space="preserve"> with </w:t>
      </w:r>
      <w:r w:rsidR="00754A1B" w:rsidRPr="589E218A">
        <w:t>locally advanced or metastatic (stage IIIB</w:t>
      </w:r>
      <w:r w:rsidR="00821B6D" w:rsidRPr="589E218A">
        <w:t>/</w:t>
      </w:r>
      <w:r w:rsidR="000E6049" w:rsidRPr="589E218A">
        <w:t xml:space="preserve">C or </w:t>
      </w:r>
      <w:r w:rsidR="00754A1B" w:rsidRPr="589E218A">
        <w:t xml:space="preserve">IV) </w:t>
      </w:r>
      <w:r w:rsidR="00754A1B" w:rsidRPr="589E218A">
        <w:rPr>
          <w:i/>
          <w:iCs/>
        </w:rPr>
        <w:t>EGFR</w:t>
      </w:r>
      <w:r w:rsidR="00754A1B" w:rsidRPr="589E218A">
        <w:t>m NSCLC</w:t>
      </w:r>
      <w:r>
        <w:t>;</w:t>
      </w:r>
    </w:p>
    <w:p w14:paraId="6EAEC359" w14:textId="6F97F243" w:rsidR="00754A1B" w:rsidRPr="00B02179" w:rsidRDefault="00BF2537" w:rsidP="00642ACC">
      <w:pPr>
        <w:pStyle w:val="3-BodyText"/>
        <w:numPr>
          <w:ilvl w:val="0"/>
          <w:numId w:val="28"/>
        </w:numPr>
      </w:pPr>
      <w:r>
        <w:t xml:space="preserve">Additionally, </w:t>
      </w:r>
      <w:bookmarkStart w:id="9" w:name="_Hlk188351343"/>
      <w:bookmarkStart w:id="10" w:name="_Ref190176983"/>
      <w:r w:rsidR="00761105" w:rsidRPr="589E218A">
        <w:t xml:space="preserve">for stage IB-IIIA patients who have progressed to locally advanced or metastatic disease </w:t>
      </w:r>
      <w:r w:rsidR="00761105" w:rsidRPr="00F67DDA">
        <w:t xml:space="preserve">following earlier </w:t>
      </w:r>
      <w:r w:rsidR="00761105" w:rsidRPr="589E218A">
        <w:t>adjuvant osimertinib therapy</w:t>
      </w:r>
      <w:bookmarkEnd w:id="9"/>
      <w:r w:rsidR="00761105" w:rsidRPr="589E218A">
        <w:t>.</w:t>
      </w:r>
      <w:bookmarkEnd w:id="10"/>
    </w:p>
    <w:p w14:paraId="418911E3" w14:textId="77777777" w:rsidR="00754A1B" w:rsidRPr="0098262F" w:rsidRDefault="00754A1B" w:rsidP="00754A1B">
      <w:pPr>
        <w:pStyle w:val="2-SectionHeading"/>
      </w:pPr>
      <w:bookmarkStart w:id="11" w:name="_Toc107927619"/>
      <w:bookmarkStart w:id="12" w:name="_Toc188452563"/>
      <w:r w:rsidRPr="0098262F">
        <w:t>Background</w:t>
      </w:r>
      <w:bookmarkEnd w:id="11"/>
      <w:bookmarkEnd w:id="12"/>
    </w:p>
    <w:p w14:paraId="42800250" w14:textId="77777777" w:rsidR="00754A1B" w:rsidRPr="0098262F" w:rsidRDefault="00754A1B" w:rsidP="00754A1B">
      <w:pPr>
        <w:pStyle w:val="4-SubsectionHeading"/>
      </w:pPr>
      <w:bookmarkStart w:id="13" w:name="_Toc22897638"/>
      <w:bookmarkStart w:id="14" w:name="_Toc107927620"/>
      <w:bookmarkStart w:id="15" w:name="_Toc188452564"/>
      <w:r w:rsidRPr="0098262F">
        <w:t>Registration status</w:t>
      </w:r>
      <w:bookmarkEnd w:id="13"/>
      <w:bookmarkEnd w:id="14"/>
      <w:bookmarkEnd w:id="15"/>
    </w:p>
    <w:p w14:paraId="43E59087" w14:textId="65B712CB" w:rsidR="00754A1B" w:rsidRPr="00953287" w:rsidRDefault="00754A1B" w:rsidP="00C93941">
      <w:pPr>
        <w:pStyle w:val="3-BodyText"/>
        <w:ind w:left="709"/>
      </w:pPr>
      <w:r w:rsidRPr="589E218A">
        <w:t xml:space="preserve">An application to extend the registered indication for amivantamab and a standard pathway application for the registration of lazertinib </w:t>
      </w:r>
      <w:r w:rsidR="0047372C">
        <w:t>was</w:t>
      </w:r>
      <w:r w:rsidRPr="589E218A">
        <w:t xml:space="preserve"> submitted to the Therapeutics Goods Administration (TGA). Both drugs are being assessed through Project Orbis.</w:t>
      </w:r>
    </w:p>
    <w:p w14:paraId="58E6603C" w14:textId="77777777" w:rsidR="00754A1B" w:rsidRDefault="00754A1B" w:rsidP="00C93941">
      <w:pPr>
        <w:pStyle w:val="3-BodyText"/>
        <w:ind w:left="709"/>
      </w:pPr>
      <w:bookmarkStart w:id="16" w:name="_Ref192694758"/>
      <w:r w:rsidRPr="00044617">
        <w:t xml:space="preserve">The </w:t>
      </w:r>
      <w:r>
        <w:t>requested indications are:</w:t>
      </w:r>
      <w:bookmarkEnd w:id="16"/>
      <w:r>
        <w:t xml:space="preserve"> </w:t>
      </w:r>
    </w:p>
    <w:p w14:paraId="1906CBCB" w14:textId="77777777" w:rsidR="00754A1B" w:rsidRPr="00CC3BE7" w:rsidRDefault="00754A1B" w:rsidP="009F3AE9">
      <w:pPr>
        <w:pStyle w:val="ListParagraph"/>
        <w:ind w:left="1276"/>
        <w:jc w:val="both"/>
      </w:pPr>
      <w:r w:rsidRPr="00CC3BE7">
        <w:t>Amivantamab is indicated in combination with lazertinib for the first-line treatment of adult patients with locally advanced or metastatic NSCLC with EGFR exon 19 deletions or exon 21 L858R substitution mutations.</w:t>
      </w:r>
    </w:p>
    <w:p w14:paraId="34C4F719" w14:textId="77777777" w:rsidR="00754A1B" w:rsidRPr="00CC3BE7" w:rsidRDefault="00754A1B" w:rsidP="009F3AE9">
      <w:pPr>
        <w:pStyle w:val="ListParagraph"/>
        <w:ind w:left="1276"/>
        <w:jc w:val="both"/>
      </w:pPr>
      <w:r w:rsidRPr="00CC3BE7">
        <w:t>Lazertinib in combination with amivantamab is indicated for the first-line treatment of adult patients with locally advanced or metastatic NSCLC with EGFR exon 19 deletions or exon 21 L858R substitution mutations.</w:t>
      </w:r>
    </w:p>
    <w:p w14:paraId="03FC2173" w14:textId="5912E5C0" w:rsidR="000F2E7E" w:rsidRDefault="00F12350" w:rsidP="00012AB8">
      <w:pPr>
        <w:pStyle w:val="3-BodyText"/>
        <w:ind w:left="709"/>
      </w:pPr>
      <w:r w:rsidRPr="589E218A">
        <w:t xml:space="preserve">The PBAC submission was made under the TGA/PBAC Parallel </w:t>
      </w:r>
      <w:r w:rsidRPr="00321186">
        <w:t xml:space="preserve">Process. </w:t>
      </w:r>
      <w:r w:rsidR="003E2F14" w:rsidRPr="00321186">
        <w:t>T</w:t>
      </w:r>
      <w:r w:rsidRPr="00321186">
        <w:t xml:space="preserve">he Delegate’s Overview </w:t>
      </w:r>
      <w:r w:rsidR="004A1C09" w:rsidRPr="00321186">
        <w:t xml:space="preserve">for </w:t>
      </w:r>
      <w:r w:rsidR="006906E0" w:rsidRPr="00321186">
        <w:t>each</w:t>
      </w:r>
      <w:r w:rsidR="006906E0" w:rsidRPr="589E218A">
        <w:t xml:space="preserve"> </w:t>
      </w:r>
      <w:r w:rsidR="004A1C09" w:rsidRPr="589E218A">
        <w:t>agent</w:t>
      </w:r>
      <w:r w:rsidR="0043261F">
        <w:t xml:space="preserve"> signalled</w:t>
      </w:r>
      <w:r w:rsidR="0043261F" w:rsidRPr="589E218A">
        <w:t xml:space="preserve"> </w:t>
      </w:r>
      <w:r w:rsidR="007B5C78" w:rsidRPr="589E218A">
        <w:t>an inclination to approve</w:t>
      </w:r>
      <w:r w:rsidR="00967F92" w:rsidRPr="589E218A">
        <w:t xml:space="preserve"> both</w:t>
      </w:r>
      <w:r w:rsidR="008333B6" w:rsidRPr="589E218A">
        <w:t xml:space="preserve"> amivantamab</w:t>
      </w:r>
      <w:r w:rsidR="00967F92" w:rsidRPr="589E218A">
        <w:t xml:space="preserve"> and lazertinib</w:t>
      </w:r>
      <w:r w:rsidR="00B928FD" w:rsidRPr="589E218A">
        <w:t xml:space="preserve"> for the requested indication</w:t>
      </w:r>
      <w:r w:rsidR="00967F92" w:rsidRPr="589E218A">
        <w:t>s</w:t>
      </w:r>
      <w:r w:rsidR="00B928FD" w:rsidRPr="589E218A">
        <w:t xml:space="preserve">, </w:t>
      </w:r>
      <w:r w:rsidR="00205A9B" w:rsidRPr="589E218A">
        <w:t>subject to</w:t>
      </w:r>
      <w:r w:rsidR="001E6E0C" w:rsidRPr="589E218A">
        <w:t xml:space="preserve"> additional conditions of registration</w:t>
      </w:r>
      <w:r w:rsidR="005D423C" w:rsidRPr="589E218A">
        <w:t xml:space="preserve"> related to the final dataset of the MARIPOSA trial and </w:t>
      </w:r>
      <w:r w:rsidR="008F447E" w:rsidRPr="589E218A">
        <w:t xml:space="preserve">a safety analysis of </w:t>
      </w:r>
      <w:r w:rsidR="003A0DAD" w:rsidRPr="589E218A">
        <w:t xml:space="preserve">venous </w:t>
      </w:r>
      <w:r w:rsidR="00751A1B" w:rsidRPr="589E218A">
        <w:t>thromboembolism (</w:t>
      </w:r>
      <w:r w:rsidR="008F447E" w:rsidRPr="589E218A">
        <w:t>VTE</w:t>
      </w:r>
      <w:r w:rsidR="00751A1B" w:rsidRPr="589E218A">
        <w:t>)</w:t>
      </w:r>
      <w:r w:rsidR="00774ADF" w:rsidRPr="589E218A">
        <w:t xml:space="preserve">. </w:t>
      </w:r>
    </w:p>
    <w:p w14:paraId="5CD77FCB" w14:textId="1908BBC0" w:rsidR="00F12350" w:rsidRPr="008F52FC" w:rsidRDefault="00774ADF" w:rsidP="0008493F">
      <w:pPr>
        <w:pStyle w:val="3-BodyText"/>
        <w:ind w:left="709" w:hanging="709"/>
      </w:pPr>
      <w:bookmarkStart w:id="17" w:name="_Ref195518251"/>
      <w:r w:rsidRPr="589E218A">
        <w:t>The Delegate</w:t>
      </w:r>
      <w:r w:rsidR="00A20BE0" w:rsidRPr="589E218A">
        <w:t xml:space="preserve"> requested</w:t>
      </w:r>
      <w:r w:rsidR="00F57469" w:rsidRPr="589E218A">
        <w:t xml:space="preserve"> </w:t>
      </w:r>
      <w:r w:rsidR="00205A9B" w:rsidRPr="589E218A">
        <w:t>advice</w:t>
      </w:r>
      <w:r w:rsidR="00260231" w:rsidRPr="589E218A">
        <w:t xml:space="preserve"> from the </w:t>
      </w:r>
      <w:r w:rsidR="00E37859" w:rsidRPr="589E218A">
        <w:t>Advisory Committee on Medicines (ACM)</w:t>
      </w:r>
      <w:r w:rsidR="003C577C" w:rsidRPr="589E218A">
        <w:t xml:space="preserve"> for both agents</w:t>
      </w:r>
      <w:r w:rsidR="00205A9B" w:rsidRPr="589E218A">
        <w:t xml:space="preserve"> at the</w:t>
      </w:r>
      <w:r w:rsidR="00883408">
        <w:t xml:space="preserve"> ACM</w:t>
      </w:r>
      <w:r w:rsidR="00205A9B" w:rsidRPr="589E218A">
        <w:t xml:space="preserve"> </w:t>
      </w:r>
      <w:r w:rsidR="00FE4501" w:rsidRPr="589E218A">
        <w:t>meeting</w:t>
      </w:r>
      <w:r w:rsidR="002B503C" w:rsidRPr="589E218A">
        <w:t xml:space="preserve"> </w:t>
      </w:r>
      <w:r w:rsidR="002B503C" w:rsidRPr="00B02179">
        <w:t>that took place</w:t>
      </w:r>
      <w:r w:rsidR="0049682C" w:rsidRPr="00B02179">
        <w:t xml:space="preserve"> on 6</w:t>
      </w:r>
      <w:r w:rsidR="008A154E" w:rsidRPr="00B02179">
        <w:t>−</w:t>
      </w:r>
      <w:r w:rsidR="0049682C" w:rsidRPr="00B02179">
        <w:t>7 February 2025</w:t>
      </w:r>
      <w:r w:rsidR="00967F92" w:rsidRPr="589E218A">
        <w:t>.</w:t>
      </w:r>
      <w:r w:rsidR="00D76794">
        <w:t xml:space="preserve"> The ACM</w:t>
      </w:r>
      <w:r w:rsidR="00512651">
        <w:t xml:space="preserve"> </w:t>
      </w:r>
      <w:r w:rsidR="00E460E5">
        <w:t>indicated</w:t>
      </w:r>
      <w:r w:rsidR="00512651">
        <w:t xml:space="preserve"> </w:t>
      </w:r>
      <w:r w:rsidR="00F95066">
        <w:t>that A+L has an overall positive benefit-risk profile (</w:t>
      </w:r>
      <w:r w:rsidR="00B456A3">
        <w:t>r</w:t>
      </w:r>
      <w:r w:rsidR="00F95066">
        <w:t>atified ACM minutes for A+L)</w:t>
      </w:r>
      <w:r w:rsidR="00B5239F">
        <w:t xml:space="preserve"> for the requested indications </w:t>
      </w:r>
      <w:r w:rsidR="00B5239F" w:rsidRPr="005F7E63">
        <w:t xml:space="preserve">shown in paragraph </w:t>
      </w:r>
      <w:r w:rsidR="00B5239F" w:rsidRPr="005F7E63">
        <w:fldChar w:fldCharType="begin"/>
      </w:r>
      <w:r w:rsidR="00B5239F" w:rsidRPr="005F7E63">
        <w:instrText xml:space="preserve"> REF _Ref192694758 \r \h </w:instrText>
      </w:r>
      <w:r w:rsidR="00C870E2" w:rsidRPr="005F7E63">
        <w:instrText xml:space="preserve"> \* MERGEFORMAT </w:instrText>
      </w:r>
      <w:r w:rsidR="00B5239F" w:rsidRPr="005F7E63">
        <w:fldChar w:fldCharType="separate"/>
      </w:r>
      <w:r w:rsidR="00184F9A">
        <w:t>2.2</w:t>
      </w:r>
      <w:r w:rsidR="00B5239F" w:rsidRPr="005F7E63">
        <w:fldChar w:fldCharType="end"/>
      </w:r>
      <w:r w:rsidR="00B5239F" w:rsidRPr="005F7E63">
        <w:t xml:space="preserve">, with </w:t>
      </w:r>
      <w:r w:rsidR="008E0DD2" w:rsidRPr="005F7E63">
        <w:t>the</w:t>
      </w:r>
      <w:r w:rsidR="008E0DD2">
        <w:t xml:space="preserve"> addition of the statement </w:t>
      </w:r>
      <w:r w:rsidR="00B37F45">
        <w:t>“</w:t>
      </w:r>
      <w:r w:rsidR="00B37F45" w:rsidRPr="00B37F45">
        <w:t>Prophylactic anticoagulation is recommended for at least the first 4 months of therapy and ongoing anticoagulation is at clinician discretion</w:t>
      </w:r>
      <w:r w:rsidR="00400E5C">
        <w:t>” to both the amivantamab and lazertinib indications.</w:t>
      </w:r>
      <w:r w:rsidR="00976D7B">
        <w:t xml:space="preserve"> For lazertinib, the ACM also advised the inclusion in the</w:t>
      </w:r>
      <w:r w:rsidR="00DD77E2">
        <w:t xml:space="preserve"> Product Information</w:t>
      </w:r>
      <w:r w:rsidR="00976D7B">
        <w:t xml:space="preserve"> </w:t>
      </w:r>
      <w:r w:rsidR="00DD77E2">
        <w:t>(</w:t>
      </w:r>
      <w:r w:rsidR="00976D7B">
        <w:t>PI</w:t>
      </w:r>
      <w:r w:rsidR="00DD77E2">
        <w:t>)</w:t>
      </w:r>
      <w:r w:rsidR="00976D7B">
        <w:t xml:space="preserve"> of </w:t>
      </w:r>
      <w:r w:rsidR="007F718B">
        <w:t>the following statement</w:t>
      </w:r>
      <w:r w:rsidR="00976D7B">
        <w:t>:</w:t>
      </w:r>
      <w:r w:rsidR="00E2313B">
        <w:t xml:space="preserve"> “In the event of recurrent VTE despite therapeutic anticoagulation, withhold lazertinib and amivantamab until clinically stable. Thereafter, continuation of lazertinib monotherapy may be an option if clinically warranted.”</w:t>
      </w:r>
      <w:bookmarkEnd w:id="17"/>
    </w:p>
    <w:p w14:paraId="4EB54373" w14:textId="730B5818" w:rsidR="00500E26" w:rsidRPr="003A7F72" w:rsidRDefault="00754A1B" w:rsidP="00012AB8">
      <w:pPr>
        <w:pStyle w:val="4-SubsectionHeading"/>
      </w:pPr>
      <w:bookmarkStart w:id="18" w:name="_Toc22897639"/>
      <w:bookmarkStart w:id="19" w:name="_Toc107927621"/>
      <w:bookmarkStart w:id="20" w:name="_Toc188452565"/>
      <w:r w:rsidRPr="589E218A">
        <w:t>Previous PBAC consideration</w:t>
      </w:r>
      <w:bookmarkEnd w:id="18"/>
      <w:bookmarkEnd w:id="19"/>
      <w:bookmarkEnd w:id="20"/>
    </w:p>
    <w:p w14:paraId="369E6D00" w14:textId="76ECA3D8" w:rsidR="00754A1B" w:rsidRPr="0026049A" w:rsidRDefault="00754A1B" w:rsidP="00C93941">
      <w:pPr>
        <w:pStyle w:val="3-BodyText"/>
        <w:ind w:left="709"/>
        <w:rPr>
          <w:color w:val="0066FF"/>
        </w:rPr>
      </w:pPr>
      <w:r w:rsidRPr="589E218A">
        <w:t xml:space="preserve">Osimertinib for the first-line treatment of locally advanced or metastatic (stage IIIB or IV) </w:t>
      </w:r>
      <w:r w:rsidRPr="589E218A">
        <w:rPr>
          <w:i/>
          <w:iCs/>
        </w:rPr>
        <w:t>EGFR</w:t>
      </w:r>
      <w:r w:rsidRPr="000C3199">
        <w:t>m</w:t>
      </w:r>
      <w:r w:rsidR="000C3199">
        <w:t xml:space="preserve"> positive</w:t>
      </w:r>
      <w:r w:rsidRPr="589E218A">
        <w:t xml:space="preserve"> NSCLC was considered at the July 2019 and July 2020 PBAC meetings </w:t>
      </w:r>
      <w:r w:rsidR="00852632" w:rsidRPr="589E218A">
        <w:t xml:space="preserve">and received </w:t>
      </w:r>
      <w:r w:rsidRPr="589E218A">
        <w:t>a positive recommendation for its listing on the PBS at the July 2020 PBAC meeting.</w:t>
      </w:r>
      <w:r w:rsidR="008B4480" w:rsidRPr="589E218A">
        <w:t xml:space="preserve"> The PBAC was satisfied that osimertinib provided, for some patients, a significant improvement in efficacy and reduction in toxicity over PBS listed </w:t>
      </w:r>
      <w:r w:rsidR="00F639C0" w:rsidRPr="589E218A">
        <w:rPr>
          <w:i/>
          <w:iCs/>
        </w:rPr>
        <w:t>EGFR</w:t>
      </w:r>
      <w:r w:rsidR="008B4480" w:rsidRPr="589E218A">
        <w:t>-TKIs.</w:t>
      </w:r>
      <w:r w:rsidRPr="589E218A">
        <w:t xml:space="preserve"> The PBAC</w:t>
      </w:r>
      <w:r w:rsidR="00945C8E" w:rsidRPr="589E218A">
        <w:t xml:space="preserve"> considered that </w:t>
      </w:r>
      <w:r w:rsidR="00904603" w:rsidRPr="589E218A">
        <w:t>the</w:t>
      </w:r>
      <w:r w:rsidRPr="589E218A">
        <w:t xml:space="preserve"> cost effectiveness of osimertinib would be acceptable if the incremental cost effectiveness ratio (ICER) was less than $45,000</w:t>
      </w:r>
      <w:r w:rsidR="000C0457" w:rsidRPr="589E218A">
        <w:t>−</w:t>
      </w:r>
      <w:r w:rsidRPr="589E218A">
        <w:t xml:space="preserve"> $75,000/</w:t>
      </w:r>
      <w:r w:rsidR="00FE547B" w:rsidRPr="589E218A">
        <w:t xml:space="preserve">quality adjusted life year (QALY) </w:t>
      </w:r>
      <w:r w:rsidRPr="589E218A">
        <w:t>gained</w:t>
      </w:r>
      <w:r w:rsidR="000D0DC1" w:rsidRPr="589E218A">
        <w:t xml:space="preserve"> </w:t>
      </w:r>
      <w:r w:rsidRPr="589E218A">
        <w:t>(para</w:t>
      </w:r>
      <w:r w:rsidR="00E02FEE" w:rsidRPr="589E218A">
        <w:t>graph</w:t>
      </w:r>
      <w:r w:rsidR="00F402E5" w:rsidRPr="589E218A">
        <w:t>s</w:t>
      </w:r>
      <w:r w:rsidRPr="589E218A">
        <w:t xml:space="preserve"> 7.1</w:t>
      </w:r>
      <w:r w:rsidR="00A9470F" w:rsidRPr="589E218A">
        <w:t>−</w:t>
      </w:r>
      <w:r w:rsidR="000D0DC1" w:rsidRPr="589E218A">
        <w:t>7.2</w:t>
      </w:r>
      <w:r w:rsidRPr="589E218A">
        <w:t>, osimertinib</w:t>
      </w:r>
      <w:r w:rsidR="00A9470F" w:rsidRPr="589E218A">
        <w:t xml:space="preserve"> public summary document</w:t>
      </w:r>
      <w:r w:rsidRPr="589E218A">
        <w:t xml:space="preserve"> </w:t>
      </w:r>
      <w:r w:rsidR="00A9470F" w:rsidRPr="589E218A">
        <w:t>[</w:t>
      </w:r>
      <w:r w:rsidRPr="589E218A">
        <w:t>PSD</w:t>
      </w:r>
      <w:r w:rsidR="00A9470F" w:rsidRPr="589E218A">
        <w:t>]</w:t>
      </w:r>
      <w:r w:rsidRPr="589E218A">
        <w:t xml:space="preserve">, July 2020). </w:t>
      </w:r>
    </w:p>
    <w:p w14:paraId="03A25A73" w14:textId="53D0A456" w:rsidR="00146E54" w:rsidRPr="003F5842" w:rsidRDefault="00E33EA3" w:rsidP="00C93941">
      <w:pPr>
        <w:pStyle w:val="3-BodyText"/>
        <w:ind w:left="709"/>
        <w:rPr>
          <w:color w:val="0066FF"/>
          <w:lang w:val="en-GB"/>
        </w:rPr>
      </w:pPr>
      <w:r w:rsidRPr="00B02179">
        <w:t>Amivantamab</w:t>
      </w:r>
      <w:r w:rsidRPr="00B02179">
        <w:rPr>
          <w:lang w:val="en-GB"/>
        </w:rPr>
        <w:t xml:space="preserve"> </w:t>
      </w:r>
      <w:r w:rsidR="009E2451" w:rsidRPr="00B02179">
        <w:rPr>
          <w:lang w:val="en-GB"/>
        </w:rPr>
        <w:t xml:space="preserve">was considered at the November 2024 PBAC meeting and received a positive recommendation for </w:t>
      </w:r>
      <w:r w:rsidR="000A4E63" w:rsidRPr="00B02179">
        <w:rPr>
          <w:lang w:val="en-GB"/>
        </w:rPr>
        <w:t xml:space="preserve">listing on the PBS for </w:t>
      </w:r>
      <w:r w:rsidR="00146E54" w:rsidRPr="00B02179">
        <w:rPr>
          <w:snapToGrid w:val="0"/>
          <w:lang w:val="en-GB" w:eastAsia="en-US"/>
        </w:rPr>
        <w:t>the</w:t>
      </w:r>
      <w:r w:rsidR="00146E54" w:rsidRPr="00B02179">
        <w:rPr>
          <w:lang w:val="en-GB" w:eastAsia="en-US"/>
        </w:rPr>
        <w:t xml:space="preserve"> </w:t>
      </w:r>
      <w:r w:rsidR="00146E54" w:rsidRPr="00B02179">
        <w:rPr>
          <w:snapToGrid w:val="0"/>
          <w:lang w:val="en-GB" w:eastAsia="en-US"/>
        </w:rPr>
        <w:t>treatment of patients with EGFR exon 20 insertion mutation positive locally advanced or metastatic NSCLC</w:t>
      </w:r>
      <w:r w:rsidR="00055517" w:rsidRPr="00B02179">
        <w:rPr>
          <w:snapToGrid w:val="0"/>
          <w:lang w:val="en-GB" w:eastAsia="en-US"/>
        </w:rPr>
        <w:t xml:space="preserve"> </w:t>
      </w:r>
      <w:r w:rsidR="00146E54" w:rsidRPr="00B02179">
        <w:rPr>
          <w:lang w:val="en-GB" w:eastAsia="en-US"/>
        </w:rPr>
        <w:t xml:space="preserve">in the first- and second-line setting. The PBAC considered amivantamab would be cost-effective with an ICER of </w:t>
      </w:r>
      <w:r w:rsidR="00200AA3">
        <w:rPr>
          <w:lang w:val="en-GB" w:eastAsia="en-US"/>
        </w:rPr>
        <w:t xml:space="preserve">not more than </w:t>
      </w:r>
      <w:r w:rsidR="00873C7C" w:rsidRPr="00B02179">
        <w:rPr>
          <w:lang w:val="en-GB" w:eastAsia="en-US"/>
        </w:rPr>
        <w:t xml:space="preserve">$55,000 to &lt; $75,000 </w:t>
      </w:r>
      <w:r w:rsidR="00146E54" w:rsidRPr="00B02179">
        <w:rPr>
          <w:lang w:val="en-GB" w:eastAsia="en-US"/>
        </w:rPr>
        <w:t>per QALY gained</w:t>
      </w:r>
      <w:r w:rsidR="004E44D1">
        <w:rPr>
          <w:lang w:val="en-GB" w:eastAsia="en-US"/>
        </w:rPr>
        <w:t xml:space="preserve"> (</w:t>
      </w:r>
      <w:r w:rsidR="00964E16">
        <w:rPr>
          <w:lang w:val="en-GB" w:eastAsia="en-US"/>
        </w:rPr>
        <w:t>paragraph 7.8</w:t>
      </w:r>
      <w:r w:rsidR="002A426D">
        <w:rPr>
          <w:lang w:val="en-GB" w:eastAsia="en-US"/>
        </w:rPr>
        <w:t>, amivantamab PSD, November 2024)</w:t>
      </w:r>
      <w:r w:rsidR="00E02FEE" w:rsidRPr="00B02179">
        <w:rPr>
          <w:lang w:val="en-GB" w:eastAsia="en-US"/>
        </w:rPr>
        <w:t>.</w:t>
      </w:r>
    </w:p>
    <w:p w14:paraId="7F3E7E10" w14:textId="71EA5F76" w:rsidR="00754A1B" w:rsidRPr="00F82D08" w:rsidRDefault="00754A1B" w:rsidP="00754A1B">
      <w:pPr>
        <w:pStyle w:val="2-SectionHeading"/>
      </w:pPr>
      <w:bookmarkStart w:id="21" w:name="_Toc107927622"/>
      <w:bookmarkStart w:id="22" w:name="_Toc188452566"/>
      <w:r w:rsidRPr="0098262F">
        <w:t>Requested listing</w:t>
      </w:r>
      <w:bookmarkEnd w:id="21"/>
      <w:bookmarkEnd w:id="22"/>
    </w:p>
    <w:p w14:paraId="292B602D" w14:textId="0FCAA28F" w:rsidR="00754A1B" w:rsidRPr="00D8046D" w:rsidRDefault="00B14B34" w:rsidP="001A6D49">
      <w:pPr>
        <w:pStyle w:val="3-BodyText"/>
        <w:ind w:left="709" w:hanging="709"/>
      </w:pPr>
      <w:bookmarkStart w:id="23" w:name="_Hlk104809082"/>
      <w:r w:rsidRPr="00D8046D">
        <w:t>The requested listing</w:t>
      </w:r>
      <w:r w:rsidR="00086F00" w:rsidRPr="00D8046D">
        <w:t>s</w:t>
      </w:r>
      <w:r w:rsidRPr="00D8046D">
        <w:t xml:space="preserve"> for </w:t>
      </w:r>
      <w:r w:rsidR="00086F00" w:rsidRPr="00D8046D">
        <w:t>A+L</w:t>
      </w:r>
      <w:r w:rsidRPr="00D8046D">
        <w:t xml:space="preserve"> </w:t>
      </w:r>
      <w:r w:rsidR="00086F00" w:rsidRPr="00D8046D">
        <w:t>are</w:t>
      </w:r>
      <w:r w:rsidRPr="00D8046D">
        <w:t xml:space="preserve"> provided below. Secretariat suggestions and additions proposed are shown in </w:t>
      </w:r>
      <w:r w:rsidRPr="00D8046D">
        <w:rPr>
          <w:iCs/>
        </w:rPr>
        <w:t>italics</w:t>
      </w:r>
      <w:r w:rsidRPr="00D8046D">
        <w:t xml:space="preserve"> and deletions are in strikethrough.</w:t>
      </w:r>
    </w:p>
    <w:p w14:paraId="65BF2498" w14:textId="235ABE4B" w:rsidR="001D2210" w:rsidRPr="006C7BAF" w:rsidRDefault="001D2210" w:rsidP="00C059C3">
      <w:pPr>
        <w:keepNext/>
        <w:keepLines/>
        <w:rPr>
          <w:b/>
          <w:bCs/>
          <w14:ligatures w14:val="standardContextual"/>
        </w:rPr>
      </w:pPr>
      <w:r w:rsidRPr="006C7BAF">
        <w:rPr>
          <w:b/>
          <w:bCs/>
          <w14:ligatures w14:val="standardContextual"/>
        </w:rPr>
        <w:t xml:space="preserve">Amivantamab (initial) </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709"/>
        <w:gridCol w:w="2043"/>
        <w:gridCol w:w="1862"/>
        <w:gridCol w:w="1852"/>
        <w:gridCol w:w="1840"/>
      </w:tblGrid>
      <w:tr w:rsidR="001D2210" w:rsidRPr="006C7BAF" w14:paraId="60EFA4B8" w14:textId="77777777" w:rsidTr="00EE2277">
        <w:trPr>
          <w:trHeight w:val="20"/>
        </w:trPr>
        <w:tc>
          <w:tcPr>
            <w:tcW w:w="3456" w:type="dxa"/>
            <w:gridSpan w:val="3"/>
            <w:shd w:val="clear" w:color="auto" w:fill="auto"/>
            <w:vAlign w:val="center"/>
            <w:hideMark/>
          </w:tcPr>
          <w:p w14:paraId="70EBC22B" w14:textId="77777777" w:rsidR="001D2210" w:rsidRPr="006C7BAF" w:rsidRDefault="001D2210" w:rsidP="00C059C3">
            <w:pPr>
              <w:keepNext/>
              <w:keepLines/>
              <w:jc w:val="left"/>
              <w:textAlignment w:val="baseline"/>
              <w:rPr>
                <w:rFonts w:ascii="Arial Narrow" w:hAnsi="Arial Narrow" w:cs="Segoe UI"/>
                <w:sz w:val="20"/>
                <w:szCs w:val="20"/>
              </w:rPr>
            </w:pPr>
            <w:r w:rsidRPr="006C7BAF">
              <w:rPr>
                <w:rFonts w:ascii="Arial Narrow" w:hAnsi="Arial Narrow" w:cs="Segoe UI"/>
                <w:b/>
                <w:bCs/>
                <w:sz w:val="20"/>
                <w:szCs w:val="20"/>
              </w:rPr>
              <w:t>MEDICINAL PRODUCT</w:t>
            </w:r>
            <w:r w:rsidRPr="006C7BAF">
              <w:rPr>
                <w:rFonts w:ascii="Arial Narrow" w:hAnsi="Arial Narrow" w:cs="Segoe UI"/>
                <w:sz w:val="20"/>
                <w:szCs w:val="20"/>
              </w:rPr>
              <w:t> </w:t>
            </w:r>
          </w:p>
          <w:p w14:paraId="1F84DB7E" w14:textId="77777777" w:rsidR="001D2210" w:rsidRPr="006C7BAF" w:rsidRDefault="001D2210" w:rsidP="00C059C3">
            <w:pPr>
              <w:keepNext/>
              <w:keepLines/>
              <w:jc w:val="left"/>
              <w:textAlignment w:val="baseline"/>
              <w:rPr>
                <w:rFonts w:ascii="Arial Narrow" w:hAnsi="Arial Narrow" w:cs="Segoe UI"/>
                <w:sz w:val="20"/>
                <w:szCs w:val="20"/>
              </w:rPr>
            </w:pPr>
            <w:r w:rsidRPr="006C7BAF">
              <w:rPr>
                <w:rFonts w:ascii="Arial Narrow" w:hAnsi="Arial Narrow" w:cs="Segoe UI"/>
                <w:b/>
                <w:bCs/>
                <w:sz w:val="20"/>
                <w:szCs w:val="20"/>
              </w:rPr>
              <w:t>Form</w:t>
            </w:r>
            <w:r w:rsidRPr="006C7BAF">
              <w:rPr>
                <w:rFonts w:ascii="Arial Narrow" w:hAnsi="Arial Narrow" w:cs="Segoe UI"/>
                <w:sz w:val="20"/>
                <w:szCs w:val="20"/>
              </w:rPr>
              <w:t> </w:t>
            </w:r>
          </w:p>
        </w:tc>
        <w:tc>
          <w:tcPr>
            <w:tcW w:w="1862" w:type="dxa"/>
            <w:shd w:val="clear" w:color="auto" w:fill="auto"/>
            <w:vAlign w:val="center"/>
            <w:hideMark/>
          </w:tcPr>
          <w:p w14:paraId="46E52B98" w14:textId="77777777" w:rsidR="001D2210" w:rsidRPr="006C7BAF" w:rsidRDefault="001D2210" w:rsidP="00C059C3">
            <w:pPr>
              <w:keepNext/>
              <w:keepLines/>
              <w:jc w:val="center"/>
              <w:textAlignment w:val="baseline"/>
              <w:rPr>
                <w:rFonts w:ascii="Arial Narrow" w:hAnsi="Arial Narrow" w:cs="Segoe UI"/>
                <w:sz w:val="20"/>
                <w:szCs w:val="20"/>
              </w:rPr>
            </w:pPr>
            <w:r w:rsidRPr="006C7BAF">
              <w:rPr>
                <w:rFonts w:ascii="Arial Narrow" w:hAnsi="Arial Narrow" w:cs="Segoe UI"/>
                <w:b/>
                <w:bCs/>
                <w:sz w:val="20"/>
                <w:szCs w:val="20"/>
              </w:rPr>
              <w:t>PBS item code</w:t>
            </w:r>
            <w:r w:rsidRPr="006C7BAF">
              <w:rPr>
                <w:rFonts w:ascii="Arial Narrow" w:hAnsi="Arial Narrow" w:cs="Segoe UI"/>
                <w:sz w:val="20"/>
                <w:szCs w:val="20"/>
              </w:rPr>
              <w:t> </w:t>
            </w:r>
          </w:p>
        </w:tc>
        <w:tc>
          <w:tcPr>
            <w:tcW w:w="1852" w:type="dxa"/>
            <w:shd w:val="clear" w:color="auto" w:fill="auto"/>
            <w:vAlign w:val="center"/>
            <w:hideMark/>
          </w:tcPr>
          <w:p w14:paraId="60C6303F" w14:textId="77777777" w:rsidR="001D2210" w:rsidRPr="006C7BAF" w:rsidRDefault="001D2210" w:rsidP="00C059C3">
            <w:pPr>
              <w:keepNext/>
              <w:keepLines/>
              <w:jc w:val="center"/>
              <w:textAlignment w:val="baseline"/>
              <w:rPr>
                <w:rFonts w:ascii="Arial Narrow" w:hAnsi="Arial Narrow" w:cs="Segoe UI"/>
                <w:sz w:val="20"/>
                <w:szCs w:val="20"/>
              </w:rPr>
            </w:pPr>
            <w:r w:rsidRPr="006C7BAF">
              <w:rPr>
                <w:rFonts w:ascii="Arial Narrow" w:hAnsi="Arial Narrow" w:cs="Segoe UI"/>
                <w:b/>
                <w:bCs/>
                <w:sz w:val="20"/>
                <w:szCs w:val="20"/>
              </w:rPr>
              <w:t>Max. Amount</w:t>
            </w:r>
            <w:r w:rsidRPr="006C7BAF">
              <w:rPr>
                <w:rFonts w:ascii="Arial Narrow" w:hAnsi="Arial Narrow" w:cs="Segoe UI"/>
                <w:sz w:val="20"/>
                <w:szCs w:val="20"/>
              </w:rPr>
              <w:t> </w:t>
            </w:r>
          </w:p>
        </w:tc>
        <w:tc>
          <w:tcPr>
            <w:tcW w:w="1840" w:type="dxa"/>
            <w:shd w:val="clear" w:color="auto" w:fill="auto"/>
            <w:vAlign w:val="center"/>
            <w:hideMark/>
          </w:tcPr>
          <w:p w14:paraId="2E35CC69" w14:textId="77777777" w:rsidR="001D2210" w:rsidRPr="006C7BAF" w:rsidRDefault="001D2210" w:rsidP="00C059C3">
            <w:pPr>
              <w:keepNext/>
              <w:keepLines/>
              <w:jc w:val="center"/>
              <w:textAlignment w:val="baseline"/>
              <w:rPr>
                <w:rFonts w:ascii="Arial Narrow" w:hAnsi="Arial Narrow" w:cs="Segoe UI"/>
                <w:sz w:val="20"/>
                <w:szCs w:val="20"/>
              </w:rPr>
            </w:pPr>
            <w:r w:rsidRPr="006C7BAF">
              <w:rPr>
                <w:rFonts w:ascii="Arial Narrow" w:hAnsi="Arial Narrow" w:cs="Segoe UI"/>
                <w:b/>
                <w:bCs/>
                <w:sz w:val="20"/>
                <w:szCs w:val="20"/>
              </w:rPr>
              <w:t>№.of Rpts</w:t>
            </w:r>
            <w:r w:rsidRPr="006C7BAF">
              <w:rPr>
                <w:rFonts w:ascii="Arial Narrow" w:hAnsi="Arial Narrow" w:cs="Segoe UI"/>
                <w:sz w:val="20"/>
                <w:szCs w:val="20"/>
              </w:rPr>
              <w:t> </w:t>
            </w:r>
          </w:p>
        </w:tc>
      </w:tr>
      <w:tr w:rsidR="001D2210" w:rsidRPr="006C7BAF" w14:paraId="126B4E98" w14:textId="77777777" w:rsidTr="00EE2277">
        <w:trPr>
          <w:trHeight w:val="20"/>
        </w:trPr>
        <w:tc>
          <w:tcPr>
            <w:tcW w:w="3456" w:type="dxa"/>
            <w:gridSpan w:val="3"/>
            <w:shd w:val="clear" w:color="auto" w:fill="auto"/>
            <w:vAlign w:val="center"/>
            <w:hideMark/>
          </w:tcPr>
          <w:p w14:paraId="648F191C" w14:textId="77777777" w:rsidR="001D2210" w:rsidRPr="006C7BAF" w:rsidRDefault="001D2210" w:rsidP="00C059C3">
            <w:pPr>
              <w:keepNext/>
              <w:keepLines/>
              <w:jc w:val="left"/>
              <w:textAlignment w:val="baseline"/>
              <w:rPr>
                <w:rFonts w:ascii="Arial Narrow" w:hAnsi="Arial Narrow" w:cs="Segoe UI"/>
                <w:sz w:val="20"/>
                <w:szCs w:val="20"/>
              </w:rPr>
            </w:pPr>
            <w:r w:rsidRPr="006C7BAF">
              <w:rPr>
                <w:rFonts w:ascii="Arial Narrow" w:hAnsi="Arial Narrow" w:cs="Segoe UI"/>
                <w:sz w:val="20"/>
                <w:szCs w:val="20"/>
              </w:rPr>
              <w:t>AMIVANTAMAB </w:t>
            </w:r>
          </w:p>
          <w:p w14:paraId="60C32116" w14:textId="77777777" w:rsidR="001D2210" w:rsidRPr="006C7BAF" w:rsidRDefault="001D2210" w:rsidP="00C059C3">
            <w:pPr>
              <w:keepNext/>
              <w:keepLines/>
              <w:jc w:val="left"/>
              <w:textAlignment w:val="baseline"/>
              <w:rPr>
                <w:rFonts w:ascii="Arial Narrow" w:hAnsi="Arial Narrow" w:cs="Segoe UI"/>
                <w:sz w:val="20"/>
                <w:szCs w:val="20"/>
              </w:rPr>
            </w:pPr>
            <w:r w:rsidRPr="006C7BAF">
              <w:rPr>
                <w:rFonts w:ascii="Arial Narrow" w:eastAsia="Calibri" w:hAnsi="Arial Narrow"/>
                <w:sz w:val="20"/>
                <w:szCs w:val="20"/>
                <w14:ligatures w14:val="standardContextual"/>
              </w:rPr>
              <w:t>Solution concentrate for I.V. infusion, 350 mg in 7 mL</w:t>
            </w:r>
          </w:p>
        </w:tc>
        <w:tc>
          <w:tcPr>
            <w:tcW w:w="1862" w:type="dxa"/>
            <w:shd w:val="clear" w:color="auto" w:fill="auto"/>
            <w:vAlign w:val="center"/>
            <w:hideMark/>
          </w:tcPr>
          <w:p w14:paraId="38D921A2" w14:textId="77777777" w:rsidR="001D2210" w:rsidRPr="006C7BAF" w:rsidRDefault="001D2210" w:rsidP="00C059C3">
            <w:pPr>
              <w:keepNext/>
              <w:keepLines/>
              <w:jc w:val="center"/>
              <w:textAlignment w:val="baseline"/>
              <w:rPr>
                <w:rFonts w:ascii="Arial Narrow" w:hAnsi="Arial Narrow" w:cs="Segoe UI"/>
                <w:sz w:val="20"/>
                <w:szCs w:val="20"/>
              </w:rPr>
            </w:pPr>
            <w:r w:rsidRPr="006C7BAF">
              <w:rPr>
                <w:rFonts w:ascii="Arial Narrow" w:hAnsi="Arial Narrow" w:cs="Segoe UI"/>
                <w:sz w:val="20"/>
                <w:szCs w:val="20"/>
              </w:rPr>
              <w:t>NEW (Public)</w:t>
            </w:r>
            <w:r w:rsidRPr="006C7BAF">
              <w:rPr>
                <w:rFonts w:ascii="Arial Narrow" w:hAnsi="Arial Narrow" w:cs="Segoe UI"/>
                <w:sz w:val="20"/>
                <w:szCs w:val="20"/>
              </w:rPr>
              <w:br/>
              <w:t>NEW (Private)</w:t>
            </w:r>
          </w:p>
        </w:tc>
        <w:tc>
          <w:tcPr>
            <w:tcW w:w="1852" w:type="dxa"/>
            <w:shd w:val="clear" w:color="auto" w:fill="auto"/>
            <w:vAlign w:val="center"/>
            <w:hideMark/>
          </w:tcPr>
          <w:p w14:paraId="7CEC191E" w14:textId="77777777" w:rsidR="001D2210" w:rsidRPr="006C7BAF" w:rsidRDefault="001D2210" w:rsidP="00C059C3">
            <w:pPr>
              <w:keepNext/>
              <w:keepLines/>
              <w:jc w:val="center"/>
              <w:textAlignment w:val="baseline"/>
              <w:rPr>
                <w:rFonts w:ascii="Arial Narrow" w:hAnsi="Arial Narrow" w:cs="Segoe UI"/>
                <w:sz w:val="20"/>
                <w:szCs w:val="20"/>
              </w:rPr>
            </w:pPr>
            <w:r w:rsidRPr="006C7BAF">
              <w:rPr>
                <w:rFonts w:ascii="Arial Narrow" w:hAnsi="Arial Narrow" w:cs="Segoe UI"/>
                <w:sz w:val="20"/>
                <w:szCs w:val="20"/>
              </w:rPr>
              <w:t>1400 mg </w:t>
            </w:r>
          </w:p>
        </w:tc>
        <w:tc>
          <w:tcPr>
            <w:tcW w:w="1840" w:type="dxa"/>
            <w:shd w:val="clear" w:color="auto" w:fill="auto"/>
            <w:vAlign w:val="center"/>
            <w:hideMark/>
          </w:tcPr>
          <w:p w14:paraId="088C88DD" w14:textId="77777777" w:rsidR="001D2210" w:rsidRPr="006C7BAF" w:rsidRDefault="001D2210" w:rsidP="00C059C3">
            <w:pPr>
              <w:keepNext/>
              <w:keepLines/>
              <w:jc w:val="center"/>
              <w:rPr>
                <w:rFonts w:ascii="Arial Narrow" w:hAnsi="Arial Narrow" w:cs="Segoe UI"/>
                <w:sz w:val="20"/>
                <w:szCs w:val="20"/>
                <w14:ligatures w14:val="standardContextual"/>
              </w:rPr>
            </w:pPr>
            <w:r w:rsidRPr="006C7BAF">
              <w:rPr>
                <w:rFonts w:ascii="Arial Narrow" w:hAnsi="Arial Narrow" w:cs="Segoe UI"/>
                <w:sz w:val="20"/>
                <w:szCs w:val="20"/>
                <w14:ligatures w14:val="standardContextual"/>
              </w:rPr>
              <w:t>3</w:t>
            </w:r>
          </w:p>
        </w:tc>
      </w:tr>
      <w:tr w:rsidR="001D2210" w:rsidRPr="006C7BAF" w14:paraId="1D9DDB96" w14:textId="77777777" w:rsidTr="00EE2277">
        <w:trPr>
          <w:trHeight w:val="20"/>
        </w:trPr>
        <w:tc>
          <w:tcPr>
            <w:tcW w:w="9010" w:type="dxa"/>
            <w:gridSpan w:val="6"/>
            <w:shd w:val="clear" w:color="auto" w:fill="auto"/>
            <w:vAlign w:val="center"/>
            <w:hideMark/>
          </w:tcPr>
          <w:p w14:paraId="39B2DB8F" w14:textId="77777777" w:rsidR="001D2210" w:rsidRPr="006C7BAF" w:rsidRDefault="001D2210" w:rsidP="00C059C3">
            <w:pPr>
              <w:keepNext/>
              <w:keepLines/>
              <w:jc w:val="left"/>
              <w:textAlignment w:val="baseline"/>
              <w:rPr>
                <w:rFonts w:ascii="Arial Narrow" w:hAnsi="Arial Narrow" w:cs="Segoe UI"/>
                <w:sz w:val="20"/>
                <w:szCs w:val="20"/>
              </w:rPr>
            </w:pPr>
            <w:r w:rsidRPr="006C7BAF">
              <w:rPr>
                <w:rFonts w:ascii="Arial Narrow" w:hAnsi="Arial Narrow" w:cs="Segoe UI"/>
                <w:b/>
                <w:bCs/>
                <w:sz w:val="20"/>
                <w:szCs w:val="20"/>
              </w:rPr>
              <w:t>Available brands </w:t>
            </w:r>
            <w:r w:rsidRPr="006C7BAF">
              <w:rPr>
                <w:rFonts w:ascii="Arial Narrow" w:hAnsi="Arial Narrow" w:cs="Segoe UI"/>
                <w:sz w:val="20"/>
                <w:szCs w:val="20"/>
              </w:rPr>
              <w:t> </w:t>
            </w:r>
          </w:p>
        </w:tc>
      </w:tr>
      <w:tr w:rsidR="001D2210" w:rsidRPr="006C7BAF" w14:paraId="0DA24A87" w14:textId="77777777" w:rsidTr="00EE2277">
        <w:trPr>
          <w:trHeight w:val="20"/>
        </w:trPr>
        <w:tc>
          <w:tcPr>
            <w:tcW w:w="9010" w:type="dxa"/>
            <w:gridSpan w:val="6"/>
            <w:shd w:val="clear" w:color="auto" w:fill="auto"/>
            <w:vAlign w:val="center"/>
            <w:hideMark/>
          </w:tcPr>
          <w:p w14:paraId="4BFDCCC7" w14:textId="77777777" w:rsidR="001D2210" w:rsidRPr="006C7BAF" w:rsidRDefault="001D2210" w:rsidP="00C059C3">
            <w:pPr>
              <w:keepNext/>
              <w:keepLines/>
              <w:rPr>
                <w:rFonts w:ascii="Arial Narrow" w:eastAsia="Arial Narrow" w:hAnsi="Arial Narrow" w:cs="Arial Narrow"/>
                <w:sz w:val="20"/>
                <w:szCs w:val="20"/>
                <w14:ligatures w14:val="standardContextual"/>
              </w:rPr>
            </w:pPr>
            <w:r w:rsidRPr="006C7BAF">
              <w:rPr>
                <w:rFonts w:ascii="Arial Narrow" w:eastAsia="Arial Narrow" w:hAnsi="Arial Narrow" w:cs="Arial Narrow"/>
                <w:sz w:val="20"/>
                <w:szCs w:val="20"/>
                <w14:ligatures w14:val="standardContextual"/>
              </w:rPr>
              <w:t>Rybrevant</w:t>
            </w:r>
          </w:p>
          <w:p w14:paraId="62A5CC7A" w14:textId="77777777" w:rsidR="001D2210" w:rsidRPr="006C7BAF" w:rsidRDefault="001D2210" w:rsidP="00C059C3">
            <w:pPr>
              <w:keepNext/>
              <w:keepLines/>
              <w:jc w:val="left"/>
              <w:textAlignment w:val="baseline"/>
              <w:rPr>
                <w:rFonts w:ascii="Arial Narrow" w:hAnsi="Arial Narrow" w:cs="Segoe UI"/>
                <w:sz w:val="20"/>
                <w:szCs w:val="20"/>
              </w:rPr>
            </w:pPr>
            <w:r w:rsidRPr="006C7BAF">
              <w:rPr>
                <w:rFonts w:ascii="Arial Narrow" w:eastAsia="Arial Narrow" w:hAnsi="Arial Narrow" w:cs="Arial Narrow"/>
                <w:sz w:val="20"/>
                <w:szCs w:val="20"/>
                <w14:ligatures w14:val="standardContextual"/>
              </w:rPr>
              <w:t>amivantamab 350 mg/7 mL injection, 7 mL vial</w:t>
            </w:r>
          </w:p>
        </w:tc>
      </w:tr>
      <w:tr w:rsidR="001D2210" w:rsidRPr="006C7BAF" w14:paraId="1314E007" w14:textId="77777777" w:rsidTr="00EE2277">
        <w:trPr>
          <w:trHeight w:val="20"/>
        </w:trPr>
        <w:tc>
          <w:tcPr>
            <w:tcW w:w="9010" w:type="dxa"/>
            <w:gridSpan w:val="6"/>
            <w:shd w:val="clear" w:color="auto" w:fill="auto"/>
            <w:vAlign w:val="center"/>
            <w:hideMark/>
          </w:tcPr>
          <w:p w14:paraId="2611C73B" w14:textId="77777777" w:rsidR="001D2210" w:rsidRPr="006C7BAF" w:rsidRDefault="001D2210" w:rsidP="00C059C3">
            <w:pPr>
              <w:keepNext/>
              <w:keepLines/>
              <w:jc w:val="left"/>
              <w:textAlignment w:val="baseline"/>
              <w:rPr>
                <w:rFonts w:ascii="Arial Narrow" w:hAnsi="Arial Narrow" w:cs="Segoe UI"/>
                <w:sz w:val="20"/>
                <w:szCs w:val="20"/>
              </w:rPr>
            </w:pPr>
          </w:p>
        </w:tc>
      </w:tr>
      <w:tr w:rsidR="001D2210" w:rsidRPr="006C7BAF" w14:paraId="00165D0F" w14:textId="77777777" w:rsidTr="00EE2277">
        <w:trPr>
          <w:trHeight w:val="20"/>
        </w:trPr>
        <w:tc>
          <w:tcPr>
            <w:tcW w:w="9010" w:type="dxa"/>
            <w:gridSpan w:val="6"/>
            <w:shd w:val="clear" w:color="auto" w:fill="auto"/>
            <w:vAlign w:val="center"/>
            <w:hideMark/>
          </w:tcPr>
          <w:p w14:paraId="22E32BDC"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Restriction Summary [new1]</w:t>
            </w:r>
            <w:r w:rsidRPr="006C7BAF">
              <w:rPr>
                <w:rFonts w:ascii="Arial Narrow" w:hAnsi="Arial Narrow" w:cs="Segoe UI"/>
                <w:b/>
                <w:bCs/>
                <w:color w:val="FF0000"/>
                <w:sz w:val="20"/>
                <w:szCs w:val="20"/>
              </w:rPr>
              <w:t xml:space="preserve"> </w:t>
            </w:r>
            <w:r w:rsidRPr="006C7BAF">
              <w:rPr>
                <w:rFonts w:ascii="Arial Narrow" w:hAnsi="Arial Narrow" w:cs="Segoe UI"/>
                <w:b/>
                <w:bCs/>
                <w:sz w:val="20"/>
                <w:szCs w:val="20"/>
              </w:rPr>
              <w:t>/ Treatment of Concept: [new1A]</w:t>
            </w:r>
          </w:p>
        </w:tc>
      </w:tr>
      <w:tr w:rsidR="001D2210" w:rsidRPr="006C7BAF" w14:paraId="10086FDF" w14:textId="77777777" w:rsidTr="00626E73">
        <w:trPr>
          <w:trHeight w:val="20"/>
        </w:trPr>
        <w:tc>
          <w:tcPr>
            <w:tcW w:w="1413" w:type="dxa"/>
            <w:gridSpan w:val="2"/>
            <w:vMerge w:val="restart"/>
            <w:shd w:val="clear" w:color="auto" w:fill="auto"/>
          </w:tcPr>
          <w:p w14:paraId="74FCBC85" w14:textId="5E3FA0A1"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hideMark/>
          </w:tcPr>
          <w:p w14:paraId="1ED943BD"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 xml:space="preserve">Category / Program: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hAnsi="Arial Narrow" w:cs="Segoe UI"/>
                <w:b/>
                <w:bCs/>
                <w:sz w:val="20"/>
                <w:szCs w:val="20"/>
              </w:rPr>
              <w:t xml:space="preserve"> </w:t>
            </w:r>
            <w:r w:rsidRPr="006C7BAF">
              <w:rPr>
                <w:rFonts w:ascii="Arial Narrow" w:hAnsi="Arial Narrow" w:cs="Segoe UI"/>
                <w:sz w:val="20"/>
                <w:szCs w:val="20"/>
              </w:rPr>
              <w:t xml:space="preserve">Section 100 – Efficient Funding of Chemotherapy Public/Private hospitals </w:t>
            </w:r>
          </w:p>
        </w:tc>
      </w:tr>
      <w:tr w:rsidR="001D2210" w:rsidRPr="006C7BAF" w14:paraId="4F79B7FA" w14:textId="77777777" w:rsidTr="00626E73">
        <w:trPr>
          <w:trHeight w:val="20"/>
        </w:trPr>
        <w:tc>
          <w:tcPr>
            <w:tcW w:w="1413" w:type="dxa"/>
            <w:gridSpan w:val="2"/>
            <w:vMerge/>
            <w:vAlign w:val="center"/>
          </w:tcPr>
          <w:p w14:paraId="2EB8790E" w14:textId="77777777" w:rsidR="001D2210" w:rsidRPr="006C7BAF" w:rsidRDefault="001D2210">
            <w:pPr>
              <w:jc w:val="left"/>
              <w:rPr>
                <w:rFonts w:ascii="Arial Narrow" w:hAnsi="Arial Narrow" w:cs="Segoe UI"/>
                <w:sz w:val="20"/>
                <w:szCs w:val="20"/>
              </w:rPr>
            </w:pPr>
          </w:p>
        </w:tc>
        <w:tc>
          <w:tcPr>
            <w:tcW w:w="7597" w:type="dxa"/>
            <w:gridSpan w:val="4"/>
            <w:shd w:val="clear" w:color="auto" w:fill="auto"/>
            <w:hideMark/>
          </w:tcPr>
          <w:p w14:paraId="7608ED04" w14:textId="77777777" w:rsidR="001D2210" w:rsidRPr="006C7BAF" w:rsidRDefault="001D2210">
            <w:pPr>
              <w:textAlignment w:val="baseline"/>
              <w:rPr>
                <w:rFonts w:ascii="Arial Narrow" w:hAnsi="Arial Narrow" w:cs="Segoe UI"/>
                <w:b/>
                <w:bCs/>
                <w:sz w:val="20"/>
                <w:szCs w:val="20"/>
              </w:rPr>
            </w:pPr>
            <w:r w:rsidRPr="006C7BAF">
              <w:rPr>
                <w:rFonts w:ascii="Arial Narrow" w:hAnsi="Arial Narrow" w:cs="Segoe UI"/>
                <w:b/>
                <w:bCs/>
                <w:sz w:val="20"/>
                <w:szCs w:val="20"/>
              </w:rPr>
              <w:t xml:space="preserve">Prescriber type: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hAnsi="Arial Narrow" w:cs="Segoe UI"/>
                <w:sz w:val="20"/>
                <w:szCs w:val="20"/>
              </w:rPr>
              <w:t xml:space="preserve">Medical Practitioners </w:t>
            </w:r>
          </w:p>
        </w:tc>
      </w:tr>
      <w:tr w:rsidR="001D2210" w:rsidRPr="006C7BAF" w14:paraId="5E500B0F" w14:textId="77777777" w:rsidTr="00626E73">
        <w:trPr>
          <w:trHeight w:val="20"/>
        </w:trPr>
        <w:tc>
          <w:tcPr>
            <w:tcW w:w="1413" w:type="dxa"/>
            <w:gridSpan w:val="2"/>
            <w:vMerge/>
            <w:vAlign w:val="center"/>
          </w:tcPr>
          <w:p w14:paraId="0B93BFAD" w14:textId="77777777" w:rsidR="001D2210" w:rsidRPr="006C7BAF" w:rsidRDefault="001D2210">
            <w:pPr>
              <w:jc w:val="left"/>
              <w:rPr>
                <w:rFonts w:ascii="Arial Narrow" w:hAnsi="Arial Narrow" w:cs="Segoe UI"/>
                <w:sz w:val="20"/>
                <w:szCs w:val="20"/>
              </w:rPr>
            </w:pPr>
          </w:p>
        </w:tc>
        <w:tc>
          <w:tcPr>
            <w:tcW w:w="7597" w:type="dxa"/>
            <w:gridSpan w:val="4"/>
            <w:shd w:val="clear" w:color="auto" w:fill="auto"/>
            <w:hideMark/>
          </w:tcPr>
          <w:p w14:paraId="3E2CF8C2" w14:textId="77777777" w:rsidR="001D2210" w:rsidRPr="006C7BAF" w:rsidRDefault="001D2210">
            <w:pPr>
              <w:jc w:val="left"/>
              <w:textAlignment w:val="baseline"/>
              <w:rPr>
                <w:rFonts w:ascii="Arial Narrow" w:hAnsi="Arial Narrow" w:cs="Segoe UI"/>
                <w:b/>
                <w:bCs/>
                <w:sz w:val="20"/>
                <w:szCs w:val="20"/>
              </w:rPr>
            </w:pPr>
            <w:r w:rsidRPr="006C7BAF">
              <w:rPr>
                <w:rFonts w:ascii="Arial Narrow" w:hAnsi="Arial Narrow" w:cs="Segoe UI"/>
                <w:b/>
                <w:bCs/>
                <w:sz w:val="20"/>
                <w:szCs w:val="20"/>
              </w:rPr>
              <w:t xml:space="preserve">Restriction type: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hAnsi="Arial Narrow" w:cs="Segoe UI"/>
                <w:sz w:val="20"/>
                <w:szCs w:val="20"/>
              </w:rPr>
              <w:t xml:space="preserve">Authority Required (telephone/online PBS Authorities system) </w:t>
            </w:r>
          </w:p>
        </w:tc>
      </w:tr>
      <w:tr w:rsidR="001D2210" w:rsidRPr="006C7BAF" w14:paraId="7485D20E" w14:textId="77777777" w:rsidTr="00626E73">
        <w:trPr>
          <w:trHeight w:val="20"/>
        </w:trPr>
        <w:tc>
          <w:tcPr>
            <w:tcW w:w="704" w:type="dxa"/>
            <w:vMerge w:val="restart"/>
            <w:shd w:val="clear" w:color="auto" w:fill="auto"/>
            <w:textDirection w:val="btLr"/>
            <w:vAlign w:val="center"/>
          </w:tcPr>
          <w:p w14:paraId="3FC51D75" w14:textId="6B43094D" w:rsidR="001D2210" w:rsidRPr="006C7BAF" w:rsidRDefault="001D2210" w:rsidP="00626E73">
            <w:pPr>
              <w:ind w:left="113" w:right="105"/>
              <w:jc w:val="center"/>
              <w:textAlignment w:val="baseline"/>
              <w:rPr>
                <w:rFonts w:ascii="Arial Narrow" w:hAnsi="Arial Narrow" w:cs="Segoe UI"/>
                <w:sz w:val="20"/>
                <w:szCs w:val="20"/>
              </w:rPr>
            </w:pPr>
          </w:p>
        </w:tc>
        <w:tc>
          <w:tcPr>
            <w:tcW w:w="709" w:type="dxa"/>
            <w:shd w:val="clear" w:color="auto" w:fill="auto"/>
            <w:vAlign w:val="center"/>
            <w:hideMark/>
          </w:tcPr>
          <w:p w14:paraId="0807F7A3" w14:textId="05C8C8CF" w:rsidR="001D2210" w:rsidRPr="006C7BAF" w:rsidRDefault="001D2210">
            <w:pPr>
              <w:ind w:hanging="30"/>
              <w:jc w:val="center"/>
              <w:textAlignment w:val="baseline"/>
              <w:rPr>
                <w:rFonts w:ascii="Arial Narrow" w:hAnsi="Arial Narrow" w:cs="Segoe UI"/>
                <w:sz w:val="20"/>
                <w:szCs w:val="20"/>
              </w:rPr>
            </w:pPr>
            <w:r w:rsidRPr="006C7BAF">
              <w:rPr>
                <w:rFonts w:ascii="Arial Narrow" w:hAnsi="Arial Narrow" w:cs="Segoe UI"/>
                <w:color w:val="333333"/>
                <w:sz w:val="20"/>
                <w:szCs w:val="20"/>
              </w:rPr>
              <w:t> </w:t>
            </w:r>
          </w:p>
        </w:tc>
        <w:tc>
          <w:tcPr>
            <w:tcW w:w="7597" w:type="dxa"/>
            <w:gridSpan w:val="4"/>
            <w:shd w:val="clear" w:color="auto" w:fill="auto"/>
            <w:vAlign w:val="center"/>
            <w:hideMark/>
          </w:tcPr>
          <w:p w14:paraId="34B3CB6F"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b/>
                <w:bCs/>
                <w:color w:val="333333"/>
                <w:sz w:val="20"/>
                <w:szCs w:val="20"/>
              </w:rPr>
              <w:t>Administrative Advice: </w:t>
            </w:r>
          </w:p>
          <w:p w14:paraId="70902309" w14:textId="77777777" w:rsidR="001D2210" w:rsidRPr="006C7BAF" w:rsidRDefault="001D2210">
            <w:pPr>
              <w:jc w:val="left"/>
              <w:textAlignment w:val="baseline"/>
              <w:rPr>
                <w:rFonts w:ascii="Arial Narrow" w:hAnsi="Arial Narrow" w:cs="Segoe UI"/>
                <w:strike/>
                <w:color w:val="333333"/>
                <w:sz w:val="20"/>
                <w:szCs w:val="20"/>
              </w:rPr>
            </w:pPr>
            <w:r w:rsidRPr="006C7BAF">
              <w:rPr>
                <w:rFonts w:ascii="Arial Narrow" w:hAnsi="Arial Narrow" w:cs="Segoe UI"/>
                <w:strike/>
                <w:color w:val="333333"/>
                <w:sz w:val="20"/>
                <w:szCs w:val="20"/>
              </w:rPr>
              <w:t>No increase in the maximum quantity may be authorised </w:t>
            </w:r>
          </w:p>
          <w:p w14:paraId="649CF592" w14:textId="77777777" w:rsidR="001D2210" w:rsidRPr="006C7BAF" w:rsidRDefault="001D2210">
            <w:pPr>
              <w:jc w:val="left"/>
              <w:textAlignment w:val="baseline"/>
              <w:rPr>
                <w:rFonts w:ascii="Arial Narrow" w:hAnsi="Arial Narrow" w:cs="Segoe UI"/>
                <w:i/>
                <w:iCs/>
                <w:color w:val="333333"/>
                <w:sz w:val="20"/>
                <w:szCs w:val="20"/>
              </w:rPr>
            </w:pPr>
            <w:r w:rsidRPr="006C7BAF">
              <w:rPr>
                <w:rFonts w:ascii="Arial Narrow" w:hAnsi="Arial Narrow" w:cs="Segoe UI"/>
                <w:i/>
                <w:iCs/>
                <w:color w:val="333333"/>
                <w:sz w:val="20"/>
                <w:szCs w:val="20"/>
              </w:rPr>
              <w:t>No increase in the maximum amount or number of units may be authorised.</w:t>
            </w:r>
          </w:p>
        </w:tc>
      </w:tr>
      <w:tr w:rsidR="001D2210" w:rsidRPr="006C7BAF" w14:paraId="03E81D05" w14:textId="77777777" w:rsidTr="00626E73">
        <w:trPr>
          <w:trHeight w:val="20"/>
        </w:trPr>
        <w:tc>
          <w:tcPr>
            <w:tcW w:w="704" w:type="dxa"/>
            <w:vMerge/>
            <w:vAlign w:val="center"/>
          </w:tcPr>
          <w:p w14:paraId="4CD85221" w14:textId="77777777" w:rsidR="001D2210" w:rsidRPr="006C7BAF" w:rsidRDefault="001D2210">
            <w:pPr>
              <w:jc w:val="left"/>
              <w:rPr>
                <w:rFonts w:ascii="Arial Narrow" w:hAnsi="Arial Narrow" w:cs="Segoe UI"/>
                <w:sz w:val="20"/>
                <w:szCs w:val="20"/>
              </w:rPr>
            </w:pPr>
          </w:p>
        </w:tc>
        <w:tc>
          <w:tcPr>
            <w:tcW w:w="709" w:type="dxa"/>
            <w:shd w:val="clear" w:color="auto" w:fill="auto"/>
            <w:vAlign w:val="center"/>
          </w:tcPr>
          <w:p w14:paraId="21D39D53" w14:textId="02CC6E2B"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hideMark/>
          </w:tcPr>
          <w:p w14:paraId="4E472AC1"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Administrative Advice:</w:t>
            </w:r>
            <w:r w:rsidRPr="006C7BAF">
              <w:rPr>
                <w:rFonts w:ascii="Arial Narrow" w:hAnsi="Arial Narrow" w:cs="Segoe UI"/>
                <w:color w:val="333333"/>
                <w:sz w:val="20"/>
                <w:szCs w:val="20"/>
              </w:rPr>
              <w:t> </w:t>
            </w:r>
          </w:p>
          <w:p w14:paraId="1B401165"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color w:val="333333"/>
                <w:sz w:val="20"/>
                <w:szCs w:val="20"/>
              </w:rPr>
              <w:t>No increase in the maximum number of repeats may be authorised</w:t>
            </w:r>
            <w:r w:rsidRPr="006C7BAF">
              <w:rPr>
                <w:rFonts w:ascii="Arial Narrow" w:hAnsi="Arial Narrow" w:cs="Segoe UI"/>
                <w:i/>
                <w:iCs/>
                <w:color w:val="333333"/>
                <w:sz w:val="20"/>
                <w:szCs w:val="20"/>
              </w:rPr>
              <w:t>.</w:t>
            </w:r>
          </w:p>
        </w:tc>
      </w:tr>
      <w:tr w:rsidR="001D2210" w:rsidRPr="006C7BAF" w14:paraId="5E118D51" w14:textId="77777777" w:rsidTr="00626E73">
        <w:trPr>
          <w:trHeight w:val="20"/>
        </w:trPr>
        <w:tc>
          <w:tcPr>
            <w:tcW w:w="704" w:type="dxa"/>
            <w:vMerge/>
            <w:vAlign w:val="center"/>
          </w:tcPr>
          <w:p w14:paraId="7AAE0DAC" w14:textId="77777777" w:rsidR="001D2210" w:rsidRPr="006C7BAF" w:rsidRDefault="001D2210">
            <w:pPr>
              <w:jc w:val="left"/>
              <w:rPr>
                <w:rFonts w:ascii="Arial Narrow" w:hAnsi="Arial Narrow" w:cs="Segoe UI"/>
                <w:sz w:val="20"/>
                <w:szCs w:val="20"/>
              </w:rPr>
            </w:pPr>
          </w:p>
        </w:tc>
        <w:tc>
          <w:tcPr>
            <w:tcW w:w="709" w:type="dxa"/>
            <w:shd w:val="clear" w:color="auto" w:fill="auto"/>
            <w:vAlign w:val="center"/>
          </w:tcPr>
          <w:p w14:paraId="024F7CEB" w14:textId="77AB073D"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hideMark/>
          </w:tcPr>
          <w:p w14:paraId="3E77F98B"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Administrative Advice:</w:t>
            </w:r>
            <w:r w:rsidRPr="006C7BAF">
              <w:rPr>
                <w:rFonts w:ascii="Arial Narrow" w:hAnsi="Arial Narrow" w:cs="Segoe UI"/>
                <w:color w:val="333333"/>
                <w:sz w:val="20"/>
                <w:szCs w:val="20"/>
              </w:rPr>
              <w:t> </w:t>
            </w:r>
          </w:p>
          <w:p w14:paraId="1BAD2FDA"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color w:val="333333"/>
                <w:sz w:val="20"/>
                <w:szCs w:val="20"/>
              </w:rPr>
              <w:t>Special pricing arrangements apply</w:t>
            </w:r>
            <w:r w:rsidRPr="006C7BAF">
              <w:rPr>
                <w:rFonts w:ascii="Arial Narrow" w:hAnsi="Arial Narrow" w:cs="Segoe UI"/>
                <w:i/>
                <w:iCs/>
                <w:color w:val="333333"/>
                <w:sz w:val="20"/>
                <w:szCs w:val="20"/>
              </w:rPr>
              <w:t>.</w:t>
            </w:r>
          </w:p>
        </w:tc>
      </w:tr>
      <w:tr w:rsidR="001D2210" w:rsidRPr="006C7BAF" w14:paraId="0D4AF1B8" w14:textId="77777777" w:rsidTr="00626E73">
        <w:trPr>
          <w:trHeight w:val="20"/>
        </w:trPr>
        <w:tc>
          <w:tcPr>
            <w:tcW w:w="704" w:type="dxa"/>
            <w:vMerge/>
            <w:vAlign w:val="center"/>
          </w:tcPr>
          <w:p w14:paraId="6267556F" w14:textId="77777777" w:rsidR="001D2210" w:rsidRPr="006C7BAF" w:rsidRDefault="001D2210">
            <w:pPr>
              <w:jc w:val="left"/>
              <w:rPr>
                <w:rFonts w:ascii="Arial Narrow" w:hAnsi="Arial Narrow" w:cs="Segoe UI"/>
                <w:sz w:val="20"/>
                <w:szCs w:val="20"/>
              </w:rPr>
            </w:pPr>
          </w:p>
        </w:tc>
        <w:tc>
          <w:tcPr>
            <w:tcW w:w="709" w:type="dxa"/>
            <w:shd w:val="clear" w:color="auto" w:fill="auto"/>
            <w:vAlign w:val="center"/>
          </w:tcPr>
          <w:p w14:paraId="31456A94" w14:textId="7741A206"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tcPr>
          <w:p w14:paraId="4F166EC8"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b/>
                <w:bCs/>
                <w:color w:val="333333"/>
                <w:sz w:val="20"/>
                <w:szCs w:val="20"/>
              </w:rPr>
              <w:t>Administrative advice:</w:t>
            </w:r>
          </w:p>
          <w:p w14:paraId="2AA4BF48"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2210" w:rsidRPr="006C7BAF" w14:paraId="459F9CFF" w14:textId="77777777" w:rsidTr="00626E73">
        <w:trPr>
          <w:trHeight w:val="20"/>
        </w:trPr>
        <w:tc>
          <w:tcPr>
            <w:tcW w:w="1413" w:type="dxa"/>
            <w:gridSpan w:val="2"/>
            <w:vMerge w:val="restart"/>
            <w:shd w:val="clear" w:color="auto" w:fill="auto"/>
            <w:vAlign w:val="center"/>
            <w:hideMark/>
          </w:tcPr>
          <w:p w14:paraId="0F27DB0A"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color w:val="333333"/>
                <w:sz w:val="20"/>
                <w:szCs w:val="20"/>
              </w:rPr>
              <w:t> </w:t>
            </w:r>
          </w:p>
        </w:tc>
        <w:tc>
          <w:tcPr>
            <w:tcW w:w="7597" w:type="dxa"/>
            <w:gridSpan w:val="4"/>
            <w:shd w:val="clear" w:color="auto" w:fill="auto"/>
            <w:vAlign w:val="center"/>
            <w:hideMark/>
          </w:tcPr>
          <w:p w14:paraId="070AD525"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Episodicity</w:t>
            </w:r>
            <w:r w:rsidRPr="006C7BAF">
              <w:rPr>
                <w:rFonts w:ascii="Arial Narrow" w:hAnsi="Arial Narrow" w:cs="Segoe UI"/>
                <w:b/>
                <w:bCs/>
                <w:sz w:val="20"/>
                <w:szCs w:val="20"/>
              </w:rPr>
              <w:t xml:space="preserve">: </w:t>
            </w:r>
            <w:r w:rsidRPr="006C7BAF">
              <w:rPr>
                <w:rFonts w:ascii="Arial Narrow" w:hAnsi="Arial Narrow" w:cs="Segoe UI"/>
                <w:sz w:val="20"/>
                <w:szCs w:val="20"/>
              </w:rPr>
              <w:t>[blank] </w:t>
            </w:r>
          </w:p>
        </w:tc>
      </w:tr>
      <w:tr w:rsidR="001D2210" w:rsidRPr="006C7BAF" w14:paraId="295C9B3D" w14:textId="77777777" w:rsidTr="00626E73">
        <w:trPr>
          <w:trHeight w:val="20"/>
        </w:trPr>
        <w:tc>
          <w:tcPr>
            <w:tcW w:w="1413" w:type="dxa"/>
            <w:gridSpan w:val="2"/>
            <w:vMerge/>
            <w:vAlign w:val="center"/>
            <w:hideMark/>
          </w:tcPr>
          <w:p w14:paraId="1756B117" w14:textId="77777777" w:rsidR="001D2210" w:rsidRPr="006C7BAF" w:rsidRDefault="001D2210">
            <w:pPr>
              <w:jc w:val="left"/>
              <w:rPr>
                <w:rFonts w:ascii="Arial Narrow" w:hAnsi="Arial Narrow" w:cs="Segoe UI"/>
                <w:sz w:val="20"/>
                <w:szCs w:val="20"/>
              </w:rPr>
            </w:pPr>
          </w:p>
        </w:tc>
        <w:tc>
          <w:tcPr>
            <w:tcW w:w="7597" w:type="dxa"/>
            <w:gridSpan w:val="4"/>
            <w:shd w:val="clear" w:color="auto" w:fill="auto"/>
            <w:vAlign w:val="center"/>
            <w:hideMark/>
          </w:tcPr>
          <w:p w14:paraId="73D479A6"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 xml:space="preserve">Severity: </w:t>
            </w:r>
            <w:r w:rsidRPr="006C7BAF">
              <w:rPr>
                <w:rFonts w:ascii="Arial Narrow" w:hAnsi="Arial Narrow" w:cs="Segoe UI"/>
                <w:strike/>
                <w:sz w:val="20"/>
                <w:szCs w:val="20"/>
              </w:rPr>
              <w:t>Stage IIIB or IIIC (locally advanced) or IV (metastatic)</w:t>
            </w:r>
            <w:r w:rsidRPr="006C7BAF">
              <w:rPr>
                <w:rFonts w:ascii="Arial Narrow" w:hAnsi="Arial Narrow" w:cs="Segoe UI"/>
                <w:sz w:val="20"/>
                <w:szCs w:val="20"/>
              </w:rPr>
              <w:t> </w:t>
            </w:r>
          </w:p>
          <w:p w14:paraId="394BBB48"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i/>
                <w:iCs/>
                <w:sz w:val="20"/>
                <w:szCs w:val="20"/>
              </w:rPr>
              <w:t>Stage IIIB/IIIC (locally advanced) or Stage IV (metastatic)</w:t>
            </w:r>
          </w:p>
        </w:tc>
      </w:tr>
      <w:tr w:rsidR="001D2210" w:rsidRPr="006C7BAF" w14:paraId="7ECAC8E2" w14:textId="77777777" w:rsidTr="00626E73">
        <w:trPr>
          <w:trHeight w:val="20"/>
        </w:trPr>
        <w:tc>
          <w:tcPr>
            <w:tcW w:w="1413" w:type="dxa"/>
            <w:gridSpan w:val="2"/>
            <w:vMerge/>
            <w:vAlign w:val="center"/>
            <w:hideMark/>
          </w:tcPr>
          <w:p w14:paraId="60BC4415" w14:textId="77777777" w:rsidR="001D2210" w:rsidRPr="006C7BAF" w:rsidRDefault="001D2210">
            <w:pPr>
              <w:jc w:val="left"/>
              <w:rPr>
                <w:rFonts w:ascii="Arial Narrow" w:hAnsi="Arial Narrow" w:cs="Segoe UI"/>
                <w:sz w:val="20"/>
                <w:szCs w:val="20"/>
              </w:rPr>
            </w:pPr>
          </w:p>
        </w:tc>
        <w:tc>
          <w:tcPr>
            <w:tcW w:w="7597" w:type="dxa"/>
            <w:gridSpan w:val="4"/>
            <w:shd w:val="clear" w:color="auto" w:fill="auto"/>
            <w:vAlign w:val="center"/>
            <w:hideMark/>
          </w:tcPr>
          <w:p w14:paraId="318CBA10"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 xml:space="preserve">Condition: </w:t>
            </w:r>
            <w:r w:rsidRPr="006C7BAF">
              <w:rPr>
                <w:rFonts w:ascii="Arial Narrow" w:hAnsi="Arial Narrow" w:cs="Segoe UI"/>
                <w:color w:val="333333"/>
                <w:sz w:val="20"/>
                <w:szCs w:val="20"/>
              </w:rPr>
              <w:t>Non-small cell lung cancer (NSCLC)</w:t>
            </w:r>
            <w:r w:rsidRPr="006C7BAF">
              <w:rPr>
                <w:rFonts w:ascii="Arial Narrow" w:hAnsi="Arial Narrow" w:cs="Segoe UI"/>
                <w:color w:val="FF0000"/>
                <w:sz w:val="20"/>
                <w:szCs w:val="20"/>
              </w:rPr>
              <w:t> </w:t>
            </w:r>
          </w:p>
        </w:tc>
      </w:tr>
      <w:tr w:rsidR="001D2210" w:rsidRPr="006C7BAF" w14:paraId="5567A4C1" w14:textId="77777777" w:rsidTr="00626E73">
        <w:trPr>
          <w:trHeight w:val="20"/>
        </w:trPr>
        <w:tc>
          <w:tcPr>
            <w:tcW w:w="1413" w:type="dxa"/>
            <w:gridSpan w:val="2"/>
            <w:shd w:val="clear" w:color="auto" w:fill="auto"/>
            <w:vAlign w:val="center"/>
          </w:tcPr>
          <w:p w14:paraId="44897479" w14:textId="2BF1C27B"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68460EDC"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Indication:</w:t>
            </w:r>
            <w:r w:rsidRPr="006C7BAF">
              <w:rPr>
                <w:rFonts w:ascii="Arial Narrow" w:hAnsi="Arial Narrow" w:cs="Segoe UI"/>
                <w:color w:val="333333"/>
                <w:sz w:val="20"/>
                <w:szCs w:val="20"/>
              </w:rPr>
              <w:t xml:space="preserve"> </w:t>
            </w:r>
            <w:r w:rsidRPr="006C7BAF">
              <w:rPr>
                <w:rFonts w:ascii="Arial Narrow" w:hAnsi="Arial Narrow" w:cs="Segoe UI"/>
                <w:strike/>
                <w:color w:val="333333"/>
                <w:sz w:val="20"/>
                <w:szCs w:val="20"/>
              </w:rPr>
              <w:t>Stage IIIB or IIIC (locally advanced) or IV (metastatic) non-small cell lung cancer (NSCLC)</w:t>
            </w:r>
          </w:p>
          <w:p w14:paraId="62B50402"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i/>
                <w:iCs/>
                <w:sz w:val="20"/>
                <w:szCs w:val="20"/>
              </w:rPr>
              <w:t>Stage IIIB/IIIC (locally advanced) or Stage IV (metastatic) non-small cell lung cancer (NSCLC)</w:t>
            </w:r>
          </w:p>
        </w:tc>
      </w:tr>
      <w:tr w:rsidR="001D2210" w:rsidRPr="006C7BAF" w14:paraId="64022402" w14:textId="77777777" w:rsidTr="00626E73">
        <w:trPr>
          <w:trHeight w:val="20"/>
        </w:trPr>
        <w:tc>
          <w:tcPr>
            <w:tcW w:w="1413" w:type="dxa"/>
            <w:gridSpan w:val="2"/>
            <w:shd w:val="clear" w:color="auto" w:fill="auto"/>
            <w:vAlign w:val="center"/>
          </w:tcPr>
          <w:p w14:paraId="04286CC3" w14:textId="74BEBDB9"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1DE136DB"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b/>
                <w:bCs/>
                <w:color w:val="333333"/>
                <w:sz w:val="20"/>
                <w:szCs w:val="20"/>
              </w:rPr>
              <w:t>Treatment Phase</w:t>
            </w:r>
            <w:r w:rsidRPr="006C7BAF">
              <w:rPr>
                <w:rFonts w:ascii="Arial Narrow" w:hAnsi="Arial Narrow" w:cs="Segoe UI"/>
                <w:b/>
                <w:bCs/>
                <w:sz w:val="20"/>
                <w:szCs w:val="20"/>
              </w:rPr>
              <w:t>:</w:t>
            </w:r>
            <w:r w:rsidRPr="006C7BAF">
              <w:rPr>
                <w:rFonts w:ascii="Arial Narrow" w:hAnsi="Arial Narrow" w:cs="Segoe UI"/>
                <w:sz w:val="20"/>
                <w:szCs w:val="20"/>
              </w:rPr>
              <w:t xml:space="preserve"> Initial </w:t>
            </w:r>
            <w:r w:rsidRPr="006C7BAF">
              <w:rPr>
                <w:rFonts w:ascii="Arial Narrow" w:hAnsi="Arial Narrow" w:cs="Segoe UI"/>
                <w:i/>
                <w:iCs/>
                <w:sz w:val="20"/>
                <w:szCs w:val="20"/>
              </w:rPr>
              <w:t>treatment</w:t>
            </w:r>
          </w:p>
        </w:tc>
      </w:tr>
      <w:tr w:rsidR="001D2210" w:rsidRPr="006C7BAF" w14:paraId="6CE20569" w14:textId="77777777" w:rsidTr="00626E73">
        <w:trPr>
          <w:trHeight w:val="20"/>
        </w:trPr>
        <w:tc>
          <w:tcPr>
            <w:tcW w:w="1413" w:type="dxa"/>
            <w:gridSpan w:val="2"/>
            <w:shd w:val="clear" w:color="auto" w:fill="auto"/>
            <w:vAlign w:val="center"/>
          </w:tcPr>
          <w:p w14:paraId="412C4043" w14:textId="548168A1"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59AA1485"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Clinical criteria:</w:t>
            </w:r>
            <w:r w:rsidRPr="006C7BAF">
              <w:rPr>
                <w:rFonts w:ascii="Arial Narrow" w:hAnsi="Arial Narrow" w:cs="Segoe UI"/>
                <w:color w:val="333333"/>
                <w:sz w:val="20"/>
                <w:szCs w:val="20"/>
              </w:rPr>
              <w:t> </w:t>
            </w:r>
          </w:p>
        </w:tc>
      </w:tr>
      <w:tr w:rsidR="001D2210" w:rsidRPr="006C7BAF" w14:paraId="4C3A8622" w14:textId="77777777" w:rsidTr="00626E73">
        <w:trPr>
          <w:trHeight w:val="20"/>
        </w:trPr>
        <w:tc>
          <w:tcPr>
            <w:tcW w:w="1413" w:type="dxa"/>
            <w:gridSpan w:val="2"/>
            <w:shd w:val="clear" w:color="auto" w:fill="auto"/>
            <w:vAlign w:val="center"/>
          </w:tcPr>
          <w:p w14:paraId="35F677D8" w14:textId="0397BD3C" w:rsidR="001D2210" w:rsidRPr="006C7BAF" w:rsidRDefault="001D2210">
            <w:pPr>
              <w:jc w:val="center"/>
              <w:rPr>
                <w:rFonts w:ascii="Arial Narrow" w:eastAsia="Arial Narrow" w:hAnsi="Arial Narrow" w:cs="Arial Narrow"/>
                <w:sz w:val="20"/>
                <w:szCs w:val="20"/>
                <w14:ligatures w14:val="standardContextual"/>
              </w:rPr>
            </w:pPr>
          </w:p>
        </w:tc>
        <w:tc>
          <w:tcPr>
            <w:tcW w:w="7597" w:type="dxa"/>
            <w:gridSpan w:val="4"/>
            <w:shd w:val="clear" w:color="auto" w:fill="auto"/>
            <w:vAlign w:val="center"/>
            <w:hideMark/>
          </w:tcPr>
          <w:p w14:paraId="4B60661F"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color w:val="333333"/>
                <w:sz w:val="20"/>
                <w:szCs w:val="20"/>
              </w:rPr>
              <w:t xml:space="preserve">Patient must not have previously received </w:t>
            </w:r>
            <w:r w:rsidRPr="006C7BAF">
              <w:rPr>
                <w:rFonts w:ascii="Arial Narrow" w:hAnsi="Arial Narrow" w:cs="Segoe UI"/>
                <w:strike/>
                <w:color w:val="333333"/>
                <w:sz w:val="20"/>
                <w:szCs w:val="20"/>
              </w:rPr>
              <w:t>PBS-subsidised treatment with</w:t>
            </w:r>
            <w:r w:rsidRPr="006C7BAF">
              <w:rPr>
                <w:rFonts w:ascii="Arial Narrow" w:hAnsi="Arial Narrow" w:cs="Segoe UI"/>
                <w:color w:val="333333"/>
                <w:sz w:val="20"/>
                <w:szCs w:val="20"/>
              </w:rPr>
              <w:t xml:space="preserve"> this drug for this condition; </w:t>
            </w:r>
            <w:r w:rsidRPr="006C7BAF">
              <w:rPr>
                <w:rFonts w:ascii="Arial Narrow" w:hAnsi="Arial Narrow" w:cs="Segoe UI"/>
                <w:strike/>
                <w:color w:val="333333"/>
                <w:sz w:val="20"/>
                <w:szCs w:val="20"/>
              </w:rPr>
              <w:t>AND </w:t>
            </w:r>
            <w:r w:rsidRPr="006C7BAF">
              <w:rPr>
                <w:rFonts w:ascii="Arial Narrow" w:hAnsi="Arial Narrow" w:cs="Segoe UI"/>
                <w:i/>
                <w:iCs/>
                <w:color w:val="333333"/>
                <w:sz w:val="20"/>
                <w:szCs w:val="20"/>
              </w:rPr>
              <w:t>OR</w:t>
            </w:r>
          </w:p>
        </w:tc>
      </w:tr>
      <w:tr w:rsidR="001D2210" w:rsidRPr="006C7BAF" w14:paraId="63432A40" w14:textId="77777777" w:rsidTr="00626E73">
        <w:trPr>
          <w:trHeight w:val="20"/>
        </w:trPr>
        <w:tc>
          <w:tcPr>
            <w:tcW w:w="1413" w:type="dxa"/>
            <w:gridSpan w:val="2"/>
            <w:shd w:val="clear" w:color="auto" w:fill="auto"/>
            <w:vAlign w:val="center"/>
          </w:tcPr>
          <w:p w14:paraId="7C389C24" w14:textId="6F436AFB" w:rsidR="001D2210" w:rsidRPr="006C7BAF" w:rsidRDefault="001D2210">
            <w:pPr>
              <w:jc w:val="center"/>
              <w:textAlignment w:val="baseline"/>
              <w:rPr>
                <w:rFonts w:ascii="Arial Narrow" w:hAnsi="Arial Narrow" w:cs="Segoe UI"/>
                <w:color w:val="333333"/>
                <w:sz w:val="20"/>
                <w:szCs w:val="20"/>
              </w:rPr>
            </w:pPr>
          </w:p>
        </w:tc>
        <w:tc>
          <w:tcPr>
            <w:tcW w:w="7597" w:type="dxa"/>
            <w:gridSpan w:val="4"/>
            <w:shd w:val="clear" w:color="auto" w:fill="auto"/>
            <w:vAlign w:val="center"/>
          </w:tcPr>
          <w:p w14:paraId="22CB1075"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color w:val="333333"/>
                <w:sz w:val="20"/>
                <w:szCs w:val="20"/>
              </w:rPr>
              <w:t xml:space="preserve">Patient </w:t>
            </w:r>
            <w:r w:rsidRPr="006C7BAF">
              <w:rPr>
                <w:rFonts w:ascii="Arial Narrow" w:hAnsi="Arial Narrow" w:cs="Segoe UI"/>
                <w:strike/>
                <w:color w:val="333333"/>
                <w:sz w:val="20"/>
                <w:szCs w:val="20"/>
              </w:rPr>
              <w:t>grandfathering from non-PBS to PBS-subsidised supply</w:t>
            </w:r>
            <w:r w:rsidRPr="006C7BAF">
              <w:rPr>
                <w:rFonts w:ascii="Arial Narrow" w:hAnsi="Arial Narrow" w:cs="Segoe UI"/>
                <w:color w:val="333333"/>
                <w:sz w:val="20"/>
                <w:szCs w:val="20"/>
              </w:rPr>
              <w:t xml:space="preserve"> must be each of: (i) currently receiving non-PBS subsidised supply for this </w:t>
            </w:r>
            <w:r w:rsidRPr="006C7BAF">
              <w:rPr>
                <w:rFonts w:ascii="Arial Narrow" w:hAnsi="Arial Narrow" w:cs="Segoe UI"/>
                <w:i/>
                <w:iCs/>
                <w:color w:val="333333"/>
                <w:sz w:val="20"/>
                <w:szCs w:val="20"/>
              </w:rPr>
              <w:t>combination therapy</w:t>
            </w:r>
            <w:r w:rsidRPr="006C7BAF">
              <w:rPr>
                <w:rFonts w:ascii="Arial Narrow" w:hAnsi="Arial Narrow" w:cs="Segoe UI"/>
                <w:color w:val="333333"/>
                <w:sz w:val="20"/>
                <w:szCs w:val="20"/>
              </w:rPr>
              <w:t xml:space="preserve"> </w:t>
            </w:r>
            <w:r w:rsidRPr="006C7BAF">
              <w:rPr>
                <w:rFonts w:ascii="Arial Narrow" w:hAnsi="Arial Narrow" w:cs="Segoe UI"/>
                <w:strike/>
                <w:color w:val="333333"/>
                <w:sz w:val="20"/>
                <w:szCs w:val="20"/>
              </w:rPr>
              <w:t>drug</w:t>
            </w:r>
            <w:r w:rsidRPr="006C7BAF">
              <w:rPr>
                <w:rFonts w:ascii="Arial Narrow" w:hAnsi="Arial Narrow" w:cs="Segoe UI"/>
                <w:color w:val="333333"/>
                <w:sz w:val="20"/>
                <w:szCs w:val="20"/>
              </w:rPr>
              <w:t xml:space="preserve"> for this PBS indication, </w:t>
            </w:r>
            <w:r w:rsidRPr="006C7BAF">
              <w:rPr>
                <w:rFonts w:ascii="Arial Narrow" w:hAnsi="Arial Narrow" w:cs="Segoe UI"/>
                <w:strike/>
                <w:color w:val="333333"/>
                <w:sz w:val="20"/>
                <w:szCs w:val="20"/>
              </w:rPr>
              <w:t>(ii) untreated with this drug at the time that non-PBS subsidised supply was commenced, (</w:t>
            </w:r>
            <w:r w:rsidRPr="006C7BAF">
              <w:rPr>
                <w:rFonts w:ascii="Arial Narrow" w:hAnsi="Arial Narrow" w:cs="Segoe UI"/>
                <w:i/>
                <w:iCs/>
                <w:color w:val="333333"/>
                <w:sz w:val="20"/>
                <w:szCs w:val="20"/>
              </w:rPr>
              <w:t xml:space="preserve">ii) </w:t>
            </w:r>
            <w:r w:rsidRPr="006C7BAF">
              <w:rPr>
                <w:rFonts w:ascii="Arial Narrow" w:hAnsi="Arial Narrow" w:cs="Segoe UI"/>
                <w:color w:val="333333"/>
                <w:sz w:val="20"/>
                <w:szCs w:val="20"/>
              </w:rPr>
              <w:t xml:space="preserve">free of disease progression since commencing non-PBS subsidised supply. </w:t>
            </w:r>
          </w:p>
        </w:tc>
      </w:tr>
      <w:tr w:rsidR="001D2210" w:rsidRPr="006C7BAF" w14:paraId="0028216D" w14:textId="77777777" w:rsidTr="00626E73">
        <w:trPr>
          <w:trHeight w:val="20"/>
        </w:trPr>
        <w:tc>
          <w:tcPr>
            <w:tcW w:w="1413" w:type="dxa"/>
            <w:gridSpan w:val="2"/>
            <w:shd w:val="clear" w:color="auto" w:fill="auto"/>
            <w:vAlign w:val="center"/>
          </w:tcPr>
          <w:p w14:paraId="22B8B99C" w14:textId="77777777" w:rsidR="001D2210" w:rsidRPr="006C7BAF" w:rsidRDefault="001D2210">
            <w:pPr>
              <w:jc w:val="center"/>
              <w:textAlignment w:val="baseline"/>
              <w:rPr>
                <w:rFonts w:ascii="Arial Narrow" w:hAnsi="Arial Narrow" w:cs="Segoe UI"/>
                <w:color w:val="333333"/>
                <w:sz w:val="20"/>
                <w:szCs w:val="20"/>
              </w:rPr>
            </w:pPr>
          </w:p>
        </w:tc>
        <w:tc>
          <w:tcPr>
            <w:tcW w:w="7597" w:type="dxa"/>
            <w:gridSpan w:val="4"/>
            <w:shd w:val="clear" w:color="auto" w:fill="auto"/>
            <w:vAlign w:val="center"/>
          </w:tcPr>
          <w:p w14:paraId="23B55FC7" w14:textId="77777777" w:rsidR="001D2210" w:rsidRPr="006C7BAF" w:rsidRDefault="001D2210">
            <w:pPr>
              <w:jc w:val="left"/>
              <w:textAlignment w:val="baseline"/>
              <w:rPr>
                <w:rFonts w:ascii="Arial Narrow" w:hAnsi="Arial Narrow" w:cs="Segoe UI"/>
                <w:b/>
                <w:bCs/>
                <w:i/>
                <w:iCs/>
                <w:color w:val="333333"/>
                <w:sz w:val="20"/>
                <w:szCs w:val="20"/>
              </w:rPr>
            </w:pPr>
            <w:r w:rsidRPr="006C7BAF">
              <w:rPr>
                <w:rFonts w:ascii="Arial Narrow" w:hAnsi="Arial Narrow" w:cs="Segoe UI"/>
                <w:b/>
                <w:bCs/>
                <w:i/>
                <w:iCs/>
                <w:color w:val="333333"/>
                <w:sz w:val="20"/>
                <w:szCs w:val="20"/>
              </w:rPr>
              <w:t>AND</w:t>
            </w:r>
          </w:p>
        </w:tc>
      </w:tr>
      <w:tr w:rsidR="001D2210" w:rsidRPr="006C7BAF" w14:paraId="5141708B" w14:textId="77777777" w:rsidTr="00626E73">
        <w:trPr>
          <w:trHeight w:val="20"/>
        </w:trPr>
        <w:tc>
          <w:tcPr>
            <w:tcW w:w="1413" w:type="dxa"/>
            <w:gridSpan w:val="2"/>
            <w:shd w:val="clear" w:color="auto" w:fill="auto"/>
            <w:vAlign w:val="center"/>
          </w:tcPr>
          <w:p w14:paraId="1E96F4B1" w14:textId="086C0444" w:rsidR="001D2210" w:rsidRPr="006C7BAF" w:rsidRDefault="001D2210">
            <w:pPr>
              <w:jc w:val="center"/>
              <w:textAlignment w:val="baseline"/>
              <w:rPr>
                <w:rFonts w:ascii="Arial Narrow" w:hAnsi="Arial Narrow" w:cs="Segoe UI"/>
                <w:i/>
                <w:iCs/>
                <w:color w:val="333333"/>
                <w:sz w:val="20"/>
                <w:szCs w:val="20"/>
              </w:rPr>
            </w:pPr>
          </w:p>
        </w:tc>
        <w:tc>
          <w:tcPr>
            <w:tcW w:w="7597" w:type="dxa"/>
            <w:gridSpan w:val="4"/>
            <w:shd w:val="clear" w:color="auto" w:fill="auto"/>
            <w:vAlign w:val="center"/>
          </w:tcPr>
          <w:p w14:paraId="2035F695"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Clinical criteria:</w:t>
            </w:r>
            <w:r w:rsidRPr="006C7BAF">
              <w:rPr>
                <w:rFonts w:ascii="Arial Narrow" w:hAnsi="Arial Narrow" w:cs="Segoe UI"/>
                <w:color w:val="333333"/>
                <w:sz w:val="20"/>
                <w:szCs w:val="20"/>
              </w:rPr>
              <w:t> </w:t>
            </w:r>
          </w:p>
        </w:tc>
      </w:tr>
      <w:tr w:rsidR="001D2210" w:rsidRPr="006C7BAF" w14:paraId="523101D7" w14:textId="77777777" w:rsidTr="00626E73">
        <w:trPr>
          <w:trHeight w:val="20"/>
        </w:trPr>
        <w:tc>
          <w:tcPr>
            <w:tcW w:w="1413" w:type="dxa"/>
            <w:gridSpan w:val="2"/>
            <w:shd w:val="clear" w:color="auto" w:fill="auto"/>
            <w:vAlign w:val="center"/>
          </w:tcPr>
          <w:p w14:paraId="23FE269D" w14:textId="0AF68827" w:rsidR="001D2210" w:rsidRPr="006C7BAF" w:rsidRDefault="001D2210">
            <w:pPr>
              <w:jc w:val="center"/>
              <w:textAlignment w:val="baseline"/>
              <w:rPr>
                <w:rFonts w:ascii="Arial Narrow" w:hAnsi="Arial Narrow" w:cs="Segoe UI"/>
                <w:i/>
                <w:iCs/>
                <w:color w:val="333333"/>
                <w:sz w:val="20"/>
                <w:szCs w:val="20"/>
              </w:rPr>
            </w:pPr>
          </w:p>
        </w:tc>
        <w:tc>
          <w:tcPr>
            <w:tcW w:w="7597" w:type="dxa"/>
            <w:gridSpan w:val="4"/>
            <w:shd w:val="clear" w:color="auto" w:fill="auto"/>
            <w:vAlign w:val="center"/>
          </w:tcPr>
          <w:p w14:paraId="681C0D3B" w14:textId="77777777" w:rsidR="001D2210" w:rsidRPr="006C7BAF" w:rsidRDefault="001D2210">
            <w:pPr>
              <w:jc w:val="left"/>
              <w:textAlignment w:val="baseline"/>
              <w:rPr>
                <w:rFonts w:ascii="Arial Narrow" w:hAnsi="Arial Narrow" w:cs="Segoe UI"/>
                <w:strike/>
                <w:color w:val="333333"/>
                <w:sz w:val="20"/>
                <w:szCs w:val="20"/>
              </w:rPr>
            </w:pPr>
            <w:r w:rsidRPr="006C7BAF">
              <w:rPr>
                <w:rFonts w:ascii="Arial Narrow" w:hAnsi="Arial Narrow" w:cs="Segoe UI"/>
                <w:strike/>
                <w:color w:val="333333"/>
                <w:sz w:val="20"/>
                <w:szCs w:val="20"/>
              </w:rPr>
              <w:t>Patient must have a WHO performance status of 2 or less, AND </w:t>
            </w:r>
          </w:p>
          <w:p w14:paraId="1734731E" w14:textId="77777777" w:rsidR="001D2210" w:rsidRPr="006C7BAF" w:rsidRDefault="001D2210">
            <w:pPr>
              <w:jc w:val="left"/>
              <w:textAlignment w:val="baseline"/>
              <w:rPr>
                <w:rFonts w:ascii="Arial Narrow" w:hAnsi="Arial Narrow" w:cs="Segoe UI"/>
                <w:i/>
                <w:iCs/>
                <w:color w:val="333333"/>
                <w:sz w:val="20"/>
                <w:szCs w:val="20"/>
              </w:rPr>
            </w:pPr>
            <w:r w:rsidRPr="006C7BAF">
              <w:rPr>
                <w:rFonts w:ascii="Arial Narrow" w:hAnsi="Arial Narrow"/>
                <w:i/>
                <w:iCs/>
                <w:color w:val="333333"/>
                <w:sz w:val="20"/>
                <w:szCs w:val="20"/>
                <w14:ligatures w14:val="standardContextual"/>
              </w:rPr>
              <w:t>Patient must have/have had a WHO performance status of no greater than 2 at treatment initiation with this drug for this condition.</w:t>
            </w:r>
          </w:p>
        </w:tc>
      </w:tr>
      <w:tr w:rsidR="001D2210" w:rsidRPr="006C7BAF" w14:paraId="32C48164" w14:textId="77777777" w:rsidTr="00626E73">
        <w:trPr>
          <w:trHeight w:val="20"/>
        </w:trPr>
        <w:tc>
          <w:tcPr>
            <w:tcW w:w="1413" w:type="dxa"/>
            <w:gridSpan w:val="2"/>
            <w:shd w:val="clear" w:color="auto" w:fill="auto"/>
            <w:vAlign w:val="center"/>
          </w:tcPr>
          <w:p w14:paraId="3D207AEF" w14:textId="77777777" w:rsidR="001D2210" w:rsidRPr="006C7BAF" w:rsidRDefault="001D2210">
            <w:pPr>
              <w:jc w:val="center"/>
              <w:textAlignment w:val="baseline"/>
              <w:rPr>
                <w:rFonts w:ascii="Arial Narrow" w:hAnsi="Arial Narrow" w:cs="Segoe UI"/>
                <w:color w:val="333333"/>
                <w:sz w:val="20"/>
                <w:szCs w:val="20"/>
              </w:rPr>
            </w:pPr>
          </w:p>
        </w:tc>
        <w:tc>
          <w:tcPr>
            <w:tcW w:w="7597" w:type="dxa"/>
            <w:gridSpan w:val="4"/>
            <w:shd w:val="clear" w:color="auto" w:fill="auto"/>
            <w:vAlign w:val="center"/>
          </w:tcPr>
          <w:p w14:paraId="2218F6E5" w14:textId="77777777" w:rsidR="001D2210" w:rsidRPr="006C7BAF" w:rsidRDefault="001D2210">
            <w:pPr>
              <w:jc w:val="left"/>
              <w:textAlignment w:val="baseline"/>
              <w:rPr>
                <w:rFonts w:ascii="Arial Narrow" w:hAnsi="Arial Narrow" w:cs="Segoe UI"/>
                <w:b/>
                <w:bCs/>
                <w:i/>
                <w:iCs/>
                <w:color w:val="333333"/>
                <w:sz w:val="20"/>
                <w:szCs w:val="20"/>
              </w:rPr>
            </w:pPr>
            <w:r w:rsidRPr="006C7BAF">
              <w:rPr>
                <w:rFonts w:ascii="Arial Narrow" w:hAnsi="Arial Narrow" w:cs="Segoe UI"/>
                <w:b/>
                <w:bCs/>
                <w:i/>
                <w:iCs/>
                <w:color w:val="333333"/>
                <w:sz w:val="20"/>
                <w:szCs w:val="20"/>
              </w:rPr>
              <w:t>AND</w:t>
            </w:r>
          </w:p>
        </w:tc>
      </w:tr>
      <w:tr w:rsidR="001D2210" w:rsidRPr="006C7BAF" w14:paraId="60423413" w14:textId="77777777" w:rsidTr="00626E73">
        <w:trPr>
          <w:trHeight w:val="20"/>
        </w:trPr>
        <w:tc>
          <w:tcPr>
            <w:tcW w:w="1413" w:type="dxa"/>
            <w:gridSpan w:val="2"/>
            <w:shd w:val="clear" w:color="auto" w:fill="auto"/>
            <w:vAlign w:val="center"/>
          </w:tcPr>
          <w:p w14:paraId="37A496C5" w14:textId="2ED1F2E5" w:rsidR="001D2210" w:rsidRPr="006C7BAF" w:rsidRDefault="001D2210">
            <w:pPr>
              <w:jc w:val="center"/>
              <w:textAlignment w:val="baseline"/>
              <w:rPr>
                <w:rFonts w:ascii="Arial Narrow" w:hAnsi="Arial Narrow" w:cs="Segoe UI"/>
                <w:color w:val="333333"/>
                <w:sz w:val="20"/>
                <w:szCs w:val="20"/>
              </w:rPr>
            </w:pPr>
          </w:p>
        </w:tc>
        <w:tc>
          <w:tcPr>
            <w:tcW w:w="7597" w:type="dxa"/>
            <w:gridSpan w:val="4"/>
            <w:shd w:val="clear" w:color="auto" w:fill="auto"/>
            <w:vAlign w:val="center"/>
          </w:tcPr>
          <w:p w14:paraId="4038DB4F"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Clinical criteria:</w:t>
            </w:r>
            <w:r w:rsidRPr="006C7BAF">
              <w:rPr>
                <w:rFonts w:ascii="Arial Narrow" w:hAnsi="Arial Narrow" w:cs="Segoe UI"/>
                <w:color w:val="333333"/>
                <w:sz w:val="20"/>
                <w:szCs w:val="20"/>
              </w:rPr>
              <w:t> </w:t>
            </w:r>
          </w:p>
        </w:tc>
      </w:tr>
      <w:tr w:rsidR="001D2210" w:rsidRPr="006C7BAF" w14:paraId="573E5A45" w14:textId="77777777" w:rsidTr="00626E73">
        <w:trPr>
          <w:trHeight w:val="20"/>
        </w:trPr>
        <w:tc>
          <w:tcPr>
            <w:tcW w:w="1413" w:type="dxa"/>
            <w:gridSpan w:val="2"/>
            <w:shd w:val="clear" w:color="auto" w:fill="auto"/>
            <w:vAlign w:val="center"/>
          </w:tcPr>
          <w:p w14:paraId="66D49697" w14:textId="476013E8" w:rsidR="001D2210" w:rsidRPr="006C7BAF" w:rsidRDefault="001D2210">
            <w:pPr>
              <w:jc w:val="center"/>
              <w:rPr>
                <w:rFonts w:ascii="Arial Narrow" w:hAnsi="Arial Narrow" w:cs="Segoe UI"/>
                <w:color w:val="333333"/>
                <w:sz w:val="20"/>
                <w:szCs w:val="20"/>
                <w14:ligatures w14:val="standardContextual"/>
              </w:rPr>
            </w:pPr>
          </w:p>
        </w:tc>
        <w:tc>
          <w:tcPr>
            <w:tcW w:w="7597" w:type="dxa"/>
            <w:gridSpan w:val="4"/>
            <w:shd w:val="clear" w:color="auto" w:fill="auto"/>
            <w:vAlign w:val="center"/>
          </w:tcPr>
          <w:p w14:paraId="04A208F5"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color w:val="333333"/>
                <w:sz w:val="20"/>
                <w:szCs w:val="20"/>
              </w:rPr>
              <w:t xml:space="preserve">Patient must not have received previous PBS-subsidised treatment with an </w:t>
            </w:r>
            <w:r w:rsidRPr="006C7BAF">
              <w:rPr>
                <w:rFonts w:ascii="Arial Narrow" w:hAnsi="Arial Narrow" w:cs="Segoe UI"/>
                <w:i/>
                <w:iCs/>
                <w:color w:val="333333"/>
                <w:sz w:val="20"/>
                <w:szCs w:val="20"/>
              </w:rPr>
              <w:t>epidermal growth factor receptor</w:t>
            </w:r>
            <w:r w:rsidRPr="006C7BAF">
              <w:rPr>
                <w:rFonts w:ascii="Arial Narrow" w:hAnsi="Arial Narrow" w:cs="Segoe UI"/>
                <w:color w:val="333333"/>
                <w:sz w:val="20"/>
                <w:szCs w:val="20"/>
              </w:rPr>
              <w:t xml:space="preserve"> (</w:t>
            </w:r>
            <w:r w:rsidRPr="006C7BAF">
              <w:rPr>
                <w:rFonts w:ascii="Arial Narrow" w:hAnsi="Arial Narrow" w:cs="Segoe UI"/>
                <w:i/>
                <w:color w:val="333333"/>
                <w:sz w:val="20"/>
                <w:szCs w:val="20"/>
              </w:rPr>
              <w:t>EGFR</w:t>
            </w:r>
            <w:r w:rsidRPr="006C7BAF">
              <w:rPr>
                <w:rFonts w:ascii="Arial Narrow" w:hAnsi="Arial Narrow" w:cs="Segoe UI"/>
                <w:color w:val="333333"/>
                <w:sz w:val="20"/>
                <w:szCs w:val="20"/>
              </w:rPr>
              <w:t xml:space="preserve">) </w:t>
            </w:r>
            <w:r w:rsidRPr="006C7BAF">
              <w:rPr>
                <w:rFonts w:ascii="Arial Narrow" w:hAnsi="Arial Narrow" w:cs="Segoe UI"/>
                <w:i/>
                <w:iCs/>
                <w:color w:val="333333"/>
                <w:sz w:val="20"/>
                <w:szCs w:val="20"/>
              </w:rPr>
              <w:t>tyrosine kinase inhibitor (</w:t>
            </w:r>
            <w:r w:rsidRPr="006C7BAF">
              <w:rPr>
                <w:rFonts w:ascii="Arial Narrow" w:hAnsi="Arial Narrow" w:cs="Segoe UI"/>
                <w:color w:val="333333"/>
                <w:sz w:val="20"/>
                <w:szCs w:val="20"/>
              </w:rPr>
              <w:t>TKI) in the locally advanced/metastatic setting; OR </w:t>
            </w:r>
          </w:p>
        </w:tc>
      </w:tr>
      <w:tr w:rsidR="001D2210" w:rsidRPr="006C7BAF" w14:paraId="51368517" w14:textId="77777777" w:rsidTr="00626E73">
        <w:trPr>
          <w:trHeight w:val="20"/>
        </w:trPr>
        <w:tc>
          <w:tcPr>
            <w:tcW w:w="1413" w:type="dxa"/>
            <w:gridSpan w:val="2"/>
            <w:shd w:val="clear" w:color="auto" w:fill="auto"/>
            <w:vAlign w:val="center"/>
          </w:tcPr>
          <w:p w14:paraId="0E19FCE9" w14:textId="4BE88784" w:rsidR="001D2210" w:rsidRPr="006C7BAF" w:rsidRDefault="001D2210">
            <w:pPr>
              <w:jc w:val="center"/>
              <w:textAlignment w:val="baseline"/>
              <w:rPr>
                <w:rFonts w:ascii="Arial Narrow" w:hAnsi="Arial Narrow" w:cs="Segoe UI"/>
                <w:color w:val="333333"/>
                <w:sz w:val="20"/>
                <w:szCs w:val="20"/>
              </w:rPr>
            </w:pPr>
          </w:p>
        </w:tc>
        <w:tc>
          <w:tcPr>
            <w:tcW w:w="7597" w:type="dxa"/>
            <w:gridSpan w:val="4"/>
            <w:shd w:val="clear" w:color="auto" w:fill="auto"/>
            <w:vAlign w:val="center"/>
          </w:tcPr>
          <w:p w14:paraId="16082314"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color w:val="333333"/>
                <w:sz w:val="20"/>
                <w:szCs w:val="20"/>
              </w:rPr>
              <w:t xml:space="preserve">Patient must have developed intolerance to another </w:t>
            </w:r>
            <w:r w:rsidRPr="006C7BAF">
              <w:rPr>
                <w:rFonts w:ascii="Arial Narrow" w:hAnsi="Arial Narrow" w:cs="Segoe UI"/>
                <w:i/>
                <w:iCs/>
                <w:color w:val="333333"/>
                <w:sz w:val="20"/>
                <w:szCs w:val="20"/>
              </w:rPr>
              <w:t>epidermal growth factor receptor (</w:t>
            </w:r>
            <w:r w:rsidRPr="006C7BAF">
              <w:rPr>
                <w:rFonts w:ascii="Arial Narrow" w:hAnsi="Arial Narrow" w:cs="Segoe UI"/>
                <w:i/>
                <w:color w:val="333333"/>
                <w:sz w:val="20"/>
                <w:szCs w:val="20"/>
              </w:rPr>
              <w:t>EGFR</w:t>
            </w:r>
            <w:r w:rsidRPr="006C7BAF">
              <w:rPr>
                <w:rFonts w:ascii="Arial Narrow" w:hAnsi="Arial Narrow" w:cs="Segoe UI"/>
                <w:i/>
                <w:iCs/>
                <w:color w:val="333333"/>
                <w:sz w:val="20"/>
                <w:szCs w:val="20"/>
              </w:rPr>
              <w:t>) tyrosine kinase inhibitor (</w:t>
            </w:r>
            <w:r w:rsidRPr="006C7BAF">
              <w:rPr>
                <w:rFonts w:ascii="Arial Narrow" w:hAnsi="Arial Narrow" w:cs="Segoe UI"/>
                <w:color w:val="333333"/>
                <w:sz w:val="20"/>
                <w:szCs w:val="20"/>
              </w:rPr>
              <w:t>TKI) of a severity necessitating permanent treatment withdrawal. </w:t>
            </w:r>
          </w:p>
        </w:tc>
      </w:tr>
      <w:tr w:rsidR="001D2210" w:rsidRPr="006C7BAF" w14:paraId="32421652" w14:textId="77777777" w:rsidTr="00626E73">
        <w:trPr>
          <w:trHeight w:val="20"/>
        </w:trPr>
        <w:tc>
          <w:tcPr>
            <w:tcW w:w="1413" w:type="dxa"/>
            <w:gridSpan w:val="2"/>
            <w:shd w:val="clear" w:color="auto" w:fill="auto"/>
            <w:vAlign w:val="center"/>
          </w:tcPr>
          <w:p w14:paraId="339CA07E" w14:textId="0FCF13B3" w:rsidR="001D2210" w:rsidRPr="006C7BAF" w:rsidRDefault="001D2210">
            <w:pPr>
              <w:jc w:val="center"/>
              <w:rPr>
                <w:rFonts w:ascii="Arial Narrow" w:hAnsi="Arial Narrow" w:cs="Segoe UI"/>
                <w:sz w:val="20"/>
                <w:szCs w:val="20"/>
                <w14:ligatures w14:val="standardContextual"/>
              </w:rPr>
            </w:pPr>
          </w:p>
        </w:tc>
        <w:tc>
          <w:tcPr>
            <w:tcW w:w="7597" w:type="dxa"/>
            <w:gridSpan w:val="4"/>
            <w:shd w:val="clear" w:color="auto" w:fill="auto"/>
            <w:vAlign w:val="center"/>
          </w:tcPr>
          <w:p w14:paraId="1AC5D326" w14:textId="77777777" w:rsidR="001D2210" w:rsidRPr="006C7BAF" w:rsidRDefault="001D2210">
            <w:pPr>
              <w:jc w:val="left"/>
              <w:rPr>
                <w:rFonts w:ascii="Arial Narrow" w:hAnsi="Arial Narrow" w:cs="Segoe UI"/>
                <w:b/>
                <w:bCs/>
                <w:color w:val="333333"/>
                <w:sz w:val="20"/>
                <w:szCs w:val="20"/>
                <w14:ligatures w14:val="standardContextual"/>
              </w:rPr>
            </w:pPr>
            <w:r w:rsidRPr="006C7BAF">
              <w:rPr>
                <w:rFonts w:ascii="Arial Narrow" w:hAnsi="Arial Narrow" w:cs="Segoe UI"/>
                <w:b/>
                <w:bCs/>
                <w:color w:val="333333"/>
                <w:sz w:val="20"/>
                <w:szCs w:val="20"/>
                <w14:ligatures w14:val="standardContextual"/>
              </w:rPr>
              <w:t>Clinical criteria:</w:t>
            </w:r>
          </w:p>
        </w:tc>
      </w:tr>
      <w:tr w:rsidR="001D2210" w:rsidRPr="006C7BAF" w14:paraId="206208ED" w14:textId="77777777" w:rsidTr="00626E73">
        <w:trPr>
          <w:trHeight w:val="20"/>
        </w:trPr>
        <w:tc>
          <w:tcPr>
            <w:tcW w:w="1413" w:type="dxa"/>
            <w:gridSpan w:val="2"/>
            <w:shd w:val="clear" w:color="auto" w:fill="auto"/>
            <w:vAlign w:val="center"/>
          </w:tcPr>
          <w:p w14:paraId="2C5F2680" w14:textId="3D8D477D" w:rsidR="001D2210" w:rsidRPr="006C7BAF" w:rsidRDefault="001D2210">
            <w:pPr>
              <w:jc w:val="center"/>
              <w:rPr>
                <w:rFonts w:ascii="Arial Narrow" w:hAnsi="Arial Narrow" w:cs="Segoe UI"/>
                <w:sz w:val="20"/>
                <w:szCs w:val="20"/>
                <w14:ligatures w14:val="standardContextual"/>
              </w:rPr>
            </w:pPr>
          </w:p>
        </w:tc>
        <w:tc>
          <w:tcPr>
            <w:tcW w:w="7597" w:type="dxa"/>
            <w:gridSpan w:val="4"/>
            <w:shd w:val="clear" w:color="auto" w:fill="auto"/>
            <w:vAlign w:val="center"/>
          </w:tcPr>
          <w:p w14:paraId="5954C6C1" w14:textId="77777777" w:rsidR="001D2210" w:rsidRPr="006C7BAF" w:rsidRDefault="001D2210">
            <w:pPr>
              <w:jc w:val="left"/>
              <w:rPr>
                <w:rFonts w:ascii="Arial Narrow" w:hAnsi="Arial Narrow" w:cs="Segoe UI"/>
                <w:strike/>
                <w:sz w:val="20"/>
                <w:szCs w:val="20"/>
                <w14:ligatures w14:val="standardContextual"/>
              </w:rPr>
            </w:pPr>
            <w:r w:rsidRPr="006C7BAF">
              <w:rPr>
                <w:rFonts w:ascii="Arial Narrow" w:hAnsi="Arial Narrow" w:cs="Segoe UI"/>
                <w:sz w:val="20"/>
                <w:szCs w:val="20"/>
                <w14:ligatures w14:val="standardContextual"/>
              </w:rPr>
              <w:t>P</w:t>
            </w:r>
            <w:r w:rsidRPr="006C7BAF">
              <w:rPr>
                <w:rFonts w:ascii="Arial Narrow" w:hAnsi="Arial Narrow" w:cs="Segoe UI"/>
                <w:strike/>
                <w:sz w:val="20"/>
                <w:szCs w:val="20"/>
                <w14:ligatures w14:val="standardContextual"/>
              </w:rPr>
              <w:t>atient must be initiated as combination therapy consisting of: (i) amivantamab, (ii)</w:t>
            </w:r>
            <w:r w:rsidRPr="006C7BAF">
              <w:rPr>
                <w:rFonts w:ascii="Arial Narrow" w:hAnsi="Arial Narrow" w:cs="Segoe UI"/>
                <w:sz w:val="20"/>
                <w:szCs w:val="20"/>
                <w14:ligatures w14:val="standardContextual"/>
              </w:rPr>
              <w:t xml:space="preserve"> </w:t>
            </w:r>
            <w:r w:rsidRPr="006C7BAF">
              <w:rPr>
                <w:rFonts w:ascii="Arial Narrow" w:hAnsi="Arial Narrow" w:cs="Segoe UI"/>
                <w:strike/>
                <w:sz w:val="20"/>
                <w:szCs w:val="20"/>
                <w14:ligatures w14:val="standardContextual"/>
              </w:rPr>
              <w:t>lazertinib;,</w:t>
            </w:r>
            <w:r w:rsidRPr="006C7BAF">
              <w:rPr>
                <w:rFonts w:ascii="Arial Narrow" w:hAnsi="Arial Narrow" w:cs="Segoe UI"/>
                <w:sz w:val="20"/>
                <w:szCs w:val="20"/>
                <w14:ligatures w14:val="standardContextual"/>
              </w:rPr>
              <w:t xml:space="preserve"> </w:t>
            </w:r>
            <w:r w:rsidRPr="006C7BAF">
              <w:rPr>
                <w:rFonts w:ascii="Arial Narrow" w:hAnsi="Arial Narrow" w:cs="Segoe UI"/>
                <w:strike/>
                <w:sz w:val="20"/>
                <w:szCs w:val="20"/>
                <w14:ligatures w14:val="standardContextual"/>
              </w:rPr>
              <w:t>AND  </w:t>
            </w:r>
          </w:p>
          <w:p w14:paraId="2459B42E" w14:textId="66519A26" w:rsidR="001D2210" w:rsidRPr="006C7BAF" w:rsidRDefault="001D2210">
            <w:pPr>
              <w:jc w:val="left"/>
              <w:rPr>
                <w:rFonts w:ascii="Arial Narrow" w:eastAsia="Calibri" w:hAnsi="Arial Narrow"/>
                <w:sz w:val="20"/>
                <w:szCs w:val="20"/>
                <w14:ligatures w14:val="standardContextual"/>
              </w:rPr>
            </w:pPr>
            <w:r w:rsidRPr="006C7BAF">
              <w:rPr>
                <w:rFonts w:ascii="Arial Narrow" w:eastAsia="Yu Gothic" w:hAnsi="Arial Narrow" w:cs="Segoe UI"/>
                <w:i/>
                <w:iCs/>
                <w:sz w:val="20"/>
                <w:szCs w:val="20"/>
                <w14:ligatures w14:val="standardContextual"/>
              </w:rPr>
              <w:t xml:space="preserve">The treatment must be </w:t>
            </w:r>
            <w:r w:rsidR="00303088">
              <w:rPr>
                <w:rFonts w:ascii="Arial Narrow" w:eastAsia="Yu Gothic" w:hAnsi="Arial Narrow" w:cs="Segoe UI"/>
                <w:i/>
                <w:iCs/>
                <w:sz w:val="20"/>
                <w:szCs w:val="20"/>
                <w14:ligatures w14:val="standardContextual"/>
              </w:rPr>
              <w:t>initiated</w:t>
            </w:r>
            <w:r w:rsidR="00303088" w:rsidRPr="006C7BAF">
              <w:rPr>
                <w:rFonts w:ascii="Arial Narrow" w:eastAsia="Yu Gothic" w:hAnsi="Arial Narrow" w:cs="Segoe UI"/>
                <w:i/>
                <w:iCs/>
                <w:sz w:val="20"/>
                <w:szCs w:val="20"/>
                <w14:ligatures w14:val="standardContextual"/>
              </w:rPr>
              <w:t xml:space="preserve"> </w:t>
            </w:r>
            <w:r w:rsidRPr="006C7BAF">
              <w:rPr>
                <w:rFonts w:ascii="Arial Narrow" w:eastAsia="Yu Gothic" w:hAnsi="Arial Narrow" w:cs="Segoe UI"/>
                <w:i/>
                <w:iCs/>
                <w:sz w:val="20"/>
                <w:szCs w:val="20"/>
                <w14:ligatures w14:val="standardContextual"/>
              </w:rPr>
              <w:t>in combination with lazertinib (refer to the Therapeutic Goods Administration (TGA) approved Product Information for the dosage regimens for lazertinib and amivantamab).</w:t>
            </w:r>
          </w:p>
        </w:tc>
      </w:tr>
      <w:tr w:rsidR="001D2210" w:rsidRPr="006C7BAF" w14:paraId="5159EB15" w14:textId="77777777" w:rsidTr="00626E73">
        <w:trPr>
          <w:trHeight w:val="20"/>
        </w:trPr>
        <w:tc>
          <w:tcPr>
            <w:tcW w:w="1413" w:type="dxa"/>
            <w:gridSpan w:val="2"/>
            <w:shd w:val="clear" w:color="auto" w:fill="auto"/>
            <w:vAlign w:val="center"/>
          </w:tcPr>
          <w:p w14:paraId="6BFD391F" w14:textId="6FFC5E73" w:rsidR="001D2210" w:rsidRPr="006C7BAF" w:rsidRDefault="001D2210">
            <w:pPr>
              <w:jc w:val="center"/>
              <w:rPr>
                <w:rFonts w:ascii="Arial Narrow" w:hAnsi="Arial Narrow" w:cs="Segoe UI"/>
                <w:sz w:val="20"/>
                <w:szCs w:val="20"/>
                <w14:ligatures w14:val="standardContextual"/>
              </w:rPr>
            </w:pPr>
          </w:p>
        </w:tc>
        <w:tc>
          <w:tcPr>
            <w:tcW w:w="7597" w:type="dxa"/>
            <w:gridSpan w:val="4"/>
            <w:shd w:val="clear" w:color="auto" w:fill="auto"/>
            <w:vAlign w:val="center"/>
          </w:tcPr>
          <w:p w14:paraId="6C854FF9" w14:textId="77777777" w:rsidR="001D2210" w:rsidRPr="006C7BAF" w:rsidRDefault="001D2210">
            <w:pPr>
              <w:jc w:val="left"/>
              <w:rPr>
                <w:rFonts w:ascii="Arial Narrow" w:hAnsi="Arial Narrow" w:cs="Segoe UI"/>
                <w:b/>
                <w:bCs/>
                <w:i/>
                <w:iCs/>
                <w:color w:val="333333"/>
                <w:sz w:val="20"/>
                <w:szCs w:val="20"/>
                <w14:ligatures w14:val="standardContextual"/>
              </w:rPr>
            </w:pPr>
            <w:r w:rsidRPr="006C7BAF">
              <w:rPr>
                <w:rFonts w:ascii="Arial Narrow" w:hAnsi="Arial Narrow" w:cs="Segoe UI"/>
                <w:b/>
                <w:bCs/>
                <w:i/>
                <w:iCs/>
                <w:color w:val="333333"/>
                <w:sz w:val="20"/>
                <w:szCs w:val="20"/>
                <w14:ligatures w14:val="standardContextual"/>
              </w:rPr>
              <w:t xml:space="preserve">Population criteria: </w:t>
            </w:r>
          </w:p>
        </w:tc>
      </w:tr>
      <w:tr w:rsidR="001D2210" w:rsidRPr="006C7BAF" w14:paraId="6495FD49" w14:textId="77777777" w:rsidTr="00626E73">
        <w:trPr>
          <w:trHeight w:val="20"/>
        </w:trPr>
        <w:tc>
          <w:tcPr>
            <w:tcW w:w="1413" w:type="dxa"/>
            <w:gridSpan w:val="2"/>
            <w:shd w:val="clear" w:color="auto" w:fill="auto"/>
            <w:vAlign w:val="center"/>
          </w:tcPr>
          <w:p w14:paraId="019C6690" w14:textId="3FC04C07" w:rsidR="001D2210" w:rsidRPr="006C7BAF" w:rsidRDefault="001D2210">
            <w:pPr>
              <w:jc w:val="center"/>
              <w:rPr>
                <w:rFonts w:ascii="Arial Narrow" w:hAnsi="Arial Narrow" w:cs="Segoe UI"/>
                <w:sz w:val="20"/>
                <w:szCs w:val="20"/>
                <w14:ligatures w14:val="standardContextual"/>
              </w:rPr>
            </w:pPr>
          </w:p>
        </w:tc>
        <w:tc>
          <w:tcPr>
            <w:tcW w:w="7597" w:type="dxa"/>
            <w:gridSpan w:val="4"/>
            <w:shd w:val="clear" w:color="auto" w:fill="auto"/>
            <w:vAlign w:val="center"/>
          </w:tcPr>
          <w:p w14:paraId="6817654C" w14:textId="77777777" w:rsidR="001D2210" w:rsidRPr="006C7BAF" w:rsidRDefault="001D2210">
            <w:pPr>
              <w:jc w:val="left"/>
              <w:rPr>
                <w:rFonts w:ascii="Arial Narrow" w:hAnsi="Arial Narrow" w:cs="Segoe UI"/>
                <w:sz w:val="20"/>
                <w:szCs w:val="20"/>
                <w14:ligatures w14:val="standardContextual"/>
              </w:rPr>
            </w:pPr>
            <w:r w:rsidRPr="006C7BAF">
              <w:rPr>
                <w:rFonts w:ascii="Arial Narrow" w:hAnsi="Arial Narrow" w:cs="Segoe UI"/>
                <w:sz w:val="20"/>
                <w:szCs w:val="20"/>
                <w14:ligatures w14:val="standardContextual"/>
              </w:rPr>
              <w:t>Patient must have evidence in tumour material of an activating epidermal growth factor receptor (</w:t>
            </w:r>
            <w:r w:rsidRPr="006C7BAF">
              <w:rPr>
                <w:rFonts w:ascii="Arial Narrow" w:hAnsi="Arial Narrow" w:cs="Segoe UI"/>
                <w:i/>
                <w:sz w:val="20"/>
                <w:szCs w:val="20"/>
                <w14:ligatures w14:val="standardContextual"/>
              </w:rPr>
              <w:t>EGFR</w:t>
            </w:r>
            <w:r w:rsidRPr="006C7BAF">
              <w:rPr>
                <w:rFonts w:ascii="Arial Narrow" w:hAnsi="Arial Narrow" w:cs="Segoe UI"/>
                <w:sz w:val="20"/>
                <w:szCs w:val="20"/>
                <w14:ligatures w14:val="standardContextual"/>
              </w:rPr>
              <w:t xml:space="preserve">) gene mutation known to confer sensitivity to treatment with </w:t>
            </w:r>
            <w:r w:rsidRPr="006C7BAF">
              <w:rPr>
                <w:rFonts w:ascii="Arial Narrow" w:hAnsi="Arial Narrow" w:cs="Segoe UI"/>
                <w:i/>
                <w:sz w:val="20"/>
                <w:szCs w:val="20"/>
                <w14:ligatures w14:val="standardContextual"/>
              </w:rPr>
              <w:t>EGFR</w:t>
            </w:r>
            <w:r w:rsidRPr="006C7BAF">
              <w:rPr>
                <w:rFonts w:ascii="Arial Narrow" w:hAnsi="Arial Narrow" w:cs="Segoe UI"/>
                <w:sz w:val="20"/>
                <w:szCs w:val="20"/>
                <w14:ligatures w14:val="standardContextual"/>
              </w:rPr>
              <w:t xml:space="preserve"> tyrosine kinase inhibitors</w:t>
            </w:r>
            <w:r w:rsidRPr="006C7BAF">
              <w:rPr>
                <w:rFonts w:ascii="Arial Narrow" w:hAnsi="Arial Narrow" w:cs="Segoe UI"/>
                <w:i/>
                <w:iCs/>
                <w:sz w:val="20"/>
                <w:szCs w:val="20"/>
                <w14:ligatures w14:val="standardContextual"/>
              </w:rPr>
              <w:t>.</w:t>
            </w:r>
            <w:r w:rsidRPr="006C7BAF">
              <w:rPr>
                <w:rFonts w:ascii="Arial Narrow" w:hAnsi="Arial Narrow" w:cs="Segoe UI"/>
                <w:strike/>
                <w:sz w:val="20"/>
                <w:szCs w:val="20"/>
                <w14:ligatures w14:val="standardContextual"/>
              </w:rPr>
              <w:t>, AND </w:t>
            </w:r>
          </w:p>
        </w:tc>
      </w:tr>
      <w:tr w:rsidR="001D2210" w:rsidRPr="006C7BAF" w14:paraId="7A8EC1BE" w14:textId="77777777" w:rsidTr="00626E73">
        <w:trPr>
          <w:trHeight w:val="20"/>
        </w:trPr>
        <w:tc>
          <w:tcPr>
            <w:tcW w:w="1413" w:type="dxa"/>
            <w:gridSpan w:val="2"/>
            <w:shd w:val="clear" w:color="auto" w:fill="auto"/>
            <w:vAlign w:val="center"/>
          </w:tcPr>
          <w:p w14:paraId="6922B54E" w14:textId="4F3171E6" w:rsidR="001D2210" w:rsidRPr="006C7BAF" w:rsidRDefault="001D2210">
            <w:pPr>
              <w:jc w:val="center"/>
              <w:textAlignment w:val="baseline"/>
              <w:rPr>
                <w:rFonts w:ascii="Arial Narrow" w:hAnsi="Arial Narrow" w:cs="Segoe UI"/>
                <w:strike/>
                <w:color w:val="333333"/>
                <w:sz w:val="20"/>
                <w:szCs w:val="20"/>
              </w:rPr>
            </w:pPr>
          </w:p>
        </w:tc>
        <w:tc>
          <w:tcPr>
            <w:tcW w:w="7597" w:type="dxa"/>
            <w:gridSpan w:val="4"/>
            <w:shd w:val="clear" w:color="auto" w:fill="auto"/>
            <w:vAlign w:val="center"/>
          </w:tcPr>
          <w:p w14:paraId="73925EBA" w14:textId="77777777" w:rsidR="001D2210" w:rsidRPr="006C7BAF" w:rsidRDefault="001D2210">
            <w:pPr>
              <w:jc w:val="left"/>
              <w:textAlignment w:val="baseline"/>
              <w:rPr>
                <w:rFonts w:ascii="Arial Narrow" w:hAnsi="Arial Narrow" w:cs="Segoe UI"/>
                <w:b/>
                <w:bCs/>
                <w:strike/>
                <w:color w:val="333333"/>
                <w:sz w:val="20"/>
                <w:szCs w:val="20"/>
              </w:rPr>
            </w:pPr>
            <w:r w:rsidRPr="006C7BAF">
              <w:rPr>
                <w:rFonts w:ascii="Arial Narrow" w:hAnsi="Arial Narrow" w:cs="Segoe UI"/>
                <w:b/>
                <w:bCs/>
                <w:strike/>
                <w:color w:val="333333"/>
                <w:sz w:val="20"/>
                <w:szCs w:val="20"/>
              </w:rPr>
              <w:t>Administrative advice:</w:t>
            </w:r>
          </w:p>
          <w:p w14:paraId="51490D44" w14:textId="77777777" w:rsidR="001D2210" w:rsidRPr="006C7BAF" w:rsidRDefault="001D2210">
            <w:pPr>
              <w:jc w:val="left"/>
              <w:textAlignment w:val="baseline"/>
              <w:rPr>
                <w:rFonts w:ascii="Arial Narrow" w:hAnsi="Arial Narrow" w:cs="Segoe UI"/>
                <w:strike/>
                <w:color w:val="333333"/>
                <w:sz w:val="20"/>
                <w:szCs w:val="20"/>
              </w:rPr>
            </w:pPr>
            <w:r w:rsidRPr="006C7BAF">
              <w:rPr>
                <w:rFonts w:ascii="Arial Narrow" w:hAnsi="Arial Narrow" w:cs="Segoe UI"/>
                <w:strike/>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51AB8045" w14:textId="77777777" w:rsidR="001D2210" w:rsidRPr="006C7BAF" w:rsidRDefault="001D2210" w:rsidP="001D2210">
      <w:pPr>
        <w:rPr>
          <w:b/>
          <w:bCs/>
          <w14:ligatures w14:val="standardContextual"/>
        </w:rPr>
      </w:pPr>
    </w:p>
    <w:p w14:paraId="3B64C6C9" w14:textId="77777777" w:rsidR="001D2210" w:rsidRPr="006C7BAF" w:rsidRDefault="001D2210" w:rsidP="001D2210">
      <w:pPr>
        <w:rPr>
          <w:b/>
          <w:bCs/>
          <w14:ligatures w14:val="standardContextual"/>
        </w:rPr>
      </w:pPr>
      <w:r w:rsidRPr="006C7BAF">
        <w:rPr>
          <w:b/>
          <w:bCs/>
          <w14:ligatures w14:val="standardContextual"/>
        </w:rPr>
        <w:t xml:space="preserve">Amivantamab (continuing) </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709"/>
        <w:gridCol w:w="1928"/>
        <w:gridCol w:w="1894"/>
        <w:gridCol w:w="1885"/>
        <w:gridCol w:w="1890"/>
      </w:tblGrid>
      <w:tr w:rsidR="001D2210" w:rsidRPr="006C7BAF" w14:paraId="05AB917C" w14:textId="77777777" w:rsidTr="00626E73">
        <w:trPr>
          <w:trHeight w:val="20"/>
        </w:trPr>
        <w:tc>
          <w:tcPr>
            <w:tcW w:w="3341" w:type="dxa"/>
            <w:gridSpan w:val="3"/>
            <w:shd w:val="clear" w:color="auto" w:fill="auto"/>
            <w:vAlign w:val="center"/>
            <w:hideMark/>
          </w:tcPr>
          <w:p w14:paraId="1BE7831B"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MEDICINAL PRODUCT</w:t>
            </w:r>
            <w:r w:rsidRPr="006C7BAF">
              <w:rPr>
                <w:rFonts w:ascii="Arial Narrow" w:hAnsi="Arial Narrow" w:cs="Segoe UI"/>
                <w:sz w:val="20"/>
                <w:szCs w:val="20"/>
              </w:rPr>
              <w:t> </w:t>
            </w:r>
          </w:p>
          <w:p w14:paraId="1B9D6B57"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Form</w:t>
            </w:r>
            <w:r w:rsidRPr="006C7BAF">
              <w:rPr>
                <w:rFonts w:ascii="Arial Narrow" w:hAnsi="Arial Narrow" w:cs="Segoe UI"/>
                <w:sz w:val="20"/>
                <w:szCs w:val="20"/>
              </w:rPr>
              <w:t> </w:t>
            </w:r>
          </w:p>
        </w:tc>
        <w:tc>
          <w:tcPr>
            <w:tcW w:w="1894" w:type="dxa"/>
            <w:shd w:val="clear" w:color="auto" w:fill="auto"/>
            <w:vAlign w:val="center"/>
            <w:hideMark/>
          </w:tcPr>
          <w:p w14:paraId="012BBBDB"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b/>
                <w:bCs/>
                <w:sz w:val="20"/>
                <w:szCs w:val="20"/>
              </w:rPr>
              <w:t>PBS item code</w:t>
            </w:r>
            <w:r w:rsidRPr="006C7BAF">
              <w:rPr>
                <w:rFonts w:ascii="Arial Narrow" w:hAnsi="Arial Narrow" w:cs="Segoe UI"/>
                <w:sz w:val="20"/>
                <w:szCs w:val="20"/>
              </w:rPr>
              <w:t> </w:t>
            </w:r>
          </w:p>
        </w:tc>
        <w:tc>
          <w:tcPr>
            <w:tcW w:w="1885" w:type="dxa"/>
            <w:shd w:val="clear" w:color="auto" w:fill="auto"/>
            <w:vAlign w:val="center"/>
            <w:hideMark/>
          </w:tcPr>
          <w:p w14:paraId="05D26C78"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b/>
                <w:bCs/>
                <w:sz w:val="20"/>
                <w:szCs w:val="20"/>
              </w:rPr>
              <w:t>Max. Amount</w:t>
            </w:r>
            <w:r w:rsidRPr="006C7BAF">
              <w:rPr>
                <w:rFonts w:ascii="Arial Narrow" w:hAnsi="Arial Narrow" w:cs="Segoe UI"/>
                <w:sz w:val="20"/>
                <w:szCs w:val="20"/>
              </w:rPr>
              <w:t> </w:t>
            </w:r>
          </w:p>
        </w:tc>
        <w:tc>
          <w:tcPr>
            <w:tcW w:w="1890" w:type="dxa"/>
            <w:shd w:val="clear" w:color="auto" w:fill="auto"/>
            <w:vAlign w:val="center"/>
            <w:hideMark/>
          </w:tcPr>
          <w:p w14:paraId="7497FC00"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b/>
                <w:bCs/>
                <w:sz w:val="20"/>
                <w:szCs w:val="20"/>
              </w:rPr>
              <w:t>№.of Rpts</w:t>
            </w:r>
            <w:r w:rsidRPr="006C7BAF">
              <w:rPr>
                <w:rFonts w:ascii="Arial Narrow" w:hAnsi="Arial Narrow" w:cs="Segoe UI"/>
                <w:sz w:val="20"/>
                <w:szCs w:val="20"/>
              </w:rPr>
              <w:t> </w:t>
            </w:r>
          </w:p>
        </w:tc>
      </w:tr>
      <w:tr w:rsidR="001D2210" w:rsidRPr="006C7BAF" w14:paraId="46A78D30" w14:textId="77777777" w:rsidTr="00626E73">
        <w:trPr>
          <w:trHeight w:val="20"/>
        </w:trPr>
        <w:tc>
          <w:tcPr>
            <w:tcW w:w="3341" w:type="dxa"/>
            <w:gridSpan w:val="3"/>
            <w:shd w:val="clear" w:color="auto" w:fill="auto"/>
            <w:vAlign w:val="center"/>
            <w:hideMark/>
          </w:tcPr>
          <w:p w14:paraId="21F8F17B"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sz w:val="20"/>
                <w:szCs w:val="20"/>
              </w:rPr>
              <w:t>AMIVANTAMAB </w:t>
            </w:r>
          </w:p>
          <w:p w14:paraId="6654AE55" w14:textId="77777777" w:rsidR="001D2210" w:rsidRPr="006C7BAF" w:rsidRDefault="001D2210">
            <w:pPr>
              <w:jc w:val="left"/>
              <w:textAlignment w:val="baseline"/>
              <w:rPr>
                <w:rFonts w:ascii="Arial Narrow" w:hAnsi="Arial Narrow" w:cs="Segoe UI"/>
                <w:sz w:val="20"/>
                <w:szCs w:val="20"/>
              </w:rPr>
            </w:pPr>
            <w:r w:rsidRPr="006C7BAF">
              <w:rPr>
                <w:rFonts w:ascii="Arial Narrow" w:eastAsia="Calibri" w:hAnsi="Arial Narrow"/>
                <w:sz w:val="20"/>
                <w:szCs w:val="20"/>
                <w14:ligatures w14:val="standardContextual"/>
              </w:rPr>
              <w:t>Solution concentrate for I.V. infusion, 350 mg in 7 mL</w:t>
            </w:r>
          </w:p>
        </w:tc>
        <w:tc>
          <w:tcPr>
            <w:tcW w:w="1894" w:type="dxa"/>
            <w:shd w:val="clear" w:color="auto" w:fill="auto"/>
            <w:vAlign w:val="center"/>
            <w:hideMark/>
          </w:tcPr>
          <w:p w14:paraId="59B0EAFD"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sz w:val="20"/>
                <w:szCs w:val="20"/>
              </w:rPr>
              <w:t>NEW (Public)</w:t>
            </w:r>
            <w:r w:rsidRPr="006C7BAF">
              <w:rPr>
                <w:rFonts w:ascii="Arial Narrow" w:hAnsi="Arial Narrow" w:cs="Segoe UI"/>
                <w:sz w:val="20"/>
                <w:szCs w:val="20"/>
              </w:rPr>
              <w:br/>
              <w:t>NEW (Private)</w:t>
            </w:r>
          </w:p>
        </w:tc>
        <w:tc>
          <w:tcPr>
            <w:tcW w:w="1885" w:type="dxa"/>
            <w:shd w:val="clear" w:color="auto" w:fill="auto"/>
            <w:vAlign w:val="center"/>
            <w:hideMark/>
          </w:tcPr>
          <w:p w14:paraId="7333CC44"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sz w:val="20"/>
                <w:szCs w:val="20"/>
              </w:rPr>
              <w:t>1400 mg</w:t>
            </w:r>
          </w:p>
        </w:tc>
        <w:tc>
          <w:tcPr>
            <w:tcW w:w="1890" w:type="dxa"/>
            <w:shd w:val="clear" w:color="auto" w:fill="auto"/>
            <w:vAlign w:val="center"/>
            <w:hideMark/>
          </w:tcPr>
          <w:p w14:paraId="25303D2C"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strike/>
                <w:sz w:val="20"/>
                <w:szCs w:val="20"/>
              </w:rPr>
              <w:t xml:space="preserve">5 </w:t>
            </w:r>
            <w:r w:rsidRPr="006C7BAF">
              <w:rPr>
                <w:rFonts w:ascii="Arial Narrow" w:hAnsi="Arial Narrow" w:cs="Segoe UI"/>
                <w:sz w:val="20"/>
                <w:szCs w:val="20"/>
              </w:rPr>
              <w:t>11</w:t>
            </w:r>
          </w:p>
        </w:tc>
      </w:tr>
      <w:tr w:rsidR="001D2210" w:rsidRPr="006C7BAF" w14:paraId="49189B71" w14:textId="77777777" w:rsidTr="00626E73">
        <w:trPr>
          <w:trHeight w:val="20"/>
        </w:trPr>
        <w:tc>
          <w:tcPr>
            <w:tcW w:w="9010" w:type="dxa"/>
            <w:gridSpan w:val="6"/>
            <w:shd w:val="clear" w:color="auto" w:fill="auto"/>
            <w:vAlign w:val="center"/>
            <w:hideMark/>
          </w:tcPr>
          <w:p w14:paraId="24E039DD"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Available brands </w:t>
            </w:r>
            <w:r w:rsidRPr="006C7BAF">
              <w:rPr>
                <w:rFonts w:ascii="Arial Narrow" w:hAnsi="Arial Narrow" w:cs="Segoe UI"/>
                <w:sz w:val="20"/>
                <w:szCs w:val="20"/>
              </w:rPr>
              <w:t> </w:t>
            </w:r>
          </w:p>
        </w:tc>
      </w:tr>
      <w:tr w:rsidR="001D2210" w:rsidRPr="006C7BAF" w14:paraId="31EFAD60" w14:textId="77777777" w:rsidTr="00626E73">
        <w:trPr>
          <w:trHeight w:val="20"/>
        </w:trPr>
        <w:tc>
          <w:tcPr>
            <w:tcW w:w="9010" w:type="dxa"/>
            <w:gridSpan w:val="6"/>
            <w:shd w:val="clear" w:color="auto" w:fill="auto"/>
            <w:vAlign w:val="center"/>
            <w:hideMark/>
          </w:tcPr>
          <w:p w14:paraId="501014D1" w14:textId="77777777" w:rsidR="001D2210" w:rsidRPr="006C7BAF" w:rsidRDefault="001D2210">
            <w:pPr>
              <w:rPr>
                <w:rFonts w:ascii="Arial Narrow" w:eastAsia="Arial Narrow" w:hAnsi="Arial Narrow" w:cs="Arial Narrow"/>
                <w:sz w:val="20"/>
                <w:szCs w:val="20"/>
                <w14:ligatures w14:val="standardContextual"/>
              </w:rPr>
            </w:pPr>
            <w:r w:rsidRPr="006C7BAF">
              <w:rPr>
                <w:rFonts w:ascii="Arial Narrow" w:eastAsia="Arial Narrow" w:hAnsi="Arial Narrow" w:cs="Arial Narrow"/>
                <w:sz w:val="20"/>
                <w:szCs w:val="20"/>
                <w14:ligatures w14:val="standardContextual"/>
              </w:rPr>
              <w:t>Rybrevant</w:t>
            </w:r>
          </w:p>
          <w:p w14:paraId="13FB7CCE" w14:textId="77777777" w:rsidR="001D2210" w:rsidRPr="006C7BAF" w:rsidRDefault="001D2210">
            <w:pPr>
              <w:jc w:val="left"/>
              <w:textAlignment w:val="baseline"/>
              <w:rPr>
                <w:rFonts w:ascii="Arial Narrow" w:hAnsi="Arial Narrow" w:cs="Segoe UI"/>
                <w:sz w:val="20"/>
                <w:szCs w:val="20"/>
              </w:rPr>
            </w:pPr>
            <w:r w:rsidRPr="006C7BAF">
              <w:rPr>
                <w:rFonts w:ascii="Arial Narrow" w:eastAsia="Arial Narrow" w:hAnsi="Arial Narrow" w:cs="Arial Narrow"/>
                <w:sz w:val="20"/>
                <w:szCs w:val="20"/>
                <w14:ligatures w14:val="standardContextual"/>
              </w:rPr>
              <w:t>amivantamab 350 mg/7 mL injection, 7 mL vial</w:t>
            </w:r>
          </w:p>
        </w:tc>
      </w:tr>
      <w:tr w:rsidR="001D2210" w:rsidRPr="006C7BAF" w14:paraId="35D20DB6" w14:textId="77777777" w:rsidTr="00626E73">
        <w:trPr>
          <w:trHeight w:val="20"/>
        </w:trPr>
        <w:tc>
          <w:tcPr>
            <w:tcW w:w="9010" w:type="dxa"/>
            <w:gridSpan w:val="6"/>
            <w:shd w:val="clear" w:color="auto" w:fill="auto"/>
            <w:vAlign w:val="center"/>
            <w:hideMark/>
          </w:tcPr>
          <w:p w14:paraId="52DAFABD" w14:textId="77777777" w:rsidR="001D2210" w:rsidRPr="006C7BAF" w:rsidRDefault="001D2210">
            <w:pPr>
              <w:jc w:val="left"/>
              <w:textAlignment w:val="baseline"/>
              <w:rPr>
                <w:rFonts w:ascii="Arial Narrow" w:hAnsi="Arial Narrow" w:cs="Segoe UI"/>
                <w:sz w:val="20"/>
                <w:szCs w:val="20"/>
              </w:rPr>
            </w:pPr>
          </w:p>
        </w:tc>
      </w:tr>
      <w:tr w:rsidR="001D2210" w:rsidRPr="006C7BAF" w14:paraId="73EFD72D" w14:textId="77777777" w:rsidTr="00626E73">
        <w:trPr>
          <w:trHeight w:val="20"/>
        </w:trPr>
        <w:tc>
          <w:tcPr>
            <w:tcW w:w="9010" w:type="dxa"/>
            <w:gridSpan w:val="6"/>
            <w:shd w:val="clear" w:color="auto" w:fill="auto"/>
            <w:vAlign w:val="center"/>
            <w:hideMark/>
          </w:tcPr>
          <w:p w14:paraId="5664CBEB"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Restriction Summary [new2]</w:t>
            </w:r>
            <w:r w:rsidRPr="006C7BAF">
              <w:rPr>
                <w:rFonts w:ascii="Arial Narrow" w:hAnsi="Arial Narrow" w:cs="Segoe UI"/>
                <w:b/>
                <w:bCs/>
                <w:color w:val="FF0000"/>
                <w:sz w:val="20"/>
                <w:szCs w:val="20"/>
              </w:rPr>
              <w:t xml:space="preserve"> </w:t>
            </w:r>
            <w:r w:rsidRPr="006C7BAF">
              <w:rPr>
                <w:rFonts w:ascii="Arial Narrow" w:hAnsi="Arial Narrow" w:cs="Segoe UI"/>
                <w:b/>
                <w:bCs/>
                <w:sz w:val="20"/>
                <w:szCs w:val="20"/>
              </w:rPr>
              <w:t>/ Treatment of Concept: [new2A]</w:t>
            </w:r>
          </w:p>
        </w:tc>
      </w:tr>
      <w:tr w:rsidR="001D2210" w:rsidRPr="006C7BAF" w14:paraId="4BC47F62" w14:textId="77777777" w:rsidTr="00626E73">
        <w:trPr>
          <w:trHeight w:val="20"/>
        </w:trPr>
        <w:tc>
          <w:tcPr>
            <w:tcW w:w="1413" w:type="dxa"/>
            <w:gridSpan w:val="2"/>
            <w:vMerge w:val="restart"/>
            <w:shd w:val="clear" w:color="auto" w:fill="auto"/>
          </w:tcPr>
          <w:p w14:paraId="531ECD43" w14:textId="2E3C1987"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hideMark/>
          </w:tcPr>
          <w:p w14:paraId="5FB55D2D"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 xml:space="preserve">Category / Program: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hAnsi="Arial Narrow" w:cs="Segoe UI"/>
                <w:b/>
                <w:bCs/>
                <w:sz w:val="20"/>
                <w:szCs w:val="20"/>
              </w:rPr>
              <w:t xml:space="preserve"> </w:t>
            </w:r>
            <w:r w:rsidRPr="006C7BAF">
              <w:rPr>
                <w:rFonts w:ascii="Arial Narrow" w:hAnsi="Arial Narrow" w:cs="Segoe UI"/>
                <w:sz w:val="20"/>
                <w:szCs w:val="20"/>
              </w:rPr>
              <w:t xml:space="preserve">Section 100 – Efficient Funding of Chemotherapy Public/Private hospitals </w:t>
            </w:r>
          </w:p>
        </w:tc>
      </w:tr>
      <w:tr w:rsidR="001D2210" w:rsidRPr="006C7BAF" w14:paraId="48A2E341" w14:textId="77777777" w:rsidTr="00626E73">
        <w:trPr>
          <w:trHeight w:val="20"/>
        </w:trPr>
        <w:tc>
          <w:tcPr>
            <w:tcW w:w="1413" w:type="dxa"/>
            <w:gridSpan w:val="2"/>
            <w:vMerge/>
            <w:vAlign w:val="center"/>
            <w:hideMark/>
          </w:tcPr>
          <w:p w14:paraId="4C57ABFE" w14:textId="77777777" w:rsidR="001D2210" w:rsidRPr="006C7BAF" w:rsidRDefault="001D2210">
            <w:pPr>
              <w:jc w:val="left"/>
              <w:rPr>
                <w:rFonts w:ascii="Arial Narrow" w:hAnsi="Arial Narrow" w:cs="Segoe UI"/>
                <w:sz w:val="20"/>
                <w:szCs w:val="20"/>
              </w:rPr>
            </w:pPr>
          </w:p>
        </w:tc>
        <w:tc>
          <w:tcPr>
            <w:tcW w:w="7597" w:type="dxa"/>
            <w:gridSpan w:val="4"/>
            <w:shd w:val="clear" w:color="auto" w:fill="auto"/>
            <w:hideMark/>
          </w:tcPr>
          <w:p w14:paraId="5A6DFD7F" w14:textId="77777777" w:rsidR="001D2210" w:rsidRPr="006C7BAF" w:rsidRDefault="001D2210">
            <w:pPr>
              <w:textAlignment w:val="baseline"/>
              <w:rPr>
                <w:rFonts w:ascii="Arial Narrow" w:hAnsi="Arial Narrow" w:cs="Segoe UI"/>
                <w:b/>
                <w:bCs/>
                <w:sz w:val="20"/>
                <w:szCs w:val="20"/>
              </w:rPr>
            </w:pPr>
            <w:r w:rsidRPr="006C7BAF">
              <w:rPr>
                <w:rFonts w:ascii="Arial Narrow" w:hAnsi="Arial Narrow" w:cs="Segoe UI"/>
                <w:b/>
                <w:bCs/>
                <w:sz w:val="20"/>
                <w:szCs w:val="20"/>
              </w:rPr>
              <w:t xml:space="preserve">Prescriber type: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hAnsi="Arial Narrow" w:cs="Segoe UI"/>
                <w:sz w:val="20"/>
                <w:szCs w:val="20"/>
              </w:rPr>
              <w:t xml:space="preserve">Medical Practitioners </w:t>
            </w:r>
          </w:p>
        </w:tc>
      </w:tr>
      <w:tr w:rsidR="001D2210" w:rsidRPr="006C7BAF" w14:paraId="2092042E" w14:textId="77777777" w:rsidTr="00626E73">
        <w:trPr>
          <w:trHeight w:val="20"/>
        </w:trPr>
        <w:tc>
          <w:tcPr>
            <w:tcW w:w="1413" w:type="dxa"/>
            <w:gridSpan w:val="2"/>
            <w:vMerge/>
            <w:vAlign w:val="center"/>
            <w:hideMark/>
          </w:tcPr>
          <w:p w14:paraId="2BF50098" w14:textId="77777777" w:rsidR="001D2210" w:rsidRPr="006C7BAF" w:rsidRDefault="001D2210">
            <w:pPr>
              <w:jc w:val="left"/>
              <w:rPr>
                <w:rFonts w:ascii="Arial Narrow" w:hAnsi="Arial Narrow" w:cs="Segoe UI"/>
                <w:sz w:val="20"/>
                <w:szCs w:val="20"/>
              </w:rPr>
            </w:pPr>
          </w:p>
        </w:tc>
        <w:tc>
          <w:tcPr>
            <w:tcW w:w="7597" w:type="dxa"/>
            <w:gridSpan w:val="4"/>
            <w:shd w:val="clear" w:color="auto" w:fill="auto"/>
            <w:hideMark/>
          </w:tcPr>
          <w:p w14:paraId="712481BC" w14:textId="77777777" w:rsidR="001D2210" w:rsidRPr="006C7BAF" w:rsidRDefault="001D2210">
            <w:pPr>
              <w:jc w:val="left"/>
              <w:textAlignment w:val="baseline"/>
              <w:rPr>
                <w:rFonts w:ascii="Arial Narrow" w:hAnsi="Arial Narrow" w:cs="Segoe UI"/>
                <w:b/>
                <w:bCs/>
                <w:sz w:val="20"/>
                <w:szCs w:val="20"/>
              </w:rPr>
            </w:pPr>
            <w:r w:rsidRPr="006C7BAF">
              <w:rPr>
                <w:rFonts w:ascii="Arial Narrow" w:hAnsi="Arial Narrow" w:cs="Segoe UI"/>
                <w:b/>
                <w:bCs/>
                <w:sz w:val="20"/>
                <w:szCs w:val="20"/>
              </w:rPr>
              <w:t xml:space="preserve">Restriction type: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hAnsi="Arial Narrow" w:cs="Segoe UI"/>
                <w:sz w:val="20"/>
                <w:szCs w:val="20"/>
              </w:rPr>
              <w:t xml:space="preserve">Authority Required (telephone/online PBS Authorities system) </w:t>
            </w:r>
          </w:p>
        </w:tc>
      </w:tr>
      <w:tr w:rsidR="001D2210" w:rsidRPr="006C7BAF" w14:paraId="4E8CAAC7" w14:textId="77777777" w:rsidTr="00626E73">
        <w:trPr>
          <w:trHeight w:val="20"/>
        </w:trPr>
        <w:tc>
          <w:tcPr>
            <w:tcW w:w="704" w:type="dxa"/>
            <w:vMerge w:val="restart"/>
            <w:shd w:val="clear" w:color="auto" w:fill="auto"/>
            <w:textDirection w:val="tbRl"/>
            <w:vAlign w:val="center"/>
          </w:tcPr>
          <w:p w14:paraId="1CB72E5B" w14:textId="52AC2250" w:rsidR="001D2210" w:rsidRPr="006C7BAF" w:rsidRDefault="001D2210" w:rsidP="00626E73">
            <w:pPr>
              <w:ind w:left="113" w:right="105"/>
              <w:jc w:val="center"/>
              <w:textAlignment w:val="baseline"/>
              <w:rPr>
                <w:rFonts w:ascii="Arial Narrow" w:hAnsi="Arial Narrow" w:cs="Segoe UI"/>
                <w:sz w:val="20"/>
                <w:szCs w:val="20"/>
              </w:rPr>
            </w:pPr>
          </w:p>
        </w:tc>
        <w:tc>
          <w:tcPr>
            <w:tcW w:w="709" w:type="dxa"/>
            <w:shd w:val="clear" w:color="auto" w:fill="auto"/>
            <w:vAlign w:val="center"/>
          </w:tcPr>
          <w:p w14:paraId="3A7A2423" w14:textId="30AD41D6"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hideMark/>
          </w:tcPr>
          <w:p w14:paraId="7AC92CB3"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b/>
                <w:bCs/>
                <w:color w:val="333333"/>
                <w:sz w:val="20"/>
                <w:szCs w:val="20"/>
              </w:rPr>
              <w:t>Administrative Advice: </w:t>
            </w:r>
          </w:p>
          <w:p w14:paraId="12C4D501" w14:textId="77777777" w:rsidR="001D2210" w:rsidRPr="006C7BAF" w:rsidRDefault="001D2210">
            <w:pPr>
              <w:jc w:val="left"/>
              <w:textAlignment w:val="baseline"/>
              <w:rPr>
                <w:rFonts w:ascii="Arial Narrow" w:hAnsi="Arial Narrow" w:cs="Segoe UI"/>
                <w:strike/>
                <w:color w:val="333333"/>
                <w:sz w:val="20"/>
                <w:szCs w:val="20"/>
              </w:rPr>
            </w:pPr>
            <w:r w:rsidRPr="006C7BAF">
              <w:rPr>
                <w:rFonts w:ascii="Arial Narrow" w:hAnsi="Arial Narrow" w:cs="Segoe UI"/>
                <w:strike/>
                <w:color w:val="333333"/>
                <w:sz w:val="20"/>
                <w:szCs w:val="20"/>
              </w:rPr>
              <w:t>No increase in the maximum quantity may be authorised </w:t>
            </w:r>
          </w:p>
          <w:p w14:paraId="242C3226" w14:textId="77777777" w:rsidR="001D2210" w:rsidRPr="006C7BAF" w:rsidRDefault="001D2210">
            <w:pPr>
              <w:jc w:val="left"/>
              <w:textAlignment w:val="baseline"/>
              <w:rPr>
                <w:rFonts w:ascii="Arial Narrow" w:hAnsi="Arial Narrow" w:cs="Segoe UI"/>
                <w:i/>
                <w:iCs/>
                <w:color w:val="333333"/>
                <w:sz w:val="20"/>
                <w:szCs w:val="20"/>
              </w:rPr>
            </w:pPr>
            <w:r w:rsidRPr="006C7BAF">
              <w:rPr>
                <w:rFonts w:ascii="Arial Narrow" w:hAnsi="Arial Narrow" w:cs="Segoe UI"/>
                <w:i/>
                <w:iCs/>
                <w:color w:val="333333"/>
                <w:sz w:val="20"/>
                <w:szCs w:val="20"/>
              </w:rPr>
              <w:t>No increase in the maximum amount or number of units may be authorised.</w:t>
            </w:r>
          </w:p>
        </w:tc>
      </w:tr>
      <w:tr w:rsidR="001D2210" w:rsidRPr="006C7BAF" w14:paraId="443F6553" w14:textId="77777777" w:rsidTr="00626E73">
        <w:trPr>
          <w:trHeight w:val="20"/>
        </w:trPr>
        <w:tc>
          <w:tcPr>
            <w:tcW w:w="704" w:type="dxa"/>
            <w:vMerge/>
            <w:vAlign w:val="center"/>
            <w:hideMark/>
          </w:tcPr>
          <w:p w14:paraId="05807F5F" w14:textId="77777777" w:rsidR="001D2210" w:rsidRPr="006C7BAF" w:rsidRDefault="001D2210">
            <w:pPr>
              <w:jc w:val="left"/>
              <w:rPr>
                <w:rFonts w:ascii="Arial Narrow" w:hAnsi="Arial Narrow" w:cs="Segoe UI"/>
                <w:sz w:val="20"/>
                <w:szCs w:val="20"/>
              </w:rPr>
            </w:pPr>
          </w:p>
        </w:tc>
        <w:tc>
          <w:tcPr>
            <w:tcW w:w="709" w:type="dxa"/>
            <w:shd w:val="clear" w:color="auto" w:fill="auto"/>
            <w:vAlign w:val="center"/>
          </w:tcPr>
          <w:p w14:paraId="2DA30248" w14:textId="01C3825E"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hideMark/>
          </w:tcPr>
          <w:p w14:paraId="619B426C"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Administrative Advice:</w:t>
            </w:r>
            <w:r w:rsidRPr="006C7BAF">
              <w:rPr>
                <w:rFonts w:ascii="Arial Narrow" w:hAnsi="Arial Narrow" w:cs="Segoe UI"/>
                <w:color w:val="333333"/>
                <w:sz w:val="20"/>
                <w:szCs w:val="20"/>
              </w:rPr>
              <w:t> </w:t>
            </w:r>
          </w:p>
          <w:p w14:paraId="1C5000E7"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color w:val="333333"/>
                <w:sz w:val="20"/>
                <w:szCs w:val="20"/>
              </w:rPr>
              <w:t>No increase in the maximum number of repeats may be authorised</w:t>
            </w:r>
            <w:r w:rsidRPr="006C7BAF">
              <w:rPr>
                <w:rFonts w:ascii="Arial Narrow" w:hAnsi="Arial Narrow" w:cs="Segoe UI"/>
                <w:i/>
                <w:iCs/>
                <w:color w:val="333333"/>
                <w:sz w:val="20"/>
                <w:szCs w:val="20"/>
              </w:rPr>
              <w:t>.</w:t>
            </w:r>
          </w:p>
        </w:tc>
      </w:tr>
      <w:tr w:rsidR="001D2210" w:rsidRPr="006C7BAF" w14:paraId="3DADC05D" w14:textId="77777777" w:rsidTr="00626E73">
        <w:trPr>
          <w:trHeight w:val="20"/>
        </w:trPr>
        <w:tc>
          <w:tcPr>
            <w:tcW w:w="704" w:type="dxa"/>
            <w:vMerge/>
            <w:vAlign w:val="center"/>
            <w:hideMark/>
          </w:tcPr>
          <w:p w14:paraId="4F1EFEF6" w14:textId="77777777" w:rsidR="001D2210" w:rsidRPr="006C7BAF" w:rsidRDefault="001D2210">
            <w:pPr>
              <w:jc w:val="left"/>
              <w:rPr>
                <w:rFonts w:ascii="Arial Narrow" w:hAnsi="Arial Narrow" w:cs="Segoe UI"/>
                <w:sz w:val="20"/>
                <w:szCs w:val="20"/>
              </w:rPr>
            </w:pPr>
          </w:p>
        </w:tc>
        <w:tc>
          <w:tcPr>
            <w:tcW w:w="709" w:type="dxa"/>
            <w:shd w:val="clear" w:color="auto" w:fill="auto"/>
            <w:vAlign w:val="center"/>
          </w:tcPr>
          <w:p w14:paraId="73280D17" w14:textId="446CF889"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hideMark/>
          </w:tcPr>
          <w:p w14:paraId="628B1082"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Administrative Advice:</w:t>
            </w:r>
            <w:r w:rsidRPr="006C7BAF">
              <w:rPr>
                <w:rFonts w:ascii="Arial Narrow" w:hAnsi="Arial Narrow" w:cs="Segoe UI"/>
                <w:color w:val="333333"/>
                <w:sz w:val="20"/>
                <w:szCs w:val="20"/>
              </w:rPr>
              <w:t> </w:t>
            </w:r>
          </w:p>
          <w:p w14:paraId="0C052D76"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color w:val="333333"/>
                <w:sz w:val="20"/>
                <w:szCs w:val="20"/>
              </w:rPr>
              <w:t>Special pricing arrangements apply</w:t>
            </w:r>
            <w:r w:rsidRPr="006C7BAF">
              <w:rPr>
                <w:rFonts w:ascii="Arial Narrow" w:hAnsi="Arial Narrow" w:cs="Segoe UI"/>
                <w:i/>
                <w:iCs/>
                <w:color w:val="333333"/>
                <w:sz w:val="20"/>
                <w:szCs w:val="20"/>
              </w:rPr>
              <w:t>.</w:t>
            </w:r>
          </w:p>
        </w:tc>
      </w:tr>
      <w:tr w:rsidR="001D2210" w:rsidRPr="006C7BAF" w14:paraId="2D5A8835" w14:textId="77777777" w:rsidTr="00626E73">
        <w:trPr>
          <w:trHeight w:val="20"/>
        </w:trPr>
        <w:tc>
          <w:tcPr>
            <w:tcW w:w="704" w:type="dxa"/>
            <w:vMerge/>
            <w:vAlign w:val="center"/>
          </w:tcPr>
          <w:p w14:paraId="4DB987FA" w14:textId="77777777" w:rsidR="001D2210" w:rsidRPr="006C7BAF" w:rsidRDefault="001D2210">
            <w:pPr>
              <w:jc w:val="left"/>
              <w:rPr>
                <w:rFonts w:ascii="Arial Narrow" w:hAnsi="Arial Narrow" w:cs="Segoe UI"/>
                <w:sz w:val="20"/>
                <w:szCs w:val="20"/>
              </w:rPr>
            </w:pPr>
          </w:p>
        </w:tc>
        <w:tc>
          <w:tcPr>
            <w:tcW w:w="709" w:type="dxa"/>
            <w:shd w:val="clear" w:color="auto" w:fill="auto"/>
            <w:vAlign w:val="center"/>
          </w:tcPr>
          <w:p w14:paraId="61A253A4" w14:textId="238775F1" w:rsidR="001D2210" w:rsidRPr="006C7BAF" w:rsidRDefault="001D2210">
            <w:pPr>
              <w:ind w:hanging="30"/>
              <w:jc w:val="center"/>
              <w:textAlignment w:val="baseline"/>
              <w:rPr>
                <w:rFonts w:ascii="Arial Narrow" w:hAnsi="Arial Narrow" w:cs="Segoe UI"/>
                <w:sz w:val="20"/>
                <w:szCs w:val="20"/>
              </w:rPr>
            </w:pPr>
          </w:p>
        </w:tc>
        <w:tc>
          <w:tcPr>
            <w:tcW w:w="7597" w:type="dxa"/>
            <w:gridSpan w:val="4"/>
            <w:shd w:val="clear" w:color="auto" w:fill="auto"/>
            <w:vAlign w:val="center"/>
          </w:tcPr>
          <w:p w14:paraId="2B6FA1E8"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b/>
                <w:bCs/>
                <w:color w:val="333333"/>
                <w:sz w:val="20"/>
                <w:szCs w:val="20"/>
              </w:rPr>
              <w:t>Administrative advice:</w:t>
            </w:r>
          </w:p>
          <w:p w14:paraId="74A30743"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2210" w:rsidRPr="006C7BAF" w14:paraId="668E651C" w14:textId="77777777" w:rsidTr="00626E73">
        <w:trPr>
          <w:trHeight w:val="20"/>
        </w:trPr>
        <w:tc>
          <w:tcPr>
            <w:tcW w:w="1413" w:type="dxa"/>
            <w:gridSpan w:val="2"/>
            <w:vMerge w:val="restart"/>
            <w:shd w:val="clear" w:color="auto" w:fill="auto"/>
            <w:vAlign w:val="center"/>
            <w:hideMark/>
          </w:tcPr>
          <w:p w14:paraId="05281E44" w14:textId="77777777" w:rsidR="001D2210" w:rsidRPr="006C7BAF" w:rsidRDefault="001D2210">
            <w:pPr>
              <w:jc w:val="center"/>
              <w:textAlignment w:val="baseline"/>
              <w:rPr>
                <w:rFonts w:ascii="Arial Narrow" w:hAnsi="Arial Narrow" w:cs="Segoe UI"/>
                <w:sz w:val="20"/>
                <w:szCs w:val="20"/>
              </w:rPr>
            </w:pPr>
            <w:r w:rsidRPr="006C7BAF">
              <w:rPr>
                <w:rFonts w:ascii="Arial Narrow" w:hAnsi="Arial Narrow" w:cs="Segoe UI"/>
                <w:color w:val="333333"/>
                <w:sz w:val="20"/>
                <w:szCs w:val="20"/>
              </w:rPr>
              <w:t> </w:t>
            </w:r>
          </w:p>
        </w:tc>
        <w:tc>
          <w:tcPr>
            <w:tcW w:w="7597" w:type="dxa"/>
            <w:gridSpan w:val="4"/>
            <w:shd w:val="clear" w:color="auto" w:fill="auto"/>
            <w:vAlign w:val="center"/>
            <w:hideMark/>
          </w:tcPr>
          <w:p w14:paraId="6F1DD557"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Episodicity</w:t>
            </w:r>
            <w:r w:rsidRPr="006C7BAF">
              <w:rPr>
                <w:rFonts w:ascii="Arial Narrow" w:hAnsi="Arial Narrow" w:cs="Segoe UI"/>
                <w:b/>
                <w:bCs/>
                <w:sz w:val="20"/>
                <w:szCs w:val="20"/>
              </w:rPr>
              <w:t xml:space="preserve">: </w:t>
            </w:r>
            <w:r w:rsidRPr="006C7BAF">
              <w:rPr>
                <w:rFonts w:ascii="Arial Narrow" w:hAnsi="Arial Narrow" w:cs="Segoe UI"/>
                <w:sz w:val="20"/>
                <w:szCs w:val="20"/>
              </w:rPr>
              <w:t>[blank] </w:t>
            </w:r>
          </w:p>
        </w:tc>
      </w:tr>
      <w:tr w:rsidR="001D2210" w:rsidRPr="006C7BAF" w14:paraId="5C84EAAB" w14:textId="77777777" w:rsidTr="00626E73">
        <w:trPr>
          <w:trHeight w:val="20"/>
        </w:trPr>
        <w:tc>
          <w:tcPr>
            <w:tcW w:w="1413" w:type="dxa"/>
            <w:gridSpan w:val="2"/>
            <w:vMerge/>
            <w:vAlign w:val="center"/>
            <w:hideMark/>
          </w:tcPr>
          <w:p w14:paraId="7FC9E2C5" w14:textId="77777777" w:rsidR="001D2210" w:rsidRPr="006C7BAF" w:rsidRDefault="001D2210">
            <w:pPr>
              <w:jc w:val="left"/>
              <w:rPr>
                <w:rFonts w:ascii="Arial Narrow" w:hAnsi="Arial Narrow" w:cs="Segoe UI"/>
                <w:sz w:val="20"/>
                <w:szCs w:val="20"/>
              </w:rPr>
            </w:pPr>
          </w:p>
        </w:tc>
        <w:tc>
          <w:tcPr>
            <w:tcW w:w="7597" w:type="dxa"/>
            <w:gridSpan w:val="4"/>
            <w:shd w:val="clear" w:color="auto" w:fill="auto"/>
            <w:vAlign w:val="center"/>
            <w:hideMark/>
          </w:tcPr>
          <w:p w14:paraId="7F0DAC94"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 xml:space="preserve">Severity: </w:t>
            </w:r>
            <w:r w:rsidRPr="006C7BAF">
              <w:rPr>
                <w:rFonts w:ascii="Arial Narrow" w:hAnsi="Arial Narrow" w:cs="Segoe UI"/>
                <w:strike/>
                <w:sz w:val="20"/>
                <w:szCs w:val="20"/>
              </w:rPr>
              <w:t>Stage IIIB or IIIC (locally advanced) or IV (metastatic)</w:t>
            </w:r>
            <w:r w:rsidRPr="006C7BAF">
              <w:rPr>
                <w:rFonts w:ascii="Arial Narrow" w:hAnsi="Arial Narrow" w:cs="Segoe UI"/>
                <w:sz w:val="20"/>
                <w:szCs w:val="20"/>
              </w:rPr>
              <w:t> </w:t>
            </w:r>
          </w:p>
          <w:p w14:paraId="4AA2A446"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i/>
                <w:iCs/>
                <w:sz w:val="20"/>
                <w:szCs w:val="20"/>
              </w:rPr>
              <w:t>Stage IIIB/IIIC (locally advanced) or Stage IV (metastatic)</w:t>
            </w:r>
          </w:p>
        </w:tc>
      </w:tr>
      <w:tr w:rsidR="001D2210" w:rsidRPr="006C7BAF" w14:paraId="08103A68" w14:textId="77777777" w:rsidTr="00626E73">
        <w:trPr>
          <w:trHeight w:val="20"/>
        </w:trPr>
        <w:tc>
          <w:tcPr>
            <w:tcW w:w="1413" w:type="dxa"/>
            <w:gridSpan w:val="2"/>
            <w:vMerge/>
            <w:vAlign w:val="center"/>
            <w:hideMark/>
          </w:tcPr>
          <w:p w14:paraId="722B88C5" w14:textId="77777777" w:rsidR="001D2210" w:rsidRPr="006C7BAF" w:rsidRDefault="001D2210">
            <w:pPr>
              <w:jc w:val="left"/>
              <w:rPr>
                <w:rFonts w:ascii="Arial Narrow" w:hAnsi="Arial Narrow" w:cs="Segoe UI"/>
                <w:sz w:val="20"/>
                <w:szCs w:val="20"/>
              </w:rPr>
            </w:pPr>
          </w:p>
        </w:tc>
        <w:tc>
          <w:tcPr>
            <w:tcW w:w="7597" w:type="dxa"/>
            <w:gridSpan w:val="4"/>
            <w:shd w:val="clear" w:color="auto" w:fill="auto"/>
            <w:vAlign w:val="center"/>
            <w:hideMark/>
          </w:tcPr>
          <w:p w14:paraId="0B2AE7EE"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 xml:space="preserve">Condition: </w:t>
            </w:r>
            <w:r w:rsidRPr="006C7BAF">
              <w:rPr>
                <w:rFonts w:ascii="Arial Narrow" w:hAnsi="Arial Narrow" w:cs="Segoe UI"/>
                <w:color w:val="333333"/>
                <w:sz w:val="20"/>
                <w:szCs w:val="20"/>
              </w:rPr>
              <w:t>Non-small cell lung cancer (NSCLC)</w:t>
            </w:r>
            <w:r w:rsidRPr="006C7BAF">
              <w:rPr>
                <w:rFonts w:ascii="Arial Narrow" w:hAnsi="Arial Narrow" w:cs="Segoe UI"/>
                <w:color w:val="FF0000"/>
                <w:sz w:val="20"/>
                <w:szCs w:val="20"/>
              </w:rPr>
              <w:t> </w:t>
            </w:r>
          </w:p>
        </w:tc>
      </w:tr>
      <w:tr w:rsidR="001D2210" w:rsidRPr="006C7BAF" w14:paraId="531814EC" w14:textId="77777777" w:rsidTr="00626E73">
        <w:trPr>
          <w:trHeight w:val="20"/>
        </w:trPr>
        <w:tc>
          <w:tcPr>
            <w:tcW w:w="1413" w:type="dxa"/>
            <w:gridSpan w:val="2"/>
            <w:shd w:val="clear" w:color="auto" w:fill="auto"/>
            <w:vAlign w:val="center"/>
          </w:tcPr>
          <w:p w14:paraId="719D49F2" w14:textId="1EC464B0"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3A2AC286"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Indication:</w:t>
            </w:r>
            <w:r w:rsidRPr="006C7BAF">
              <w:rPr>
                <w:rFonts w:ascii="Arial Narrow" w:hAnsi="Arial Narrow" w:cs="Segoe UI"/>
                <w:color w:val="333333"/>
                <w:sz w:val="20"/>
                <w:szCs w:val="20"/>
              </w:rPr>
              <w:t xml:space="preserve"> </w:t>
            </w:r>
            <w:r w:rsidRPr="006C7BAF">
              <w:rPr>
                <w:rFonts w:ascii="Arial Narrow" w:hAnsi="Arial Narrow" w:cs="Segoe UI"/>
                <w:strike/>
                <w:color w:val="333333"/>
                <w:sz w:val="20"/>
                <w:szCs w:val="20"/>
              </w:rPr>
              <w:t>Stage IIIB or IIIC (locally advanced) or IV (metastatic) non-small cell lung cancer (NSCLC)</w:t>
            </w:r>
          </w:p>
          <w:p w14:paraId="15756107"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i/>
                <w:iCs/>
                <w:sz w:val="20"/>
                <w:szCs w:val="20"/>
              </w:rPr>
              <w:t>Stage IIIB/IIIC (locally advanced) or Stage IV (metastatic) non-small cell lung cancer (NSCLC)</w:t>
            </w:r>
          </w:p>
        </w:tc>
      </w:tr>
      <w:tr w:rsidR="001D2210" w:rsidRPr="006C7BAF" w14:paraId="16880562" w14:textId="77777777" w:rsidTr="00626E73">
        <w:trPr>
          <w:trHeight w:val="20"/>
        </w:trPr>
        <w:tc>
          <w:tcPr>
            <w:tcW w:w="1413" w:type="dxa"/>
            <w:gridSpan w:val="2"/>
            <w:shd w:val="clear" w:color="auto" w:fill="auto"/>
            <w:vAlign w:val="center"/>
          </w:tcPr>
          <w:p w14:paraId="5DE7713B" w14:textId="6F576803"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12EFD9ED"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b/>
                <w:bCs/>
                <w:color w:val="333333"/>
                <w:sz w:val="20"/>
                <w:szCs w:val="20"/>
              </w:rPr>
              <w:t>Treatment Phase</w:t>
            </w:r>
            <w:r w:rsidRPr="006C7BAF">
              <w:rPr>
                <w:rFonts w:ascii="Arial Narrow" w:hAnsi="Arial Narrow" w:cs="Segoe UI"/>
                <w:b/>
                <w:bCs/>
                <w:sz w:val="20"/>
                <w:szCs w:val="20"/>
              </w:rPr>
              <w:t>:</w:t>
            </w:r>
            <w:r w:rsidRPr="006C7BAF">
              <w:rPr>
                <w:rFonts w:ascii="Arial Narrow" w:hAnsi="Arial Narrow" w:cs="Segoe UI"/>
                <w:sz w:val="20"/>
                <w:szCs w:val="20"/>
              </w:rPr>
              <w:t xml:space="preserve"> Continuing </w:t>
            </w:r>
            <w:r w:rsidRPr="006C7BAF">
              <w:rPr>
                <w:rFonts w:ascii="Arial Narrow" w:hAnsi="Arial Narrow" w:cs="Segoe UI"/>
                <w:i/>
                <w:iCs/>
                <w:sz w:val="20"/>
                <w:szCs w:val="20"/>
              </w:rPr>
              <w:t>treatment</w:t>
            </w:r>
          </w:p>
        </w:tc>
      </w:tr>
      <w:tr w:rsidR="001D2210" w:rsidRPr="006C7BAF" w14:paraId="15333F15" w14:textId="77777777" w:rsidTr="00626E73">
        <w:trPr>
          <w:trHeight w:val="20"/>
        </w:trPr>
        <w:tc>
          <w:tcPr>
            <w:tcW w:w="1413" w:type="dxa"/>
            <w:gridSpan w:val="2"/>
            <w:shd w:val="clear" w:color="auto" w:fill="auto"/>
            <w:vAlign w:val="center"/>
          </w:tcPr>
          <w:p w14:paraId="7B43417C" w14:textId="073E1E26"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5E343DC9"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 xml:space="preserve">Clinical criteria: </w:t>
            </w:r>
          </w:p>
        </w:tc>
      </w:tr>
      <w:tr w:rsidR="001D2210" w:rsidRPr="006C7BAF" w14:paraId="7136F3F9" w14:textId="77777777" w:rsidTr="00626E73">
        <w:trPr>
          <w:trHeight w:val="20"/>
        </w:trPr>
        <w:tc>
          <w:tcPr>
            <w:tcW w:w="1413" w:type="dxa"/>
            <w:gridSpan w:val="2"/>
            <w:shd w:val="clear" w:color="auto" w:fill="auto"/>
            <w:vAlign w:val="center"/>
          </w:tcPr>
          <w:p w14:paraId="6A07D428" w14:textId="7517505F"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4962DFF7" w14:textId="77777777" w:rsidR="001D2210" w:rsidRPr="006C7BAF" w:rsidRDefault="001D2210">
            <w:pPr>
              <w:jc w:val="left"/>
              <w:textAlignment w:val="baseline"/>
              <w:rPr>
                <w:rFonts w:ascii="Arial Narrow" w:hAnsi="Arial Narrow" w:cs="Segoe UI"/>
                <w:strike/>
                <w:sz w:val="20"/>
                <w:szCs w:val="20"/>
              </w:rPr>
            </w:pPr>
            <w:r w:rsidRPr="006C7BAF">
              <w:rPr>
                <w:rFonts w:ascii="Arial Narrow" w:eastAsia="Calibri" w:hAnsi="Arial Narrow"/>
                <w:kern w:val="24"/>
                <w:sz w:val="20"/>
                <w:szCs w:val="20"/>
                <w:lang w:val="en-US"/>
                <w14:ligatures w14:val="standardContextual"/>
              </w:rPr>
              <w:t xml:space="preserve">Patient must have previously received PBS-subsidised treatment with this drug for this condition; </w:t>
            </w:r>
            <w:r w:rsidRPr="006C7BAF">
              <w:rPr>
                <w:rFonts w:ascii="Arial Narrow" w:eastAsia="Calibri" w:hAnsi="Arial Narrow"/>
                <w:strike/>
                <w:kern w:val="24"/>
                <w:sz w:val="20"/>
                <w:szCs w:val="20"/>
                <w:lang w:val="en-US"/>
                <w14:ligatures w14:val="standardContextual"/>
              </w:rPr>
              <w:t>AND</w:t>
            </w:r>
          </w:p>
        </w:tc>
      </w:tr>
      <w:tr w:rsidR="001D2210" w:rsidRPr="006C7BAF" w14:paraId="323FB2D7" w14:textId="77777777" w:rsidTr="00626E73">
        <w:trPr>
          <w:trHeight w:val="20"/>
        </w:trPr>
        <w:tc>
          <w:tcPr>
            <w:tcW w:w="1413" w:type="dxa"/>
            <w:gridSpan w:val="2"/>
            <w:shd w:val="clear" w:color="auto" w:fill="auto"/>
            <w:vAlign w:val="center"/>
          </w:tcPr>
          <w:p w14:paraId="643A9137" w14:textId="1A735209"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35E1CB44" w14:textId="77777777" w:rsidR="001D2210" w:rsidRPr="006C7BAF" w:rsidRDefault="001D2210">
            <w:pPr>
              <w:jc w:val="left"/>
              <w:textAlignment w:val="baseline"/>
              <w:rPr>
                <w:rFonts w:ascii="Arial Narrow" w:hAnsi="Arial Narrow" w:cs="Segoe UI"/>
                <w:i/>
                <w:iCs/>
                <w:sz w:val="20"/>
                <w:szCs w:val="20"/>
              </w:rPr>
            </w:pPr>
            <w:r w:rsidRPr="006C7BAF">
              <w:rPr>
                <w:rFonts w:ascii="Arial Narrow" w:hAnsi="Arial Narrow" w:cs="Segoe UI"/>
                <w:b/>
                <w:bCs/>
                <w:i/>
                <w:iCs/>
                <w:color w:val="333333"/>
                <w:sz w:val="20"/>
                <w:szCs w:val="20"/>
              </w:rPr>
              <w:t>AND</w:t>
            </w:r>
            <w:r w:rsidRPr="006C7BAF">
              <w:rPr>
                <w:rFonts w:ascii="Arial Narrow" w:hAnsi="Arial Narrow" w:cs="Segoe UI"/>
                <w:i/>
                <w:iCs/>
                <w:color w:val="333333"/>
                <w:sz w:val="20"/>
                <w:szCs w:val="20"/>
              </w:rPr>
              <w:t> </w:t>
            </w:r>
          </w:p>
        </w:tc>
      </w:tr>
      <w:tr w:rsidR="001D2210" w:rsidRPr="006C7BAF" w14:paraId="611ED5E0" w14:textId="77777777" w:rsidTr="00626E73">
        <w:trPr>
          <w:trHeight w:val="20"/>
        </w:trPr>
        <w:tc>
          <w:tcPr>
            <w:tcW w:w="1413" w:type="dxa"/>
            <w:gridSpan w:val="2"/>
            <w:shd w:val="clear" w:color="auto" w:fill="auto"/>
            <w:vAlign w:val="center"/>
          </w:tcPr>
          <w:p w14:paraId="50BCB25A" w14:textId="551EF11E"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72131523"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color w:val="333333"/>
                <w:sz w:val="20"/>
                <w:szCs w:val="20"/>
              </w:rPr>
              <w:t>Clinical criteria:</w:t>
            </w:r>
            <w:r w:rsidRPr="006C7BAF">
              <w:rPr>
                <w:rFonts w:ascii="Arial Narrow" w:hAnsi="Arial Narrow" w:cs="Segoe UI"/>
                <w:color w:val="333333"/>
                <w:sz w:val="20"/>
                <w:szCs w:val="20"/>
              </w:rPr>
              <w:t> </w:t>
            </w:r>
          </w:p>
        </w:tc>
      </w:tr>
      <w:tr w:rsidR="001D2210" w:rsidRPr="006C7BAF" w14:paraId="21BCA1EA" w14:textId="77777777" w:rsidTr="00626E73">
        <w:trPr>
          <w:trHeight w:val="20"/>
        </w:trPr>
        <w:tc>
          <w:tcPr>
            <w:tcW w:w="1413" w:type="dxa"/>
            <w:gridSpan w:val="2"/>
            <w:shd w:val="clear" w:color="auto" w:fill="auto"/>
            <w:vAlign w:val="center"/>
          </w:tcPr>
          <w:p w14:paraId="76FFDD72" w14:textId="1F15018A"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hideMark/>
          </w:tcPr>
          <w:p w14:paraId="50DF4DE8" w14:textId="77777777" w:rsidR="001D2210" w:rsidRPr="006C7BAF" w:rsidRDefault="001D2210">
            <w:pPr>
              <w:jc w:val="left"/>
              <w:textAlignment w:val="baseline"/>
              <w:rPr>
                <w:rFonts w:ascii="Arial Narrow" w:hAnsi="Arial Narrow" w:cs="Segoe UI"/>
                <w:sz w:val="20"/>
                <w:szCs w:val="20"/>
              </w:rPr>
            </w:pPr>
            <w:r w:rsidRPr="006C7BAF">
              <w:rPr>
                <w:rFonts w:ascii="Arial Narrow" w:eastAsia="Calibri" w:hAnsi="Arial Narrow"/>
                <w:kern w:val="24"/>
                <w:sz w:val="20"/>
                <w:szCs w:val="20"/>
                <w14:ligatures w14:val="standardContextual"/>
              </w:rPr>
              <w:t>Patient must not have developed disease progression while receiving treatment with this drug for this condition</w:t>
            </w:r>
          </w:p>
        </w:tc>
      </w:tr>
      <w:tr w:rsidR="001D2210" w:rsidRPr="006C7BAF" w14:paraId="32668468" w14:textId="77777777" w:rsidTr="00626E73">
        <w:trPr>
          <w:trHeight w:val="20"/>
        </w:trPr>
        <w:tc>
          <w:tcPr>
            <w:tcW w:w="1413" w:type="dxa"/>
            <w:gridSpan w:val="2"/>
            <w:shd w:val="clear" w:color="auto" w:fill="auto"/>
            <w:vAlign w:val="center"/>
          </w:tcPr>
          <w:p w14:paraId="5C9C3F4F" w14:textId="03E8C55B" w:rsidR="001D2210" w:rsidRPr="006C7BAF" w:rsidRDefault="001D2210">
            <w:pPr>
              <w:jc w:val="center"/>
              <w:textAlignment w:val="baseline"/>
              <w:rPr>
                <w:rFonts w:ascii="Arial Narrow" w:hAnsi="Arial Narrow" w:cs="Segoe UI"/>
                <w:i/>
                <w:iCs/>
                <w:sz w:val="20"/>
                <w:szCs w:val="20"/>
              </w:rPr>
            </w:pPr>
          </w:p>
        </w:tc>
        <w:tc>
          <w:tcPr>
            <w:tcW w:w="7597" w:type="dxa"/>
            <w:gridSpan w:val="4"/>
            <w:shd w:val="clear" w:color="auto" w:fill="auto"/>
            <w:vAlign w:val="center"/>
          </w:tcPr>
          <w:p w14:paraId="7135A777" w14:textId="77777777" w:rsidR="001D2210" w:rsidRPr="006C7BAF" w:rsidRDefault="001D2210">
            <w:pPr>
              <w:jc w:val="left"/>
              <w:textAlignment w:val="baseline"/>
              <w:rPr>
                <w:rFonts w:ascii="Arial Narrow" w:eastAsia="Calibri" w:hAnsi="Arial Narrow"/>
                <w:i/>
                <w:iCs/>
                <w:kern w:val="24"/>
                <w:sz w:val="20"/>
                <w:szCs w:val="20"/>
                <w14:ligatures w14:val="standardContextual"/>
              </w:rPr>
            </w:pPr>
            <w:r w:rsidRPr="006C7BAF">
              <w:rPr>
                <w:rFonts w:ascii="Arial Narrow" w:hAnsi="Arial Narrow" w:cs="Segoe UI"/>
                <w:b/>
                <w:bCs/>
                <w:i/>
                <w:iCs/>
                <w:color w:val="333333"/>
                <w:sz w:val="20"/>
                <w:szCs w:val="20"/>
              </w:rPr>
              <w:t xml:space="preserve">Clinical criteria: </w:t>
            </w:r>
          </w:p>
        </w:tc>
      </w:tr>
      <w:tr w:rsidR="001D2210" w:rsidRPr="006C7BAF" w14:paraId="24CE1084" w14:textId="77777777" w:rsidTr="00626E73">
        <w:trPr>
          <w:trHeight w:val="20"/>
        </w:trPr>
        <w:tc>
          <w:tcPr>
            <w:tcW w:w="1413" w:type="dxa"/>
            <w:gridSpan w:val="2"/>
            <w:shd w:val="clear" w:color="auto" w:fill="auto"/>
            <w:vAlign w:val="center"/>
          </w:tcPr>
          <w:p w14:paraId="21F24D25" w14:textId="13E7ECB5" w:rsidR="001D2210" w:rsidRPr="006C7BAF" w:rsidRDefault="001D2210">
            <w:pPr>
              <w:jc w:val="center"/>
              <w:textAlignment w:val="baseline"/>
              <w:rPr>
                <w:rFonts w:ascii="Arial Narrow" w:hAnsi="Arial Narrow" w:cs="Segoe UI"/>
                <w:sz w:val="20"/>
                <w:szCs w:val="20"/>
              </w:rPr>
            </w:pPr>
          </w:p>
        </w:tc>
        <w:tc>
          <w:tcPr>
            <w:tcW w:w="7597" w:type="dxa"/>
            <w:gridSpan w:val="4"/>
            <w:shd w:val="clear" w:color="auto" w:fill="auto"/>
            <w:vAlign w:val="center"/>
          </w:tcPr>
          <w:p w14:paraId="6786433B" w14:textId="53838795" w:rsidR="001D2210" w:rsidRPr="006C7BAF" w:rsidRDefault="001D2210">
            <w:pPr>
              <w:jc w:val="left"/>
              <w:textAlignment w:val="baseline"/>
              <w:rPr>
                <w:rFonts w:ascii="Arial Narrow" w:eastAsia="Calibri" w:hAnsi="Arial Narrow"/>
                <w:kern w:val="24"/>
                <w:sz w:val="20"/>
                <w:szCs w:val="20"/>
                <w14:ligatures w14:val="standardContextual"/>
              </w:rPr>
            </w:pPr>
            <w:r w:rsidRPr="006C7BAF">
              <w:rPr>
                <w:rFonts w:ascii="Arial Narrow" w:eastAsia="Yu Gothic" w:hAnsi="Arial Narrow" w:cs="Segoe UI"/>
                <w:i/>
                <w:iCs/>
                <w:sz w:val="20"/>
                <w:szCs w:val="20"/>
                <w14:ligatures w14:val="standardContextual"/>
              </w:rPr>
              <w:t xml:space="preserve">The treatment must be </w:t>
            </w:r>
            <w:r w:rsidR="00B2214D">
              <w:rPr>
                <w:rFonts w:ascii="Arial Narrow" w:eastAsia="Yu Gothic" w:hAnsi="Arial Narrow" w:cs="Segoe UI"/>
                <w:i/>
                <w:iCs/>
                <w:sz w:val="20"/>
                <w:szCs w:val="20"/>
                <w14:ligatures w14:val="standardContextual"/>
              </w:rPr>
              <w:t>initiated</w:t>
            </w:r>
            <w:r w:rsidRPr="006C7BAF">
              <w:rPr>
                <w:rFonts w:ascii="Arial Narrow" w:eastAsia="Yu Gothic" w:hAnsi="Arial Narrow" w:cs="Segoe UI"/>
                <w:i/>
                <w:iCs/>
                <w:sz w:val="20"/>
                <w:szCs w:val="20"/>
                <w14:ligatures w14:val="standardContextual"/>
              </w:rPr>
              <w:t xml:space="preserve"> in combination with lazertinib (refer to the Therapeutic Goods Administration (TGA) approved Product Information for the dosage regimens for lazertinib and amivantamab).</w:t>
            </w:r>
          </w:p>
        </w:tc>
      </w:tr>
      <w:tr w:rsidR="001D2210" w:rsidRPr="006C7BAF" w14:paraId="26B9C470" w14:textId="77777777" w:rsidTr="00626E73">
        <w:trPr>
          <w:trHeight w:val="20"/>
        </w:trPr>
        <w:tc>
          <w:tcPr>
            <w:tcW w:w="1413" w:type="dxa"/>
            <w:gridSpan w:val="2"/>
            <w:shd w:val="clear" w:color="auto" w:fill="auto"/>
            <w:vAlign w:val="center"/>
          </w:tcPr>
          <w:p w14:paraId="105C68E1" w14:textId="43709B85" w:rsidR="001D2210" w:rsidRPr="006C7BAF" w:rsidRDefault="001D2210">
            <w:pPr>
              <w:jc w:val="center"/>
              <w:textAlignment w:val="baseline"/>
              <w:rPr>
                <w:rFonts w:ascii="Arial Narrow" w:hAnsi="Arial Narrow" w:cs="Segoe UI"/>
                <w:strike/>
                <w:color w:val="333333"/>
                <w:sz w:val="20"/>
                <w:szCs w:val="20"/>
              </w:rPr>
            </w:pPr>
          </w:p>
        </w:tc>
        <w:tc>
          <w:tcPr>
            <w:tcW w:w="7597" w:type="dxa"/>
            <w:gridSpan w:val="4"/>
            <w:shd w:val="clear" w:color="auto" w:fill="auto"/>
            <w:vAlign w:val="center"/>
          </w:tcPr>
          <w:p w14:paraId="443039CF" w14:textId="77777777" w:rsidR="001D2210" w:rsidRPr="006C7BAF" w:rsidRDefault="001D2210">
            <w:pPr>
              <w:jc w:val="left"/>
              <w:textAlignment w:val="baseline"/>
              <w:rPr>
                <w:rFonts w:ascii="Arial Narrow" w:hAnsi="Arial Narrow" w:cs="Segoe UI"/>
                <w:b/>
                <w:bCs/>
                <w:strike/>
                <w:color w:val="333333"/>
                <w:sz w:val="20"/>
                <w:szCs w:val="20"/>
              </w:rPr>
            </w:pPr>
            <w:r w:rsidRPr="006C7BAF">
              <w:rPr>
                <w:rFonts w:ascii="Arial Narrow" w:hAnsi="Arial Narrow" w:cs="Segoe UI"/>
                <w:b/>
                <w:bCs/>
                <w:strike/>
                <w:color w:val="333333"/>
                <w:sz w:val="20"/>
                <w:szCs w:val="20"/>
              </w:rPr>
              <w:t>Administrative advice:</w:t>
            </w:r>
          </w:p>
          <w:p w14:paraId="09268B46" w14:textId="77777777" w:rsidR="001D2210" w:rsidRPr="006C7BAF" w:rsidRDefault="001D2210">
            <w:pPr>
              <w:jc w:val="left"/>
              <w:textAlignment w:val="baseline"/>
              <w:rPr>
                <w:rFonts w:ascii="Arial Narrow" w:hAnsi="Arial Narrow" w:cs="Segoe UI"/>
                <w:strike/>
                <w:color w:val="333333"/>
                <w:sz w:val="20"/>
                <w:szCs w:val="20"/>
              </w:rPr>
            </w:pPr>
            <w:r w:rsidRPr="006C7BAF">
              <w:rPr>
                <w:rFonts w:ascii="Arial Narrow" w:hAnsi="Arial Narrow" w:cs="Segoe UI"/>
                <w:strike/>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3FB1C585" w14:textId="77777777" w:rsidR="001D2210" w:rsidRPr="006C7BAF" w:rsidRDefault="001D2210" w:rsidP="001D2210">
      <w:pPr>
        <w:rPr>
          <w:b/>
          <w:bCs/>
          <w14:ligatures w14:val="standardContextual"/>
        </w:rPr>
      </w:pPr>
    </w:p>
    <w:p w14:paraId="0D20C2B1" w14:textId="05CA8103" w:rsidR="001D2210" w:rsidRPr="006C7BAF" w:rsidRDefault="001D2210" w:rsidP="001D2210">
      <w:pPr>
        <w:rPr>
          <w:b/>
          <w:bCs/>
          <w14:ligatures w14:val="standardContextual"/>
        </w:rPr>
      </w:pPr>
      <w:r w:rsidRPr="006C7BAF">
        <w:rPr>
          <w:b/>
          <w:bCs/>
          <w14:ligatures w14:val="standardContextual"/>
        </w:rPr>
        <w:t xml:space="preserve">Lazertinib (single listing)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2"/>
        <w:gridCol w:w="2526"/>
        <w:gridCol w:w="811"/>
        <w:gridCol w:w="812"/>
        <w:gridCol w:w="811"/>
        <w:gridCol w:w="812"/>
        <w:gridCol w:w="1831"/>
      </w:tblGrid>
      <w:tr w:rsidR="001D2210" w:rsidRPr="006C7BAF" w14:paraId="65188ED7" w14:textId="77777777" w:rsidTr="00626E73">
        <w:trPr>
          <w:cantSplit/>
          <w:trHeight w:val="20"/>
        </w:trPr>
        <w:tc>
          <w:tcPr>
            <w:tcW w:w="3940" w:type="dxa"/>
            <w:gridSpan w:val="3"/>
            <w:vAlign w:val="center"/>
          </w:tcPr>
          <w:p w14:paraId="3CD9C636" w14:textId="77777777" w:rsidR="001D2210" w:rsidRPr="006C7BAF" w:rsidRDefault="001D2210">
            <w:pPr>
              <w:keepLines/>
              <w:jc w:val="left"/>
              <w:rPr>
                <w:rFonts w:ascii="Arial Narrow" w:eastAsia="Calibri" w:hAnsi="Arial Narrow"/>
                <w:b/>
                <w:bCs/>
                <w:sz w:val="20"/>
                <w:szCs w:val="20"/>
                <w:lang w:eastAsia="en-US"/>
              </w:rPr>
            </w:pPr>
            <w:r w:rsidRPr="006C7BAF">
              <w:rPr>
                <w:rFonts w:ascii="Arial Narrow" w:eastAsia="Calibri" w:hAnsi="Arial Narrow"/>
                <w:b/>
                <w:bCs/>
                <w:sz w:val="20"/>
                <w:szCs w:val="20"/>
                <w:lang w:eastAsia="en-US"/>
              </w:rPr>
              <w:t>MEDICINAL PRODUCT</w:t>
            </w:r>
          </w:p>
          <w:p w14:paraId="0995CB27" w14:textId="77777777" w:rsidR="001D2210" w:rsidRPr="006C7BAF" w:rsidRDefault="001D2210">
            <w:pPr>
              <w:keepLines/>
              <w:jc w:val="left"/>
              <w:rPr>
                <w:rFonts w:ascii="Arial Narrow" w:eastAsia="Calibri" w:hAnsi="Arial Narrow"/>
                <w:b/>
                <w:sz w:val="20"/>
                <w:szCs w:val="20"/>
                <w:lang w:eastAsia="en-US"/>
              </w:rPr>
            </w:pPr>
            <w:r w:rsidRPr="006C7BAF">
              <w:rPr>
                <w:rFonts w:ascii="Arial Narrow" w:eastAsia="Calibri" w:hAnsi="Arial Narrow"/>
                <w:b/>
                <w:bCs/>
                <w:sz w:val="20"/>
                <w:szCs w:val="20"/>
                <w:lang w:eastAsia="en-US"/>
              </w:rPr>
              <w:t>medicinal product pack</w:t>
            </w:r>
          </w:p>
        </w:tc>
        <w:tc>
          <w:tcPr>
            <w:tcW w:w="811" w:type="dxa"/>
            <w:vAlign w:val="center"/>
          </w:tcPr>
          <w:p w14:paraId="529F6039" w14:textId="77777777" w:rsidR="001D2210" w:rsidRPr="006C7BAF" w:rsidRDefault="001D2210">
            <w:pPr>
              <w:keepLines/>
              <w:jc w:val="center"/>
              <w:rPr>
                <w:rFonts w:ascii="Arial Narrow" w:eastAsia="Calibri" w:hAnsi="Arial Narrow"/>
                <w:b/>
                <w:sz w:val="20"/>
                <w:szCs w:val="20"/>
                <w:lang w:eastAsia="en-US"/>
              </w:rPr>
            </w:pPr>
            <w:r w:rsidRPr="006C7BAF">
              <w:rPr>
                <w:rFonts w:ascii="Arial Narrow" w:eastAsia="Calibri" w:hAnsi="Arial Narrow"/>
                <w:b/>
                <w:sz w:val="20"/>
                <w:szCs w:val="20"/>
                <w:lang w:eastAsia="en-US"/>
              </w:rPr>
              <w:t>PBS item code</w:t>
            </w:r>
          </w:p>
        </w:tc>
        <w:tc>
          <w:tcPr>
            <w:tcW w:w="812" w:type="dxa"/>
            <w:vAlign w:val="center"/>
          </w:tcPr>
          <w:p w14:paraId="473B485E" w14:textId="77777777" w:rsidR="001D2210" w:rsidRPr="006C7BAF" w:rsidRDefault="001D2210">
            <w:pPr>
              <w:keepLines/>
              <w:jc w:val="center"/>
              <w:rPr>
                <w:rFonts w:ascii="Arial Narrow" w:eastAsia="Calibri" w:hAnsi="Arial Narrow"/>
                <w:b/>
                <w:sz w:val="20"/>
                <w:szCs w:val="20"/>
                <w:lang w:eastAsia="en-US"/>
              </w:rPr>
            </w:pPr>
            <w:r w:rsidRPr="006C7BAF">
              <w:rPr>
                <w:rFonts w:ascii="Arial Narrow" w:eastAsia="Calibri" w:hAnsi="Arial Narrow"/>
                <w:b/>
                <w:sz w:val="20"/>
                <w:szCs w:val="20"/>
                <w:lang w:eastAsia="en-US"/>
              </w:rPr>
              <w:t>Max. qty packs</w:t>
            </w:r>
          </w:p>
        </w:tc>
        <w:tc>
          <w:tcPr>
            <w:tcW w:w="811" w:type="dxa"/>
            <w:vAlign w:val="center"/>
          </w:tcPr>
          <w:p w14:paraId="485419EF" w14:textId="77777777" w:rsidR="001D2210" w:rsidRPr="006C7BAF" w:rsidRDefault="001D2210">
            <w:pPr>
              <w:keepLines/>
              <w:jc w:val="center"/>
              <w:rPr>
                <w:rFonts w:ascii="Arial Narrow" w:eastAsia="Calibri" w:hAnsi="Arial Narrow"/>
                <w:b/>
                <w:sz w:val="20"/>
                <w:szCs w:val="20"/>
                <w:lang w:eastAsia="en-US"/>
              </w:rPr>
            </w:pPr>
            <w:r w:rsidRPr="006C7BAF">
              <w:rPr>
                <w:rFonts w:ascii="Arial Narrow" w:eastAsia="Calibri" w:hAnsi="Arial Narrow"/>
                <w:b/>
                <w:sz w:val="20"/>
                <w:szCs w:val="20"/>
                <w:lang w:eastAsia="en-US"/>
              </w:rPr>
              <w:t>Max. qty units</w:t>
            </w:r>
          </w:p>
        </w:tc>
        <w:tc>
          <w:tcPr>
            <w:tcW w:w="812" w:type="dxa"/>
            <w:vAlign w:val="center"/>
          </w:tcPr>
          <w:p w14:paraId="5D73D338" w14:textId="77777777" w:rsidR="001D2210" w:rsidRPr="006C7BAF" w:rsidRDefault="001D2210">
            <w:pPr>
              <w:keepLines/>
              <w:jc w:val="center"/>
              <w:rPr>
                <w:rFonts w:ascii="Arial Narrow" w:eastAsia="Calibri" w:hAnsi="Arial Narrow"/>
                <w:b/>
                <w:sz w:val="20"/>
                <w:szCs w:val="20"/>
                <w:lang w:eastAsia="en-US"/>
              </w:rPr>
            </w:pPr>
            <w:r w:rsidRPr="006C7BAF">
              <w:rPr>
                <w:rFonts w:ascii="Arial Narrow" w:eastAsia="Calibri" w:hAnsi="Arial Narrow"/>
                <w:b/>
                <w:sz w:val="20"/>
                <w:szCs w:val="20"/>
                <w:lang w:eastAsia="en-US"/>
              </w:rPr>
              <w:t>№.of</w:t>
            </w:r>
          </w:p>
          <w:p w14:paraId="3F7AECAD" w14:textId="77777777" w:rsidR="001D2210" w:rsidRPr="006C7BAF" w:rsidRDefault="001D2210">
            <w:pPr>
              <w:keepLines/>
              <w:jc w:val="center"/>
              <w:rPr>
                <w:rFonts w:ascii="Arial Narrow" w:eastAsia="Calibri" w:hAnsi="Arial Narrow"/>
                <w:b/>
                <w:sz w:val="20"/>
                <w:szCs w:val="20"/>
                <w:lang w:eastAsia="en-US"/>
              </w:rPr>
            </w:pPr>
            <w:r w:rsidRPr="006C7BAF">
              <w:rPr>
                <w:rFonts w:ascii="Arial Narrow" w:eastAsia="Calibri" w:hAnsi="Arial Narrow"/>
                <w:b/>
                <w:sz w:val="20"/>
                <w:szCs w:val="20"/>
                <w:lang w:eastAsia="en-US"/>
              </w:rPr>
              <w:t>Rpts</w:t>
            </w:r>
          </w:p>
        </w:tc>
        <w:tc>
          <w:tcPr>
            <w:tcW w:w="1831" w:type="dxa"/>
            <w:vAlign w:val="center"/>
          </w:tcPr>
          <w:p w14:paraId="69D680D0" w14:textId="77777777" w:rsidR="001D2210" w:rsidRPr="006C7BAF" w:rsidRDefault="001D2210">
            <w:pPr>
              <w:keepLines/>
              <w:jc w:val="left"/>
              <w:rPr>
                <w:rFonts w:ascii="Arial Narrow" w:eastAsia="Calibri" w:hAnsi="Arial Narrow"/>
                <w:b/>
                <w:sz w:val="20"/>
                <w:szCs w:val="20"/>
                <w:lang w:val="fr-FR" w:eastAsia="en-US"/>
              </w:rPr>
            </w:pPr>
            <w:r w:rsidRPr="006C7BAF">
              <w:rPr>
                <w:rFonts w:ascii="Arial Narrow" w:eastAsia="Calibri" w:hAnsi="Arial Narrow"/>
                <w:b/>
                <w:sz w:val="20"/>
                <w:szCs w:val="20"/>
                <w:lang w:eastAsia="en-US"/>
              </w:rPr>
              <w:t>Available brands</w:t>
            </w:r>
          </w:p>
        </w:tc>
      </w:tr>
      <w:tr w:rsidR="001D2210" w:rsidRPr="006C7BAF" w14:paraId="221373F8" w14:textId="77777777" w:rsidTr="00626E73">
        <w:trPr>
          <w:cantSplit/>
          <w:trHeight w:val="20"/>
        </w:trPr>
        <w:tc>
          <w:tcPr>
            <w:tcW w:w="9017" w:type="dxa"/>
            <w:gridSpan w:val="8"/>
            <w:vAlign w:val="center"/>
          </w:tcPr>
          <w:p w14:paraId="7A2CC1CB" w14:textId="77777777" w:rsidR="001D2210" w:rsidRPr="006C7BAF" w:rsidRDefault="001D2210">
            <w:pPr>
              <w:keepLines/>
              <w:jc w:val="left"/>
              <w:rPr>
                <w:rFonts w:ascii="Arial Narrow" w:eastAsia="Calibri" w:hAnsi="Arial Narrow"/>
                <w:sz w:val="20"/>
                <w:szCs w:val="20"/>
                <w:lang w:eastAsia="en-US"/>
              </w:rPr>
            </w:pPr>
            <w:r w:rsidRPr="006C7BAF">
              <w:rPr>
                <w:rFonts w:ascii="Arial Narrow" w:eastAsia="Calibri" w:hAnsi="Arial Narrow"/>
                <w:sz w:val="20"/>
                <w:szCs w:val="20"/>
                <w:lang w:eastAsia="en-US"/>
              </w:rPr>
              <w:t>LAZERTINIB</w:t>
            </w:r>
          </w:p>
        </w:tc>
      </w:tr>
      <w:tr w:rsidR="001D2210" w:rsidRPr="006C7BAF" w14:paraId="733FE3E5" w14:textId="77777777" w:rsidTr="00626E73">
        <w:trPr>
          <w:cantSplit/>
          <w:trHeight w:val="20"/>
        </w:trPr>
        <w:tc>
          <w:tcPr>
            <w:tcW w:w="3940" w:type="dxa"/>
            <w:gridSpan w:val="3"/>
            <w:vAlign w:val="center"/>
          </w:tcPr>
          <w:p w14:paraId="5F54C83C" w14:textId="77777777" w:rsidR="001D2210" w:rsidRPr="006C7BAF" w:rsidRDefault="001D2210">
            <w:pPr>
              <w:keepLines/>
              <w:jc w:val="left"/>
              <w:rPr>
                <w:rFonts w:ascii="Arial Narrow" w:eastAsia="Calibri" w:hAnsi="Arial Narrow"/>
                <w:sz w:val="20"/>
                <w:szCs w:val="20"/>
                <w:lang w:eastAsia="en-US"/>
              </w:rPr>
            </w:pPr>
            <w:r w:rsidRPr="006C7BAF">
              <w:rPr>
                <w:rFonts w:ascii="Arial Narrow" w:eastAsia="Calibri" w:hAnsi="Arial Narrow"/>
                <w:sz w:val="20"/>
                <w:szCs w:val="20"/>
                <w:lang w:eastAsia="en-US"/>
              </w:rPr>
              <w:t>lazertinib 80 mg tablet, 60</w:t>
            </w:r>
          </w:p>
        </w:tc>
        <w:tc>
          <w:tcPr>
            <w:tcW w:w="811" w:type="dxa"/>
            <w:vAlign w:val="center"/>
          </w:tcPr>
          <w:p w14:paraId="52928927"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NEW</w:t>
            </w:r>
          </w:p>
        </w:tc>
        <w:tc>
          <w:tcPr>
            <w:tcW w:w="812" w:type="dxa"/>
            <w:vAlign w:val="center"/>
          </w:tcPr>
          <w:p w14:paraId="5AA47176"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1</w:t>
            </w:r>
          </w:p>
        </w:tc>
        <w:tc>
          <w:tcPr>
            <w:tcW w:w="811" w:type="dxa"/>
            <w:vAlign w:val="center"/>
          </w:tcPr>
          <w:p w14:paraId="71A1A2F7"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60</w:t>
            </w:r>
          </w:p>
        </w:tc>
        <w:tc>
          <w:tcPr>
            <w:tcW w:w="812" w:type="dxa"/>
            <w:vAlign w:val="center"/>
          </w:tcPr>
          <w:p w14:paraId="60F5DB89" w14:textId="66780CA8" w:rsidR="001D2210" w:rsidRPr="006C7BAF" w:rsidRDefault="001D2210">
            <w:pPr>
              <w:keepLines/>
              <w:jc w:val="center"/>
              <w:rPr>
                <w:rFonts w:ascii="Arial Narrow" w:eastAsia="Calibri" w:hAnsi="Arial Narrow"/>
                <w:sz w:val="20"/>
                <w:szCs w:val="20"/>
                <w:lang w:eastAsia="en-US"/>
              </w:rPr>
            </w:pPr>
            <w:r w:rsidRPr="64B0A7A3">
              <w:rPr>
                <w:rFonts w:ascii="Arial Narrow" w:eastAsia="Calibri" w:hAnsi="Arial Narrow"/>
                <w:sz w:val="20"/>
                <w:szCs w:val="20"/>
                <w:lang w:eastAsia="en-US"/>
              </w:rPr>
              <w:t>5</w:t>
            </w:r>
          </w:p>
        </w:tc>
        <w:tc>
          <w:tcPr>
            <w:tcW w:w="1831" w:type="dxa"/>
            <w:vAlign w:val="center"/>
          </w:tcPr>
          <w:p w14:paraId="52F3EFB5" w14:textId="77777777" w:rsidR="001D2210" w:rsidRPr="006C7BAF" w:rsidRDefault="001D2210">
            <w:pPr>
              <w:keepLines/>
              <w:jc w:val="left"/>
              <w:rPr>
                <w:rFonts w:ascii="Arial Narrow" w:eastAsia="Calibri" w:hAnsi="Arial Narrow"/>
                <w:sz w:val="20"/>
                <w:szCs w:val="20"/>
                <w:lang w:eastAsia="en-US"/>
              </w:rPr>
            </w:pPr>
            <w:r w:rsidRPr="006C7BAF">
              <w:rPr>
                <w:rFonts w:ascii="Arial Narrow" w:eastAsia="Calibri" w:hAnsi="Arial Narrow"/>
                <w:sz w:val="20"/>
                <w:szCs w:val="20"/>
                <w:lang w:eastAsia="en-US"/>
              </w:rPr>
              <w:t>Lacluze</w:t>
            </w:r>
          </w:p>
        </w:tc>
      </w:tr>
      <w:tr w:rsidR="001D2210" w:rsidRPr="006C7BAF" w14:paraId="5FD7C77C" w14:textId="77777777" w:rsidTr="00626E73">
        <w:trPr>
          <w:cantSplit/>
          <w:trHeight w:val="20"/>
        </w:trPr>
        <w:tc>
          <w:tcPr>
            <w:tcW w:w="3940" w:type="dxa"/>
            <w:gridSpan w:val="3"/>
            <w:vAlign w:val="center"/>
          </w:tcPr>
          <w:p w14:paraId="7516ACAB" w14:textId="77777777" w:rsidR="001D2210" w:rsidRPr="006C7BAF" w:rsidRDefault="001D2210">
            <w:pPr>
              <w:keepLines/>
              <w:jc w:val="left"/>
              <w:rPr>
                <w:rFonts w:ascii="Arial Narrow" w:eastAsia="Calibri" w:hAnsi="Arial Narrow"/>
                <w:sz w:val="20"/>
                <w:szCs w:val="20"/>
                <w:lang w:eastAsia="en-US"/>
              </w:rPr>
            </w:pPr>
            <w:r w:rsidRPr="006C7BAF">
              <w:rPr>
                <w:rFonts w:ascii="Arial Narrow" w:eastAsia="Calibri" w:hAnsi="Arial Narrow"/>
                <w:sz w:val="20"/>
                <w:szCs w:val="20"/>
                <w:lang w:eastAsia="en-US"/>
              </w:rPr>
              <w:t>lazertinib 240 mg tablet, 30</w:t>
            </w:r>
          </w:p>
        </w:tc>
        <w:tc>
          <w:tcPr>
            <w:tcW w:w="811" w:type="dxa"/>
            <w:vAlign w:val="center"/>
          </w:tcPr>
          <w:p w14:paraId="01EB0C4B"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NEW</w:t>
            </w:r>
          </w:p>
        </w:tc>
        <w:tc>
          <w:tcPr>
            <w:tcW w:w="812" w:type="dxa"/>
            <w:vAlign w:val="center"/>
          </w:tcPr>
          <w:p w14:paraId="31434993"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1</w:t>
            </w:r>
          </w:p>
        </w:tc>
        <w:tc>
          <w:tcPr>
            <w:tcW w:w="811" w:type="dxa"/>
            <w:vAlign w:val="center"/>
          </w:tcPr>
          <w:p w14:paraId="7D6A6C4F"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30</w:t>
            </w:r>
          </w:p>
        </w:tc>
        <w:tc>
          <w:tcPr>
            <w:tcW w:w="812" w:type="dxa"/>
            <w:vAlign w:val="center"/>
          </w:tcPr>
          <w:p w14:paraId="76CA16B8" w14:textId="77777777" w:rsidR="001D2210" w:rsidRPr="006C7BAF" w:rsidRDefault="001D2210">
            <w:pPr>
              <w:keepLines/>
              <w:jc w:val="center"/>
              <w:rPr>
                <w:rFonts w:ascii="Arial Narrow" w:eastAsia="Calibri" w:hAnsi="Arial Narrow"/>
                <w:sz w:val="20"/>
                <w:szCs w:val="20"/>
                <w:lang w:eastAsia="en-US"/>
              </w:rPr>
            </w:pPr>
            <w:r w:rsidRPr="006C7BAF">
              <w:rPr>
                <w:rFonts w:ascii="Arial Narrow" w:eastAsia="Calibri" w:hAnsi="Arial Narrow"/>
                <w:sz w:val="20"/>
                <w:szCs w:val="20"/>
                <w:lang w:eastAsia="en-US"/>
              </w:rPr>
              <w:t>5</w:t>
            </w:r>
          </w:p>
        </w:tc>
        <w:tc>
          <w:tcPr>
            <w:tcW w:w="1831" w:type="dxa"/>
            <w:vAlign w:val="center"/>
          </w:tcPr>
          <w:p w14:paraId="41D69325" w14:textId="77777777" w:rsidR="001D2210" w:rsidRPr="006C7BAF" w:rsidRDefault="001D2210">
            <w:pPr>
              <w:keepLines/>
              <w:jc w:val="left"/>
              <w:rPr>
                <w:rFonts w:ascii="Arial Narrow" w:eastAsia="Calibri" w:hAnsi="Arial Narrow"/>
                <w:sz w:val="20"/>
                <w:szCs w:val="20"/>
                <w:lang w:eastAsia="en-US"/>
              </w:rPr>
            </w:pPr>
            <w:r w:rsidRPr="006C7BAF">
              <w:rPr>
                <w:rFonts w:ascii="Arial Narrow" w:eastAsia="Calibri" w:hAnsi="Arial Narrow"/>
                <w:sz w:val="20"/>
                <w:szCs w:val="20"/>
                <w:lang w:eastAsia="en-US"/>
              </w:rPr>
              <w:t>Lacluze</w:t>
            </w:r>
          </w:p>
        </w:tc>
      </w:tr>
      <w:tr w:rsidR="001D2210" w:rsidRPr="006C7BAF" w14:paraId="2832A068" w14:textId="77777777" w:rsidTr="00626E73">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40CC01A" w14:textId="77777777" w:rsidR="001D2210" w:rsidRPr="006C7BAF" w:rsidRDefault="001D2210">
            <w:pPr>
              <w:jc w:val="left"/>
              <w:rPr>
                <w:rFonts w:ascii="Arial Narrow" w:eastAsia="Calibri" w:hAnsi="Arial Narrow"/>
                <w:sz w:val="20"/>
                <w:szCs w:val="20"/>
                <w:lang w:eastAsia="en-US"/>
              </w:rPr>
            </w:pPr>
          </w:p>
        </w:tc>
      </w:tr>
      <w:tr w:rsidR="001D2210" w:rsidRPr="006C7BAF" w14:paraId="778015BB" w14:textId="77777777" w:rsidTr="00626E73">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9406C1B" w14:textId="77777777" w:rsidR="001D2210" w:rsidRPr="006C7BAF" w:rsidRDefault="001D2210">
            <w:pPr>
              <w:keepLines/>
              <w:jc w:val="left"/>
              <w:rPr>
                <w:rFonts w:ascii="Arial Narrow" w:eastAsia="Calibri" w:hAnsi="Arial Narrow"/>
                <w:b/>
                <w:sz w:val="20"/>
                <w:szCs w:val="20"/>
                <w:lang w:eastAsia="en-US"/>
              </w:rPr>
            </w:pPr>
            <w:r w:rsidRPr="006C7BAF">
              <w:rPr>
                <w:rFonts w:ascii="Arial Narrow" w:eastAsia="Calibri" w:hAnsi="Arial Narrow" w:cs="Times New Roman"/>
                <w:b/>
                <w:sz w:val="20"/>
                <w:szCs w:val="20"/>
                <w:lang w:eastAsia="en-US"/>
              </w:rPr>
              <w:t>Restriction Summary [new3]</w:t>
            </w:r>
            <w:r w:rsidRPr="006C7BAF">
              <w:rPr>
                <w:rFonts w:ascii="Arial Narrow" w:eastAsia="Calibri" w:hAnsi="Arial Narrow" w:cs="Times New Roman"/>
                <w:b/>
                <w:color w:val="FF0000"/>
                <w:sz w:val="20"/>
                <w:szCs w:val="20"/>
                <w:lang w:eastAsia="en-US"/>
              </w:rPr>
              <w:t xml:space="preserve"> </w:t>
            </w:r>
            <w:r w:rsidRPr="006C7BAF">
              <w:rPr>
                <w:rFonts w:ascii="Arial Narrow" w:eastAsia="Calibri" w:hAnsi="Arial Narrow" w:cs="Times New Roman"/>
                <w:b/>
                <w:sz w:val="20"/>
                <w:szCs w:val="20"/>
                <w:lang w:eastAsia="en-US"/>
              </w:rPr>
              <w:t>/ Treatment of Concept: [new3A]</w:t>
            </w:r>
          </w:p>
        </w:tc>
      </w:tr>
      <w:tr w:rsidR="001D2210" w:rsidRPr="006C7BAF" w14:paraId="3D66A379" w14:textId="77777777" w:rsidTr="00626E73">
        <w:tblPrEx>
          <w:tblCellMar>
            <w:top w:w="15" w:type="dxa"/>
            <w:bottom w:w="15" w:type="dxa"/>
          </w:tblCellMar>
          <w:tblLook w:val="04A0" w:firstRow="1" w:lastRow="0" w:firstColumn="1" w:lastColumn="0" w:noHBand="0" w:noVBand="1"/>
        </w:tblPrEx>
        <w:trPr>
          <w:trHeight w:val="20"/>
        </w:trPr>
        <w:tc>
          <w:tcPr>
            <w:tcW w:w="1414" w:type="dxa"/>
            <w:gridSpan w:val="2"/>
            <w:vMerge w:val="restart"/>
            <w:tcBorders>
              <w:top w:val="single" w:sz="4" w:space="0" w:color="auto"/>
              <w:left w:val="single" w:sz="4" w:space="0" w:color="auto"/>
              <w:right w:val="single" w:sz="4" w:space="0" w:color="auto"/>
            </w:tcBorders>
          </w:tcPr>
          <w:p w14:paraId="07CEA38B" w14:textId="2C5CBF49" w:rsidR="001D2210" w:rsidRPr="006C7BAF" w:rsidRDefault="001D2210">
            <w:pPr>
              <w:jc w:val="center"/>
              <w:rPr>
                <w:rFonts w:ascii="Arial Narrow" w:eastAsia="Calibri" w:hAnsi="Arial Narrow"/>
                <w:b/>
                <w:sz w:val="20"/>
                <w:szCs w:val="20"/>
                <w:lang w:eastAsia="en-US"/>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D64C1AC" w14:textId="77777777" w:rsidR="001D2210" w:rsidRPr="006C7BAF" w:rsidRDefault="001D2210">
            <w:pPr>
              <w:keepLines/>
              <w:jc w:val="left"/>
              <w:rPr>
                <w:rFonts w:ascii="Arial Narrow" w:eastAsia="Calibri" w:hAnsi="Arial Narrow"/>
                <w:sz w:val="20"/>
                <w:szCs w:val="20"/>
                <w:lang w:eastAsia="en-US"/>
              </w:rPr>
            </w:pPr>
            <w:r w:rsidRPr="006C7BAF">
              <w:rPr>
                <w:rFonts w:ascii="Arial Narrow" w:eastAsia="Calibri" w:hAnsi="Arial Narrow"/>
                <w:b/>
                <w:sz w:val="20"/>
                <w:szCs w:val="20"/>
                <w:lang w:eastAsia="en-US"/>
              </w:rPr>
              <w:t>Category / Program:</w:t>
            </w:r>
            <w:r w:rsidRPr="006C7BAF">
              <w:rPr>
                <w:rFonts w:ascii="Arial Narrow" w:eastAsia="Calibri" w:hAnsi="Arial Narrow"/>
                <w:color w:val="FF0000"/>
                <w:sz w:val="20"/>
                <w:szCs w:val="20"/>
                <w:lang w:eastAsia="en-US"/>
              </w:rPr>
              <w:t xml:space="preserv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eastAsia="Calibri" w:hAnsi="Arial Narrow"/>
                <w:sz w:val="20"/>
                <w:szCs w:val="20"/>
                <w:lang w:eastAsia="en-US"/>
              </w:rPr>
              <w:t xml:space="preserve">GENERAL - General Schedule (Code GE) </w:t>
            </w:r>
          </w:p>
        </w:tc>
      </w:tr>
      <w:tr w:rsidR="001D2210" w:rsidRPr="006C7BAF" w14:paraId="4AA8B044" w14:textId="77777777" w:rsidTr="00626E73">
        <w:tblPrEx>
          <w:tblCellMar>
            <w:top w:w="15" w:type="dxa"/>
            <w:bottom w:w="15" w:type="dxa"/>
          </w:tblCellMar>
          <w:tblLook w:val="04A0" w:firstRow="1" w:lastRow="0" w:firstColumn="1" w:lastColumn="0" w:noHBand="0" w:noVBand="1"/>
        </w:tblPrEx>
        <w:trPr>
          <w:trHeight w:val="20"/>
        </w:trPr>
        <w:tc>
          <w:tcPr>
            <w:tcW w:w="1414" w:type="dxa"/>
            <w:gridSpan w:val="2"/>
            <w:vMerge/>
          </w:tcPr>
          <w:p w14:paraId="259A3772" w14:textId="77777777" w:rsidR="001D2210" w:rsidRPr="006C7BAF" w:rsidRDefault="001D2210">
            <w:pPr>
              <w:rPr>
                <w:rFonts w:ascii="Arial Narrow" w:eastAsia="Calibri" w:hAnsi="Arial Narrow"/>
                <w:sz w:val="20"/>
                <w:szCs w:val="20"/>
                <w:lang w:eastAsia="en-US"/>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84DC5C4" w14:textId="77777777" w:rsidR="001D2210" w:rsidRPr="006C7BAF" w:rsidRDefault="001D2210">
            <w:pPr>
              <w:keepLines/>
              <w:rPr>
                <w:rFonts w:ascii="Arial Narrow" w:eastAsia="Calibri" w:hAnsi="Arial Narrow"/>
                <w:b/>
                <w:sz w:val="20"/>
                <w:szCs w:val="20"/>
                <w:lang w:eastAsia="en-US"/>
              </w:rPr>
            </w:pPr>
            <w:r w:rsidRPr="006C7BAF">
              <w:rPr>
                <w:rFonts w:ascii="Arial Narrow" w:eastAsia="Calibri" w:hAnsi="Arial Narrow"/>
                <w:b/>
                <w:sz w:val="20"/>
                <w:szCs w:val="20"/>
                <w:lang w:eastAsia="en-US"/>
              </w:rPr>
              <w:t xml:space="preserve">Prescriber type: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eastAsia="Calibri" w:hAnsi="Arial Narrow"/>
                <w:sz w:val="20"/>
                <w:szCs w:val="20"/>
                <w:lang w:eastAsia="en-US"/>
              </w:rPr>
              <w:t xml:space="preserve">Medical Practitioners </w:t>
            </w:r>
          </w:p>
        </w:tc>
      </w:tr>
      <w:tr w:rsidR="001D2210" w:rsidRPr="006C7BAF" w14:paraId="45D70010" w14:textId="77777777" w:rsidTr="00626E73">
        <w:tblPrEx>
          <w:tblCellMar>
            <w:top w:w="15" w:type="dxa"/>
            <w:bottom w:w="15" w:type="dxa"/>
          </w:tblCellMar>
          <w:tblLook w:val="04A0" w:firstRow="1" w:lastRow="0" w:firstColumn="1" w:lastColumn="0" w:noHBand="0" w:noVBand="1"/>
        </w:tblPrEx>
        <w:trPr>
          <w:trHeight w:val="20"/>
        </w:trPr>
        <w:tc>
          <w:tcPr>
            <w:tcW w:w="1414" w:type="dxa"/>
            <w:gridSpan w:val="2"/>
            <w:vMerge/>
          </w:tcPr>
          <w:p w14:paraId="447F0628" w14:textId="77777777" w:rsidR="001D2210" w:rsidRPr="006C7BAF" w:rsidRDefault="001D2210">
            <w:pPr>
              <w:rPr>
                <w:rFonts w:ascii="Arial Narrow" w:eastAsia="Calibri" w:hAnsi="Arial Narrow"/>
                <w:sz w:val="20"/>
                <w:szCs w:val="20"/>
                <w:lang w:eastAsia="en-US"/>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81C041F" w14:textId="6CB61A6E" w:rsidR="001D2210" w:rsidRPr="006C7BAF" w:rsidRDefault="001D2210">
            <w:pPr>
              <w:keepLines/>
              <w:jc w:val="left"/>
              <w:rPr>
                <w:rFonts w:ascii="Arial Narrow" w:eastAsia="Calibri" w:hAnsi="Arial Narrow"/>
                <w:b/>
                <w:sz w:val="20"/>
                <w:szCs w:val="20"/>
                <w:lang w:eastAsia="en-US"/>
              </w:rPr>
            </w:pPr>
            <w:r w:rsidRPr="006C7BAF">
              <w:rPr>
                <w:rFonts w:ascii="Arial Narrow" w:eastAsia="Calibri" w:hAnsi="Arial Narrow"/>
                <w:b/>
                <w:sz w:val="20"/>
                <w:szCs w:val="20"/>
                <w:lang w:eastAsia="en-US"/>
              </w:rPr>
              <w:t xml:space="preserve">Restriction type: </w:t>
            </w:r>
            <w:r w:rsidRPr="006C7BAF">
              <w:rPr>
                <w:rFonts w:ascii="Arial Narrow" w:hAnsi="Arial Narrow"/>
                <w:sz w:val="20"/>
                <w:szCs w:val="20"/>
                <w14:ligatures w14:val="standardContextual"/>
              </w:rPr>
              <w:fldChar w:fldCharType="begin">
                <w:ffData>
                  <w:name w:val=""/>
                  <w:enabled/>
                  <w:calcOnExit w:val="0"/>
                  <w:checkBox>
                    <w:sizeAuto/>
                    <w:default w:val="1"/>
                  </w:checkBox>
                </w:ffData>
              </w:fldChar>
            </w:r>
            <w:r w:rsidRPr="006C7BAF">
              <w:rPr>
                <w:rFonts w:ascii="Arial Narrow" w:hAnsi="Arial Narrow"/>
                <w:sz w:val="20"/>
                <w:szCs w:val="20"/>
                <w14:ligatures w14:val="standardContextual"/>
              </w:rPr>
              <w:instrText xml:space="preserve"> FORMCHECKBOX </w:instrText>
            </w:r>
            <w:r w:rsidRPr="006C7BAF">
              <w:rPr>
                <w:rFonts w:ascii="Arial Narrow" w:hAnsi="Arial Narrow"/>
                <w:sz w:val="20"/>
                <w:szCs w:val="20"/>
                <w14:ligatures w14:val="standardContextual"/>
              </w:rPr>
            </w:r>
            <w:r w:rsidRPr="006C7BAF">
              <w:rPr>
                <w:rFonts w:ascii="Arial Narrow" w:hAnsi="Arial Narrow"/>
                <w:sz w:val="20"/>
                <w:szCs w:val="20"/>
                <w14:ligatures w14:val="standardContextual"/>
              </w:rPr>
              <w:fldChar w:fldCharType="separate"/>
            </w:r>
            <w:r w:rsidRPr="006C7BAF">
              <w:rPr>
                <w:rFonts w:ascii="Arial Narrow" w:hAnsi="Arial Narrow"/>
                <w:sz w:val="20"/>
                <w:szCs w:val="20"/>
                <w14:ligatures w14:val="standardContextual"/>
              </w:rPr>
              <w:fldChar w:fldCharType="end"/>
            </w:r>
            <w:r w:rsidRPr="006C7BAF">
              <w:rPr>
                <w:rFonts w:ascii="Arial Narrow" w:eastAsia="Calibri" w:hAnsi="Arial Narrow"/>
                <w:sz w:val="20"/>
                <w:szCs w:val="20"/>
                <w:lang w:eastAsia="en-US"/>
              </w:rPr>
              <w:t>Authority Required (immediate assessment</w:t>
            </w:r>
            <w:r w:rsidR="07F1C217" w:rsidRPr="006C7BAF">
              <w:rPr>
                <w:rFonts w:ascii="Arial Narrow" w:eastAsia="Calibri" w:hAnsi="Arial Narrow"/>
                <w:sz w:val="20"/>
                <w:szCs w:val="20"/>
                <w:lang w:eastAsia="en-US"/>
              </w:rPr>
              <w:t>- telephone/online PBS authorities</w:t>
            </w:r>
            <w:r w:rsidRPr="006C7BAF">
              <w:rPr>
                <w:rFonts w:ascii="Arial Narrow" w:eastAsia="Calibri" w:hAnsi="Arial Narrow"/>
                <w:sz w:val="20"/>
                <w:szCs w:val="20"/>
                <w:lang w:eastAsia="en-US"/>
              </w:rPr>
              <w:t xml:space="preserve">) </w:t>
            </w:r>
          </w:p>
        </w:tc>
      </w:tr>
      <w:tr w:rsidR="001D2210" w:rsidRPr="006C7BAF" w14:paraId="22A952E4" w14:textId="77777777" w:rsidTr="00626E73">
        <w:tblPrEx>
          <w:tblCellMar>
            <w:top w:w="15" w:type="dxa"/>
            <w:bottom w:w="15" w:type="dxa"/>
          </w:tblCellMar>
          <w:tblLook w:val="04A0" w:firstRow="1" w:lastRow="0" w:firstColumn="1" w:lastColumn="0" w:noHBand="0" w:noVBand="1"/>
        </w:tblPrEx>
        <w:trPr>
          <w:trHeight w:val="20"/>
        </w:trPr>
        <w:tc>
          <w:tcPr>
            <w:tcW w:w="562" w:type="dxa"/>
            <w:vMerge w:val="restart"/>
            <w:tcBorders>
              <w:left w:val="single" w:sz="4" w:space="0" w:color="auto"/>
              <w:right w:val="single" w:sz="4" w:space="0" w:color="auto"/>
            </w:tcBorders>
            <w:textDirection w:val="btLr"/>
            <w:vAlign w:val="center"/>
          </w:tcPr>
          <w:p w14:paraId="642A47BE" w14:textId="7D230E56" w:rsidR="001D2210" w:rsidRPr="006C7BAF" w:rsidRDefault="001D2210">
            <w:pPr>
              <w:jc w:val="center"/>
              <w:rPr>
                <w:rFonts w:ascii="Arial Narrow" w:eastAsia="Calibri" w:hAnsi="Arial Narrow"/>
                <w:sz w:val="20"/>
                <w:szCs w:val="20"/>
                <w:lang w:eastAsia="en-US"/>
              </w:rPr>
            </w:pPr>
          </w:p>
        </w:tc>
        <w:tc>
          <w:tcPr>
            <w:tcW w:w="852" w:type="dxa"/>
            <w:vAlign w:val="center"/>
          </w:tcPr>
          <w:p w14:paraId="450F2D5F" w14:textId="44E9E9A2" w:rsidR="001D2210" w:rsidRPr="006C7BAF" w:rsidRDefault="001D2210">
            <w:pPr>
              <w:jc w:val="center"/>
              <w:rPr>
                <w:rFonts w:ascii="Arial Narrow" w:hAnsi="Arial Narrow" w:cs="Times New Roman"/>
                <w:color w:val="333333"/>
                <w:sz w:val="20"/>
                <w:szCs w:val="20"/>
              </w:rPr>
            </w:pPr>
          </w:p>
        </w:tc>
        <w:tc>
          <w:tcPr>
            <w:tcW w:w="7603" w:type="dxa"/>
            <w:gridSpan w:val="6"/>
            <w:vAlign w:val="center"/>
          </w:tcPr>
          <w:p w14:paraId="724C7E2F"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Segoe UI"/>
                <w:b/>
                <w:bCs/>
                <w:color w:val="333333"/>
                <w:sz w:val="20"/>
                <w:szCs w:val="20"/>
              </w:rPr>
              <w:t>Administrative Advice: </w:t>
            </w:r>
          </w:p>
          <w:p w14:paraId="7B91C7C2" w14:textId="77777777" w:rsidR="001D2210" w:rsidRPr="006C7BAF" w:rsidRDefault="001D2210">
            <w:pPr>
              <w:jc w:val="left"/>
              <w:textAlignment w:val="baseline"/>
              <w:rPr>
                <w:rFonts w:ascii="Arial Narrow" w:hAnsi="Arial Narrow" w:cs="Segoe UI"/>
                <w:i/>
                <w:iCs/>
                <w:color w:val="333333"/>
                <w:sz w:val="20"/>
                <w:szCs w:val="20"/>
              </w:rPr>
            </w:pPr>
            <w:r w:rsidRPr="006C7BAF">
              <w:rPr>
                <w:rFonts w:ascii="Arial Narrow" w:hAnsi="Arial Narrow" w:cs="Segoe UI"/>
                <w:color w:val="333333"/>
                <w:sz w:val="20"/>
                <w:szCs w:val="20"/>
              </w:rPr>
              <w:t xml:space="preserve">No increase in the maximum quantity </w:t>
            </w:r>
            <w:r w:rsidRPr="006C7BAF">
              <w:rPr>
                <w:rFonts w:ascii="Arial Narrow" w:hAnsi="Arial Narrow" w:cs="Segoe UI"/>
                <w:i/>
                <w:iCs/>
                <w:color w:val="333333"/>
                <w:sz w:val="20"/>
                <w:szCs w:val="20"/>
              </w:rPr>
              <w:t>or number of units</w:t>
            </w:r>
            <w:r w:rsidRPr="006C7BAF">
              <w:rPr>
                <w:rFonts w:ascii="Arial Narrow" w:hAnsi="Arial Narrow" w:cs="Segoe UI"/>
                <w:color w:val="333333"/>
                <w:sz w:val="20"/>
                <w:szCs w:val="20"/>
              </w:rPr>
              <w:t xml:space="preserve"> may be authorised</w:t>
            </w:r>
            <w:r w:rsidRPr="006C7BAF">
              <w:rPr>
                <w:rFonts w:ascii="Arial Narrow" w:hAnsi="Arial Narrow" w:cs="Segoe UI"/>
                <w:i/>
                <w:iCs/>
                <w:color w:val="333333"/>
                <w:sz w:val="20"/>
                <w:szCs w:val="20"/>
              </w:rPr>
              <w:t xml:space="preserve">. </w:t>
            </w:r>
          </w:p>
        </w:tc>
      </w:tr>
      <w:tr w:rsidR="001D2210" w:rsidRPr="006C7BAF" w14:paraId="7C52ABEE" w14:textId="77777777" w:rsidTr="00626E73">
        <w:tblPrEx>
          <w:tblCellMar>
            <w:top w:w="15" w:type="dxa"/>
            <w:bottom w:w="15" w:type="dxa"/>
          </w:tblCellMar>
          <w:tblLook w:val="04A0" w:firstRow="1" w:lastRow="0" w:firstColumn="1" w:lastColumn="0" w:noHBand="0" w:noVBand="1"/>
        </w:tblPrEx>
        <w:trPr>
          <w:trHeight w:val="20"/>
        </w:trPr>
        <w:tc>
          <w:tcPr>
            <w:tcW w:w="562" w:type="dxa"/>
            <w:vMerge/>
          </w:tcPr>
          <w:p w14:paraId="54DDC094" w14:textId="77777777" w:rsidR="001D2210" w:rsidRPr="006C7BAF" w:rsidRDefault="001D2210">
            <w:pPr>
              <w:rPr>
                <w:rFonts w:ascii="Arial Narrow" w:eastAsia="Calibri" w:hAnsi="Arial Narrow"/>
                <w:sz w:val="20"/>
                <w:szCs w:val="20"/>
                <w:lang w:eastAsia="en-US"/>
              </w:rPr>
            </w:pPr>
          </w:p>
        </w:tc>
        <w:tc>
          <w:tcPr>
            <w:tcW w:w="852" w:type="dxa"/>
            <w:vAlign w:val="center"/>
          </w:tcPr>
          <w:p w14:paraId="5A31E01B" w14:textId="5CB4D75F" w:rsidR="001D2210" w:rsidRPr="006C7BAF" w:rsidRDefault="001D2210">
            <w:pPr>
              <w:jc w:val="center"/>
              <w:rPr>
                <w:rFonts w:ascii="Arial Narrow" w:hAnsi="Arial Narrow" w:cs="Times New Roman"/>
                <w:color w:val="333333"/>
                <w:sz w:val="20"/>
                <w:szCs w:val="20"/>
              </w:rPr>
            </w:pPr>
          </w:p>
        </w:tc>
        <w:tc>
          <w:tcPr>
            <w:tcW w:w="7603" w:type="dxa"/>
            <w:gridSpan w:val="6"/>
            <w:vAlign w:val="center"/>
          </w:tcPr>
          <w:p w14:paraId="466F4CB1"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Administrative Advice:</w:t>
            </w:r>
            <w:r w:rsidRPr="006C7BAF">
              <w:rPr>
                <w:rFonts w:ascii="Arial Narrow" w:hAnsi="Arial Narrow" w:cs="Segoe UI"/>
                <w:color w:val="333333"/>
                <w:sz w:val="20"/>
                <w:szCs w:val="20"/>
              </w:rPr>
              <w:t> </w:t>
            </w:r>
          </w:p>
          <w:p w14:paraId="36DDF6D2" w14:textId="77777777" w:rsidR="001D2210" w:rsidRPr="006C7BAF" w:rsidRDefault="001D2210">
            <w:pPr>
              <w:jc w:val="left"/>
              <w:rPr>
                <w:rFonts w:ascii="Arial Narrow" w:hAnsi="Arial Narrow" w:cs="Times New Roman"/>
                <w:b/>
                <w:bCs/>
                <w:i/>
                <w:iCs/>
                <w:color w:val="333333"/>
                <w:sz w:val="20"/>
                <w:szCs w:val="20"/>
              </w:rPr>
            </w:pPr>
            <w:r w:rsidRPr="006C7BAF">
              <w:rPr>
                <w:rFonts w:ascii="Arial Narrow" w:hAnsi="Arial Narrow" w:cs="Segoe UI"/>
                <w:color w:val="333333"/>
                <w:sz w:val="20"/>
                <w:szCs w:val="20"/>
              </w:rPr>
              <w:t>No increase in the maximum number of repeats may be authorised</w:t>
            </w:r>
            <w:r w:rsidRPr="006C7BAF">
              <w:rPr>
                <w:rFonts w:ascii="Arial Narrow" w:hAnsi="Arial Narrow" w:cs="Segoe UI"/>
                <w:i/>
                <w:iCs/>
                <w:color w:val="333333"/>
                <w:sz w:val="20"/>
                <w:szCs w:val="20"/>
              </w:rPr>
              <w:t>.</w:t>
            </w:r>
          </w:p>
        </w:tc>
      </w:tr>
      <w:tr w:rsidR="001D2210" w:rsidRPr="006C7BAF" w14:paraId="76EEFCF0" w14:textId="77777777" w:rsidTr="00626E73">
        <w:tblPrEx>
          <w:tblCellMar>
            <w:top w:w="15" w:type="dxa"/>
            <w:bottom w:w="15" w:type="dxa"/>
          </w:tblCellMar>
          <w:tblLook w:val="04A0" w:firstRow="1" w:lastRow="0" w:firstColumn="1" w:lastColumn="0" w:noHBand="0" w:noVBand="1"/>
        </w:tblPrEx>
        <w:trPr>
          <w:trHeight w:val="20"/>
        </w:trPr>
        <w:tc>
          <w:tcPr>
            <w:tcW w:w="562" w:type="dxa"/>
            <w:vMerge/>
          </w:tcPr>
          <w:p w14:paraId="0A9ABAE8" w14:textId="77777777" w:rsidR="001D2210" w:rsidRPr="006C7BAF" w:rsidRDefault="001D2210">
            <w:pPr>
              <w:rPr>
                <w:rFonts w:ascii="Arial Narrow" w:eastAsia="Calibri" w:hAnsi="Arial Narrow"/>
                <w:sz w:val="20"/>
                <w:szCs w:val="20"/>
                <w:lang w:eastAsia="en-US"/>
              </w:rPr>
            </w:pPr>
          </w:p>
        </w:tc>
        <w:tc>
          <w:tcPr>
            <w:tcW w:w="852" w:type="dxa"/>
            <w:vAlign w:val="center"/>
          </w:tcPr>
          <w:p w14:paraId="6D010A0E" w14:textId="20B74A74" w:rsidR="001D2210" w:rsidRPr="006C7BAF" w:rsidRDefault="001D2210">
            <w:pPr>
              <w:jc w:val="center"/>
              <w:rPr>
                <w:rFonts w:ascii="Arial Narrow" w:hAnsi="Arial Narrow" w:cs="Times New Roman"/>
                <w:color w:val="333333"/>
                <w:sz w:val="20"/>
                <w:szCs w:val="20"/>
              </w:rPr>
            </w:pPr>
          </w:p>
        </w:tc>
        <w:tc>
          <w:tcPr>
            <w:tcW w:w="7603" w:type="dxa"/>
            <w:gridSpan w:val="6"/>
            <w:vAlign w:val="center"/>
          </w:tcPr>
          <w:p w14:paraId="5BEBA8A1"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Administrative Advice:</w:t>
            </w:r>
            <w:r w:rsidRPr="006C7BAF">
              <w:rPr>
                <w:rFonts w:ascii="Arial Narrow" w:hAnsi="Arial Narrow" w:cs="Segoe UI"/>
                <w:color w:val="333333"/>
                <w:sz w:val="20"/>
                <w:szCs w:val="20"/>
              </w:rPr>
              <w:t> </w:t>
            </w:r>
          </w:p>
          <w:p w14:paraId="7AB117E7" w14:textId="77777777" w:rsidR="001D2210" w:rsidRPr="006C7BAF" w:rsidRDefault="001D2210">
            <w:pPr>
              <w:jc w:val="left"/>
              <w:rPr>
                <w:rFonts w:ascii="Arial Narrow" w:hAnsi="Arial Narrow" w:cs="Times New Roman"/>
                <w:b/>
                <w:bCs/>
                <w:i/>
                <w:iCs/>
                <w:color w:val="333333"/>
                <w:sz w:val="20"/>
                <w:szCs w:val="20"/>
              </w:rPr>
            </w:pPr>
            <w:r w:rsidRPr="006C7BAF">
              <w:rPr>
                <w:rFonts w:ascii="Arial Narrow" w:hAnsi="Arial Narrow" w:cs="Segoe UI"/>
                <w:color w:val="333333"/>
                <w:sz w:val="20"/>
                <w:szCs w:val="20"/>
              </w:rPr>
              <w:t>Special pricing arrangements apply</w:t>
            </w:r>
            <w:r w:rsidRPr="006C7BAF">
              <w:rPr>
                <w:rFonts w:ascii="Arial Narrow" w:hAnsi="Arial Narrow" w:cs="Segoe UI"/>
                <w:i/>
                <w:iCs/>
                <w:color w:val="333333"/>
                <w:sz w:val="20"/>
                <w:szCs w:val="20"/>
              </w:rPr>
              <w:t>.</w:t>
            </w:r>
          </w:p>
        </w:tc>
      </w:tr>
      <w:tr w:rsidR="001D2210" w:rsidRPr="006C7BAF" w14:paraId="268AADE0" w14:textId="77777777" w:rsidTr="00626E73">
        <w:tblPrEx>
          <w:tblCellMar>
            <w:top w:w="15" w:type="dxa"/>
            <w:bottom w:w="15" w:type="dxa"/>
          </w:tblCellMar>
          <w:tblLook w:val="04A0" w:firstRow="1" w:lastRow="0" w:firstColumn="1" w:lastColumn="0" w:noHBand="0" w:noVBand="1"/>
        </w:tblPrEx>
        <w:trPr>
          <w:trHeight w:val="20"/>
        </w:trPr>
        <w:tc>
          <w:tcPr>
            <w:tcW w:w="562" w:type="dxa"/>
            <w:vMerge/>
          </w:tcPr>
          <w:p w14:paraId="496A857D" w14:textId="77777777" w:rsidR="001D2210" w:rsidRPr="006C7BAF" w:rsidRDefault="001D2210">
            <w:pPr>
              <w:rPr>
                <w:rFonts w:ascii="Arial Narrow" w:eastAsia="Calibri" w:hAnsi="Arial Narrow"/>
                <w:sz w:val="20"/>
                <w:szCs w:val="20"/>
                <w:lang w:eastAsia="en-US"/>
              </w:rPr>
            </w:pPr>
          </w:p>
        </w:tc>
        <w:tc>
          <w:tcPr>
            <w:tcW w:w="852" w:type="dxa"/>
            <w:vAlign w:val="center"/>
          </w:tcPr>
          <w:p w14:paraId="168FE175" w14:textId="32B0100B" w:rsidR="001D2210" w:rsidRPr="006C7BAF" w:rsidRDefault="001D2210">
            <w:pPr>
              <w:jc w:val="center"/>
              <w:rPr>
                <w:rFonts w:ascii="Arial Narrow" w:hAnsi="Arial Narrow" w:cs="Times New Roman"/>
                <w:color w:val="333333"/>
                <w:sz w:val="20"/>
                <w:szCs w:val="20"/>
              </w:rPr>
            </w:pPr>
          </w:p>
        </w:tc>
        <w:tc>
          <w:tcPr>
            <w:tcW w:w="7603" w:type="dxa"/>
            <w:gridSpan w:val="6"/>
            <w:vAlign w:val="center"/>
          </w:tcPr>
          <w:p w14:paraId="28C8FF33" w14:textId="77777777" w:rsidR="001D2210" w:rsidRPr="006C7BAF" w:rsidRDefault="001D2210">
            <w:pPr>
              <w:jc w:val="left"/>
              <w:rPr>
                <w:rFonts w:ascii="Arial Narrow" w:hAnsi="Arial Narrow" w:cs="Times New Roman"/>
                <w:b/>
                <w:bCs/>
                <w:color w:val="333333"/>
                <w:sz w:val="20"/>
                <w:szCs w:val="20"/>
              </w:rPr>
            </w:pPr>
            <w:r w:rsidRPr="006C7BAF">
              <w:rPr>
                <w:rFonts w:ascii="Arial Narrow" w:hAnsi="Arial Narrow" w:cs="Times New Roman"/>
                <w:b/>
                <w:bCs/>
                <w:color w:val="333333"/>
                <w:sz w:val="20"/>
                <w:szCs w:val="20"/>
              </w:rPr>
              <w:t xml:space="preserve">Administrative Advice: </w:t>
            </w:r>
          </w:p>
          <w:p w14:paraId="41F31C1F" w14:textId="77777777" w:rsidR="001D2210" w:rsidRPr="006C7BAF" w:rsidRDefault="001D2210">
            <w:pPr>
              <w:jc w:val="left"/>
              <w:textAlignment w:val="baseline"/>
              <w:rPr>
                <w:rFonts w:ascii="Arial Narrow" w:hAnsi="Arial Narrow" w:cs="Segoe UI"/>
                <w:b/>
                <w:bCs/>
                <w:color w:val="333333"/>
                <w:sz w:val="20"/>
                <w:szCs w:val="20"/>
              </w:rPr>
            </w:pPr>
            <w:r w:rsidRPr="006C7BAF">
              <w:rPr>
                <w:rFonts w:ascii="Arial Narrow" w:hAnsi="Arial Narrow" w:cs="Times New Roman"/>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D2210" w:rsidRPr="006C7BAF" w14:paraId="25047A9D" w14:textId="77777777" w:rsidTr="00626E73">
        <w:tblPrEx>
          <w:tblCellMar>
            <w:top w:w="15" w:type="dxa"/>
            <w:bottom w:w="15" w:type="dxa"/>
          </w:tblCellMar>
          <w:tblLook w:val="04A0" w:firstRow="1" w:lastRow="0" w:firstColumn="1" w:lastColumn="0" w:noHBand="0" w:noVBand="1"/>
        </w:tblPrEx>
        <w:trPr>
          <w:cantSplit/>
          <w:trHeight w:val="20"/>
        </w:trPr>
        <w:tc>
          <w:tcPr>
            <w:tcW w:w="1414" w:type="dxa"/>
            <w:gridSpan w:val="2"/>
            <w:vMerge w:val="restart"/>
            <w:vAlign w:val="center"/>
          </w:tcPr>
          <w:p w14:paraId="313D3155" w14:textId="77777777" w:rsidR="001D2210" w:rsidRPr="006C7BAF" w:rsidRDefault="001D2210">
            <w:pPr>
              <w:keepLines/>
              <w:jc w:val="center"/>
              <w:rPr>
                <w:rFonts w:ascii="Arial Narrow" w:hAnsi="Arial Narrow" w:cs="Times New Roman"/>
                <w:color w:val="333333"/>
                <w:sz w:val="20"/>
                <w:szCs w:val="20"/>
              </w:rPr>
            </w:pPr>
          </w:p>
        </w:tc>
        <w:tc>
          <w:tcPr>
            <w:tcW w:w="7603" w:type="dxa"/>
            <w:gridSpan w:val="6"/>
            <w:vAlign w:val="center"/>
          </w:tcPr>
          <w:p w14:paraId="139A643F" w14:textId="77777777" w:rsidR="001D2210" w:rsidRPr="006C7BAF" w:rsidRDefault="001D2210">
            <w:pPr>
              <w:keepLines/>
              <w:jc w:val="left"/>
              <w:rPr>
                <w:rFonts w:ascii="Arial Narrow" w:hAnsi="Arial Narrow" w:cs="Times New Roman"/>
                <w:bCs/>
                <w:color w:val="333333"/>
                <w:sz w:val="20"/>
                <w:szCs w:val="20"/>
              </w:rPr>
            </w:pPr>
            <w:r w:rsidRPr="006C7BAF">
              <w:rPr>
                <w:rFonts w:ascii="Arial Narrow" w:hAnsi="Arial Narrow" w:cs="Segoe UI"/>
                <w:b/>
                <w:bCs/>
                <w:color w:val="333333"/>
                <w:sz w:val="20"/>
                <w:szCs w:val="20"/>
              </w:rPr>
              <w:t>Episodicity</w:t>
            </w:r>
            <w:r w:rsidRPr="006C7BAF">
              <w:rPr>
                <w:rFonts w:ascii="Arial Narrow" w:hAnsi="Arial Narrow" w:cs="Segoe UI"/>
                <w:b/>
                <w:bCs/>
                <w:sz w:val="20"/>
                <w:szCs w:val="20"/>
              </w:rPr>
              <w:t xml:space="preserve">: </w:t>
            </w:r>
            <w:r w:rsidRPr="006C7BAF">
              <w:rPr>
                <w:rFonts w:ascii="Arial Narrow" w:hAnsi="Arial Narrow" w:cs="Segoe UI"/>
                <w:sz w:val="20"/>
                <w:szCs w:val="20"/>
              </w:rPr>
              <w:t>[blank] </w:t>
            </w:r>
          </w:p>
        </w:tc>
      </w:tr>
      <w:tr w:rsidR="001D2210" w:rsidRPr="006C7BAF" w14:paraId="5E613AB1" w14:textId="77777777" w:rsidTr="00626E73">
        <w:tblPrEx>
          <w:tblCellMar>
            <w:top w:w="15" w:type="dxa"/>
            <w:bottom w:w="15" w:type="dxa"/>
          </w:tblCellMar>
          <w:tblLook w:val="04A0" w:firstRow="1" w:lastRow="0" w:firstColumn="1" w:lastColumn="0" w:noHBand="0" w:noVBand="1"/>
        </w:tblPrEx>
        <w:trPr>
          <w:cantSplit/>
          <w:trHeight w:val="20"/>
        </w:trPr>
        <w:tc>
          <w:tcPr>
            <w:tcW w:w="1414" w:type="dxa"/>
            <w:gridSpan w:val="2"/>
            <w:vMerge/>
            <w:vAlign w:val="center"/>
          </w:tcPr>
          <w:p w14:paraId="37E09594" w14:textId="77777777" w:rsidR="001D2210" w:rsidRPr="006C7BAF" w:rsidRDefault="001D2210">
            <w:pPr>
              <w:keepLines/>
              <w:jc w:val="center"/>
              <w:rPr>
                <w:rFonts w:ascii="Arial Narrow" w:hAnsi="Arial Narrow" w:cs="Times New Roman"/>
                <w:color w:val="333333"/>
                <w:sz w:val="20"/>
                <w:szCs w:val="20"/>
              </w:rPr>
            </w:pPr>
          </w:p>
        </w:tc>
        <w:tc>
          <w:tcPr>
            <w:tcW w:w="7603" w:type="dxa"/>
            <w:gridSpan w:val="6"/>
            <w:vAlign w:val="center"/>
          </w:tcPr>
          <w:p w14:paraId="3DD71F9D" w14:textId="77777777" w:rsidR="001D2210" w:rsidRPr="006C7BAF" w:rsidRDefault="001D2210">
            <w:pPr>
              <w:jc w:val="left"/>
              <w:textAlignment w:val="baseline"/>
              <w:rPr>
                <w:rFonts w:ascii="Arial Narrow" w:hAnsi="Arial Narrow" w:cs="Segoe UI"/>
                <w:sz w:val="20"/>
                <w:szCs w:val="20"/>
              </w:rPr>
            </w:pPr>
            <w:r w:rsidRPr="006C7BAF">
              <w:rPr>
                <w:rFonts w:ascii="Arial Narrow" w:hAnsi="Arial Narrow" w:cs="Segoe UI"/>
                <w:b/>
                <w:bCs/>
                <w:sz w:val="20"/>
                <w:szCs w:val="20"/>
              </w:rPr>
              <w:t xml:space="preserve">Severity: </w:t>
            </w:r>
            <w:r w:rsidRPr="006C7BAF">
              <w:rPr>
                <w:rFonts w:ascii="Arial Narrow" w:hAnsi="Arial Narrow" w:cs="Segoe UI"/>
                <w:strike/>
                <w:sz w:val="20"/>
                <w:szCs w:val="20"/>
              </w:rPr>
              <w:t>Stage IIIB or IIIC (locally advanced) or IV (metastatic)</w:t>
            </w:r>
            <w:r w:rsidRPr="006C7BAF">
              <w:rPr>
                <w:rFonts w:ascii="Arial Narrow" w:hAnsi="Arial Narrow" w:cs="Segoe UI"/>
                <w:sz w:val="20"/>
                <w:szCs w:val="20"/>
              </w:rPr>
              <w:t> </w:t>
            </w:r>
          </w:p>
          <w:p w14:paraId="00E4A381" w14:textId="77777777" w:rsidR="001D2210" w:rsidRPr="006C7BAF" w:rsidRDefault="001D2210">
            <w:pPr>
              <w:keepLines/>
              <w:jc w:val="left"/>
              <w:rPr>
                <w:rFonts w:ascii="Arial Narrow" w:hAnsi="Arial Narrow" w:cs="Times New Roman"/>
                <w:b/>
                <w:bCs/>
                <w:color w:val="333333"/>
                <w:sz w:val="20"/>
                <w:szCs w:val="20"/>
              </w:rPr>
            </w:pPr>
            <w:r w:rsidRPr="006C7BAF">
              <w:rPr>
                <w:rFonts w:ascii="Arial Narrow" w:hAnsi="Arial Narrow" w:cs="Segoe UI"/>
                <w:i/>
                <w:iCs/>
                <w:sz w:val="20"/>
                <w:szCs w:val="20"/>
              </w:rPr>
              <w:t>Stage IIIB/IIIC (locally advanced) or Stage IV (metastatic)</w:t>
            </w:r>
          </w:p>
        </w:tc>
      </w:tr>
      <w:tr w:rsidR="001D2210" w:rsidRPr="006C7BAF" w14:paraId="2580CFF1" w14:textId="77777777" w:rsidTr="00626E73">
        <w:tblPrEx>
          <w:tblCellMar>
            <w:top w:w="15" w:type="dxa"/>
            <w:bottom w:w="15" w:type="dxa"/>
          </w:tblCellMar>
          <w:tblLook w:val="04A0" w:firstRow="1" w:lastRow="0" w:firstColumn="1" w:lastColumn="0" w:noHBand="0" w:noVBand="1"/>
        </w:tblPrEx>
        <w:trPr>
          <w:cantSplit/>
          <w:trHeight w:val="20"/>
        </w:trPr>
        <w:tc>
          <w:tcPr>
            <w:tcW w:w="1414" w:type="dxa"/>
            <w:gridSpan w:val="2"/>
            <w:vMerge/>
            <w:vAlign w:val="center"/>
          </w:tcPr>
          <w:p w14:paraId="5315864C" w14:textId="77777777" w:rsidR="001D2210" w:rsidRPr="006C7BAF" w:rsidRDefault="001D2210">
            <w:pPr>
              <w:keepLines/>
              <w:jc w:val="center"/>
              <w:rPr>
                <w:rFonts w:ascii="Arial Narrow" w:hAnsi="Arial Narrow" w:cs="Times New Roman"/>
                <w:color w:val="333333"/>
                <w:sz w:val="20"/>
                <w:szCs w:val="20"/>
              </w:rPr>
            </w:pPr>
          </w:p>
        </w:tc>
        <w:tc>
          <w:tcPr>
            <w:tcW w:w="7603" w:type="dxa"/>
            <w:gridSpan w:val="6"/>
            <w:vAlign w:val="center"/>
          </w:tcPr>
          <w:p w14:paraId="7BCDE96C" w14:textId="77777777" w:rsidR="001D2210" w:rsidRPr="006C7BAF" w:rsidRDefault="001D2210">
            <w:pPr>
              <w:keepLines/>
              <w:jc w:val="left"/>
              <w:rPr>
                <w:rFonts w:ascii="Arial Narrow" w:hAnsi="Arial Narrow" w:cs="Times New Roman"/>
                <w:b/>
                <w:bCs/>
                <w:color w:val="333333"/>
                <w:sz w:val="20"/>
                <w:szCs w:val="20"/>
              </w:rPr>
            </w:pPr>
            <w:r w:rsidRPr="006C7BAF">
              <w:rPr>
                <w:rFonts w:ascii="Arial Narrow" w:hAnsi="Arial Narrow" w:cs="Segoe UI"/>
                <w:b/>
                <w:bCs/>
                <w:color w:val="333333"/>
                <w:sz w:val="20"/>
                <w:szCs w:val="20"/>
              </w:rPr>
              <w:t xml:space="preserve">Condition: </w:t>
            </w:r>
            <w:r w:rsidRPr="006C7BAF">
              <w:rPr>
                <w:rFonts w:ascii="Arial Narrow" w:hAnsi="Arial Narrow" w:cs="Segoe UI"/>
                <w:color w:val="333333"/>
                <w:sz w:val="20"/>
                <w:szCs w:val="20"/>
              </w:rPr>
              <w:t>Non-small cell lung cancer (NSCLC)</w:t>
            </w:r>
            <w:r w:rsidRPr="006C7BAF">
              <w:rPr>
                <w:rFonts w:ascii="Arial Narrow" w:hAnsi="Arial Narrow" w:cs="Segoe UI"/>
                <w:color w:val="FF0000"/>
                <w:sz w:val="20"/>
                <w:szCs w:val="20"/>
              </w:rPr>
              <w:t> </w:t>
            </w:r>
          </w:p>
        </w:tc>
      </w:tr>
      <w:tr w:rsidR="001D2210" w:rsidRPr="006C7BAF" w14:paraId="4F94A433" w14:textId="77777777" w:rsidTr="00626E73">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9B62631" w14:textId="27644FE9" w:rsidR="001D2210" w:rsidRPr="006C7BAF" w:rsidRDefault="001D2210">
            <w:pPr>
              <w:keepLines/>
              <w:jc w:val="center"/>
              <w:rPr>
                <w:rFonts w:ascii="Arial Narrow" w:hAnsi="Arial Narrow" w:cs="Times New Roman"/>
                <w:color w:val="333333"/>
                <w:sz w:val="20"/>
                <w:szCs w:val="20"/>
              </w:rPr>
            </w:pPr>
          </w:p>
        </w:tc>
        <w:tc>
          <w:tcPr>
            <w:tcW w:w="7603" w:type="dxa"/>
            <w:gridSpan w:val="6"/>
            <w:vAlign w:val="center"/>
            <w:hideMark/>
          </w:tcPr>
          <w:p w14:paraId="3BE4173E" w14:textId="77777777" w:rsidR="001D2210" w:rsidRPr="006C7BAF" w:rsidRDefault="001D2210">
            <w:pPr>
              <w:jc w:val="left"/>
              <w:textAlignment w:val="baseline"/>
              <w:rPr>
                <w:rFonts w:ascii="Arial Narrow" w:hAnsi="Arial Narrow" w:cs="Segoe UI"/>
                <w:color w:val="333333"/>
                <w:sz w:val="20"/>
                <w:szCs w:val="20"/>
              </w:rPr>
            </w:pPr>
            <w:r w:rsidRPr="006C7BAF">
              <w:rPr>
                <w:rFonts w:ascii="Arial Narrow" w:hAnsi="Arial Narrow" w:cs="Segoe UI"/>
                <w:b/>
                <w:bCs/>
                <w:color w:val="333333"/>
                <w:sz w:val="20"/>
                <w:szCs w:val="20"/>
              </w:rPr>
              <w:t>Indication:</w:t>
            </w:r>
            <w:r w:rsidRPr="006C7BAF">
              <w:rPr>
                <w:rFonts w:ascii="Arial Narrow" w:hAnsi="Arial Narrow" w:cs="Segoe UI"/>
                <w:color w:val="333333"/>
                <w:sz w:val="20"/>
                <w:szCs w:val="20"/>
              </w:rPr>
              <w:t xml:space="preserve"> </w:t>
            </w:r>
            <w:r w:rsidRPr="006C7BAF">
              <w:rPr>
                <w:rFonts w:ascii="Arial Narrow" w:hAnsi="Arial Narrow" w:cs="Segoe UI"/>
                <w:strike/>
                <w:color w:val="333333"/>
                <w:sz w:val="20"/>
                <w:szCs w:val="20"/>
              </w:rPr>
              <w:t>Stage IIIB or IIIC (locally advanced) or IV (metastatic) non-small cell lung cancer (NSCLC)</w:t>
            </w:r>
          </w:p>
          <w:p w14:paraId="385C7F83" w14:textId="77777777" w:rsidR="001D2210" w:rsidRPr="006C7BAF" w:rsidRDefault="001D2210">
            <w:pPr>
              <w:keepLines/>
              <w:jc w:val="left"/>
              <w:rPr>
                <w:rFonts w:ascii="Arial Narrow" w:hAnsi="Arial Narrow" w:cs="Times New Roman"/>
                <w:color w:val="333333"/>
                <w:sz w:val="20"/>
                <w:szCs w:val="20"/>
              </w:rPr>
            </w:pPr>
            <w:r w:rsidRPr="006C7BAF">
              <w:rPr>
                <w:rFonts w:ascii="Arial Narrow" w:hAnsi="Arial Narrow" w:cs="Segoe UI"/>
                <w:i/>
                <w:iCs/>
                <w:sz w:val="20"/>
                <w:szCs w:val="20"/>
              </w:rPr>
              <w:t>Stage IIIB/IIIC (locally advanced) or Stage IV (metastatic) non- small cell lung cancer (NSCLC)</w:t>
            </w:r>
          </w:p>
        </w:tc>
      </w:tr>
      <w:tr w:rsidR="001D2210" w:rsidRPr="006C7BAF" w14:paraId="3A78635D" w14:textId="77777777" w:rsidTr="00626E73">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146C09AD" w14:textId="4E5A7649" w:rsidR="001D2210" w:rsidRPr="006C7BAF" w:rsidRDefault="001D2210">
            <w:pPr>
              <w:jc w:val="center"/>
              <w:rPr>
                <w:rFonts w:ascii="Arial Narrow" w:hAnsi="Arial Narrow" w:cs="Times New Roman"/>
                <w:color w:val="333333"/>
                <w:sz w:val="20"/>
                <w:szCs w:val="20"/>
              </w:rPr>
            </w:pPr>
          </w:p>
        </w:tc>
        <w:tc>
          <w:tcPr>
            <w:tcW w:w="7603" w:type="dxa"/>
            <w:gridSpan w:val="6"/>
            <w:vAlign w:val="center"/>
          </w:tcPr>
          <w:p w14:paraId="0FBC00D3" w14:textId="77777777" w:rsidR="001D2210" w:rsidRPr="006C7BAF" w:rsidRDefault="001D2210">
            <w:pPr>
              <w:keepLines/>
              <w:jc w:val="left"/>
              <w:rPr>
                <w:rFonts w:ascii="Arial Narrow" w:hAnsi="Arial Narrow" w:cs="Segoe UI"/>
                <w:b/>
                <w:bCs/>
                <w:color w:val="333333"/>
                <w:sz w:val="20"/>
                <w:szCs w:val="20"/>
              </w:rPr>
            </w:pPr>
            <w:r w:rsidRPr="006C7BAF">
              <w:rPr>
                <w:rFonts w:ascii="Arial Narrow" w:hAnsi="Arial Narrow" w:cs="Segoe UI"/>
                <w:b/>
                <w:bCs/>
                <w:color w:val="333333"/>
                <w:sz w:val="20"/>
                <w:szCs w:val="20"/>
              </w:rPr>
              <w:t xml:space="preserve">Clinical criteria: </w:t>
            </w:r>
          </w:p>
        </w:tc>
      </w:tr>
      <w:tr w:rsidR="001D2210" w:rsidRPr="00333B32" w14:paraId="2E73ACE2" w14:textId="77777777" w:rsidTr="00626E73">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3788AFEA" w14:textId="7F78A3C9" w:rsidR="001D2210" w:rsidRPr="006C7BAF" w:rsidRDefault="001D2210">
            <w:pPr>
              <w:jc w:val="center"/>
              <w:rPr>
                <w:rFonts w:ascii="Arial Narrow" w:hAnsi="Arial Narrow" w:cs="Segoe UI"/>
                <w:i/>
                <w:sz w:val="20"/>
                <w:szCs w:val="20"/>
                <w14:ligatures w14:val="standardContextual"/>
              </w:rPr>
            </w:pPr>
          </w:p>
        </w:tc>
        <w:tc>
          <w:tcPr>
            <w:tcW w:w="7603" w:type="dxa"/>
            <w:gridSpan w:val="6"/>
            <w:vAlign w:val="center"/>
          </w:tcPr>
          <w:p w14:paraId="11D188A4" w14:textId="05ACBA96" w:rsidR="001D2210" w:rsidRPr="006C7BAF" w:rsidRDefault="001D2210">
            <w:pPr>
              <w:keepLines/>
              <w:jc w:val="left"/>
              <w:rPr>
                <w:rFonts w:ascii="Arial Narrow" w:eastAsia="Yu Gothic" w:hAnsi="Arial Narrow" w:cs="Segoe UI"/>
                <w:i/>
                <w:iCs/>
                <w:sz w:val="20"/>
                <w:szCs w:val="20"/>
                <w14:ligatures w14:val="standardContextual"/>
              </w:rPr>
            </w:pPr>
            <w:r w:rsidRPr="006C7BAF">
              <w:rPr>
                <w:rFonts w:ascii="Arial Narrow" w:eastAsia="Yu Gothic" w:hAnsi="Arial Narrow" w:cs="Segoe UI"/>
                <w:i/>
                <w:iCs/>
                <w:sz w:val="20"/>
                <w:szCs w:val="20"/>
                <w14:ligatures w14:val="standardContextual"/>
              </w:rPr>
              <w:t xml:space="preserve">The treatment must be </w:t>
            </w:r>
            <w:r w:rsidR="00E0571A">
              <w:rPr>
                <w:rFonts w:ascii="Arial Narrow" w:eastAsia="Yu Gothic" w:hAnsi="Arial Narrow" w:cs="Segoe UI"/>
                <w:i/>
                <w:iCs/>
                <w:sz w:val="20"/>
                <w:szCs w:val="20"/>
                <w14:ligatures w14:val="standardContextual"/>
              </w:rPr>
              <w:t>initiated</w:t>
            </w:r>
            <w:r w:rsidRPr="006C7BAF">
              <w:rPr>
                <w:rFonts w:ascii="Arial Narrow" w:eastAsia="Yu Gothic" w:hAnsi="Arial Narrow" w:cs="Segoe UI"/>
                <w:i/>
                <w:iCs/>
                <w:sz w:val="20"/>
                <w:szCs w:val="20"/>
                <w14:ligatures w14:val="standardContextual"/>
              </w:rPr>
              <w:t xml:space="preserve"> in combination with amivantamab (refer to the Therapeutic Goods Administration (TGA) approved Product Information for the dosage regimens for lazertinib and amivantamab).</w:t>
            </w:r>
          </w:p>
        </w:tc>
      </w:tr>
    </w:tbl>
    <w:p w14:paraId="39967552" w14:textId="77777777" w:rsidR="001D2210" w:rsidRDefault="001D2210" w:rsidP="00754A1B">
      <w:pPr>
        <w:pStyle w:val="TableFooter"/>
      </w:pPr>
    </w:p>
    <w:bookmarkEnd w:id="23"/>
    <w:p w14:paraId="319C762E" w14:textId="51500073" w:rsidR="00294BF7" w:rsidRPr="00872F3A" w:rsidRDefault="00294BF7" w:rsidP="00626E73">
      <w:pPr>
        <w:pStyle w:val="ExecSumBodyText"/>
        <w:numPr>
          <w:ilvl w:val="1"/>
          <w:numId w:val="5"/>
        </w:numPr>
        <w:ind w:left="709" w:hanging="709"/>
      </w:pPr>
      <w:r w:rsidRPr="00C93941">
        <w:rPr>
          <w:rFonts w:eastAsiaTheme="minorHAnsi" w:cstheme="minorBidi"/>
          <w:snapToGrid/>
          <w:szCs w:val="22"/>
        </w:rPr>
        <w:t>The</w:t>
      </w:r>
      <w:r w:rsidRPr="00C93941">
        <w:t xml:space="preserve"> </w:t>
      </w:r>
      <w:r w:rsidRPr="589E218A">
        <w:t>submission requested a Special Pricing Arrangement (SPA)</w:t>
      </w:r>
      <w:r w:rsidR="00170EA6">
        <w:t xml:space="preserve"> to apply to both the </w:t>
      </w:r>
      <w:r w:rsidRPr="589E218A">
        <w:t>amivantamab vial and</w:t>
      </w:r>
      <w:r w:rsidR="002A27A2">
        <w:t xml:space="preserve"> the</w:t>
      </w:r>
      <w:r w:rsidRPr="589E218A">
        <w:t xml:space="preserve"> </w:t>
      </w:r>
      <w:r w:rsidR="00D63B79" w:rsidRPr="589E218A">
        <w:t>lazertinib pack</w:t>
      </w:r>
      <w:r w:rsidRPr="589E218A">
        <w:t xml:space="preserve">. </w:t>
      </w:r>
    </w:p>
    <w:p w14:paraId="3AE35C16" w14:textId="54CF16C2" w:rsidR="00C402A3" w:rsidRPr="00646C3A" w:rsidRDefault="00754A1B" w:rsidP="00672594">
      <w:pPr>
        <w:pStyle w:val="3-BodyText"/>
        <w:ind w:left="709" w:hanging="708"/>
      </w:pPr>
      <w:bookmarkStart w:id="24" w:name="_Ref190362155"/>
      <w:r w:rsidRPr="589E218A">
        <w:t xml:space="preserve">Amivantamab is administered as one of two flat doses dictated by the weight of the patient. </w:t>
      </w:r>
      <w:r w:rsidR="00C402A3" w:rsidRPr="589E218A">
        <w:t>E</w:t>
      </w:r>
      <w:r w:rsidRPr="589E218A">
        <w:t>ach vial contains 350 mg of amivantamab</w:t>
      </w:r>
      <w:r w:rsidR="00C402A3" w:rsidRPr="589E218A">
        <w:t>.</w:t>
      </w:r>
      <w:r w:rsidRPr="589E218A">
        <w:t xml:space="preserve"> </w:t>
      </w:r>
      <w:r w:rsidR="00E35816" w:rsidRPr="00646C3A">
        <w:t xml:space="preserve">The draft amivantamab PI </w:t>
      </w:r>
      <w:r w:rsidR="006349AF" w:rsidRPr="00646C3A">
        <w:t>indicates</w:t>
      </w:r>
      <w:r w:rsidR="00E35816" w:rsidRPr="00646C3A">
        <w:t xml:space="preserve"> the following</w:t>
      </w:r>
      <w:r w:rsidR="006349AF" w:rsidRPr="00646C3A">
        <w:t xml:space="preserve"> with respect to dosage</w:t>
      </w:r>
      <w:r w:rsidR="00E35816" w:rsidRPr="00646C3A">
        <w:t>:</w:t>
      </w:r>
      <w:bookmarkEnd w:id="24"/>
    </w:p>
    <w:p w14:paraId="5DB3D35D" w14:textId="7CE29AE0" w:rsidR="00C402A3" w:rsidRPr="00646C3A" w:rsidRDefault="00C402A3" w:rsidP="009F3AE9">
      <w:pPr>
        <w:pStyle w:val="ListParagraph"/>
        <w:ind w:left="1276"/>
        <w:jc w:val="both"/>
      </w:pPr>
      <w:r w:rsidRPr="002E7897">
        <w:rPr>
          <w:u w:val="single"/>
        </w:rPr>
        <w:t>P</w:t>
      </w:r>
      <w:r w:rsidR="00754A1B" w:rsidRPr="002E7897">
        <w:rPr>
          <w:u w:val="single"/>
        </w:rPr>
        <w:t>atients weighing less than 80 kg</w:t>
      </w:r>
      <w:r w:rsidR="00754A1B" w:rsidRPr="00646C3A">
        <w:t xml:space="preserve"> </w:t>
      </w:r>
      <w:r w:rsidR="00DC3B75" w:rsidRPr="00646C3A">
        <w:t xml:space="preserve">receive </w:t>
      </w:r>
      <w:r w:rsidR="0022708A" w:rsidRPr="00646C3A">
        <w:t>1</w:t>
      </w:r>
      <w:r w:rsidR="006B4921" w:rsidRPr="00646C3A">
        <w:t>,</w:t>
      </w:r>
      <w:r w:rsidR="0022708A" w:rsidRPr="00646C3A">
        <w:t>050</w:t>
      </w:r>
      <w:r w:rsidR="00E7610B" w:rsidRPr="00646C3A">
        <w:t> </w:t>
      </w:r>
      <w:r w:rsidR="0022708A" w:rsidRPr="00646C3A">
        <w:t>mg per week</w:t>
      </w:r>
      <w:r w:rsidR="005B2057" w:rsidRPr="00646C3A">
        <w:t xml:space="preserve"> of amivantamab</w:t>
      </w:r>
      <w:r w:rsidR="0022708A" w:rsidRPr="00646C3A">
        <w:t xml:space="preserve"> for the first 4 weeks, followed by </w:t>
      </w:r>
      <w:r w:rsidR="006B4921" w:rsidRPr="00646C3A">
        <w:t>1,050 mg every 2 weeks thereafter</w:t>
      </w:r>
      <w:r w:rsidR="00E768C6">
        <w:t xml:space="preserve"> until disease progression</w:t>
      </w:r>
      <w:r w:rsidR="006B4921" w:rsidRPr="00646C3A">
        <w:t>.</w:t>
      </w:r>
    </w:p>
    <w:p w14:paraId="70DC089A" w14:textId="45447FD8" w:rsidR="002077E8" w:rsidRPr="00646C3A" w:rsidRDefault="00754A1B" w:rsidP="009F3AE9">
      <w:pPr>
        <w:pStyle w:val="ListParagraph"/>
        <w:ind w:left="1276"/>
        <w:jc w:val="both"/>
      </w:pPr>
      <w:r w:rsidRPr="002E7897">
        <w:rPr>
          <w:u w:val="single"/>
        </w:rPr>
        <w:t>Patients weighing greater than or equal to 80 kg</w:t>
      </w:r>
      <w:r w:rsidRPr="00646C3A">
        <w:t xml:space="preserve"> receive </w:t>
      </w:r>
      <w:r w:rsidR="00917F3D" w:rsidRPr="00646C3A">
        <w:t>1,400 mg per week of amivantamab for the first 4 weeks, followed by 1,400</w:t>
      </w:r>
      <w:r w:rsidR="00E7610B" w:rsidRPr="00646C3A">
        <w:t> </w:t>
      </w:r>
      <w:r w:rsidR="00917F3D" w:rsidRPr="00646C3A">
        <w:t>mg every 2 weeks thereafter</w:t>
      </w:r>
      <w:r w:rsidR="007275A2">
        <w:t xml:space="preserve"> until disease progression</w:t>
      </w:r>
      <w:r w:rsidR="00917F3D" w:rsidRPr="00646C3A">
        <w:t>.</w:t>
      </w:r>
    </w:p>
    <w:p w14:paraId="2088E1D6" w14:textId="7D2A4D5C" w:rsidR="00754A1B" w:rsidRPr="00D46D41" w:rsidRDefault="00754A1B" w:rsidP="00672594">
      <w:pPr>
        <w:pStyle w:val="3-BodyText"/>
        <w:numPr>
          <w:ilvl w:val="0"/>
          <w:numId w:val="0"/>
        </w:numPr>
        <w:ind w:left="709"/>
      </w:pPr>
      <w:r w:rsidRPr="589E218A">
        <w:t>In</w:t>
      </w:r>
      <w:r w:rsidR="00BF03E6">
        <w:t xml:space="preserve"> the pivotal</w:t>
      </w:r>
      <w:r w:rsidRPr="589E218A">
        <w:t xml:space="preserve"> MARIPOSA</w:t>
      </w:r>
      <w:r w:rsidR="00BF03E6">
        <w:t xml:space="preserve"> trial</w:t>
      </w:r>
      <w:r w:rsidRPr="589E218A">
        <w:t xml:space="preserve">, the reported mean weight of patients was 63.9 kg with a range of 32 to 118 kg. </w:t>
      </w:r>
      <w:r w:rsidR="003A063B" w:rsidRPr="00646C3A">
        <w:t>While t</w:t>
      </w:r>
      <w:r w:rsidR="00C71E98" w:rsidRPr="00646C3A">
        <w:t>he evaluation considered it to be</w:t>
      </w:r>
      <w:r w:rsidRPr="589E218A">
        <w:t xml:space="preserve"> unclear whether the trial population reflects the PBS population with respect to weight</w:t>
      </w:r>
      <w:r w:rsidR="003A063B" w:rsidRPr="589E218A">
        <w:t>,</w:t>
      </w:r>
      <w:r w:rsidRPr="589E218A">
        <w:t xml:space="preserve"> </w:t>
      </w:r>
      <w:r w:rsidR="003A063B" w:rsidRPr="589E218A">
        <w:t>t</w:t>
      </w:r>
      <w:r w:rsidRPr="589E218A">
        <w:t>he submission noted that a reasonable proportion</w:t>
      </w:r>
      <w:r w:rsidR="00EE24C4" w:rsidRPr="589E218A">
        <w:t xml:space="preserve"> </w:t>
      </w:r>
      <w:r w:rsidR="00EE24C4" w:rsidRPr="005B5199">
        <w:t>of patients</w:t>
      </w:r>
      <w:r w:rsidR="00135A78" w:rsidRPr="589E218A">
        <w:t xml:space="preserve"> </w:t>
      </w:r>
      <w:r w:rsidR="00135A78" w:rsidRPr="00646C3A">
        <w:t>(approximately 12%)</w:t>
      </w:r>
      <w:r w:rsidRPr="589E218A">
        <w:t xml:space="preserve"> were over 80 kg</w:t>
      </w:r>
      <w:r w:rsidR="00624E1E" w:rsidRPr="589E218A">
        <w:t>,</w:t>
      </w:r>
      <w:r w:rsidRPr="589E218A">
        <w:t xml:space="preserve"> and given these patients require a higher dose, the maximum amount proposed for amivantamab</w:t>
      </w:r>
      <w:r w:rsidR="00786102">
        <w:t xml:space="preserve"> (</w:t>
      </w:r>
      <w:r w:rsidR="00676506" w:rsidRPr="00475F8E">
        <w:rPr>
          <w:iCs/>
          <w14:ligatures w14:val="standardContextual"/>
        </w:rPr>
        <w:t>1,400 mg</w:t>
      </w:r>
      <w:r w:rsidR="00786102">
        <w:t>)</w:t>
      </w:r>
      <w:r w:rsidRPr="589E218A">
        <w:t xml:space="preserve"> is in line with the dose required for a patient &gt;80 kg (i.e. 1,400 mg per infusion in the initial and continuing phases). </w:t>
      </w:r>
      <w:r w:rsidR="00074051">
        <w:t>The number of repeats proposed</w:t>
      </w:r>
      <w:r w:rsidR="00C13427">
        <w:t xml:space="preserve"> in the submission</w:t>
      </w:r>
      <w:r w:rsidR="00074051">
        <w:t xml:space="preserve"> for initial therapy</w:t>
      </w:r>
      <w:r w:rsidR="00CA7C72">
        <w:t xml:space="preserve"> (weekly dosing)</w:t>
      </w:r>
      <w:r w:rsidR="00074051">
        <w:t xml:space="preserve"> was </w:t>
      </w:r>
      <w:r w:rsidR="00C13427">
        <w:t xml:space="preserve">3 repeats, which would appropriately cover </w:t>
      </w:r>
      <w:r w:rsidR="002A5393">
        <w:t xml:space="preserve">4 weeks of therapy; however, </w:t>
      </w:r>
      <w:r w:rsidR="007E7E56">
        <w:t xml:space="preserve">the submission proposed </w:t>
      </w:r>
      <w:r w:rsidR="001764F1">
        <w:t xml:space="preserve">5 repeats for </w:t>
      </w:r>
      <w:r w:rsidR="00CA7C72">
        <w:t>continuing therapy (fortnightly dosing)</w:t>
      </w:r>
      <w:r w:rsidR="005E0359">
        <w:t xml:space="preserve">, which would only cover </w:t>
      </w:r>
      <w:r w:rsidR="0055323D">
        <w:t>approximately 3 months of therapy</w:t>
      </w:r>
      <w:r w:rsidR="006E3FCF">
        <w:t xml:space="preserve">. </w:t>
      </w:r>
      <w:r w:rsidR="004B3502">
        <w:t>The</w:t>
      </w:r>
      <w:r w:rsidR="00A551FB">
        <w:t xml:space="preserve"> </w:t>
      </w:r>
      <w:r w:rsidR="004B3502">
        <w:t>Secretariat</w:t>
      </w:r>
      <w:r w:rsidR="00514251">
        <w:t xml:space="preserve"> commented</w:t>
      </w:r>
      <w:r w:rsidR="004B3502">
        <w:t xml:space="preserve"> that </w:t>
      </w:r>
      <w:r w:rsidR="001A0372">
        <w:t>11</w:t>
      </w:r>
      <w:r w:rsidR="006E3FCF">
        <w:t xml:space="preserve"> repeats would be required to provide approximately </w:t>
      </w:r>
      <w:r w:rsidR="00054741">
        <w:t>6 months of therapy.</w:t>
      </w:r>
    </w:p>
    <w:p w14:paraId="5AF22415" w14:textId="0A674CC2" w:rsidR="00AF77DE" w:rsidRDefault="00AF77DE" w:rsidP="00F331D1">
      <w:pPr>
        <w:pStyle w:val="3-BodyText"/>
        <w:ind w:left="709" w:hanging="709"/>
      </w:pPr>
      <w:bookmarkStart w:id="25" w:name="_Ref188441497"/>
      <w:r w:rsidRPr="00A34063">
        <w:t>The submission proposed separate listings for lazertinib for initial and continuing therapy</w:t>
      </w:r>
      <w:r w:rsidR="00CF668D" w:rsidRPr="00A34063">
        <w:t xml:space="preserve">. </w:t>
      </w:r>
      <w:r w:rsidR="00CF668D" w:rsidRPr="00A34063">
        <w:rPr>
          <w:iCs/>
          <w14:ligatures w14:val="standardContextual"/>
        </w:rPr>
        <w:t>Given that lazertinib will be taken in combination with amivantamab, and to reduce administrative burden, the Secretariat propose</w:t>
      </w:r>
      <w:r w:rsidR="00526B78" w:rsidRPr="00A34063">
        <w:rPr>
          <w:iCs/>
          <w14:ligatures w14:val="standardContextual"/>
        </w:rPr>
        <w:t>d</w:t>
      </w:r>
      <w:r w:rsidR="00CF668D" w:rsidRPr="00A34063">
        <w:rPr>
          <w:iCs/>
          <w14:ligatures w14:val="standardContextual"/>
        </w:rPr>
        <w:t xml:space="preserve"> a single listing </w:t>
      </w:r>
      <w:r w:rsidR="003A28EE">
        <w:rPr>
          <w:iCs/>
          <w14:ligatures w14:val="standardContextual"/>
        </w:rPr>
        <w:t>for</w:t>
      </w:r>
      <w:r w:rsidR="00CF668D" w:rsidRPr="00A34063">
        <w:rPr>
          <w:iCs/>
          <w14:ligatures w14:val="standardContextual"/>
        </w:rPr>
        <w:t xml:space="preserve"> each strength of lazertinib</w:t>
      </w:r>
      <w:r w:rsidRPr="00A34063">
        <w:rPr>
          <w:iCs/>
        </w:rPr>
        <w:t>.</w:t>
      </w:r>
      <w:r w:rsidR="004F0C3F">
        <w:rPr>
          <w:iCs/>
        </w:rPr>
        <w:t xml:space="preserve"> </w:t>
      </w:r>
      <w:r w:rsidR="00A45754" w:rsidRPr="00A45754">
        <w:t xml:space="preserve">The PBAC considered the maximum supply </w:t>
      </w:r>
      <w:r w:rsidR="004E2691">
        <w:t>should</w:t>
      </w:r>
      <w:r w:rsidR="00A45754" w:rsidRPr="00A45754">
        <w:t xml:space="preserve"> be 6 months for all three dosing options. Lazertinib 240</w:t>
      </w:r>
      <w:r w:rsidR="004A5608">
        <w:t xml:space="preserve"> </w:t>
      </w:r>
      <w:r w:rsidR="00A45754" w:rsidRPr="00A45754">
        <w:t xml:space="preserve">mg listing would provide the standard dosing of </w:t>
      </w:r>
      <w:r w:rsidR="300443D9">
        <w:t>240</w:t>
      </w:r>
      <w:r w:rsidR="124AA37E">
        <w:t xml:space="preserve"> </w:t>
      </w:r>
      <w:r w:rsidR="300443D9">
        <w:t>mg</w:t>
      </w:r>
      <w:r w:rsidR="00A45754" w:rsidRPr="00A45754">
        <w:t xml:space="preserve"> daily with 5 repeats and that will be sufficient for 6 months. However</w:t>
      </w:r>
      <w:r w:rsidR="007C3FD4">
        <w:t>,</w:t>
      </w:r>
      <w:r w:rsidR="00A45754" w:rsidRPr="00A45754">
        <w:t xml:space="preserve"> to provide 6 months' supply for patients using the </w:t>
      </w:r>
      <w:r w:rsidR="300443D9">
        <w:t>80</w:t>
      </w:r>
      <w:r w:rsidR="13464B83">
        <w:t xml:space="preserve"> </w:t>
      </w:r>
      <w:r w:rsidR="300443D9">
        <w:t>mg</w:t>
      </w:r>
      <w:r w:rsidR="00A45754" w:rsidRPr="00A45754">
        <w:t xml:space="preserve"> strength for dose reduction, the appropriate repeats should be 2. This would be sufficient for patients dosed at </w:t>
      </w:r>
      <w:r w:rsidR="67C7425E">
        <w:t>80</w:t>
      </w:r>
      <w:r w:rsidR="00AA1B7B">
        <w:t> </w:t>
      </w:r>
      <w:r w:rsidR="67C7425E">
        <w:t>mg</w:t>
      </w:r>
      <w:r w:rsidR="00A45754" w:rsidRPr="00A45754">
        <w:t xml:space="preserve"> once daily. For patients dosed at </w:t>
      </w:r>
      <w:r w:rsidR="300443D9">
        <w:t>160</w:t>
      </w:r>
      <w:r w:rsidR="3278BFCB">
        <w:t xml:space="preserve"> </w:t>
      </w:r>
      <w:r w:rsidR="300443D9">
        <w:t>mg</w:t>
      </w:r>
      <w:r w:rsidR="00A45754" w:rsidRPr="00A45754">
        <w:t xml:space="preserve"> daily, prescribers can request 3 more repeats from </w:t>
      </w:r>
      <w:r w:rsidR="00A3678A">
        <w:t>Services Australia</w:t>
      </w:r>
      <w:r w:rsidR="00A45754" w:rsidRPr="00A45754">
        <w:t xml:space="preserve">. </w:t>
      </w:r>
      <w:r w:rsidR="300443D9">
        <w:t>A prescrib</w:t>
      </w:r>
      <w:r w:rsidR="1E0E9320">
        <w:t>ing</w:t>
      </w:r>
      <w:r w:rsidR="00A45754" w:rsidRPr="00A45754">
        <w:t xml:space="preserve"> instruction can be added to facilitate this approach.</w:t>
      </w:r>
    </w:p>
    <w:p w14:paraId="53935031" w14:textId="4A9DAD29" w:rsidR="00913A8D" w:rsidRPr="00D46D41" w:rsidRDefault="00272702" w:rsidP="00F331D1">
      <w:pPr>
        <w:pStyle w:val="3-BodyText"/>
        <w:ind w:left="709" w:hanging="709"/>
      </w:pPr>
      <w:bookmarkStart w:id="26" w:name="_Ref195610253"/>
      <w:r>
        <w:t xml:space="preserve">In addition to the requested listing for patients </w:t>
      </w:r>
      <w:r w:rsidR="007C19B8">
        <w:t xml:space="preserve">with advanced/metastatic </w:t>
      </w:r>
      <w:r w:rsidR="0074068F" w:rsidRPr="0074068F">
        <w:rPr>
          <w:i/>
          <w:iCs/>
        </w:rPr>
        <w:t>EGFR</w:t>
      </w:r>
      <w:r w:rsidR="0074068F">
        <w:t>m NSCLC,</w:t>
      </w:r>
      <w:r w:rsidR="009A400D">
        <w:t xml:space="preserve"> </w:t>
      </w:r>
      <w:r w:rsidR="0074068F">
        <w:t>t</w:t>
      </w:r>
      <w:r w:rsidR="0084250F">
        <w:t>he submission</w:t>
      </w:r>
      <w:r w:rsidR="00883772">
        <w:t xml:space="preserve"> requested</w:t>
      </w:r>
      <w:r w:rsidR="008E4E97">
        <w:t xml:space="preserve"> a</w:t>
      </w:r>
      <w:r w:rsidR="001E35AE">
        <w:t xml:space="preserve"> PBS</w:t>
      </w:r>
      <w:r w:rsidR="008E4E97">
        <w:t xml:space="preserve"> restriction that would permit</w:t>
      </w:r>
      <w:r w:rsidR="00DF51C7">
        <w:t xml:space="preserve"> </w:t>
      </w:r>
      <w:r w:rsidR="001E35AE">
        <w:t>A+L use in</w:t>
      </w:r>
      <w:r w:rsidR="00E260F3">
        <w:t xml:space="preserve"> patients with </w:t>
      </w:r>
      <w:r w:rsidR="00E260F3" w:rsidRPr="589E218A">
        <w:t>locally advanced</w:t>
      </w:r>
      <w:r w:rsidR="00361B59">
        <w:t>/</w:t>
      </w:r>
      <w:r w:rsidR="00E260F3" w:rsidRPr="589E218A">
        <w:t xml:space="preserve">metastatic disease </w:t>
      </w:r>
      <w:r w:rsidR="00E260F3" w:rsidRPr="00F67DDA">
        <w:t xml:space="preserve">following earlier </w:t>
      </w:r>
      <w:r w:rsidR="00E260F3" w:rsidRPr="589E218A">
        <w:t>adjuvant osimertinib therapy.</w:t>
      </w:r>
      <w:r w:rsidR="00361B59">
        <w:t xml:space="preserve"> </w:t>
      </w:r>
      <w:r w:rsidR="003E0D05" w:rsidRPr="589E218A">
        <w:t xml:space="preserve">The requested listing included a criterion: ‘Patient must not have received previous PBS-subsidised treatment with an </w:t>
      </w:r>
      <w:r w:rsidR="00F639C0" w:rsidRPr="589E218A">
        <w:rPr>
          <w:i/>
          <w:iCs/>
        </w:rPr>
        <w:t>EGFR</w:t>
      </w:r>
      <w:r w:rsidR="003E0D05" w:rsidRPr="589E218A">
        <w:t xml:space="preserve"> TKI in the locally advanced/metastatic setting;’</w:t>
      </w:r>
      <w:r w:rsidR="003E0D05" w:rsidRPr="589E218A">
        <w:rPr>
          <w:b/>
          <w:bCs/>
        </w:rPr>
        <w:t xml:space="preserve"> </w:t>
      </w:r>
      <w:r w:rsidR="003E0D05" w:rsidRPr="589E218A">
        <w:t>or</w:t>
      </w:r>
      <w:r w:rsidR="00DD13DF">
        <w:t xml:space="preserve"> </w:t>
      </w:r>
      <w:r w:rsidR="001C4D79">
        <w:t>‘</w:t>
      </w:r>
      <w:r w:rsidR="001C4D79" w:rsidRPr="001C4D79">
        <w:t xml:space="preserve">Patient must have developed intolerance to another </w:t>
      </w:r>
      <w:r w:rsidR="001C4D79" w:rsidRPr="00D04D0D">
        <w:rPr>
          <w:i/>
          <w:iCs/>
        </w:rPr>
        <w:t>EGFR</w:t>
      </w:r>
      <w:r w:rsidR="00D04D0D">
        <w:t xml:space="preserve"> </w:t>
      </w:r>
      <w:r w:rsidR="001C4D79" w:rsidRPr="001C4D79">
        <w:t>TKI of a severity necessitating permanent treatment withdrawal</w:t>
      </w:r>
      <w:r w:rsidR="001C4D79">
        <w:t>’</w:t>
      </w:r>
      <w:r w:rsidR="00DB6B21" w:rsidRPr="589E218A">
        <w:t>;</w:t>
      </w:r>
      <w:r w:rsidR="003E0D05" w:rsidRPr="589E218A">
        <w:t xml:space="preserve"> </w:t>
      </w:r>
      <w:r w:rsidR="00DB6B21" w:rsidRPr="589E218A">
        <w:t xml:space="preserve">this would </w:t>
      </w:r>
      <w:r w:rsidR="003E0D05" w:rsidRPr="589E218A">
        <w:t>allow treatment with A+L after</w:t>
      </w:r>
      <w:r w:rsidR="00570CEA" w:rsidRPr="589E218A">
        <w:t xml:space="preserve"> prior</w:t>
      </w:r>
      <w:r w:rsidR="003E0D05" w:rsidRPr="589E218A">
        <w:t xml:space="preserve"> osimertinib</w:t>
      </w:r>
      <w:r w:rsidR="00831988" w:rsidRPr="589E218A">
        <w:t xml:space="preserve"> </w:t>
      </w:r>
      <w:r w:rsidR="00831988" w:rsidRPr="0074476E">
        <w:t>in the ad</w:t>
      </w:r>
      <w:r w:rsidR="005E5D83" w:rsidRPr="0074476E">
        <w:t>juvant setting</w:t>
      </w:r>
      <w:r w:rsidR="003E0D05" w:rsidRPr="589E218A">
        <w:t xml:space="preserve">. </w:t>
      </w:r>
      <w:r w:rsidR="008106FE">
        <w:t>The PBAC noted that u</w:t>
      </w:r>
      <w:r w:rsidR="003E0D05" w:rsidRPr="589E218A">
        <w:t xml:space="preserve">nder the current PBS listing for osimertinib, patients are not able to receive osimertinib in the advanced/metastatic setting if they have already received a previous </w:t>
      </w:r>
      <w:r w:rsidR="00F639C0" w:rsidRPr="589E218A">
        <w:rPr>
          <w:i/>
          <w:iCs/>
        </w:rPr>
        <w:t>EGFR</w:t>
      </w:r>
      <w:r w:rsidR="003E0D05" w:rsidRPr="589E218A">
        <w:t xml:space="preserve"> TKI in any setting (unless intolerant).</w:t>
      </w:r>
      <w:bookmarkEnd w:id="26"/>
      <w:r w:rsidR="00A411F4" w:rsidRPr="589E218A">
        <w:t xml:space="preserve"> </w:t>
      </w:r>
      <w:bookmarkEnd w:id="25"/>
    </w:p>
    <w:p w14:paraId="47E27C51" w14:textId="0F980B6F" w:rsidR="00EF09BD" w:rsidRPr="00EF09BD" w:rsidRDefault="00754A1B" w:rsidP="00F331D1">
      <w:pPr>
        <w:pStyle w:val="3-BodyText"/>
        <w:ind w:left="709" w:hanging="709"/>
      </w:pPr>
      <w:bookmarkStart w:id="27" w:name="_Ref195090966"/>
      <w:r w:rsidRPr="589E218A">
        <w:t>The proposed</w:t>
      </w:r>
      <w:r w:rsidR="00022612" w:rsidRPr="589E218A">
        <w:t xml:space="preserve"> </w:t>
      </w:r>
      <w:r w:rsidR="00732144" w:rsidRPr="00646C3A">
        <w:t>population criterion for amivantamab (‘patient must have evidence in tumour material of an activating epidermal growth factor receptor (</w:t>
      </w:r>
      <w:r w:rsidR="00732144" w:rsidRPr="00D7303B">
        <w:rPr>
          <w:i/>
          <w:iCs/>
        </w:rPr>
        <w:t>EGFR</w:t>
      </w:r>
      <w:r w:rsidR="00732144" w:rsidRPr="00646C3A">
        <w:t xml:space="preserve">) gene mutation known to confer sensitivity to treatment with </w:t>
      </w:r>
      <w:r w:rsidR="00732144" w:rsidRPr="00D7303B">
        <w:rPr>
          <w:i/>
          <w:iCs/>
        </w:rPr>
        <w:t>EGFR</w:t>
      </w:r>
      <w:r w:rsidR="00732144" w:rsidRPr="00646C3A">
        <w:t xml:space="preserve"> tyrosine kinase inhibitors’)</w:t>
      </w:r>
      <w:r w:rsidRPr="00646C3A">
        <w:t xml:space="preserve"> </w:t>
      </w:r>
      <w:r w:rsidRPr="589E218A">
        <w:t>is broader than the requested TGA indications and the inclusion criteria of the pivotal trial (MARIPOSA)</w:t>
      </w:r>
      <w:r w:rsidR="004D25A6" w:rsidRPr="589E218A">
        <w:t>.</w:t>
      </w:r>
      <w:r w:rsidRPr="589E218A">
        <w:t xml:space="preserve"> </w:t>
      </w:r>
      <w:r w:rsidR="004D25A6" w:rsidRPr="589E218A">
        <w:t>T</w:t>
      </w:r>
      <w:r w:rsidRPr="589E218A">
        <w:t xml:space="preserve">he requested TGA indications and inclusion criteria of MARIPOSA specify the treatment of patients with the </w:t>
      </w:r>
      <w:r w:rsidR="00F639C0" w:rsidRPr="589E218A">
        <w:rPr>
          <w:i/>
          <w:iCs/>
        </w:rPr>
        <w:t>EGFR</w:t>
      </w:r>
      <w:r w:rsidRPr="589E218A">
        <w:t xml:space="preserve"> mutations exon 19 deletions or exon 21 L858R substitution, while the proposed PBS listing does not specify the </w:t>
      </w:r>
      <w:r w:rsidR="00F639C0" w:rsidRPr="589E218A">
        <w:rPr>
          <w:i/>
          <w:iCs/>
        </w:rPr>
        <w:t>EGFR</w:t>
      </w:r>
      <w:r w:rsidRPr="589E218A">
        <w:t xml:space="preserve"> mutations.</w:t>
      </w:r>
      <w:bookmarkEnd w:id="27"/>
      <w:r w:rsidRPr="589E218A">
        <w:t xml:space="preserve"> </w:t>
      </w:r>
    </w:p>
    <w:p w14:paraId="46067FC7" w14:textId="6368677E" w:rsidR="00D31A53" w:rsidRPr="00D31A53" w:rsidRDefault="00754A1B" w:rsidP="001819AF">
      <w:pPr>
        <w:pStyle w:val="ListParagraph"/>
        <w:ind w:left="1276"/>
        <w:jc w:val="both"/>
      </w:pPr>
      <w:r w:rsidRPr="589E218A">
        <w:t xml:space="preserve">The submission </w:t>
      </w:r>
      <w:r w:rsidR="00B459B2" w:rsidRPr="589E218A">
        <w:t xml:space="preserve">stated </w:t>
      </w:r>
      <w:r w:rsidRPr="589E218A">
        <w:t xml:space="preserve">that the exclusion of criteria specific to exon status from the proposed PBS listing was informed by the PBAC and MSAC’s acceptance of advice from an </w:t>
      </w:r>
      <w:r w:rsidR="00F639C0" w:rsidRPr="589E218A">
        <w:rPr>
          <w:i/>
          <w:iCs/>
        </w:rPr>
        <w:t>EGFR</w:t>
      </w:r>
      <w:r w:rsidRPr="589E218A">
        <w:t xml:space="preserve">/TKI stakeholder meeting held on October 2012 prior to their considerations of erlotinib, gefitinib and afatinib submissions for NSCLC. </w:t>
      </w:r>
      <w:r w:rsidR="00D10DA1">
        <w:t>T</w:t>
      </w:r>
      <w:r w:rsidRPr="589E218A">
        <w:t xml:space="preserve">he </w:t>
      </w:r>
      <w:r w:rsidRPr="589E218A">
        <w:rPr>
          <w:i/>
          <w:iCs/>
        </w:rPr>
        <w:t>EGFR</w:t>
      </w:r>
      <w:r w:rsidRPr="589E218A">
        <w:t xml:space="preserve">/TKI stakeholder meeting advised that a PBS restriction should not specify the specific </w:t>
      </w:r>
      <w:r w:rsidRPr="589E218A">
        <w:rPr>
          <w:i/>
          <w:iCs/>
        </w:rPr>
        <w:t>EGFR</w:t>
      </w:r>
      <w:r w:rsidRPr="589E218A">
        <w:t xml:space="preserve"> activating mutations</w:t>
      </w:r>
      <w:r w:rsidR="001D4313" w:rsidRPr="589E218A">
        <w:t>,</w:t>
      </w:r>
      <w:r w:rsidRPr="589E218A">
        <w:t xml:space="preserve"> noting that the strongest evidence is limited to the </w:t>
      </w:r>
      <w:r w:rsidRPr="589E218A">
        <w:rPr>
          <w:i/>
          <w:iCs/>
        </w:rPr>
        <w:t>EGFR</w:t>
      </w:r>
      <w:r w:rsidRPr="589E218A">
        <w:t xml:space="preserve"> ex19del and L858R mutations, which are estimated to account for about 70% of detected </w:t>
      </w:r>
      <w:r w:rsidRPr="589E218A">
        <w:rPr>
          <w:i/>
          <w:iCs/>
        </w:rPr>
        <w:t>EGFR</w:t>
      </w:r>
      <w:r w:rsidRPr="589E218A">
        <w:t xml:space="preserve"> mutations (para</w:t>
      </w:r>
      <w:r w:rsidR="0083047B" w:rsidRPr="589E218A">
        <w:t>graph</w:t>
      </w:r>
      <w:r w:rsidRPr="589E218A">
        <w:t xml:space="preserve"> 3.3, osimertinib PSD, November 2023). </w:t>
      </w:r>
    </w:p>
    <w:p w14:paraId="24BBC10B" w14:textId="45646108" w:rsidR="00754A1B" w:rsidRPr="004128CD" w:rsidRDefault="00754A1B" w:rsidP="001819AF">
      <w:pPr>
        <w:pStyle w:val="ListParagraph"/>
        <w:ind w:left="1276"/>
        <w:jc w:val="both"/>
      </w:pPr>
      <w:r w:rsidRPr="589E218A">
        <w:t xml:space="preserve">The submission further </w:t>
      </w:r>
      <w:r w:rsidR="000C54AD" w:rsidRPr="589E218A">
        <w:t xml:space="preserve">stated </w:t>
      </w:r>
      <w:r w:rsidRPr="589E218A">
        <w:t>that the same population criterion</w:t>
      </w:r>
      <w:r w:rsidR="00697B9A" w:rsidRPr="589E218A">
        <w:t xml:space="preserve"> </w:t>
      </w:r>
      <w:r w:rsidR="00B2220E" w:rsidRPr="589E218A">
        <w:t>as</w:t>
      </w:r>
      <w:r w:rsidR="00697B9A" w:rsidRPr="589E218A">
        <w:t xml:space="preserve"> proposed by the submission</w:t>
      </w:r>
      <w:r w:rsidR="00676683">
        <w:t xml:space="preserve"> (i.e. without the particular </w:t>
      </w:r>
      <w:r w:rsidR="00676683" w:rsidRPr="00676683">
        <w:rPr>
          <w:i/>
          <w:iCs/>
        </w:rPr>
        <w:t>EGFR</w:t>
      </w:r>
      <w:r w:rsidR="00676683">
        <w:t xml:space="preserve"> mutation specified)</w:t>
      </w:r>
      <w:r w:rsidRPr="589E218A">
        <w:t xml:space="preserve"> has since been recommended by the PBAC for the PBS-listing of osimertinib. </w:t>
      </w:r>
      <w:r w:rsidR="00635F3F" w:rsidRPr="589E218A">
        <w:t>T</w:t>
      </w:r>
      <w:r w:rsidRPr="589E218A">
        <w:t xml:space="preserve">he clinical evidence provided to support the claim, the FLAURA trial, specified inclusion of patients with </w:t>
      </w:r>
      <w:r w:rsidR="00F639C0" w:rsidRPr="589E218A">
        <w:rPr>
          <w:i/>
          <w:iCs/>
        </w:rPr>
        <w:t>EGFR</w:t>
      </w:r>
      <w:r w:rsidRPr="589E218A">
        <w:t xml:space="preserve"> ex19del and L858R, either alone or in combination with other mutations (para</w:t>
      </w:r>
      <w:r w:rsidR="00CF2375" w:rsidRPr="589E218A">
        <w:t>graph</w:t>
      </w:r>
      <w:r w:rsidRPr="589E218A">
        <w:t xml:space="preserve"> 6.5, osimertinib PSD July 2019 and July 2020), and the recommended PBS listing did not specify the detection of those mutations (para</w:t>
      </w:r>
      <w:r w:rsidR="00CF2375" w:rsidRPr="589E218A">
        <w:t>graph</w:t>
      </w:r>
      <w:r w:rsidRPr="589E218A">
        <w:t xml:space="preserve"> 8.1, osimertinib PSD July 2020).</w:t>
      </w:r>
      <w:r w:rsidR="00472E98" w:rsidRPr="589E218A">
        <w:t xml:space="preserve"> </w:t>
      </w:r>
      <w:r w:rsidR="00460C0E" w:rsidRPr="589E218A">
        <w:t>However, the TGA indication for osimertinib is consistent with the osimertinib PBS-listing</w:t>
      </w:r>
      <w:r w:rsidR="00A23344">
        <w:t>,</w:t>
      </w:r>
      <w:r w:rsidR="00460C0E" w:rsidRPr="589E218A">
        <w:t xml:space="preserve"> as it does not specify the specific mutations</w:t>
      </w:r>
      <w:r w:rsidR="004778A5">
        <w:t>,</w:t>
      </w:r>
      <w:r w:rsidR="00460C0E" w:rsidRPr="589E218A">
        <w:t xml:space="preserve"> stating that the ‘tumours must have activating </w:t>
      </w:r>
      <w:r w:rsidR="00F639C0" w:rsidRPr="589E218A">
        <w:rPr>
          <w:i/>
          <w:iCs/>
        </w:rPr>
        <w:t>EGFR</w:t>
      </w:r>
      <w:r w:rsidR="00460C0E" w:rsidRPr="589E218A">
        <w:t xml:space="preserve"> mutations’.</w:t>
      </w:r>
      <w:r w:rsidRPr="589E218A">
        <w:t xml:space="preserve"> </w:t>
      </w:r>
    </w:p>
    <w:p w14:paraId="51E9768C" w14:textId="0F8876F3" w:rsidR="00754A1B" w:rsidRPr="001819AF" w:rsidRDefault="00600340" w:rsidP="00AA0A9C">
      <w:pPr>
        <w:ind w:left="709"/>
      </w:pPr>
      <w:r w:rsidRPr="001819AF">
        <w:t>In addition to</w:t>
      </w:r>
      <w:r w:rsidR="009A7F31" w:rsidRPr="001819AF">
        <w:t xml:space="preserve"> osimertinib, t</w:t>
      </w:r>
      <w:r w:rsidR="00754A1B" w:rsidRPr="001819AF">
        <w:t xml:space="preserve">he proposed </w:t>
      </w:r>
      <w:r w:rsidR="00DE4D58" w:rsidRPr="001819AF">
        <w:t>population criteri</w:t>
      </w:r>
      <w:r w:rsidR="00EE658B" w:rsidRPr="001819AF">
        <w:t>on</w:t>
      </w:r>
      <w:r w:rsidR="00300A3D" w:rsidRPr="001819AF">
        <w:t xml:space="preserve"> for amivantamab</w:t>
      </w:r>
      <w:r w:rsidR="00CC12C9" w:rsidRPr="001819AF">
        <w:t xml:space="preserve"> that does not specify the specific EGFR mutations</w:t>
      </w:r>
      <w:r w:rsidR="001311C8" w:rsidRPr="000F4EF2">
        <w:rPr>
          <w:i/>
          <w:iCs/>
        </w:rPr>
        <w:t xml:space="preserve"> </w:t>
      </w:r>
      <w:r w:rsidR="00754A1B" w:rsidRPr="589E218A">
        <w:t xml:space="preserve">is consistent with that applied to other </w:t>
      </w:r>
      <w:r w:rsidR="00F639C0" w:rsidRPr="000F4EF2">
        <w:rPr>
          <w:i/>
          <w:iCs/>
        </w:rPr>
        <w:t>EGFR</w:t>
      </w:r>
      <w:r w:rsidR="00754A1B" w:rsidRPr="589E218A">
        <w:t xml:space="preserve">-TKIs (erlotinib, gefitinib and afatinib) currently available on the </w:t>
      </w:r>
      <w:r w:rsidR="00754A1B" w:rsidRPr="001819AF">
        <w:t>PBS</w:t>
      </w:r>
      <w:r w:rsidR="007C418E" w:rsidRPr="001819AF">
        <w:t xml:space="preserve"> for</w:t>
      </w:r>
      <w:r w:rsidR="00047BD5" w:rsidRPr="001819AF">
        <w:t xml:space="preserve"> treating</w:t>
      </w:r>
      <w:r w:rsidR="007C418E" w:rsidRPr="001819AF">
        <w:t xml:space="preserve"> NSCLC</w:t>
      </w:r>
      <w:r w:rsidR="00754A1B" w:rsidRPr="001819AF">
        <w:t>.</w:t>
      </w:r>
    </w:p>
    <w:p w14:paraId="0475B181" w14:textId="77217AE4" w:rsidR="00754A1B" w:rsidRPr="00040FBE" w:rsidRDefault="00754A1B" w:rsidP="00D7733C">
      <w:pPr>
        <w:pStyle w:val="3-BodyText"/>
        <w:ind w:left="709" w:hanging="709"/>
      </w:pPr>
      <w:bookmarkStart w:id="28" w:name="_Ref195610569"/>
      <w:r w:rsidRPr="589E218A">
        <w:t>The criteria proposed for continuing treatment with A+L, ‘Patient must not have developed disease progression while receiving treatment with this drug for this condition’ was not consistent with treatment practice in</w:t>
      </w:r>
      <w:r w:rsidR="000A275E">
        <w:t xml:space="preserve"> the</w:t>
      </w:r>
      <w:r w:rsidRPr="589E218A">
        <w:t xml:space="preserve"> MARIPOSA</w:t>
      </w:r>
      <w:r w:rsidR="000A275E">
        <w:t xml:space="preserve"> trial</w:t>
      </w:r>
      <w:r w:rsidR="00B47204" w:rsidRPr="589E218A">
        <w:t>, but consistent with the draft PI</w:t>
      </w:r>
      <w:r w:rsidR="004A6926">
        <w:t>s</w:t>
      </w:r>
      <w:r w:rsidRPr="589E218A">
        <w:t>. In MARIPOSA, patients who progressed on A+L were allowed to continue treatment at the discretion of the investigator: at the primary data cut off point, 53.1% of patients in the A+L arm whose disease had progressed were still receiving treatment with A+L. The potential applicability</w:t>
      </w:r>
      <w:r w:rsidR="003A601E">
        <w:t xml:space="preserve"> issue associated with</w:t>
      </w:r>
      <w:r w:rsidRPr="589E218A">
        <w:t xml:space="preserve"> this difference </w:t>
      </w:r>
      <w:r w:rsidR="006A4E56" w:rsidRPr="589E218A">
        <w:t>between</w:t>
      </w:r>
      <w:r w:rsidRPr="589E218A">
        <w:t xml:space="preserve"> the proposed listing and the trial evidence with regard to treatment beyond progression </w:t>
      </w:r>
      <w:r w:rsidRPr="00C25751">
        <w:t xml:space="preserve">is discussed in paragraph </w:t>
      </w:r>
      <w:r w:rsidRPr="00C25751">
        <w:rPr>
          <w:bCs/>
          <w:iCs/>
        </w:rPr>
        <w:fldChar w:fldCharType="begin"/>
      </w:r>
      <w:r w:rsidRPr="00C25751">
        <w:rPr>
          <w:bCs/>
          <w:iCs/>
        </w:rPr>
        <w:instrText xml:space="preserve"> REF _Ref187666722 \r \h </w:instrText>
      </w:r>
      <w:r w:rsidR="00941E3D" w:rsidRPr="00C25751">
        <w:rPr>
          <w:bCs/>
          <w:iCs/>
        </w:rPr>
        <w:instrText xml:space="preserve"> \* MERGEFORMAT </w:instrText>
      </w:r>
      <w:r w:rsidRPr="00C25751">
        <w:rPr>
          <w:bCs/>
          <w:iCs/>
        </w:rPr>
      </w:r>
      <w:r w:rsidRPr="00C25751">
        <w:rPr>
          <w:bCs/>
          <w:iCs/>
        </w:rPr>
        <w:fldChar w:fldCharType="separate"/>
      </w:r>
      <w:r w:rsidR="00184F9A" w:rsidRPr="00184F9A">
        <w:t>6.19</w:t>
      </w:r>
      <w:r w:rsidRPr="00C25751">
        <w:rPr>
          <w:bCs/>
          <w:iCs/>
        </w:rPr>
        <w:fldChar w:fldCharType="end"/>
      </w:r>
      <w:r w:rsidRPr="00C25751">
        <w:t>.</w:t>
      </w:r>
      <w:r w:rsidR="00ED6413" w:rsidRPr="00C25751">
        <w:t xml:space="preserve"> The</w:t>
      </w:r>
      <w:r w:rsidR="00ED6413" w:rsidRPr="00A86B8E">
        <w:t xml:space="preserve"> draft</w:t>
      </w:r>
      <w:r w:rsidR="00ED6413" w:rsidRPr="589E218A">
        <w:t xml:space="preserve"> PI states that </w:t>
      </w:r>
      <w:r w:rsidR="0002718C" w:rsidRPr="589E218A">
        <w:t>A+L</w:t>
      </w:r>
      <w:r w:rsidR="00ED6413" w:rsidRPr="589E218A">
        <w:t xml:space="preserve"> </w:t>
      </w:r>
      <w:r w:rsidR="009110EA" w:rsidRPr="589E218A">
        <w:t>should be administered until progression or unacceptable toxicity</w:t>
      </w:r>
      <w:r w:rsidR="007661D3" w:rsidRPr="589E218A">
        <w:t xml:space="preserve"> or no longer tolerated by the patient</w:t>
      </w:r>
      <w:r w:rsidR="009110EA" w:rsidRPr="589E218A">
        <w:t>.</w:t>
      </w:r>
      <w:bookmarkEnd w:id="28"/>
    </w:p>
    <w:p w14:paraId="75A191EA" w14:textId="7105DE30" w:rsidR="00040FBE" w:rsidRPr="0095031A" w:rsidRDefault="002D31FE" w:rsidP="00D7733C">
      <w:pPr>
        <w:pStyle w:val="3-BodyText"/>
        <w:ind w:left="709" w:hanging="709"/>
      </w:pPr>
      <w:r w:rsidRPr="589E218A">
        <w:t xml:space="preserve">The submission noted that </w:t>
      </w:r>
      <w:r w:rsidR="0042525A" w:rsidRPr="589E218A">
        <w:t xml:space="preserve">approximately </w:t>
      </w:r>
      <w:r w:rsidR="00332532">
        <w:t>&lt;500</w:t>
      </w:r>
      <w:r w:rsidR="003B11AE" w:rsidRPr="589E218A">
        <w:t xml:space="preserve"> </w:t>
      </w:r>
      <w:r w:rsidR="0042525A" w:rsidRPr="589E218A">
        <w:t xml:space="preserve">patients are </w:t>
      </w:r>
      <w:r w:rsidRPr="589E218A">
        <w:t xml:space="preserve">anticipated </w:t>
      </w:r>
      <w:r w:rsidR="0042525A" w:rsidRPr="589E218A">
        <w:t xml:space="preserve">to be grandfathered from an early access program </w:t>
      </w:r>
      <w:r w:rsidRPr="589E218A">
        <w:t>upon PBS listing</w:t>
      </w:r>
      <w:r w:rsidR="00537406" w:rsidRPr="589E218A">
        <w:t>.</w:t>
      </w:r>
      <w:r w:rsidR="00511188" w:rsidRPr="589E218A">
        <w:t xml:space="preserve"> </w:t>
      </w:r>
      <w:r w:rsidR="00511188" w:rsidRPr="001819AF">
        <w:t>The submission</w:t>
      </w:r>
      <w:r w:rsidR="00664BF5">
        <w:t xml:space="preserve"> did not propose a grandfather restriction and</w:t>
      </w:r>
      <w:r w:rsidR="00511188" w:rsidRPr="001819AF">
        <w:t xml:space="preserve"> stated that wording proposed </w:t>
      </w:r>
      <w:r w:rsidR="005E1BF9" w:rsidRPr="001819AF">
        <w:t xml:space="preserve">in the initial restrictions for both amivantamab and </w:t>
      </w:r>
      <w:r w:rsidR="00346278" w:rsidRPr="001819AF">
        <w:t>l</w:t>
      </w:r>
      <w:r w:rsidR="00635330" w:rsidRPr="001819AF">
        <w:t>azertinib provide</w:t>
      </w:r>
      <w:r w:rsidR="003F7E4E" w:rsidRPr="001819AF">
        <w:t>s</w:t>
      </w:r>
      <w:r w:rsidR="00635330" w:rsidRPr="001819AF">
        <w:t xml:space="preserve"> access for both treatment naïve and grandfathered </w:t>
      </w:r>
      <w:r w:rsidR="00635330" w:rsidRPr="0095031A">
        <w:t>patients.</w:t>
      </w:r>
      <w:r w:rsidR="0095031A" w:rsidRPr="0095031A">
        <w:t xml:space="preserve"> </w:t>
      </w:r>
      <w:r w:rsidR="0095031A" w:rsidRPr="0095031A">
        <w:rPr>
          <w:rFonts w:cs="Calibri"/>
          <w:iCs/>
          <w:lang w:val="en-US" w:eastAsia="en-GB"/>
          <w14:ligatures w14:val="standardContextual"/>
        </w:rPr>
        <w:t>The Secretariat has proposed amendments to the restriction wording to better facilitate this access.</w:t>
      </w:r>
    </w:p>
    <w:p w14:paraId="210CD054" w14:textId="75469B79" w:rsidR="00E120D6" w:rsidRPr="001819AF" w:rsidRDefault="00D2679A" w:rsidP="00D7733C">
      <w:pPr>
        <w:pStyle w:val="3-BodyText"/>
        <w:ind w:left="709" w:hanging="709"/>
      </w:pPr>
      <w:bookmarkStart w:id="29" w:name="_Ref190332668"/>
      <w:r w:rsidRPr="001819AF">
        <w:rPr>
          <w14:ligatures w14:val="standardContextual"/>
        </w:rPr>
        <w:t>According to the respective draft TGA PIs for amivantamab and lazertinib, both agents are indicated for use in combination with the other. However, the proposed initial treatment restriction for both agents</w:t>
      </w:r>
      <w:r w:rsidR="006C551F" w:rsidRPr="001819AF">
        <w:rPr>
          <w14:ligatures w14:val="standardContextual"/>
        </w:rPr>
        <w:t xml:space="preserve"> states</w:t>
      </w:r>
      <w:r w:rsidRPr="001819AF">
        <w:rPr>
          <w14:ligatures w14:val="standardContextual"/>
        </w:rPr>
        <w:t xml:space="preserve"> that “</w:t>
      </w:r>
      <w:r w:rsidR="00001080" w:rsidRPr="001819AF">
        <w:rPr>
          <w14:ligatures w14:val="standardContextual"/>
        </w:rPr>
        <w:t>Patient</w:t>
      </w:r>
      <w:r w:rsidRPr="001819AF">
        <w:rPr>
          <w14:ligatures w14:val="standardContextual"/>
        </w:rPr>
        <w:t xml:space="preserve"> </w:t>
      </w:r>
      <w:r w:rsidRPr="00B3468E">
        <w:rPr>
          <w14:ligatures w14:val="standardContextual"/>
        </w:rPr>
        <w:t xml:space="preserve">must be </w:t>
      </w:r>
      <w:r w:rsidRPr="000C0392">
        <w:rPr>
          <w:u w:val="single"/>
          <w14:ligatures w14:val="standardContextual"/>
        </w:rPr>
        <w:t>initiated</w:t>
      </w:r>
      <w:r w:rsidRPr="001819AF">
        <w:rPr>
          <w:b/>
          <w:bCs/>
          <w14:ligatures w14:val="standardContextual"/>
        </w:rPr>
        <w:t xml:space="preserve"> </w:t>
      </w:r>
      <w:r w:rsidRPr="001819AF">
        <w:rPr>
          <w14:ligatures w14:val="standardContextual"/>
        </w:rPr>
        <w:t xml:space="preserve">as a combination therapy consisting of (i) amivantamab and (ii) lazertinib”. This wording </w:t>
      </w:r>
      <w:r w:rsidR="00054FB2">
        <w:rPr>
          <w14:ligatures w14:val="standardContextual"/>
        </w:rPr>
        <w:t>would allow</w:t>
      </w:r>
      <w:r w:rsidRPr="001819AF">
        <w:rPr>
          <w14:ligatures w14:val="standardContextual"/>
        </w:rPr>
        <w:t xml:space="preserve"> patients to discontinue combination therapy and continue with either agent as monotherapy (patients were allowed to continue with monotherapy in the MARIPOSA trial if a study treatment was withheld due to an adverse event or unacceptable toxicity, noting that one or both agents could be restarted upon resolution of toxicity).</w:t>
      </w:r>
      <w:r w:rsidR="00345808" w:rsidRPr="001819AF">
        <w:rPr>
          <w14:ligatures w14:val="standardContextual"/>
        </w:rPr>
        <w:t xml:space="preserve"> </w:t>
      </w:r>
      <w:r w:rsidR="00345808" w:rsidRPr="001819AF">
        <w:t>In the case of recurrent VTEs, the respective PIs state that treatment with one agent must be permanently discontinued, and treatment with the other agent may continue at the physician’s discretion.</w:t>
      </w:r>
      <w:r w:rsidR="00591D28" w:rsidRPr="001819AF">
        <w:t xml:space="preserve"> </w:t>
      </w:r>
      <w:r w:rsidR="00515FFD" w:rsidRPr="001819AF">
        <w:t xml:space="preserve">However, </w:t>
      </w:r>
      <w:r w:rsidR="001A61F2" w:rsidRPr="001819AF">
        <w:t>t</w:t>
      </w:r>
      <w:r w:rsidR="003746E7" w:rsidRPr="001819AF">
        <w:t>he Delegate</w:t>
      </w:r>
      <w:r w:rsidR="003E68FE" w:rsidRPr="001819AF">
        <w:t>'</w:t>
      </w:r>
      <w:r w:rsidR="003746E7" w:rsidRPr="001819AF">
        <w:t xml:space="preserve">s </w:t>
      </w:r>
      <w:r w:rsidR="00211F4C" w:rsidRPr="001819AF">
        <w:t>O</w:t>
      </w:r>
      <w:r w:rsidR="001B3B42" w:rsidRPr="001819AF">
        <w:t>verview notes</w:t>
      </w:r>
      <w:r w:rsidR="000D15A8" w:rsidRPr="001819AF">
        <w:t xml:space="preserve"> that neither amivantamab </w:t>
      </w:r>
      <w:r w:rsidR="003E68FE" w:rsidRPr="001819AF">
        <w:t>n</w:t>
      </w:r>
      <w:r w:rsidR="00E36704" w:rsidRPr="001819AF">
        <w:t xml:space="preserve">or </w:t>
      </w:r>
      <w:r w:rsidR="00E47B1F" w:rsidRPr="001819AF">
        <w:t>lazertinib have been approved for use</w:t>
      </w:r>
      <w:r w:rsidR="004E1FDA" w:rsidRPr="001819AF">
        <w:t xml:space="preserve"> as monotherapy</w:t>
      </w:r>
      <w:r w:rsidR="00E47B1F" w:rsidRPr="001819AF">
        <w:t xml:space="preserve"> in the proposed population</w:t>
      </w:r>
      <w:r w:rsidR="003746E7" w:rsidRPr="001819AF">
        <w:t>; in particular, the efficacy of amivantamab monotherapy in the first-line setting for</w:t>
      </w:r>
      <w:r w:rsidR="001B3B42" w:rsidRPr="001819AF">
        <w:rPr>
          <w:rFonts w:ascii="Segoe UI" w:eastAsia="Times New Roman" w:hAnsi="Segoe UI" w:cs="Segoe UI"/>
          <w:sz w:val="18"/>
          <w:szCs w:val="18"/>
        </w:rPr>
        <w:t xml:space="preserve"> </w:t>
      </w:r>
      <w:r w:rsidR="001B3B42" w:rsidRPr="001819AF">
        <w:t xml:space="preserve">patients with </w:t>
      </w:r>
      <w:r w:rsidR="00F639C0" w:rsidRPr="00D917CB">
        <w:rPr>
          <w:i/>
          <w:iCs/>
        </w:rPr>
        <w:t>EGFR</w:t>
      </w:r>
      <w:r w:rsidR="001B3B42" w:rsidRPr="001819AF">
        <w:t xml:space="preserve"> ex91del or L858R mutated advanced NSCLC has not been established. </w:t>
      </w:r>
      <w:bookmarkEnd w:id="29"/>
    </w:p>
    <w:p w14:paraId="47A553DB" w14:textId="07496FFE" w:rsidR="00F80644" w:rsidRDefault="00C521BA" w:rsidP="00D7733C">
      <w:pPr>
        <w:pStyle w:val="3-BodyText"/>
        <w:ind w:left="709" w:hanging="709"/>
      </w:pPr>
      <w:bookmarkStart w:id="30" w:name="_Ref195108557"/>
      <w:r w:rsidRPr="001819AF">
        <w:rPr>
          <w14:ligatures w14:val="standardContextual"/>
        </w:rPr>
        <w:t>The submission proposed a World Health Organisation (WHO) Eastern Cooperative Oncology Group (ECOG) performance status score of 2 or less as an initiation eligibility criterion. However, the inclusion criteria for the MARIPOSA trial applied a WHO ECOG status of 0 or 1</w:t>
      </w:r>
      <w:r w:rsidR="001B454D" w:rsidRPr="001819AF">
        <w:t>.</w:t>
      </w:r>
      <w:r w:rsidR="00E031F1" w:rsidRPr="001819AF">
        <w:t xml:space="preserve"> </w:t>
      </w:r>
      <w:r w:rsidR="008B670B" w:rsidRPr="001819AF">
        <w:t>The</w:t>
      </w:r>
      <w:r w:rsidR="00577C5A" w:rsidRPr="001819AF">
        <w:t xml:space="preserve"> initial treatment</w:t>
      </w:r>
      <w:r w:rsidR="008B670B" w:rsidRPr="001819AF">
        <w:t xml:space="preserve"> PBS </w:t>
      </w:r>
      <w:r w:rsidR="008B670B" w:rsidRPr="003751EB">
        <w:t xml:space="preserve">restrictions for osimertinib, erlotinib, </w:t>
      </w:r>
      <w:r w:rsidR="00C96357" w:rsidRPr="003751EB">
        <w:t xml:space="preserve">gefitinib and afatinib all specify that </w:t>
      </w:r>
      <w:r w:rsidR="00577C5A" w:rsidRPr="003751EB">
        <w:t>p</w:t>
      </w:r>
      <w:r w:rsidR="008C3A67" w:rsidRPr="003751EB">
        <w:t>atient</w:t>
      </w:r>
      <w:r w:rsidR="00577C5A" w:rsidRPr="003751EB">
        <w:t>s</w:t>
      </w:r>
      <w:r w:rsidR="008C3A67" w:rsidRPr="003751EB">
        <w:t xml:space="preserve"> must have a WHO performance status of 2 or less</w:t>
      </w:r>
      <w:r w:rsidR="00577C5A" w:rsidRPr="003751EB">
        <w:t>.</w:t>
      </w:r>
      <w:r w:rsidR="00E84B4D" w:rsidRPr="003751EB">
        <w:t xml:space="preserve"> However, there is high level of toxicity related to A+L (</w:t>
      </w:r>
      <w:r w:rsidR="006164C2" w:rsidRPr="003751EB">
        <w:t xml:space="preserve">paragraphs </w:t>
      </w:r>
      <w:r w:rsidR="00B93369" w:rsidRPr="003751EB">
        <w:fldChar w:fldCharType="begin"/>
      </w:r>
      <w:r w:rsidR="00B93369" w:rsidRPr="003751EB">
        <w:instrText xml:space="preserve"> REF _Ref191037431 \r \h  \* MERGEFORMAT </w:instrText>
      </w:r>
      <w:r w:rsidR="00B93369" w:rsidRPr="003751EB">
        <w:fldChar w:fldCharType="separate"/>
      </w:r>
      <w:r w:rsidR="00184F9A">
        <w:t>6.37</w:t>
      </w:r>
      <w:r w:rsidR="00B93369" w:rsidRPr="003751EB">
        <w:fldChar w:fldCharType="end"/>
      </w:r>
      <w:r w:rsidR="00B93369" w:rsidRPr="003751EB">
        <w:t>−</w:t>
      </w:r>
      <w:r w:rsidR="00B93369" w:rsidRPr="003751EB">
        <w:fldChar w:fldCharType="begin"/>
      </w:r>
      <w:r w:rsidR="00B93369" w:rsidRPr="003751EB">
        <w:instrText xml:space="preserve"> REF _Ref191037440 \r \h  \* MERGEFORMAT </w:instrText>
      </w:r>
      <w:r w:rsidR="00B93369" w:rsidRPr="003751EB">
        <w:fldChar w:fldCharType="separate"/>
      </w:r>
      <w:r w:rsidR="00184F9A">
        <w:t>6.39</w:t>
      </w:r>
      <w:r w:rsidR="00B93369" w:rsidRPr="003751EB">
        <w:fldChar w:fldCharType="end"/>
      </w:r>
      <w:r w:rsidR="00E84B4D" w:rsidRPr="003751EB">
        <w:t>),</w:t>
      </w:r>
      <w:r w:rsidR="00E84B4D" w:rsidRPr="001819AF">
        <w:t xml:space="preserve"> and therefore </w:t>
      </w:r>
      <w:r w:rsidR="00426065" w:rsidRPr="001819AF">
        <w:t>it may be appropriate for the</w:t>
      </w:r>
      <w:r w:rsidR="00E84B4D" w:rsidRPr="001819AF">
        <w:t xml:space="preserve"> proposed PBS restriction </w:t>
      </w:r>
      <w:r w:rsidR="00426065" w:rsidRPr="001819AF">
        <w:t>to</w:t>
      </w:r>
      <w:r w:rsidR="00E84B4D" w:rsidRPr="001819AF">
        <w:t xml:space="preserve"> match the trial with respect ECOG performance status.</w:t>
      </w:r>
      <w:bookmarkEnd w:id="30"/>
    </w:p>
    <w:p w14:paraId="201665EF" w14:textId="2BB23B2D" w:rsidR="003F5842" w:rsidRPr="001819AF" w:rsidRDefault="003F5842" w:rsidP="007A7746">
      <w:pPr>
        <w:pStyle w:val="3-BodyText"/>
        <w:numPr>
          <w:ilvl w:val="0"/>
          <w:numId w:val="0"/>
        </w:numPr>
        <w:ind w:left="709"/>
      </w:pPr>
      <w:r w:rsidRPr="00C33D30">
        <w:rPr>
          <w:i/>
        </w:rPr>
        <w:t>For more detail on PBAC’s view, see section 7 PBAC outcome.</w:t>
      </w:r>
    </w:p>
    <w:p w14:paraId="322750C5" w14:textId="77777777" w:rsidR="00754A1B" w:rsidRPr="0098262F" w:rsidDel="00195452" w:rsidRDefault="00754A1B" w:rsidP="00754A1B">
      <w:pPr>
        <w:pStyle w:val="2-SectionHeading"/>
      </w:pPr>
      <w:bookmarkStart w:id="31" w:name="_Toc107927623"/>
      <w:bookmarkStart w:id="32" w:name="_Toc188452567"/>
      <w:r w:rsidRPr="0098262F" w:rsidDel="00195452">
        <w:t>Population and disease</w:t>
      </w:r>
      <w:bookmarkEnd w:id="31"/>
      <w:bookmarkEnd w:id="32"/>
    </w:p>
    <w:p w14:paraId="2952642B" w14:textId="35CA7272" w:rsidR="00754A1B" w:rsidRDefault="00754A1B" w:rsidP="00D7733C">
      <w:pPr>
        <w:pStyle w:val="3-BodyText"/>
        <w:ind w:left="709" w:hanging="709"/>
      </w:pPr>
      <w:r w:rsidRPr="00FA6069">
        <w:t>Lung cancer is the fifth most common diagnosed cancer and the leading cause of mortality from cancer amongst Australians</w:t>
      </w:r>
      <w:r>
        <w:t>, with a significantly lower 5-year survival rate compared to other cancer types: m</w:t>
      </w:r>
      <w:r w:rsidRPr="00A84095">
        <w:t xml:space="preserve">ore than half (53%) of lung cancer cases </w:t>
      </w:r>
      <w:r>
        <w:t>are</w:t>
      </w:r>
      <w:r w:rsidRPr="00A84095">
        <w:t xml:space="preserve"> of an advanced stage at diagnosis, (stage </w:t>
      </w:r>
      <w:r w:rsidR="00C25D93">
        <w:t>III</w:t>
      </w:r>
      <w:r w:rsidRPr="00A84095">
        <w:t xml:space="preserve">, 11%; stage </w:t>
      </w:r>
      <w:r w:rsidR="00C25D93">
        <w:t>IV</w:t>
      </w:r>
      <w:r w:rsidRPr="00A84095">
        <w:t>, 42%)</w:t>
      </w:r>
      <w:r>
        <w:rPr>
          <w:rStyle w:val="FootnoteReference"/>
        </w:rPr>
        <w:footnoteReference w:id="2"/>
      </w:r>
      <w:r w:rsidRPr="00A84095">
        <w:t>.</w:t>
      </w:r>
      <w:r>
        <w:t xml:space="preserve"> T</w:t>
      </w:r>
      <w:r w:rsidRPr="00A84095">
        <w:t xml:space="preserve">he 5-year survival rate is approximately 15% for </w:t>
      </w:r>
      <w:r>
        <w:t>stage</w:t>
      </w:r>
      <w:r w:rsidRPr="00A84095">
        <w:t xml:space="preserve"> </w:t>
      </w:r>
      <w:r w:rsidR="00C25D93">
        <w:t>III</w:t>
      </w:r>
      <w:r w:rsidR="00C25D93" w:rsidRPr="00A84095">
        <w:t xml:space="preserve"> </w:t>
      </w:r>
      <w:r w:rsidRPr="00A84095">
        <w:t xml:space="preserve">and only 5% for </w:t>
      </w:r>
      <w:r>
        <w:t>stage</w:t>
      </w:r>
      <w:r w:rsidRPr="00A84095">
        <w:t xml:space="preserve"> </w:t>
      </w:r>
      <w:r w:rsidR="00C25D93">
        <w:t>IV</w:t>
      </w:r>
      <w:r w:rsidR="00C25D93" w:rsidRPr="00A84095">
        <w:t xml:space="preserve"> </w:t>
      </w:r>
      <w:r w:rsidRPr="00A84095">
        <w:t>disease</w:t>
      </w:r>
      <w:r>
        <w:rPr>
          <w:rStyle w:val="FootnoteReference"/>
        </w:rPr>
        <w:footnoteReference w:id="3"/>
      </w:r>
      <w:r w:rsidRPr="00A84095">
        <w:t>.</w:t>
      </w:r>
    </w:p>
    <w:p w14:paraId="58D98DDA" w14:textId="77777777" w:rsidR="00754A1B" w:rsidRDefault="00754A1B" w:rsidP="00D7733C">
      <w:pPr>
        <w:pStyle w:val="3-BodyText"/>
        <w:ind w:left="709" w:hanging="709"/>
      </w:pPr>
      <w:r w:rsidRPr="589E218A">
        <w:t>NSCLC accounts for approximately 86.6% of all lung cancers</w:t>
      </w:r>
      <w:r w:rsidRPr="589E218A">
        <w:rPr>
          <w:rStyle w:val="FootnoteReference"/>
        </w:rPr>
        <w:footnoteReference w:id="4"/>
      </w:r>
      <w:r w:rsidRPr="589E218A">
        <w:t xml:space="preserve"> and comprises adenocarcinoma (40%), squamous cell carcinoma (25-30%) and large cell carcinoma (10-15%)</w:t>
      </w:r>
      <w:r w:rsidRPr="589E218A">
        <w:rPr>
          <w:rStyle w:val="FootnoteReference"/>
        </w:rPr>
        <w:footnoteReference w:id="5"/>
      </w:r>
      <w:r w:rsidRPr="589E218A">
        <w:t>.</w:t>
      </w:r>
    </w:p>
    <w:p w14:paraId="2D23C1EF" w14:textId="77542426" w:rsidR="00754A1B" w:rsidRDefault="00754A1B" w:rsidP="00D7733C">
      <w:pPr>
        <w:pStyle w:val="3-BodyText"/>
        <w:ind w:left="709" w:hanging="709"/>
      </w:pPr>
      <w:r w:rsidRPr="589E218A">
        <w:t>Age standardised incidence rates of NSCLC have been relatively stable over the last twenty years, at 57 cases per 100,000 in 2000 to an estimated 56 cases per 100,000 in 2024</w:t>
      </w:r>
      <w:r w:rsidRPr="589E218A">
        <w:rPr>
          <w:rStyle w:val="FootnoteReference"/>
        </w:rPr>
        <w:t>1</w:t>
      </w:r>
      <w:r w:rsidRPr="589E218A">
        <w:t>. However, the trend in its incidence differs between females and males: the incidence in males has been decreasing (from 84 cases/100,000 in 2000 to an estimated 61 cases/100,000 in 2024),</w:t>
      </w:r>
      <w:r w:rsidR="00871B68" w:rsidRPr="589E218A">
        <w:t xml:space="preserve"> whereas</w:t>
      </w:r>
      <w:r w:rsidRPr="589E218A">
        <w:t xml:space="preserve"> the incidence in females is increasing (36 cases/100,000 in 2000 to an estimated 52 cases/100,000 in 2024). These differences are thought to be attributed to differences in smoking behaviour</w:t>
      </w:r>
      <w:r w:rsidRPr="589E218A">
        <w:rPr>
          <w:rStyle w:val="FootnoteReference"/>
        </w:rPr>
        <w:footnoteReference w:id="6"/>
      </w:r>
      <w:r w:rsidRPr="589E218A">
        <w:t>.</w:t>
      </w:r>
    </w:p>
    <w:p w14:paraId="0635E942" w14:textId="59D0646B" w:rsidR="00754A1B" w:rsidRPr="00390CCF" w:rsidRDefault="00754A1B" w:rsidP="00D7733C">
      <w:pPr>
        <w:pStyle w:val="3-BodyText"/>
        <w:ind w:left="709" w:hanging="709"/>
      </w:pPr>
      <w:r w:rsidRPr="589E218A">
        <w:rPr>
          <w:i/>
          <w:iCs/>
        </w:rPr>
        <w:t>EGFR</w:t>
      </w:r>
      <w:r w:rsidRPr="589E218A">
        <w:t xml:space="preserve"> mutations are one of the most common activating pathway events in NSCLC. Among patients with any stage NSCLC, mutations in the </w:t>
      </w:r>
      <w:r w:rsidRPr="589E218A">
        <w:rPr>
          <w:i/>
          <w:iCs/>
        </w:rPr>
        <w:t>EGFR</w:t>
      </w:r>
      <w:r w:rsidRPr="589E218A">
        <w:t xml:space="preserve"> gene typically occur in exons 18 to 21. Most of these mutations comprise exon 19 deletions (ex19del) and L858R substitution mutations</w:t>
      </w:r>
      <w:r w:rsidRPr="589E218A">
        <w:rPr>
          <w:rStyle w:val="FootnoteReference"/>
        </w:rPr>
        <w:t>2</w:t>
      </w:r>
      <w:r w:rsidRPr="589E218A">
        <w:t xml:space="preserve">, both of which are referred to as classical/common </w:t>
      </w:r>
      <w:r w:rsidR="00F639C0" w:rsidRPr="589E218A">
        <w:rPr>
          <w:i/>
          <w:iCs/>
        </w:rPr>
        <w:t>EGFR</w:t>
      </w:r>
      <w:r w:rsidRPr="589E218A">
        <w:t xml:space="preserve"> mutations or sensitising mutations as they elicit</w:t>
      </w:r>
      <w:r w:rsidR="00293E16" w:rsidRPr="589E218A">
        <w:t xml:space="preserve"> a</w:t>
      </w:r>
      <w:r w:rsidRPr="589E218A">
        <w:t xml:space="preserve"> positive response to </w:t>
      </w:r>
      <w:r w:rsidRPr="589E218A">
        <w:rPr>
          <w:i/>
          <w:iCs/>
        </w:rPr>
        <w:t>EGFR</w:t>
      </w:r>
      <w:r w:rsidRPr="589E218A">
        <w:t xml:space="preserve"> TKI treatment</w:t>
      </w:r>
      <w:r w:rsidRPr="589E218A">
        <w:rPr>
          <w:rStyle w:val="FootnoteReference"/>
        </w:rPr>
        <w:footnoteReference w:id="7"/>
      </w:r>
      <w:r w:rsidRPr="589E218A">
        <w:t xml:space="preserve">. The frequency of </w:t>
      </w:r>
      <w:r w:rsidRPr="00BB5CA1">
        <w:rPr>
          <w:i/>
          <w:iCs/>
        </w:rPr>
        <w:t>EGFR</w:t>
      </w:r>
      <w:r w:rsidRPr="589E218A">
        <w:t xml:space="preserve"> ex19del and L858R substitutions, specifically among patients with advanced </w:t>
      </w:r>
      <w:r w:rsidRPr="00BB5CA1">
        <w:rPr>
          <w:i/>
          <w:iCs/>
        </w:rPr>
        <w:t>EGFR</w:t>
      </w:r>
      <w:r w:rsidRPr="589E218A">
        <w:t>m NSCLC</w:t>
      </w:r>
      <w:r w:rsidR="007928DA" w:rsidRPr="589E218A">
        <w:t>,</w:t>
      </w:r>
      <w:r w:rsidRPr="589E218A">
        <w:t xml:space="preserve"> was reported in the submission to be around 84%</w:t>
      </w:r>
      <w:r w:rsidRPr="589E218A">
        <w:rPr>
          <w:rStyle w:val="FootnoteReference"/>
        </w:rPr>
        <w:footnoteReference w:id="8"/>
      </w:r>
      <w:r w:rsidRPr="589E218A">
        <w:t>.</w:t>
      </w:r>
    </w:p>
    <w:p w14:paraId="5D424451" w14:textId="3295531C" w:rsidR="00754A1B" w:rsidRDefault="00754A1B" w:rsidP="00D7733C">
      <w:pPr>
        <w:pStyle w:val="3-BodyText"/>
        <w:ind w:left="709" w:hanging="709"/>
      </w:pPr>
      <w:r w:rsidRPr="589E218A">
        <w:t xml:space="preserve">In Australia, </w:t>
      </w:r>
      <w:r w:rsidRPr="589E218A">
        <w:rPr>
          <w:i/>
          <w:iCs/>
        </w:rPr>
        <w:t>EGFR</w:t>
      </w:r>
      <w:r w:rsidRPr="589E218A">
        <w:t>m NSCLC occurs predominantly in patients 60</w:t>
      </w:r>
      <w:r w:rsidR="00261644" w:rsidRPr="589E218A">
        <w:t>−</w:t>
      </w:r>
      <w:r w:rsidRPr="589E218A">
        <w:t xml:space="preserve">65 years </w:t>
      </w:r>
      <w:r w:rsidR="00B01C44">
        <w:t>(</w:t>
      </w:r>
      <w:r w:rsidRPr="589E218A">
        <w:t xml:space="preserve">but </w:t>
      </w:r>
      <w:r w:rsidR="00120A26" w:rsidRPr="589E218A">
        <w:t xml:space="preserve">can be </w:t>
      </w:r>
      <w:r w:rsidRPr="589E218A">
        <w:t>diagnosed as young as 30 years</w:t>
      </w:r>
      <w:r w:rsidR="00B01C44">
        <w:t>)</w:t>
      </w:r>
      <w:r w:rsidRPr="589E218A">
        <w:t xml:space="preserve">, </w:t>
      </w:r>
      <w:r w:rsidR="00B01C44">
        <w:t xml:space="preserve">in </w:t>
      </w:r>
      <w:r w:rsidRPr="589E218A">
        <w:t xml:space="preserve">females, </w:t>
      </w:r>
      <w:r w:rsidR="00B01C44">
        <w:t xml:space="preserve">in </w:t>
      </w:r>
      <w:r w:rsidRPr="589E218A">
        <w:t xml:space="preserve">patients who have never smoked, and </w:t>
      </w:r>
      <w:r w:rsidR="00B01C44">
        <w:t xml:space="preserve">in </w:t>
      </w:r>
      <w:r w:rsidRPr="589E218A">
        <w:t>patients having Asian ethnicity</w:t>
      </w:r>
      <w:r w:rsidRPr="589E218A">
        <w:rPr>
          <w:vertAlign w:val="superscript"/>
        </w:rPr>
        <w:t>6,</w:t>
      </w:r>
      <w:r w:rsidRPr="589E218A">
        <w:rPr>
          <w:rStyle w:val="FootnoteReference"/>
        </w:rPr>
        <w:footnoteReference w:id="9"/>
      </w:r>
      <w:r w:rsidRPr="589E218A">
        <w:t xml:space="preserve">. </w:t>
      </w:r>
    </w:p>
    <w:p w14:paraId="3F2600CA" w14:textId="3E6BFB82" w:rsidR="00C7371D" w:rsidRPr="00D917CB" w:rsidRDefault="00C7371D" w:rsidP="00D7733C">
      <w:pPr>
        <w:pStyle w:val="3-BodyText"/>
        <w:ind w:left="709" w:hanging="709"/>
      </w:pPr>
      <w:bookmarkStart w:id="33" w:name="_Ref190277469"/>
      <w:r w:rsidRPr="589E218A">
        <w:t xml:space="preserve">The submission stated that the current and proposed clinical management algorithm was based on the 2023 European Society of Medical Oncology (ESMO) guidelines for </w:t>
      </w:r>
      <w:r w:rsidRPr="589E218A">
        <w:rPr>
          <w:i/>
          <w:iCs/>
        </w:rPr>
        <w:t>EGFR</w:t>
      </w:r>
      <w:r w:rsidRPr="589E218A">
        <w:t>m locally advanced or metastatic NSCLC and the recently published National Comprehensive Cancer Network (NCCN) NSCLC clinical practice guidelines.</w:t>
      </w:r>
      <w:r w:rsidR="00E47B4D" w:rsidRPr="589E218A">
        <w:t xml:space="preserve"> </w:t>
      </w:r>
      <w:r w:rsidR="00E632D2">
        <w:t>However, t</w:t>
      </w:r>
      <w:r w:rsidR="00E47B4D" w:rsidRPr="00D917CB">
        <w:t xml:space="preserve">he </w:t>
      </w:r>
      <w:r w:rsidR="00F71DF9">
        <w:t>PBAC</w:t>
      </w:r>
      <w:r w:rsidR="00F71DF9" w:rsidRPr="00D917CB">
        <w:t xml:space="preserve"> </w:t>
      </w:r>
      <w:r w:rsidR="00E47B4D" w:rsidRPr="00D917CB">
        <w:t>noted that</w:t>
      </w:r>
      <w:r w:rsidR="003358D4" w:rsidRPr="00D917CB">
        <w:t xml:space="preserve"> the treatment algorithm in the submission </w:t>
      </w:r>
      <w:r w:rsidR="008F0B5B" w:rsidRPr="00D917CB">
        <w:t>wa</w:t>
      </w:r>
      <w:r w:rsidR="003358D4" w:rsidRPr="00D917CB">
        <w:t xml:space="preserve">s not reflective of </w:t>
      </w:r>
      <w:r w:rsidR="00377AF4">
        <w:t xml:space="preserve">the </w:t>
      </w:r>
      <w:r w:rsidR="00A24B6E" w:rsidRPr="00D917CB">
        <w:t>NCCN</w:t>
      </w:r>
      <w:r w:rsidR="003358D4" w:rsidRPr="00D917CB">
        <w:t xml:space="preserve"> treatment guidelines:</w:t>
      </w:r>
      <w:r w:rsidR="00FA727A" w:rsidRPr="00D917CB">
        <w:t xml:space="preserve"> although</w:t>
      </w:r>
      <w:r w:rsidR="00E47B4D" w:rsidRPr="00D917CB">
        <w:t xml:space="preserve"> guidelines</w:t>
      </w:r>
      <w:r w:rsidR="00EF3127">
        <w:t xml:space="preserve"> do</w:t>
      </w:r>
      <w:r w:rsidR="00E47B4D" w:rsidRPr="00D917CB">
        <w:t xml:space="preserve"> </w:t>
      </w:r>
      <w:r w:rsidR="0060233D">
        <w:t>include</w:t>
      </w:r>
      <w:r w:rsidR="0060233D" w:rsidRPr="00D917CB">
        <w:t xml:space="preserve"> </w:t>
      </w:r>
      <w:r w:rsidR="008E2857" w:rsidRPr="00D917CB">
        <w:t xml:space="preserve">A+L </w:t>
      </w:r>
      <w:r w:rsidR="004927D3">
        <w:t>as an</w:t>
      </w:r>
      <w:r w:rsidR="00CD64A8">
        <w:t xml:space="preserve"> </w:t>
      </w:r>
      <w:r w:rsidR="004665D4">
        <w:t>‘</w:t>
      </w:r>
      <w:r w:rsidR="004927D3">
        <w:t>other recommended regimen</w:t>
      </w:r>
      <w:r w:rsidR="004665D4">
        <w:t>’</w:t>
      </w:r>
      <w:r w:rsidR="004927D3">
        <w:t xml:space="preserve"> </w:t>
      </w:r>
      <w:r w:rsidR="008E2857" w:rsidRPr="00D917CB">
        <w:t xml:space="preserve">for treatment of </w:t>
      </w:r>
      <w:r w:rsidR="008E2857" w:rsidRPr="00AC274A">
        <w:rPr>
          <w:i/>
          <w:iCs/>
        </w:rPr>
        <w:t>de novo</w:t>
      </w:r>
      <w:r w:rsidR="008E2857" w:rsidRPr="00D917CB">
        <w:t xml:space="preserve"> diagnosed</w:t>
      </w:r>
      <w:r w:rsidR="00D9358D" w:rsidRPr="00D917CB">
        <w:t xml:space="preserve"> </w:t>
      </w:r>
      <w:r w:rsidR="00D9358D" w:rsidRPr="002457DA">
        <w:rPr>
          <w:i/>
          <w:iCs/>
        </w:rPr>
        <w:t>EGFR</w:t>
      </w:r>
      <w:r w:rsidR="00D9358D" w:rsidRPr="00D917CB">
        <w:t>m NSCLC</w:t>
      </w:r>
      <w:r w:rsidR="00FA727A" w:rsidRPr="00D917CB">
        <w:t xml:space="preserve">, </w:t>
      </w:r>
      <w:r w:rsidR="00E138D6" w:rsidRPr="00D917CB">
        <w:t>osimertinib is</w:t>
      </w:r>
      <w:r w:rsidR="00FA727A" w:rsidRPr="00D917CB">
        <w:t xml:space="preserve"> the preferred treatment</w:t>
      </w:r>
      <w:r w:rsidR="00110D2A" w:rsidRPr="00D917CB">
        <w:t xml:space="preserve"> over A</w:t>
      </w:r>
      <w:r w:rsidR="00110D2A" w:rsidRPr="00164610">
        <w:t>+L</w:t>
      </w:r>
      <w:r w:rsidR="00E4152A" w:rsidRPr="00164610">
        <w:t xml:space="preserve"> (NSCL-21 of the NCCN guidelines)</w:t>
      </w:r>
      <w:r w:rsidR="00B04FF1" w:rsidRPr="00164610">
        <w:t>.</w:t>
      </w:r>
      <w:bookmarkEnd w:id="33"/>
      <w:r w:rsidR="002961B7" w:rsidRPr="00164610">
        <w:t xml:space="preserve"> </w:t>
      </w:r>
      <w:r w:rsidR="00831202" w:rsidRPr="00164610">
        <w:t>The PBAC noted that the 2025 ESMO Oncogene-Addicted Metastatic Non-Small-Cell Lung</w:t>
      </w:r>
      <w:r w:rsidR="00831202">
        <w:t xml:space="preserve"> Cancer Living Guideline</w:t>
      </w:r>
      <w:r w:rsidR="00D76BC3">
        <w:t>s</w:t>
      </w:r>
      <w:r w:rsidR="00831202">
        <w:t xml:space="preserve"> </w:t>
      </w:r>
      <w:r w:rsidR="00831202" w:rsidRPr="00164610">
        <w:t>recommended osimertinib + chemotherapy</w:t>
      </w:r>
      <w:r w:rsidR="005959F8" w:rsidRPr="00164610">
        <w:t xml:space="preserve"> </w:t>
      </w:r>
      <w:r w:rsidR="00164610">
        <w:t>o</w:t>
      </w:r>
      <w:r w:rsidR="005959F8" w:rsidRPr="00164610">
        <w:t>r</w:t>
      </w:r>
      <w:r w:rsidR="00831202" w:rsidRPr="00164610">
        <w:t xml:space="preserve"> A+L</w:t>
      </w:r>
      <w:r w:rsidR="003762B5" w:rsidRPr="00164610">
        <w:rPr>
          <w:rStyle w:val="FootnoteReference"/>
        </w:rPr>
        <w:footnoteReference w:id="10"/>
      </w:r>
      <w:r w:rsidR="00761488" w:rsidRPr="00164610">
        <w:t>, with the same level of pre</w:t>
      </w:r>
      <w:r w:rsidR="003A5289" w:rsidRPr="00164610">
        <w:t>ference</w:t>
      </w:r>
      <w:r w:rsidR="00831202" w:rsidRPr="00164610">
        <w:t>.</w:t>
      </w:r>
      <w:r w:rsidR="008E2857" w:rsidRPr="00164610">
        <w:t xml:space="preserve"> </w:t>
      </w:r>
      <w:r w:rsidR="004512BF" w:rsidRPr="00164610">
        <w:t>The</w:t>
      </w:r>
      <w:r w:rsidR="004512BF">
        <w:t xml:space="preserve"> PBAC noted that the combination of </w:t>
      </w:r>
      <w:r w:rsidR="007154E4">
        <w:t xml:space="preserve">amivantamab with chemotherapy was recommended as a </w:t>
      </w:r>
      <w:r w:rsidR="008D0375">
        <w:t xml:space="preserve">second </w:t>
      </w:r>
      <w:r w:rsidR="007154E4">
        <w:t xml:space="preserve">line regimen following progression on </w:t>
      </w:r>
      <w:r w:rsidR="008D0375">
        <w:t>o</w:t>
      </w:r>
      <w:r w:rsidR="007154E4">
        <w:t>simertinib in the guidelines referred to above.</w:t>
      </w:r>
    </w:p>
    <w:p w14:paraId="4A73A3FA" w14:textId="491647C6" w:rsidR="006E7269" w:rsidRPr="00390CCF" w:rsidRDefault="006E7269" w:rsidP="00D7733C">
      <w:pPr>
        <w:pStyle w:val="3-BodyText"/>
        <w:ind w:left="709" w:hanging="709"/>
      </w:pPr>
      <w:r w:rsidRPr="589E218A">
        <w:t>The submission considered that in both the current and proposed algorithms</w:t>
      </w:r>
      <w:r w:rsidR="00BE2F22" w:rsidRPr="589E218A">
        <w:t>,</w:t>
      </w:r>
      <w:r w:rsidRPr="589E218A">
        <w:t xml:space="preserve"> patients who experience disease progression on first-line treatment, either with osimertinib or A+L</w:t>
      </w:r>
      <w:r w:rsidR="00155045" w:rsidRPr="589E218A">
        <w:t>,</w:t>
      </w:r>
      <w:r w:rsidRPr="589E218A">
        <w:t xml:space="preserve"> will receive chemotherapy or</w:t>
      </w:r>
      <w:r w:rsidR="003238EE" w:rsidRPr="589E218A">
        <w:t xml:space="preserve"> </w:t>
      </w:r>
      <w:r w:rsidR="003238EE" w:rsidRPr="00D917CB">
        <w:t>atezolizumab in combination with bevacizumab and platinum doublet chemotherapy</w:t>
      </w:r>
      <w:r w:rsidRPr="00D917CB">
        <w:t xml:space="preserve"> </w:t>
      </w:r>
      <w:r w:rsidR="003238EE" w:rsidRPr="00D917CB">
        <w:t>(</w:t>
      </w:r>
      <w:r w:rsidRPr="00D917CB">
        <w:t>ABCP</w:t>
      </w:r>
      <w:r w:rsidR="00887392">
        <w:rPr>
          <w:rStyle w:val="FootnoteReference"/>
        </w:rPr>
        <w:footnoteReference w:id="11"/>
      </w:r>
      <w:r w:rsidR="003238EE" w:rsidRPr="00D917CB">
        <w:t>)</w:t>
      </w:r>
      <w:r w:rsidRPr="00D917CB">
        <w:t xml:space="preserve">. </w:t>
      </w:r>
      <w:r w:rsidR="00B54799" w:rsidRPr="00D917CB">
        <w:t xml:space="preserve">The evaluation considered that </w:t>
      </w:r>
      <w:r w:rsidR="00B54799" w:rsidRPr="589E218A">
        <w:t>t</w:t>
      </w:r>
      <w:r w:rsidRPr="589E218A">
        <w:t>his was reasonable. The 2024 NCCN guidelines state that if progression is asymptomatic</w:t>
      </w:r>
      <w:r w:rsidR="00E81A77" w:rsidRPr="589E218A">
        <w:t>,</w:t>
      </w:r>
      <w:r w:rsidRPr="589E218A">
        <w:t xml:space="preserve"> or symptomatic but limited to the brain, subsequent therapy </w:t>
      </w:r>
      <w:r w:rsidR="008C4525" w:rsidRPr="589E218A">
        <w:t xml:space="preserve">can </w:t>
      </w:r>
      <w:r w:rsidRPr="589E218A">
        <w:t>include definitive local consolidative therapy and/or continuing osimertinib, noting that the latter is not permitted on the PBS. If progression is symptomatic and there are multiple lesions, recommended subsequent therapy includes amivantamab in combination with chemotherapy (not currently TGA approved) or a systemic therapy regimen (e.g., carboplatin plus paclitaxel)</w:t>
      </w:r>
      <w:r w:rsidR="00014F52" w:rsidRPr="589E218A">
        <w:t>.</w:t>
      </w:r>
    </w:p>
    <w:p w14:paraId="0EE5167A" w14:textId="3DEF2195" w:rsidR="00754A1B" w:rsidRPr="005B45A4" w:rsidDel="00195452" w:rsidRDefault="00C67816" w:rsidP="00D7733C">
      <w:pPr>
        <w:pStyle w:val="3-BodyText"/>
        <w:ind w:left="709" w:hanging="709"/>
      </w:pPr>
      <w:r w:rsidRPr="589E218A">
        <w:t>The</w:t>
      </w:r>
      <w:r w:rsidR="00F54A81">
        <w:t>re were no significant</w:t>
      </w:r>
      <w:r w:rsidRPr="589E218A">
        <w:t xml:space="preserve"> difference</w:t>
      </w:r>
      <w:r w:rsidR="00F54A81">
        <w:t>s</w:t>
      </w:r>
      <w:r w:rsidRPr="589E218A">
        <w:t xml:space="preserve"> between the current and proposed </w:t>
      </w:r>
      <w:r w:rsidR="001C4D5C">
        <w:t xml:space="preserve">treatment </w:t>
      </w:r>
      <w:r w:rsidRPr="589E218A">
        <w:t>algorithms</w:t>
      </w:r>
      <w:r w:rsidR="00B8114F">
        <w:t xml:space="preserve"> </w:t>
      </w:r>
      <w:r w:rsidR="00CA5E9D">
        <w:t>a</w:t>
      </w:r>
      <w:r w:rsidR="00B8114F">
        <w:t>part from</w:t>
      </w:r>
      <w:r w:rsidRPr="589E218A">
        <w:t xml:space="preserve"> the introduction of A+L as</w:t>
      </w:r>
      <w:r w:rsidR="00463F86" w:rsidRPr="589E218A">
        <w:t xml:space="preserve"> (i)</w:t>
      </w:r>
      <w:r w:rsidRPr="589E218A">
        <w:t xml:space="preserve"> a first-line treatment option for patients with locally advanced or metastatic </w:t>
      </w:r>
      <w:r w:rsidR="00F639C0" w:rsidRPr="589E218A">
        <w:rPr>
          <w:i/>
          <w:iCs/>
        </w:rPr>
        <w:t>EGFR</w:t>
      </w:r>
      <w:r w:rsidRPr="589E218A">
        <w:t>m NSCLC and</w:t>
      </w:r>
      <w:r w:rsidR="00A67009" w:rsidRPr="589E218A">
        <w:t xml:space="preserve"> (ii)</w:t>
      </w:r>
      <w:r w:rsidRPr="589E218A">
        <w:t xml:space="preserve"> for the treatment of patients who have progressed to locally advanced or metastatic disease after prior adjuvant osimertinib therapy. </w:t>
      </w:r>
      <w:r w:rsidR="00754A1B" w:rsidRPr="00D917CB">
        <w:t>The submission justified their proposal for the use of A+L for osimertinib</w:t>
      </w:r>
      <w:r w:rsidR="00C0145C" w:rsidRPr="00D917CB">
        <w:t>-</w:t>
      </w:r>
      <w:r w:rsidR="00754A1B" w:rsidRPr="00D917CB">
        <w:t xml:space="preserve">experienced patients based on advice received from Australian </w:t>
      </w:r>
      <w:r w:rsidR="002E2428" w:rsidRPr="00D917CB">
        <w:t>clinical</w:t>
      </w:r>
      <w:r w:rsidR="00393CB6" w:rsidRPr="00D917CB">
        <w:t xml:space="preserve"> expect</w:t>
      </w:r>
      <w:r w:rsidR="002E2428" w:rsidRPr="00D917CB">
        <w:t xml:space="preserve"> opinion</w:t>
      </w:r>
      <w:r w:rsidR="002C09C8">
        <w:t>, which</w:t>
      </w:r>
      <w:r w:rsidR="002E2428" w:rsidRPr="00D917CB">
        <w:t xml:space="preserve"> suggests that osimertinib rechallenge may be appropriate in many instances as patients are still considered sensitive to </w:t>
      </w:r>
      <w:r w:rsidR="002E2428" w:rsidRPr="00D917CB">
        <w:rPr>
          <w:i/>
          <w:iCs/>
        </w:rPr>
        <w:t>EGFR</w:t>
      </w:r>
      <w:r w:rsidR="002E2428" w:rsidRPr="00D917CB">
        <w:t xml:space="preserve"> TKIs. However,</w:t>
      </w:r>
      <w:r w:rsidR="00F323C7">
        <w:t xml:space="preserve"> the </w:t>
      </w:r>
      <w:r w:rsidR="002E2428" w:rsidRPr="00D917CB">
        <w:t xml:space="preserve">current PBS restrictions do not permit retreatment with </w:t>
      </w:r>
      <w:r w:rsidR="002E2428" w:rsidRPr="00D917CB">
        <w:rPr>
          <w:i/>
          <w:iCs/>
        </w:rPr>
        <w:t>EGFR</w:t>
      </w:r>
      <w:r w:rsidR="002E2428" w:rsidRPr="00D917CB">
        <w:t xml:space="preserve"> TKIs. </w:t>
      </w:r>
    </w:p>
    <w:p w14:paraId="059BEF29" w14:textId="0929C117" w:rsidR="00754A1B" w:rsidRDefault="00BD24C7" w:rsidP="00D7733C">
      <w:pPr>
        <w:pStyle w:val="3-BodyText"/>
        <w:ind w:left="709" w:hanging="709"/>
      </w:pPr>
      <w:r w:rsidRPr="589E218A">
        <w:t xml:space="preserve">Amivantamab is a fully human, immunoglobulin G1 (IgG1) bispecific antibody with high affinity for both </w:t>
      </w:r>
      <w:r w:rsidRPr="589E218A">
        <w:rPr>
          <w:i/>
          <w:iCs/>
        </w:rPr>
        <w:t>EGFR</w:t>
      </w:r>
      <w:r w:rsidRPr="589E218A">
        <w:t xml:space="preserve"> and mesenchymal-epidermal transition (MET) receptors</w:t>
      </w:r>
      <w:r w:rsidR="00754A1B" w:rsidRPr="589E218A">
        <w:t xml:space="preserve">. Lazertinib is an oral, highly potent, third generation, </w:t>
      </w:r>
      <w:r w:rsidR="00754A1B" w:rsidRPr="589E218A">
        <w:rPr>
          <w:i/>
          <w:iCs/>
        </w:rPr>
        <w:t>EGFR</w:t>
      </w:r>
      <w:r w:rsidR="00754A1B" w:rsidRPr="589E218A">
        <w:t xml:space="preserve"> TKI. It selectively inhibits both primary activating </w:t>
      </w:r>
      <w:r w:rsidR="00754A1B" w:rsidRPr="589E218A">
        <w:rPr>
          <w:i/>
          <w:iCs/>
        </w:rPr>
        <w:t>EGFR</w:t>
      </w:r>
      <w:r w:rsidR="00754A1B" w:rsidRPr="589E218A">
        <w:t xml:space="preserve"> mutations (exon 19 deletions and exon 21 L858R substitution mutations) and the </w:t>
      </w:r>
      <w:r w:rsidR="00F639C0" w:rsidRPr="589E218A">
        <w:rPr>
          <w:i/>
          <w:iCs/>
        </w:rPr>
        <w:t>EGFR</w:t>
      </w:r>
      <w:r w:rsidR="00754A1B" w:rsidRPr="589E218A">
        <w:t xml:space="preserve"> T790M resistance mutation, while having less activity against wild-type </w:t>
      </w:r>
      <w:r w:rsidR="00754A1B" w:rsidRPr="589E218A">
        <w:rPr>
          <w:i/>
          <w:iCs/>
        </w:rPr>
        <w:t>EGFR</w:t>
      </w:r>
      <w:r w:rsidR="00754A1B" w:rsidRPr="589E218A">
        <w:t xml:space="preserve"> lazertinib draft PI). A+L acts by targeting the extracellular ligand binding domain and the intracellular active site of </w:t>
      </w:r>
      <w:r w:rsidR="00754A1B" w:rsidRPr="589E218A">
        <w:rPr>
          <w:i/>
          <w:iCs/>
        </w:rPr>
        <w:t>EGFR</w:t>
      </w:r>
      <w:r w:rsidR="00754A1B" w:rsidRPr="589E218A">
        <w:t xml:space="preserve">, respectively, synergistically inhibiting the </w:t>
      </w:r>
      <w:r w:rsidR="00754A1B" w:rsidRPr="589E218A">
        <w:rPr>
          <w:i/>
          <w:iCs/>
        </w:rPr>
        <w:t>EGFR</w:t>
      </w:r>
      <w:r w:rsidR="00754A1B" w:rsidRPr="589E218A">
        <w:t xml:space="preserve"> pathway more potently than either agent alone. </w:t>
      </w:r>
    </w:p>
    <w:p w14:paraId="00265AE3" w14:textId="6C7282F7" w:rsidR="003F5842" w:rsidRPr="00A920E1" w:rsidDel="00195452" w:rsidRDefault="003F5842" w:rsidP="00117C8B">
      <w:pPr>
        <w:pStyle w:val="3-BodyText"/>
        <w:numPr>
          <w:ilvl w:val="0"/>
          <w:numId w:val="0"/>
        </w:numPr>
        <w:ind w:left="709"/>
      </w:pPr>
      <w:r w:rsidRPr="00C33D30">
        <w:rPr>
          <w:i/>
        </w:rPr>
        <w:t>For more detail on PBAC’s view, see section 7 PBAC outcome.</w:t>
      </w:r>
    </w:p>
    <w:p w14:paraId="4A32AB25" w14:textId="77777777" w:rsidR="00754A1B" w:rsidRPr="0098262F" w:rsidRDefault="00754A1B" w:rsidP="00754A1B">
      <w:pPr>
        <w:pStyle w:val="2-SectionHeading"/>
      </w:pPr>
      <w:bookmarkStart w:id="34" w:name="_Toc107927624"/>
      <w:bookmarkStart w:id="35" w:name="_Toc188452568"/>
      <w:r w:rsidRPr="0098262F">
        <w:t>Comparator</w:t>
      </w:r>
      <w:bookmarkEnd w:id="34"/>
      <w:bookmarkEnd w:id="35"/>
    </w:p>
    <w:p w14:paraId="14DC8D93" w14:textId="68CD32AF" w:rsidR="00754A1B" w:rsidRDefault="00754A1B" w:rsidP="00920B8E">
      <w:pPr>
        <w:pStyle w:val="3-BodyText"/>
        <w:ind w:left="720"/>
      </w:pPr>
      <w:r w:rsidRPr="589E218A">
        <w:t>The submission nominated osimertinib as the main comparator for A+L for the two requested populations. The main arguments provided in support of this nomination were</w:t>
      </w:r>
      <w:r w:rsidR="00ED637C">
        <w:t xml:space="preserve"> as follows.</w:t>
      </w:r>
    </w:p>
    <w:p w14:paraId="2BE553FD" w14:textId="326938EE" w:rsidR="00596FAC" w:rsidRPr="00596FAC" w:rsidRDefault="00596FAC" w:rsidP="00920B8E">
      <w:pPr>
        <w:pStyle w:val="3-BodyText"/>
        <w:numPr>
          <w:ilvl w:val="0"/>
          <w:numId w:val="0"/>
        </w:numPr>
        <w:ind w:left="720" w:hanging="720"/>
        <w:rPr>
          <w:b/>
          <w:bCs/>
        </w:rPr>
      </w:pPr>
      <w:r w:rsidRPr="00596FAC">
        <w:rPr>
          <w:b/>
          <w:bCs/>
        </w:rPr>
        <w:t>Locally advanced or metastatic population</w:t>
      </w:r>
      <w:r w:rsidR="00BD65C0">
        <w:rPr>
          <w:b/>
          <w:bCs/>
        </w:rPr>
        <w:t xml:space="preserve"> diagnosed </w:t>
      </w:r>
      <w:r w:rsidR="00BD65C0" w:rsidRPr="00BD65C0">
        <w:rPr>
          <w:b/>
          <w:bCs/>
          <w:i/>
          <w:iCs/>
        </w:rPr>
        <w:t>de novo</w:t>
      </w:r>
    </w:p>
    <w:p w14:paraId="204248D3" w14:textId="289EF623" w:rsidR="00781C24" w:rsidRPr="00164610" w:rsidRDefault="00203814" w:rsidP="00920B8E">
      <w:pPr>
        <w:pStyle w:val="3-BodyText"/>
        <w:ind w:left="720"/>
      </w:pPr>
      <w:r w:rsidRPr="00164610">
        <w:t>The submission stated that b</w:t>
      </w:r>
      <w:r w:rsidR="008D1421" w:rsidRPr="00164610">
        <w:t xml:space="preserve">ased </w:t>
      </w:r>
      <w:r w:rsidR="00754A1B" w:rsidRPr="00164610">
        <w:t>on Drug Utilisation Sub Committee (DUSC) data</w:t>
      </w:r>
      <w:r w:rsidR="000F22AC" w:rsidRPr="00164610">
        <w:t>,</w:t>
      </w:r>
      <w:r w:rsidR="00754A1B" w:rsidRPr="00164610">
        <w:t xml:space="preserve"> approximately 90% of </w:t>
      </w:r>
      <w:r w:rsidR="009D4F61" w:rsidRPr="00164610">
        <w:t xml:space="preserve">the locally advanced or metastatic </w:t>
      </w:r>
      <w:r w:rsidR="009D4F61" w:rsidRPr="00164610">
        <w:rPr>
          <w:i/>
          <w:iCs/>
        </w:rPr>
        <w:t>EGFR</w:t>
      </w:r>
      <w:r w:rsidR="009D4F61" w:rsidRPr="00164610">
        <w:t xml:space="preserve">m NSCLC </w:t>
      </w:r>
      <w:r w:rsidR="00754A1B" w:rsidRPr="00164610">
        <w:t xml:space="preserve">population is currently treated with osimertinib (out of all the PBS-listed </w:t>
      </w:r>
      <w:r w:rsidR="00754A1B" w:rsidRPr="00164610">
        <w:rPr>
          <w:i/>
          <w:iCs/>
        </w:rPr>
        <w:t>EGFR</w:t>
      </w:r>
      <w:r w:rsidR="00754A1B" w:rsidRPr="00164610">
        <w:t xml:space="preserve"> TKIs), hence it is most likely to be replaced by A+L in clinical practice once listed. Osimertinib is also recommended by</w:t>
      </w:r>
      <w:r w:rsidR="00DC687A" w:rsidRPr="00164610">
        <w:t xml:space="preserve"> NCCN</w:t>
      </w:r>
      <w:r w:rsidR="00754A1B" w:rsidRPr="00164610">
        <w:t xml:space="preserve"> clinical guidelines as the preferred first-line treatment for locally advanced/metastatic </w:t>
      </w:r>
      <w:r w:rsidR="00754A1B" w:rsidRPr="00164610">
        <w:rPr>
          <w:i/>
          <w:iCs/>
        </w:rPr>
        <w:t>EGFR</w:t>
      </w:r>
      <w:r w:rsidR="00754A1B" w:rsidRPr="00164610">
        <w:t>m NSCLC</w:t>
      </w:r>
      <w:r w:rsidR="00754A1B" w:rsidRPr="00164610">
        <w:rPr>
          <w:rStyle w:val="FootnoteReference"/>
        </w:rPr>
        <w:footnoteReference w:id="12"/>
      </w:r>
      <w:r w:rsidR="001808C8" w:rsidRPr="00164610">
        <w:t xml:space="preserve"> (paragraph </w:t>
      </w:r>
      <w:r w:rsidR="001808C8" w:rsidRPr="00164610">
        <w:fldChar w:fldCharType="begin"/>
      </w:r>
      <w:r w:rsidR="001808C8" w:rsidRPr="00164610">
        <w:instrText xml:space="preserve"> REF _Ref190277469 \r \h </w:instrText>
      </w:r>
      <w:r w:rsidR="00362BF5" w:rsidRPr="00164610">
        <w:instrText xml:space="preserve"> \* MERGEFORMAT </w:instrText>
      </w:r>
      <w:r w:rsidR="001808C8" w:rsidRPr="00164610">
        <w:fldChar w:fldCharType="separate"/>
      </w:r>
      <w:r w:rsidR="00184F9A">
        <w:t>4.6</w:t>
      </w:r>
      <w:r w:rsidR="001808C8" w:rsidRPr="00164610">
        <w:fldChar w:fldCharType="end"/>
      </w:r>
      <w:r w:rsidR="00362BF5" w:rsidRPr="00164610">
        <w:t>)</w:t>
      </w:r>
      <w:r w:rsidR="00754A1B" w:rsidRPr="00164610">
        <w:t xml:space="preserve">. </w:t>
      </w:r>
    </w:p>
    <w:p w14:paraId="71DCEDE7" w14:textId="6AF0A8E0" w:rsidR="00920B8E" w:rsidRDefault="00A9137B" w:rsidP="00920B8E">
      <w:pPr>
        <w:pStyle w:val="3-BodyText"/>
        <w:ind w:left="720"/>
      </w:pPr>
      <w:r>
        <w:t>While t</w:t>
      </w:r>
      <w:r w:rsidR="00754A1B" w:rsidRPr="589E218A">
        <w:t>he</w:t>
      </w:r>
      <w:r w:rsidR="00810299" w:rsidRPr="589E218A">
        <w:t xml:space="preserve"> </w:t>
      </w:r>
      <w:r w:rsidR="00810299" w:rsidRPr="00A27BCD">
        <w:t>evaluation</w:t>
      </w:r>
      <w:r w:rsidR="00822671" w:rsidRPr="00A27BCD">
        <w:t xml:space="preserve"> and the ESC</w:t>
      </w:r>
      <w:r w:rsidR="00810299" w:rsidRPr="00A27BCD">
        <w:t xml:space="preserve"> considered that the</w:t>
      </w:r>
      <w:r w:rsidR="00754A1B" w:rsidRPr="589E218A">
        <w:t xml:space="preserve"> nomination of osimertinib for this population was appropriate</w:t>
      </w:r>
      <w:r>
        <w:t>,</w:t>
      </w:r>
      <w:r w:rsidR="00754A1B" w:rsidRPr="589E218A">
        <w:t xml:space="preserve"> </w:t>
      </w:r>
      <w:r>
        <w:t>they noted that o</w:t>
      </w:r>
      <w:r w:rsidR="00754A1B" w:rsidRPr="589E218A">
        <w:t>simertinib in combination with platinum and pemetrexed chemotherapy is being considered at the May 2025 PBAC meeting for the same indication and is a relevant near-market comparator.</w:t>
      </w:r>
      <w:r w:rsidR="00D46927" w:rsidRPr="589E218A">
        <w:t xml:space="preserve"> </w:t>
      </w:r>
      <w:r w:rsidR="003216E5" w:rsidRPr="00A27BCD">
        <w:t>The ESC further noted that patients may</w:t>
      </w:r>
      <w:r w:rsidR="00585AC7" w:rsidRPr="00A27BCD">
        <w:t xml:space="preserve"> already be accessing</w:t>
      </w:r>
      <w:r w:rsidR="001D43E2" w:rsidRPr="00A27BCD">
        <w:t xml:space="preserve"> </w:t>
      </w:r>
      <w:r w:rsidR="005220AC" w:rsidRPr="00A27BCD">
        <w:t>o</w:t>
      </w:r>
      <w:r w:rsidR="001D43E2" w:rsidRPr="00A27BCD">
        <w:t xml:space="preserve">simertinib </w:t>
      </w:r>
      <w:r w:rsidR="006A10BB" w:rsidRPr="00A27BCD">
        <w:t>in com</w:t>
      </w:r>
      <w:r w:rsidR="00931EE4" w:rsidRPr="00A27BCD">
        <w:t>bination with chemotherapy</w:t>
      </w:r>
      <w:r w:rsidR="00B562F1" w:rsidRPr="00A27BCD">
        <w:t xml:space="preserve"> given th</w:t>
      </w:r>
      <w:r w:rsidR="00897360" w:rsidRPr="00A27BCD">
        <w:t>at</w:t>
      </w:r>
      <w:r w:rsidR="00B562F1" w:rsidRPr="00A27BCD">
        <w:t xml:space="preserve"> chemotherapy is relatively inexpensive</w:t>
      </w:r>
      <w:r w:rsidR="003055AB" w:rsidRPr="00A27BCD">
        <w:t xml:space="preserve"> and possibly funded by </w:t>
      </w:r>
      <w:r w:rsidR="00736511" w:rsidRPr="00A27BCD">
        <w:t>hospitals or patients.</w:t>
      </w:r>
    </w:p>
    <w:p w14:paraId="6C2FFFCA" w14:textId="6F4FE369" w:rsidR="00754A1B" w:rsidRPr="00656DE4" w:rsidRDefault="00063078" w:rsidP="005A4684">
      <w:pPr>
        <w:pStyle w:val="3-BodyText"/>
        <w:numPr>
          <w:ilvl w:val="0"/>
          <w:numId w:val="0"/>
        </w:numPr>
      </w:pPr>
      <w:r w:rsidRPr="00596FAC">
        <w:rPr>
          <w:b/>
          <w:bCs/>
        </w:rPr>
        <w:t>Locally advanced or metastatic population</w:t>
      </w:r>
      <w:r>
        <w:rPr>
          <w:b/>
          <w:bCs/>
        </w:rPr>
        <w:t xml:space="preserve"> </w:t>
      </w:r>
      <w:r w:rsidR="00D71D55">
        <w:rPr>
          <w:b/>
          <w:bCs/>
        </w:rPr>
        <w:t>following prior adjuvant osimertinib</w:t>
      </w:r>
    </w:p>
    <w:p w14:paraId="0480771C" w14:textId="05E04234" w:rsidR="00754A1B" w:rsidRPr="00AD0420" w:rsidRDefault="00286FD7" w:rsidP="000E45F0">
      <w:pPr>
        <w:pStyle w:val="3-BodyText"/>
        <w:ind w:left="709" w:hanging="709"/>
      </w:pPr>
      <w:r>
        <w:t xml:space="preserve">The submission stated that </w:t>
      </w:r>
      <w:r w:rsidRPr="00B701DB">
        <w:rPr>
          <w:bCs/>
        </w:rPr>
        <w:t xml:space="preserve">the PBS-listed treatment for </w:t>
      </w:r>
      <w:r w:rsidR="00636F5F" w:rsidRPr="009C24D6">
        <w:t>patients who have progressed to locally advanced or metastatic disease after prior adjuvant osimertinib therapy</w:t>
      </w:r>
      <w:r w:rsidRPr="00B701DB">
        <w:rPr>
          <w:bCs/>
        </w:rPr>
        <w:t>, ABCP</w:t>
      </w:r>
      <w:r>
        <w:rPr>
          <w:bCs/>
        </w:rPr>
        <w:t>,</w:t>
      </w:r>
      <w:r w:rsidRPr="00B701DB">
        <w:rPr>
          <w:bCs/>
        </w:rPr>
        <w:t xml:space="preserve"> is not </w:t>
      </w:r>
      <w:r>
        <w:rPr>
          <w:bCs/>
        </w:rPr>
        <w:t xml:space="preserve">widely </w:t>
      </w:r>
      <w:r w:rsidRPr="00B701DB">
        <w:rPr>
          <w:bCs/>
        </w:rPr>
        <w:t>used in practice</w:t>
      </w:r>
      <w:r w:rsidR="00FE2C35">
        <w:rPr>
          <w:bCs/>
        </w:rPr>
        <w:t>.</w:t>
      </w:r>
      <w:r w:rsidR="00FD5060">
        <w:rPr>
          <w:bCs/>
        </w:rPr>
        <w:t xml:space="preserve"> The submission stated that </w:t>
      </w:r>
      <w:r w:rsidR="00754A1B" w:rsidRPr="589E218A">
        <w:t>osimertinib rechallenge, if allowed by the PBS</w:t>
      </w:r>
      <w:r w:rsidR="00D37035">
        <w:t>,</w:t>
      </w:r>
      <w:r w:rsidR="00754A1B" w:rsidRPr="589E218A">
        <w:t xml:space="preserve"> would be the preferred treatment option over chemotherapy, given the superior clinical effectiveness of osimertinib compared to chemotherapy in patients with </w:t>
      </w:r>
      <w:r w:rsidR="00754A1B" w:rsidRPr="004C6FA8">
        <w:rPr>
          <w:i/>
          <w:iCs/>
        </w:rPr>
        <w:t>EGFR</w:t>
      </w:r>
      <w:r w:rsidR="00754A1B" w:rsidRPr="589E218A">
        <w:t xml:space="preserve">m NSCLC. </w:t>
      </w:r>
    </w:p>
    <w:p w14:paraId="4F661DF3" w14:textId="69112A02" w:rsidR="00754A1B" w:rsidRPr="006E5342" w:rsidRDefault="00754A1B" w:rsidP="000E45F0">
      <w:pPr>
        <w:pStyle w:val="3-BodyText"/>
        <w:ind w:left="709" w:hanging="709"/>
      </w:pPr>
      <w:r w:rsidRPr="589E218A">
        <w:t>The</w:t>
      </w:r>
      <w:r w:rsidR="004B3F9D" w:rsidRPr="589E218A">
        <w:t xml:space="preserve"> </w:t>
      </w:r>
      <w:r w:rsidR="005F5F7F" w:rsidRPr="00B957A4">
        <w:t>ESC</w:t>
      </w:r>
      <w:r w:rsidR="004B3F9D" w:rsidRPr="00B957A4">
        <w:t xml:space="preserve"> considered that the</w:t>
      </w:r>
      <w:r w:rsidRPr="589E218A">
        <w:t xml:space="preserve"> nomination of osimertinib</w:t>
      </w:r>
      <w:r w:rsidR="00BA0EFA">
        <w:t xml:space="preserve"> as the comparator</w:t>
      </w:r>
      <w:r w:rsidRPr="589E218A">
        <w:t xml:space="preserve"> for </w:t>
      </w:r>
      <w:r w:rsidR="00B0113F" w:rsidRPr="589E218A">
        <w:t>patients previously treated with adjuvant osimertinib</w:t>
      </w:r>
      <w:r w:rsidRPr="589E218A">
        <w:t xml:space="preserve"> was not appropriate given that it is not consistent with the current Australian clinical management algorithm</w:t>
      </w:r>
      <w:r w:rsidR="00702D7E" w:rsidRPr="589E218A">
        <w:t xml:space="preserve"> and ESMO and NCCN guidelines</w:t>
      </w:r>
      <w:r w:rsidR="004B3F9D" w:rsidRPr="589E218A">
        <w:t>,</w:t>
      </w:r>
      <w:r w:rsidRPr="589E218A">
        <w:t xml:space="preserve"> where </w:t>
      </w:r>
      <w:r w:rsidR="00BA28A5" w:rsidRPr="00F426BD">
        <w:t xml:space="preserve">amivantamab + </w:t>
      </w:r>
      <w:r w:rsidRPr="00F426BD">
        <w:t>platinum-based chemotherapy</w:t>
      </w:r>
      <w:r w:rsidR="00BA28A5" w:rsidRPr="00F426BD">
        <w:t>, without lazertinib,</w:t>
      </w:r>
      <w:r w:rsidRPr="00F426BD">
        <w:t xml:space="preserve"> </w:t>
      </w:r>
      <w:r w:rsidRPr="589E218A">
        <w:t xml:space="preserve">is used. Further, PBS-listed osimertinib is excluded for use in patients who have previously received PBS-subsidised treatment with </w:t>
      </w:r>
      <w:r w:rsidRPr="006E5342">
        <w:t>osimertinib</w:t>
      </w:r>
      <w:r w:rsidR="002947C4" w:rsidRPr="006E5342">
        <w:t xml:space="preserve"> (paragraph</w:t>
      </w:r>
      <w:r w:rsidR="00424A5F">
        <w:t xml:space="preserve"> </w:t>
      </w:r>
      <w:r w:rsidR="00424A5F">
        <w:fldChar w:fldCharType="begin"/>
      </w:r>
      <w:r w:rsidR="00424A5F">
        <w:instrText xml:space="preserve"> REF _Ref195610253 \r \h </w:instrText>
      </w:r>
      <w:r w:rsidR="00424A5F">
        <w:fldChar w:fldCharType="separate"/>
      </w:r>
      <w:r w:rsidR="00184F9A">
        <w:t>3.5</w:t>
      </w:r>
      <w:r w:rsidR="00424A5F">
        <w:fldChar w:fldCharType="end"/>
      </w:r>
      <w:r w:rsidR="007E50E6" w:rsidRPr="006E5342">
        <w:t>)</w:t>
      </w:r>
      <w:r w:rsidRPr="006E5342">
        <w:t>.</w:t>
      </w:r>
    </w:p>
    <w:p w14:paraId="7DF9A17B" w14:textId="2045E209" w:rsidR="003F5842" w:rsidRPr="005B45A4" w:rsidRDefault="00AF3F46" w:rsidP="002847F4">
      <w:pPr>
        <w:pStyle w:val="3-BodyText"/>
        <w:numPr>
          <w:ilvl w:val="0"/>
          <w:numId w:val="0"/>
        </w:numPr>
        <w:ind w:left="709"/>
      </w:pPr>
      <w:r w:rsidRPr="00C33D30">
        <w:rPr>
          <w:i/>
        </w:rPr>
        <w:t>For more detail on PBAC’s view, see section 7 PBAC outcome.</w:t>
      </w:r>
    </w:p>
    <w:p w14:paraId="1B97D6A3" w14:textId="77777777" w:rsidR="00754A1B" w:rsidRPr="0098262F" w:rsidRDefault="00754A1B" w:rsidP="00754A1B">
      <w:pPr>
        <w:pStyle w:val="2-SectionHeading"/>
      </w:pPr>
      <w:bookmarkStart w:id="36" w:name="_Toc107927625"/>
      <w:bookmarkStart w:id="37" w:name="_Toc188452569"/>
      <w:bookmarkStart w:id="38" w:name="_Toc22897640"/>
      <w:bookmarkStart w:id="39" w:name="_Toc184892401"/>
      <w:r w:rsidRPr="0098262F">
        <w:t>Consideration of the evidence</w:t>
      </w:r>
      <w:bookmarkEnd w:id="36"/>
      <w:bookmarkEnd w:id="37"/>
    </w:p>
    <w:p w14:paraId="10D32049" w14:textId="06C10FAB" w:rsidR="00962DA5" w:rsidRPr="006E1229" w:rsidRDefault="00962DA5" w:rsidP="00F715F2">
      <w:pPr>
        <w:pStyle w:val="4-SubsectionHeading"/>
      </w:pPr>
      <w:bookmarkStart w:id="40" w:name="_Hlk76375935"/>
      <w:bookmarkStart w:id="41" w:name="_Toc107927626"/>
      <w:bookmarkStart w:id="42" w:name="_Toc188452570"/>
      <w:r w:rsidRPr="006E1229">
        <w:t>Sponsor hearing</w:t>
      </w:r>
    </w:p>
    <w:p w14:paraId="74B54350" w14:textId="5FD6900E" w:rsidR="00962DA5" w:rsidRPr="00F91542" w:rsidRDefault="0033685B" w:rsidP="00962DA5">
      <w:pPr>
        <w:widowControl w:val="0"/>
        <w:numPr>
          <w:ilvl w:val="1"/>
          <w:numId w:val="5"/>
        </w:numPr>
        <w:spacing w:after="120"/>
        <w:ind w:left="720"/>
        <w:rPr>
          <w:rFonts w:cs="Calibri"/>
          <w:bCs/>
          <w:snapToGrid w:val="0"/>
        </w:rPr>
      </w:pPr>
      <w:r w:rsidRPr="00F91542">
        <w:rPr>
          <w:rFonts w:cs="Calibri"/>
          <w:bCs/>
          <w:snapToGrid w:val="0"/>
        </w:rPr>
        <w:t>There was no hearing for this item.</w:t>
      </w:r>
    </w:p>
    <w:p w14:paraId="68E45B28" w14:textId="77777777" w:rsidR="00962DA5" w:rsidRPr="006E1229" w:rsidRDefault="00962DA5" w:rsidP="00F715F2">
      <w:pPr>
        <w:pStyle w:val="4-SubsectionHeading"/>
      </w:pPr>
      <w:r w:rsidRPr="006E1229">
        <w:t>Consumer comments</w:t>
      </w:r>
    </w:p>
    <w:p w14:paraId="47A14168" w14:textId="5F0F6D55" w:rsidR="002166C8" w:rsidRPr="006B3F92" w:rsidRDefault="002166C8" w:rsidP="00962DA5">
      <w:pPr>
        <w:widowControl w:val="0"/>
        <w:numPr>
          <w:ilvl w:val="1"/>
          <w:numId w:val="5"/>
        </w:numPr>
        <w:spacing w:after="120"/>
        <w:ind w:left="720"/>
        <w:rPr>
          <w:rFonts w:asciiTheme="minorHAnsi" w:hAnsiTheme="minorHAnsi"/>
          <w:bCs/>
          <w:snapToGrid w:val="0"/>
        </w:rPr>
      </w:pPr>
      <w:bookmarkStart w:id="43" w:name="_Ref142041243"/>
      <w:bookmarkStart w:id="44" w:name="_Hlk76382618"/>
      <w:r w:rsidRPr="006B3F92">
        <w:rPr>
          <w:rFonts w:asciiTheme="minorHAnsi" w:hAnsiTheme="minorHAnsi"/>
          <w:bCs/>
          <w:snapToGrid w:val="0"/>
        </w:rPr>
        <w:t>The PBAC noted and welcomed the input from individuals (</w:t>
      </w:r>
      <w:r w:rsidR="006B3F92" w:rsidRPr="006B3F92">
        <w:rPr>
          <w:rFonts w:asciiTheme="minorHAnsi" w:hAnsiTheme="minorHAnsi"/>
          <w:bCs/>
          <w:snapToGrid w:val="0"/>
        </w:rPr>
        <w:t>74</w:t>
      </w:r>
      <w:r w:rsidRPr="006B3F92">
        <w:rPr>
          <w:rFonts w:asciiTheme="minorHAnsi" w:hAnsiTheme="minorHAnsi"/>
          <w:bCs/>
          <w:snapToGrid w:val="0"/>
        </w:rPr>
        <w:t>)</w:t>
      </w:r>
      <w:r w:rsidR="004663D0" w:rsidRPr="006B3F92">
        <w:rPr>
          <w:rFonts w:asciiTheme="minorHAnsi" w:hAnsiTheme="minorHAnsi"/>
          <w:bCs/>
          <w:snapToGrid w:val="0"/>
        </w:rPr>
        <w:t xml:space="preserve">, </w:t>
      </w:r>
      <w:r w:rsidRPr="006B3F92">
        <w:rPr>
          <w:rFonts w:asciiTheme="minorHAnsi" w:hAnsiTheme="minorHAnsi"/>
          <w:bCs/>
          <w:snapToGrid w:val="0"/>
        </w:rPr>
        <w:t>health care professionals (3)</w:t>
      </w:r>
      <w:r w:rsidR="00A95AC7" w:rsidRPr="006B3F92">
        <w:rPr>
          <w:rFonts w:asciiTheme="minorHAnsi" w:hAnsiTheme="minorHAnsi"/>
          <w:bCs/>
          <w:snapToGrid w:val="0"/>
        </w:rPr>
        <w:t xml:space="preserve"> and organisations (</w:t>
      </w:r>
      <w:r w:rsidR="00533634" w:rsidRPr="006B3F92">
        <w:rPr>
          <w:rFonts w:asciiTheme="minorHAnsi" w:hAnsiTheme="minorHAnsi"/>
          <w:bCs/>
          <w:snapToGrid w:val="0"/>
        </w:rPr>
        <w:t>3</w:t>
      </w:r>
      <w:r w:rsidR="00A95AC7" w:rsidRPr="006B3F92">
        <w:rPr>
          <w:rFonts w:asciiTheme="minorHAnsi" w:hAnsiTheme="minorHAnsi"/>
          <w:bCs/>
          <w:snapToGrid w:val="0"/>
        </w:rPr>
        <w:t>)</w:t>
      </w:r>
      <w:r w:rsidRPr="006B3F92">
        <w:rPr>
          <w:rFonts w:asciiTheme="minorHAnsi" w:hAnsiTheme="minorHAnsi"/>
          <w:bCs/>
          <w:snapToGrid w:val="0"/>
        </w:rPr>
        <w:t xml:space="preserve"> via the Consumer Comments facility on the PBS website.</w:t>
      </w:r>
      <w:bookmarkEnd w:id="43"/>
    </w:p>
    <w:p w14:paraId="2E2F2E45" w14:textId="05506634" w:rsidR="00B47D9F" w:rsidRPr="00F74F2B" w:rsidRDefault="00B47D9F" w:rsidP="00B47D9F">
      <w:pPr>
        <w:widowControl w:val="0"/>
        <w:numPr>
          <w:ilvl w:val="1"/>
          <w:numId w:val="5"/>
        </w:numPr>
        <w:spacing w:after="120"/>
        <w:ind w:left="720"/>
        <w:rPr>
          <w:rFonts w:asciiTheme="minorHAnsi" w:hAnsiTheme="minorHAnsi"/>
          <w:bCs/>
          <w:snapToGrid w:val="0"/>
        </w:rPr>
      </w:pPr>
      <w:r w:rsidRPr="00F74F2B">
        <w:rPr>
          <w:rFonts w:asciiTheme="minorHAnsi" w:hAnsiTheme="minorHAnsi"/>
          <w:bCs/>
          <w:snapToGrid w:val="0"/>
        </w:rPr>
        <w:t xml:space="preserve">Rare Cancers Australia stated that the NSCLC </w:t>
      </w:r>
      <w:r w:rsidRPr="00F74F2B">
        <w:rPr>
          <w:rFonts w:asciiTheme="minorHAnsi" w:hAnsiTheme="minorHAnsi" w:cstheme="minorHAnsi"/>
        </w:rPr>
        <w:t xml:space="preserve">patient population </w:t>
      </w:r>
      <w:r w:rsidR="00105C38">
        <w:rPr>
          <w:rFonts w:asciiTheme="minorHAnsi" w:hAnsiTheme="minorHAnsi" w:cstheme="minorHAnsi"/>
        </w:rPr>
        <w:t>is</w:t>
      </w:r>
      <w:r w:rsidRPr="00F74F2B">
        <w:rPr>
          <w:rFonts w:asciiTheme="minorHAnsi" w:hAnsiTheme="minorHAnsi" w:cstheme="minorHAnsi"/>
        </w:rPr>
        <w:t xml:space="preserve"> faced </w:t>
      </w:r>
      <w:r w:rsidR="0016708B" w:rsidRPr="00F74F2B">
        <w:rPr>
          <w:rFonts w:asciiTheme="minorHAnsi" w:hAnsiTheme="minorHAnsi" w:cstheme="minorHAnsi"/>
        </w:rPr>
        <w:t>with significant</w:t>
      </w:r>
      <w:r w:rsidR="00E17E8E" w:rsidRPr="00F74F2B">
        <w:rPr>
          <w:rFonts w:asciiTheme="minorHAnsi" w:hAnsiTheme="minorHAnsi" w:cstheme="minorHAnsi"/>
        </w:rPr>
        <w:t xml:space="preserve"> physical</w:t>
      </w:r>
      <w:r w:rsidRPr="00F74F2B">
        <w:rPr>
          <w:rFonts w:asciiTheme="minorHAnsi" w:hAnsiTheme="minorHAnsi" w:cstheme="minorHAnsi"/>
        </w:rPr>
        <w:t>,</w:t>
      </w:r>
      <w:r w:rsidR="00E17E8E" w:rsidRPr="00F74F2B">
        <w:rPr>
          <w:rFonts w:asciiTheme="minorHAnsi" w:hAnsiTheme="minorHAnsi" w:cstheme="minorHAnsi"/>
        </w:rPr>
        <w:t xml:space="preserve"> psychological and financial challenges</w:t>
      </w:r>
      <w:r w:rsidRPr="00F74F2B">
        <w:rPr>
          <w:rFonts w:asciiTheme="minorHAnsi" w:hAnsiTheme="minorHAnsi" w:cstheme="minorHAnsi"/>
        </w:rPr>
        <w:t>. The organisation stated that</w:t>
      </w:r>
      <w:r w:rsidR="00372759" w:rsidRPr="00F74F2B">
        <w:rPr>
          <w:rFonts w:asciiTheme="minorHAnsi" w:hAnsiTheme="minorHAnsi" w:cstheme="minorHAnsi"/>
        </w:rPr>
        <w:t xml:space="preserve"> A+L has shown</w:t>
      </w:r>
      <w:r w:rsidR="00BC3F58" w:rsidRPr="00F74F2B">
        <w:rPr>
          <w:rFonts w:asciiTheme="minorHAnsi" w:hAnsiTheme="minorHAnsi" w:cstheme="minorHAnsi"/>
        </w:rPr>
        <w:t xml:space="preserve"> strong clinical results, with many patients </w:t>
      </w:r>
      <w:r w:rsidR="005D12A8" w:rsidRPr="00F74F2B">
        <w:rPr>
          <w:rFonts w:asciiTheme="minorHAnsi" w:hAnsiTheme="minorHAnsi" w:cstheme="minorHAnsi"/>
        </w:rPr>
        <w:t>reporting that their disease progression has slowed or halted.</w:t>
      </w:r>
      <w:r w:rsidRPr="00F74F2B">
        <w:rPr>
          <w:rFonts w:asciiTheme="minorHAnsi" w:hAnsiTheme="minorHAnsi" w:cstheme="minorHAnsi"/>
        </w:rPr>
        <w:t xml:space="preserve"> The organisation</w:t>
      </w:r>
      <w:r w:rsidR="00710537" w:rsidRPr="00F74F2B">
        <w:rPr>
          <w:rFonts w:asciiTheme="minorHAnsi" w:hAnsiTheme="minorHAnsi" w:cstheme="minorHAnsi"/>
        </w:rPr>
        <w:t xml:space="preserve"> acknowledged that some patients have experienced </w:t>
      </w:r>
      <w:r w:rsidR="007658EF" w:rsidRPr="00F74F2B">
        <w:rPr>
          <w:rFonts w:asciiTheme="minorHAnsi" w:hAnsiTheme="minorHAnsi" w:cstheme="minorHAnsi"/>
        </w:rPr>
        <w:t>some side effects including shortness of breath, fever, chills, and vomiting</w:t>
      </w:r>
      <w:r w:rsidR="00AA6989" w:rsidRPr="00F74F2B">
        <w:rPr>
          <w:rFonts w:asciiTheme="minorHAnsi" w:hAnsiTheme="minorHAnsi" w:cstheme="minorHAnsi"/>
        </w:rPr>
        <w:t xml:space="preserve">, although noted that intrusive side effects are also associated with the current </w:t>
      </w:r>
      <w:r w:rsidR="00F74F2B" w:rsidRPr="00F74F2B">
        <w:rPr>
          <w:rFonts w:asciiTheme="minorHAnsi" w:hAnsiTheme="minorHAnsi" w:cstheme="minorHAnsi"/>
        </w:rPr>
        <w:t>treatments used</w:t>
      </w:r>
      <w:r w:rsidR="00AA6989" w:rsidRPr="00F74F2B">
        <w:rPr>
          <w:rFonts w:asciiTheme="minorHAnsi" w:hAnsiTheme="minorHAnsi" w:cstheme="minorHAnsi"/>
        </w:rPr>
        <w:t xml:space="preserve"> in NSCLC.</w:t>
      </w:r>
    </w:p>
    <w:p w14:paraId="4E191FD0" w14:textId="43350127" w:rsidR="00B47D9F" w:rsidRPr="00A93A57" w:rsidRDefault="00B47D9F" w:rsidP="00B47D9F">
      <w:pPr>
        <w:widowControl w:val="0"/>
        <w:numPr>
          <w:ilvl w:val="1"/>
          <w:numId w:val="5"/>
        </w:numPr>
        <w:spacing w:after="120"/>
        <w:ind w:left="720"/>
        <w:rPr>
          <w:rFonts w:asciiTheme="minorHAnsi" w:hAnsiTheme="minorHAnsi" w:cstheme="minorHAnsi"/>
          <w:bCs/>
          <w:snapToGrid w:val="0"/>
        </w:rPr>
      </w:pPr>
      <w:r w:rsidRPr="00A93A57">
        <w:rPr>
          <w:rFonts w:asciiTheme="minorHAnsi" w:hAnsiTheme="minorHAnsi" w:cstheme="minorHAnsi"/>
          <w:bCs/>
          <w:snapToGrid w:val="0"/>
        </w:rPr>
        <w:t>Lung Foundation Australia</w:t>
      </w:r>
      <w:r w:rsidR="00C04680" w:rsidRPr="00A93A57">
        <w:rPr>
          <w:rFonts w:asciiTheme="minorHAnsi" w:hAnsiTheme="minorHAnsi" w:cstheme="minorHAnsi"/>
          <w:bCs/>
          <w:snapToGrid w:val="0"/>
        </w:rPr>
        <w:t xml:space="preserve"> wrote </w:t>
      </w:r>
      <w:r w:rsidR="009871A0" w:rsidRPr="00A93A57">
        <w:rPr>
          <w:rFonts w:asciiTheme="minorHAnsi" w:hAnsiTheme="minorHAnsi" w:cstheme="minorHAnsi"/>
          <w:bCs/>
          <w:snapToGrid w:val="0"/>
        </w:rPr>
        <w:t>in</w:t>
      </w:r>
      <w:r w:rsidR="00C04680" w:rsidRPr="00A93A57">
        <w:rPr>
          <w:rFonts w:asciiTheme="minorHAnsi" w:hAnsiTheme="minorHAnsi" w:cstheme="minorHAnsi"/>
          <w:bCs/>
          <w:snapToGrid w:val="0"/>
        </w:rPr>
        <w:t xml:space="preserve"> support </w:t>
      </w:r>
      <w:r w:rsidR="009871A0" w:rsidRPr="00A93A57">
        <w:rPr>
          <w:rFonts w:asciiTheme="minorHAnsi" w:hAnsiTheme="minorHAnsi" w:cstheme="minorHAnsi"/>
          <w:bCs/>
          <w:snapToGrid w:val="0"/>
        </w:rPr>
        <w:t xml:space="preserve">of </w:t>
      </w:r>
      <w:r w:rsidR="00B103C8" w:rsidRPr="00A93A57">
        <w:rPr>
          <w:rFonts w:asciiTheme="minorHAnsi" w:hAnsiTheme="minorHAnsi" w:cstheme="minorHAnsi"/>
          <w:bCs/>
          <w:snapToGrid w:val="0"/>
        </w:rPr>
        <w:t>A+L being listed on the PBS</w:t>
      </w:r>
      <w:r w:rsidR="00B0660A" w:rsidRPr="00A93A57">
        <w:rPr>
          <w:rFonts w:asciiTheme="minorHAnsi" w:hAnsiTheme="minorHAnsi" w:cstheme="minorHAnsi"/>
          <w:bCs/>
          <w:snapToGrid w:val="0"/>
        </w:rPr>
        <w:t xml:space="preserve"> for </w:t>
      </w:r>
      <w:r w:rsidR="009E119F" w:rsidRPr="00A93A57">
        <w:rPr>
          <w:rFonts w:asciiTheme="minorHAnsi" w:hAnsiTheme="minorHAnsi" w:cstheme="minorHAnsi"/>
          <w:bCs/>
          <w:snapToGrid w:val="0"/>
        </w:rPr>
        <w:t xml:space="preserve">NSCLC with </w:t>
      </w:r>
      <w:r w:rsidR="009E119F" w:rsidRPr="00893A2B">
        <w:rPr>
          <w:rFonts w:asciiTheme="minorHAnsi" w:hAnsiTheme="minorHAnsi" w:cstheme="minorHAnsi"/>
          <w:bCs/>
          <w:i/>
          <w:iCs/>
          <w:snapToGrid w:val="0"/>
        </w:rPr>
        <w:t>EGF</w:t>
      </w:r>
      <w:r w:rsidR="00191D4A" w:rsidRPr="00893A2B">
        <w:rPr>
          <w:rFonts w:asciiTheme="minorHAnsi" w:hAnsiTheme="minorHAnsi" w:cstheme="minorHAnsi"/>
          <w:bCs/>
          <w:i/>
          <w:iCs/>
          <w:snapToGrid w:val="0"/>
        </w:rPr>
        <w:t>R</w:t>
      </w:r>
      <w:r w:rsidR="00191D4A" w:rsidRPr="00A93A57">
        <w:rPr>
          <w:rFonts w:asciiTheme="minorHAnsi" w:hAnsiTheme="minorHAnsi" w:cstheme="minorHAnsi"/>
          <w:bCs/>
          <w:snapToGrid w:val="0"/>
        </w:rPr>
        <w:t>m</w:t>
      </w:r>
      <w:r w:rsidR="00EE67AC" w:rsidRPr="00A93A57">
        <w:rPr>
          <w:rFonts w:asciiTheme="minorHAnsi" w:hAnsiTheme="minorHAnsi" w:cstheme="minorHAnsi"/>
          <w:bCs/>
          <w:snapToGrid w:val="0"/>
        </w:rPr>
        <w:t>,</w:t>
      </w:r>
      <w:r w:rsidRPr="00A93A57">
        <w:rPr>
          <w:rFonts w:asciiTheme="minorHAnsi" w:hAnsiTheme="minorHAnsi" w:cstheme="minorHAnsi"/>
          <w:bCs/>
          <w:snapToGrid w:val="0"/>
        </w:rPr>
        <w:t xml:space="preserve"> not</w:t>
      </w:r>
      <w:r w:rsidR="00EE67AC" w:rsidRPr="00A93A57">
        <w:rPr>
          <w:rFonts w:asciiTheme="minorHAnsi" w:hAnsiTheme="minorHAnsi" w:cstheme="minorHAnsi"/>
          <w:bCs/>
          <w:snapToGrid w:val="0"/>
        </w:rPr>
        <w:t xml:space="preserve">ing the </w:t>
      </w:r>
      <w:r w:rsidR="002A35E8" w:rsidRPr="00A93A57">
        <w:rPr>
          <w:rFonts w:asciiTheme="minorHAnsi" w:hAnsiTheme="minorHAnsi" w:cstheme="minorHAnsi"/>
          <w:bCs/>
          <w:snapToGrid w:val="0"/>
        </w:rPr>
        <w:t>health, financial and social cost of lung cancer in</w:t>
      </w:r>
      <w:r w:rsidR="0065493A" w:rsidRPr="00A93A57">
        <w:rPr>
          <w:rFonts w:asciiTheme="minorHAnsi" w:hAnsiTheme="minorHAnsi" w:cstheme="minorHAnsi"/>
          <w:bCs/>
          <w:snapToGrid w:val="0"/>
        </w:rPr>
        <w:t xml:space="preserve"> patients who currently have low survival rates and limited treatment options available</w:t>
      </w:r>
      <w:r w:rsidR="002A35E8" w:rsidRPr="00A93A57">
        <w:rPr>
          <w:rFonts w:asciiTheme="minorHAnsi" w:hAnsiTheme="minorHAnsi" w:cstheme="minorHAnsi"/>
          <w:bCs/>
          <w:snapToGrid w:val="0"/>
        </w:rPr>
        <w:t>.</w:t>
      </w:r>
      <w:r w:rsidR="00780043" w:rsidRPr="00A93A57">
        <w:rPr>
          <w:rFonts w:asciiTheme="minorHAnsi" w:hAnsiTheme="minorHAnsi" w:cstheme="minorHAnsi"/>
          <w:bCs/>
          <w:snapToGrid w:val="0"/>
        </w:rPr>
        <w:t xml:space="preserve"> The organisation emphasised </w:t>
      </w:r>
      <w:r w:rsidRPr="00A93A57">
        <w:rPr>
          <w:rFonts w:asciiTheme="minorHAnsi" w:hAnsiTheme="minorHAnsi" w:cstheme="minorHAnsi"/>
          <w:bCs/>
          <w:snapToGrid w:val="0"/>
        </w:rPr>
        <w:t>that</w:t>
      </w:r>
      <w:r w:rsidR="00950987" w:rsidRPr="00A93A57">
        <w:rPr>
          <w:rFonts w:asciiTheme="minorHAnsi" w:hAnsiTheme="minorHAnsi" w:cstheme="minorHAnsi"/>
          <w:bCs/>
          <w:snapToGrid w:val="0"/>
        </w:rPr>
        <w:t xml:space="preserve"> the median</w:t>
      </w:r>
      <w:r w:rsidR="007B79C6">
        <w:rPr>
          <w:rFonts w:asciiTheme="minorHAnsi" w:hAnsiTheme="minorHAnsi" w:cstheme="minorHAnsi"/>
          <w:bCs/>
          <w:snapToGrid w:val="0"/>
        </w:rPr>
        <w:t xml:space="preserve"> progression free survival</w:t>
      </w:r>
      <w:r w:rsidR="00950987" w:rsidRPr="00A93A57">
        <w:rPr>
          <w:rFonts w:asciiTheme="minorHAnsi" w:hAnsiTheme="minorHAnsi" w:cstheme="minorHAnsi"/>
          <w:bCs/>
          <w:snapToGrid w:val="0"/>
        </w:rPr>
        <w:t xml:space="preserve"> </w:t>
      </w:r>
      <w:r w:rsidR="007B79C6">
        <w:rPr>
          <w:rFonts w:asciiTheme="minorHAnsi" w:hAnsiTheme="minorHAnsi" w:cstheme="minorHAnsi"/>
          <w:bCs/>
          <w:snapToGrid w:val="0"/>
        </w:rPr>
        <w:t>(</w:t>
      </w:r>
      <w:r w:rsidR="00950987" w:rsidRPr="00A93A57">
        <w:rPr>
          <w:rFonts w:asciiTheme="minorHAnsi" w:hAnsiTheme="minorHAnsi" w:cstheme="minorHAnsi"/>
          <w:bCs/>
          <w:snapToGrid w:val="0"/>
        </w:rPr>
        <w:t>PFS</w:t>
      </w:r>
      <w:r w:rsidR="007B79C6">
        <w:rPr>
          <w:rFonts w:asciiTheme="minorHAnsi" w:hAnsiTheme="minorHAnsi" w:cstheme="minorHAnsi"/>
          <w:bCs/>
          <w:snapToGrid w:val="0"/>
        </w:rPr>
        <w:t>)</w:t>
      </w:r>
      <w:r w:rsidR="00950987" w:rsidRPr="00A93A57">
        <w:rPr>
          <w:rFonts w:asciiTheme="minorHAnsi" w:hAnsiTheme="minorHAnsi" w:cstheme="minorHAnsi"/>
          <w:bCs/>
          <w:snapToGrid w:val="0"/>
        </w:rPr>
        <w:t xml:space="preserve"> for A+L was longer </w:t>
      </w:r>
      <w:r w:rsidR="00C96DCE" w:rsidRPr="00A93A57">
        <w:rPr>
          <w:rFonts w:asciiTheme="minorHAnsi" w:hAnsiTheme="minorHAnsi" w:cstheme="minorHAnsi"/>
          <w:bCs/>
          <w:snapToGrid w:val="0"/>
        </w:rPr>
        <w:t>than that for osimertinib</w:t>
      </w:r>
      <w:r w:rsidR="00FD53A7">
        <w:rPr>
          <w:rFonts w:asciiTheme="minorHAnsi" w:hAnsiTheme="minorHAnsi" w:cstheme="minorHAnsi"/>
          <w:bCs/>
          <w:snapToGrid w:val="0"/>
        </w:rPr>
        <w:t xml:space="preserve"> in the pivotal trial</w:t>
      </w:r>
      <w:r w:rsidR="006103B6">
        <w:rPr>
          <w:rFonts w:asciiTheme="minorHAnsi" w:hAnsiTheme="minorHAnsi" w:cstheme="minorHAnsi"/>
          <w:bCs/>
          <w:snapToGrid w:val="0"/>
        </w:rPr>
        <w:t xml:space="preserve"> for </w:t>
      </w:r>
      <w:r w:rsidR="006103B6" w:rsidRPr="00893A2B">
        <w:rPr>
          <w:rFonts w:asciiTheme="minorHAnsi" w:hAnsiTheme="minorHAnsi" w:cstheme="minorHAnsi"/>
          <w:bCs/>
          <w:i/>
          <w:iCs/>
          <w:snapToGrid w:val="0"/>
        </w:rPr>
        <w:t>EGFR</w:t>
      </w:r>
      <w:r w:rsidR="006103B6">
        <w:rPr>
          <w:rFonts w:asciiTheme="minorHAnsi" w:hAnsiTheme="minorHAnsi" w:cstheme="minorHAnsi"/>
          <w:bCs/>
          <w:snapToGrid w:val="0"/>
        </w:rPr>
        <w:t>-mutated NSCLC [MARIPOSA]</w:t>
      </w:r>
      <w:r w:rsidR="00935EEA" w:rsidRPr="00A93A57">
        <w:rPr>
          <w:rFonts w:asciiTheme="minorHAnsi" w:hAnsiTheme="minorHAnsi" w:cstheme="minorHAnsi"/>
          <w:bCs/>
          <w:snapToGrid w:val="0"/>
        </w:rPr>
        <w:t>, and identified this as the most important outcome</w:t>
      </w:r>
      <w:r w:rsidR="00BB7AA3" w:rsidRPr="00A93A57">
        <w:rPr>
          <w:rFonts w:asciiTheme="minorHAnsi" w:hAnsiTheme="minorHAnsi" w:cstheme="minorHAnsi"/>
          <w:bCs/>
          <w:snapToGrid w:val="0"/>
        </w:rPr>
        <w:t xml:space="preserve"> for those people living with or caring for someone with lung cancer.</w:t>
      </w:r>
    </w:p>
    <w:p w14:paraId="6083CD74" w14:textId="63C45444" w:rsidR="00A95AC7" w:rsidRPr="0052409B" w:rsidRDefault="00B47D9F" w:rsidP="00B47D9F">
      <w:pPr>
        <w:widowControl w:val="0"/>
        <w:numPr>
          <w:ilvl w:val="1"/>
          <w:numId w:val="5"/>
        </w:numPr>
        <w:spacing w:after="120"/>
        <w:ind w:left="720"/>
        <w:rPr>
          <w:rFonts w:asciiTheme="minorHAnsi" w:hAnsiTheme="minorHAnsi"/>
          <w:bCs/>
          <w:snapToGrid w:val="0"/>
        </w:rPr>
      </w:pPr>
      <w:r w:rsidRPr="0052409B">
        <w:rPr>
          <w:rFonts w:asciiTheme="minorHAnsi" w:hAnsiTheme="minorHAnsi"/>
          <w:bCs/>
          <w:snapToGrid w:val="0"/>
        </w:rPr>
        <w:t xml:space="preserve">The Medical Oncology Group of Australia (MOGA) also expressed its strong support for the </w:t>
      </w:r>
      <w:r w:rsidR="00850460" w:rsidRPr="0052409B">
        <w:rPr>
          <w:rFonts w:asciiTheme="minorHAnsi" w:hAnsiTheme="minorHAnsi"/>
          <w:bCs/>
          <w:snapToGrid w:val="0"/>
        </w:rPr>
        <w:t>A+L</w:t>
      </w:r>
      <w:r w:rsidRPr="0052409B">
        <w:rPr>
          <w:rFonts w:asciiTheme="minorHAnsi" w:hAnsiTheme="minorHAnsi"/>
          <w:bCs/>
          <w:snapToGrid w:val="0"/>
        </w:rPr>
        <w:t xml:space="preserve"> submission, categorising it as one of the therapies of “high</w:t>
      </w:r>
      <w:r w:rsidR="007012E9" w:rsidRPr="0052409B">
        <w:rPr>
          <w:rFonts w:asciiTheme="minorHAnsi" w:hAnsiTheme="minorHAnsi"/>
          <w:bCs/>
          <w:snapToGrid w:val="0"/>
        </w:rPr>
        <w:t>est</w:t>
      </w:r>
      <w:r w:rsidRPr="0052409B">
        <w:rPr>
          <w:rFonts w:asciiTheme="minorHAnsi" w:hAnsiTheme="minorHAnsi"/>
          <w:bCs/>
          <w:snapToGrid w:val="0"/>
        </w:rPr>
        <w:t xml:space="preserve"> priority for PBS listing” on the basis of the </w:t>
      </w:r>
      <w:r w:rsidR="0085775F" w:rsidRPr="0052409B">
        <w:rPr>
          <w:rFonts w:asciiTheme="minorHAnsi" w:hAnsiTheme="minorHAnsi"/>
          <w:bCs/>
          <w:snapToGrid w:val="0"/>
        </w:rPr>
        <w:t>MARIPOSA</w:t>
      </w:r>
      <w:r w:rsidRPr="0052409B">
        <w:rPr>
          <w:rFonts w:asciiTheme="minorHAnsi" w:hAnsiTheme="minorHAnsi"/>
          <w:bCs/>
          <w:snapToGrid w:val="0"/>
        </w:rPr>
        <w:t xml:space="preserve"> trial. The PBAC noted that the MOGA presented a European Society for Medical Oncology Magnitude of Clinical Benefit Scale (ESMO-MCBS) for </w:t>
      </w:r>
      <w:r w:rsidR="0052409B" w:rsidRPr="0052409B">
        <w:rPr>
          <w:rFonts w:asciiTheme="minorHAnsi" w:hAnsiTheme="minorHAnsi"/>
          <w:bCs/>
          <w:snapToGrid w:val="0"/>
        </w:rPr>
        <w:t>A+L</w:t>
      </w:r>
      <w:r w:rsidRPr="0052409B">
        <w:rPr>
          <w:rFonts w:asciiTheme="minorHAnsi" w:hAnsiTheme="minorHAnsi"/>
          <w:bCs/>
          <w:snapToGrid w:val="0"/>
        </w:rPr>
        <w:t>, which was limited to 3 (out of a maximum of 5, where 5 and 4 represent the grades with substantial improvement),</w:t>
      </w:r>
      <w:r w:rsidRPr="0052409B">
        <w:rPr>
          <w:rStyle w:val="FootnoteReference"/>
          <w:bCs/>
          <w:snapToGrid w:val="0"/>
        </w:rPr>
        <w:footnoteReference w:id="13"/>
      </w:r>
      <w:r w:rsidRPr="0052409B">
        <w:rPr>
          <w:rFonts w:asciiTheme="minorHAnsi" w:hAnsiTheme="minorHAnsi"/>
          <w:bCs/>
          <w:snapToGrid w:val="0"/>
        </w:rPr>
        <w:t xml:space="preserve"> based on a comparison with </w:t>
      </w:r>
      <w:r w:rsidR="00136DFA" w:rsidRPr="0052409B">
        <w:rPr>
          <w:rFonts w:asciiTheme="minorHAnsi" w:hAnsiTheme="minorHAnsi"/>
          <w:bCs/>
          <w:snapToGrid w:val="0"/>
        </w:rPr>
        <w:t>osimertinib</w:t>
      </w:r>
      <w:r w:rsidRPr="0052409B">
        <w:rPr>
          <w:rFonts w:asciiTheme="minorHAnsi" w:hAnsiTheme="minorHAnsi"/>
          <w:bCs/>
          <w:snapToGrid w:val="0"/>
        </w:rPr>
        <w:t>.</w:t>
      </w:r>
    </w:p>
    <w:p w14:paraId="2D907F95" w14:textId="6ABD10BC" w:rsidR="004D6878" w:rsidRPr="00616F36" w:rsidRDefault="004D6878" w:rsidP="004D6878">
      <w:pPr>
        <w:widowControl w:val="0"/>
        <w:numPr>
          <w:ilvl w:val="1"/>
          <w:numId w:val="5"/>
        </w:numPr>
        <w:spacing w:after="120"/>
        <w:ind w:left="720"/>
        <w:rPr>
          <w:rFonts w:asciiTheme="minorHAnsi" w:hAnsiTheme="minorHAnsi"/>
          <w:bCs/>
          <w:snapToGrid w:val="0"/>
        </w:rPr>
      </w:pPr>
      <w:r w:rsidRPr="00616F36">
        <w:rPr>
          <w:rFonts w:asciiTheme="minorHAnsi" w:hAnsiTheme="minorHAnsi"/>
          <w:bCs/>
          <w:snapToGrid w:val="0"/>
        </w:rPr>
        <w:t>The health care professionals</w:t>
      </w:r>
      <w:r w:rsidR="00D73D0E" w:rsidRPr="00616F36">
        <w:rPr>
          <w:rFonts w:asciiTheme="minorHAnsi" w:hAnsiTheme="minorHAnsi"/>
          <w:bCs/>
          <w:snapToGrid w:val="0"/>
        </w:rPr>
        <w:t xml:space="preserve"> (HCPs)</w:t>
      </w:r>
      <w:r w:rsidRPr="00616F36">
        <w:rPr>
          <w:rFonts w:asciiTheme="minorHAnsi" w:hAnsiTheme="minorHAnsi"/>
          <w:bCs/>
          <w:snapToGrid w:val="0"/>
        </w:rPr>
        <w:t xml:space="preserve"> commented on the</w:t>
      </w:r>
      <w:r w:rsidR="00B22405" w:rsidRPr="00616F36">
        <w:rPr>
          <w:rFonts w:asciiTheme="minorHAnsi" w:hAnsiTheme="minorHAnsi"/>
          <w:bCs/>
          <w:snapToGrid w:val="0"/>
        </w:rPr>
        <w:t xml:space="preserve"> </w:t>
      </w:r>
      <w:r w:rsidR="00B34AC0" w:rsidRPr="00616F36">
        <w:rPr>
          <w:rFonts w:asciiTheme="minorHAnsi" w:hAnsiTheme="minorHAnsi"/>
          <w:bCs/>
          <w:snapToGrid w:val="0"/>
        </w:rPr>
        <w:t>survival benefit associated with A+L</w:t>
      </w:r>
      <w:r w:rsidR="00705571" w:rsidRPr="00616F36">
        <w:rPr>
          <w:rFonts w:asciiTheme="minorHAnsi" w:hAnsiTheme="minorHAnsi"/>
          <w:bCs/>
          <w:snapToGrid w:val="0"/>
        </w:rPr>
        <w:t xml:space="preserve"> over osimertinib</w:t>
      </w:r>
      <w:r w:rsidR="00B34AC0" w:rsidRPr="00616F36">
        <w:rPr>
          <w:rFonts w:asciiTheme="minorHAnsi" w:hAnsiTheme="minorHAnsi"/>
          <w:bCs/>
          <w:snapToGrid w:val="0"/>
        </w:rPr>
        <w:t>, noting that some</w:t>
      </w:r>
      <w:r w:rsidR="0070236A" w:rsidRPr="00616F36">
        <w:rPr>
          <w:rFonts w:asciiTheme="minorHAnsi" w:hAnsiTheme="minorHAnsi"/>
          <w:bCs/>
          <w:snapToGrid w:val="0"/>
        </w:rPr>
        <w:t xml:space="preserve"> patients would be willing to accept </w:t>
      </w:r>
      <w:r w:rsidR="00263EBE" w:rsidRPr="00616F36">
        <w:rPr>
          <w:rFonts w:asciiTheme="minorHAnsi" w:hAnsiTheme="minorHAnsi"/>
          <w:bCs/>
          <w:snapToGrid w:val="0"/>
        </w:rPr>
        <w:t xml:space="preserve">the </w:t>
      </w:r>
      <w:r w:rsidR="0070236A" w:rsidRPr="00616F36">
        <w:rPr>
          <w:rFonts w:asciiTheme="minorHAnsi" w:hAnsiTheme="minorHAnsi"/>
          <w:bCs/>
          <w:snapToGrid w:val="0"/>
        </w:rPr>
        <w:t xml:space="preserve">increased </w:t>
      </w:r>
      <w:r w:rsidR="00263EBE" w:rsidRPr="00616F36">
        <w:rPr>
          <w:rFonts w:asciiTheme="minorHAnsi" w:hAnsiTheme="minorHAnsi"/>
          <w:bCs/>
          <w:snapToGrid w:val="0"/>
        </w:rPr>
        <w:t>side effects</w:t>
      </w:r>
      <w:r w:rsidR="006274BE" w:rsidRPr="00616F36">
        <w:rPr>
          <w:rFonts w:asciiTheme="minorHAnsi" w:hAnsiTheme="minorHAnsi"/>
          <w:bCs/>
          <w:snapToGrid w:val="0"/>
        </w:rPr>
        <w:t xml:space="preserve"> of A+L </w:t>
      </w:r>
      <w:r w:rsidR="001E7617" w:rsidRPr="00616F36">
        <w:rPr>
          <w:rFonts w:asciiTheme="minorHAnsi" w:hAnsiTheme="minorHAnsi"/>
          <w:bCs/>
          <w:snapToGrid w:val="0"/>
        </w:rPr>
        <w:t>for a potential improvement in life-expectancy.</w:t>
      </w:r>
      <w:r w:rsidR="00D73D0E" w:rsidRPr="00616F36">
        <w:rPr>
          <w:rFonts w:asciiTheme="minorHAnsi" w:hAnsiTheme="minorHAnsi"/>
          <w:bCs/>
          <w:snapToGrid w:val="0"/>
        </w:rPr>
        <w:t xml:space="preserve"> The HCPs stated that </w:t>
      </w:r>
      <w:r w:rsidR="00990C26" w:rsidRPr="00616F36">
        <w:rPr>
          <w:rFonts w:asciiTheme="minorHAnsi" w:hAnsiTheme="minorHAnsi"/>
          <w:bCs/>
          <w:snapToGrid w:val="0"/>
        </w:rPr>
        <w:t>the risk benefit ratio</w:t>
      </w:r>
      <w:r w:rsidR="009E0CB3" w:rsidRPr="00616F36">
        <w:rPr>
          <w:rFonts w:asciiTheme="minorHAnsi" w:hAnsiTheme="minorHAnsi"/>
          <w:bCs/>
          <w:snapToGrid w:val="0"/>
        </w:rPr>
        <w:t xml:space="preserve"> of A+L</w:t>
      </w:r>
      <w:r w:rsidR="00F51381" w:rsidRPr="00616F36">
        <w:rPr>
          <w:rFonts w:asciiTheme="minorHAnsi" w:hAnsiTheme="minorHAnsi"/>
          <w:bCs/>
          <w:snapToGrid w:val="0"/>
        </w:rPr>
        <w:t xml:space="preserve"> would be considered and discussed on an individual patient basis</w:t>
      </w:r>
      <w:r w:rsidR="002A6AD5" w:rsidRPr="00616F36">
        <w:rPr>
          <w:rFonts w:asciiTheme="minorHAnsi" w:hAnsiTheme="minorHAnsi"/>
          <w:bCs/>
          <w:snapToGrid w:val="0"/>
        </w:rPr>
        <w:t xml:space="preserve">, noting that A+L would not be suitable for all </w:t>
      </w:r>
      <w:r w:rsidR="00616F36" w:rsidRPr="00616F36">
        <w:rPr>
          <w:rFonts w:asciiTheme="minorHAnsi" w:hAnsiTheme="minorHAnsi"/>
          <w:bCs/>
          <w:snapToGrid w:val="0"/>
        </w:rPr>
        <w:t xml:space="preserve">1L metastatic </w:t>
      </w:r>
      <w:r w:rsidR="00616F36" w:rsidRPr="000456B4">
        <w:rPr>
          <w:rFonts w:asciiTheme="minorHAnsi" w:hAnsiTheme="minorHAnsi"/>
          <w:bCs/>
          <w:i/>
          <w:iCs/>
          <w:snapToGrid w:val="0"/>
        </w:rPr>
        <w:t>EGFR</w:t>
      </w:r>
      <w:r w:rsidR="00616F36" w:rsidRPr="00616F36">
        <w:rPr>
          <w:rFonts w:asciiTheme="minorHAnsi" w:hAnsiTheme="minorHAnsi"/>
          <w:bCs/>
          <w:snapToGrid w:val="0"/>
        </w:rPr>
        <w:t xml:space="preserve"> mutant NSCLC patients</w:t>
      </w:r>
      <w:r w:rsidR="00F51381" w:rsidRPr="00616F36">
        <w:rPr>
          <w:rFonts w:asciiTheme="minorHAnsi" w:hAnsiTheme="minorHAnsi"/>
          <w:bCs/>
          <w:snapToGrid w:val="0"/>
        </w:rPr>
        <w:t>.</w:t>
      </w:r>
    </w:p>
    <w:p w14:paraId="008F8B82" w14:textId="50AB52ED" w:rsidR="004D6878" w:rsidRDefault="000227B4" w:rsidP="004D6878">
      <w:pPr>
        <w:widowControl w:val="0"/>
        <w:numPr>
          <w:ilvl w:val="1"/>
          <w:numId w:val="5"/>
        </w:numPr>
        <w:spacing w:after="120"/>
        <w:ind w:left="720"/>
        <w:rPr>
          <w:rFonts w:asciiTheme="minorHAnsi" w:hAnsiTheme="minorHAnsi"/>
          <w:bCs/>
          <w:snapToGrid w:val="0"/>
        </w:rPr>
      </w:pPr>
      <w:bookmarkStart w:id="45" w:name="_Ref142041260"/>
      <w:r>
        <w:rPr>
          <w:rFonts w:asciiTheme="minorHAnsi" w:hAnsiTheme="minorHAnsi"/>
          <w:bCs/>
          <w:snapToGrid w:val="0"/>
        </w:rPr>
        <w:t>T</w:t>
      </w:r>
      <w:bookmarkEnd w:id="45"/>
      <w:r w:rsidR="002213C6" w:rsidRPr="002213C6">
        <w:rPr>
          <w:rFonts w:asciiTheme="minorHAnsi" w:hAnsiTheme="minorHAnsi"/>
          <w:bCs/>
          <w:snapToGrid w:val="0"/>
        </w:rPr>
        <w:t xml:space="preserve">he individuals who commented included someone with experience of taking A+L, those who would like access to A+L for NSCLC (20), a parent/partner or others directly caring for individuals with access to A+L or who would like access to A+L (12), and other interested individuals (including family members, friends, or members of the public) (41). The consumer input from those with the disease and their carers emphasised the high burden of disease and suffering associated with NSCLC, the variable effectiveness of existing treatments, including osimertinib, the side-effects experienced with current treatments and the desire for access to A+L, either because existing treatments had become ineffective and/or were seeking access to an additional line of therapy, if required. Comments described A+L as a treatment that could potentially provide more effective symptom control, improve quality of life, and ease the care-giving burden on families. Possible side effects were noted, with the one individual with access to A+L describing the need to stop amivantamab due to the side effects experienced and continue with lazertinib as monotherapy. Individuals wanting access to A+L considered that side effects were an acceptable trade-off for the potential improvement in both quality and duration of life, however </w:t>
      </w:r>
      <w:r w:rsidR="007E7392">
        <w:rPr>
          <w:rFonts w:asciiTheme="minorHAnsi" w:hAnsiTheme="minorHAnsi"/>
          <w:bCs/>
          <w:snapToGrid w:val="0"/>
        </w:rPr>
        <w:t>they suggested</w:t>
      </w:r>
      <w:r w:rsidR="00CF20FF">
        <w:rPr>
          <w:rFonts w:asciiTheme="minorHAnsi" w:hAnsiTheme="minorHAnsi"/>
          <w:bCs/>
          <w:snapToGrid w:val="0"/>
        </w:rPr>
        <w:t xml:space="preserve"> </w:t>
      </w:r>
      <w:r w:rsidR="00B769EE">
        <w:rPr>
          <w:rFonts w:asciiTheme="minorHAnsi" w:hAnsiTheme="minorHAnsi"/>
          <w:bCs/>
          <w:snapToGrid w:val="0"/>
        </w:rPr>
        <w:t>th</w:t>
      </w:r>
      <w:r w:rsidR="00043061">
        <w:rPr>
          <w:rFonts w:asciiTheme="minorHAnsi" w:hAnsiTheme="minorHAnsi"/>
          <w:bCs/>
          <w:snapToGrid w:val="0"/>
        </w:rPr>
        <w:t>ey were hopeful</w:t>
      </w:r>
      <w:r w:rsidR="00B769EE">
        <w:rPr>
          <w:rFonts w:asciiTheme="minorHAnsi" w:hAnsiTheme="minorHAnsi"/>
          <w:bCs/>
          <w:snapToGrid w:val="0"/>
        </w:rPr>
        <w:t xml:space="preserve"> </w:t>
      </w:r>
      <w:r w:rsidR="002213C6" w:rsidRPr="002213C6">
        <w:rPr>
          <w:rFonts w:asciiTheme="minorHAnsi" w:hAnsiTheme="minorHAnsi"/>
          <w:bCs/>
          <w:snapToGrid w:val="0"/>
        </w:rPr>
        <w:t xml:space="preserve">the side effects </w:t>
      </w:r>
      <w:r w:rsidR="009B61F3">
        <w:rPr>
          <w:rFonts w:asciiTheme="minorHAnsi" w:hAnsiTheme="minorHAnsi"/>
          <w:bCs/>
          <w:snapToGrid w:val="0"/>
        </w:rPr>
        <w:t>would</w:t>
      </w:r>
      <w:r w:rsidR="002213C6" w:rsidRPr="002213C6">
        <w:rPr>
          <w:rFonts w:asciiTheme="minorHAnsi" w:hAnsiTheme="minorHAnsi"/>
          <w:bCs/>
          <w:snapToGrid w:val="0"/>
        </w:rPr>
        <w:t xml:space="preserve"> be less severe than those </w:t>
      </w:r>
      <w:r w:rsidR="009566D1">
        <w:rPr>
          <w:rFonts w:asciiTheme="minorHAnsi" w:hAnsiTheme="minorHAnsi"/>
          <w:bCs/>
          <w:snapToGrid w:val="0"/>
        </w:rPr>
        <w:t>of</w:t>
      </w:r>
      <w:r w:rsidR="002C5D6B">
        <w:rPr>
          <w:rFonts w:asciiTheme="minorHAnsi" w:hAnsiTheme="minorHAnsi"/>
          <w:bCs/>
          <w:snapToGrid w:val="0"/>
        </w:rPr>
        <w:t xml:space="preserve"> </w:t>
      </w:r>
      <w:r w:rsidR="002213C6" w:rsidRPr="002213C6">
        <w:rPr>
          <w:rFonts w:asciiTheme="minorHAnsi" w:hAnsiTheme="minorHAnsi"/>
          <w:bCs/>
          <w:snapToGrid w:val="0"/>
        </w:rPr>
        <w:t>current treatments.</w:t>
      </w:r>
      <w:r w:rsidR="00862C83">
        <w:rPr>
          <w:rFonts w:asciiTheme="minorHAnsi" w:hAnsiTheme="minorHAnsi"/>
          <w:bCs/>
          <w:snapToGrid w:val="0"/>
        </w:rPr>
        <w:t xml:space="preserve"> </w:t>
      </w:r>
      <w:r w:rsidR="002213C6" w:rsidRPr="002213C6">
        <w:rPr>
          <w:rFonts w:asciiTheme="minorHAnsi" w:hAnsiTheme="minorHAnsi"/>
          <w:bCs/>
          <w:snapToGrid w:val="0"/>
        </w:rPr>
        <w:t>The current cost of A+L was noted as a significant barrier to access, particularly in the context of loss of earnings due to the disease and its treatment. The other interested individuals wrote in support of those they knew suffering the social, financial and physical burdens of either having, or caring for, someone with the disease. </w:t>
      </w:r>
      <w:r w:rsidR="00BC4952">
        <w:rPr>
          <w:rFonts w:asciiTheme="minorHAnsi" w:hAnsiTheme="minorHAnsi"/>
          <w:bCs/>
          <w:snapToGrid w:val="0"/>
        </w:rPr>
        <w:t xml:space="preserve">The PBAC </w:t>
      </w:r>
      <w:r w:rsidR="00091D8F">
        <w:rPr>
          <w:rFonts w:asciiTheme="minorHAnsi" w:hAnsiTheme="minorHAnsi"/>
          <w:bCs/>
          <w:snapToGrid w:val="0"/>
        </w:rPr>
        <w:t xml:space="preserve">also </w:t>
      </w:r>
      <w:r w:rsidR="00BC4952">
        <w:rPr>
          <w:rFonts w:asciiTheme="minorHAnsi" w:hAnsiTheme="minorHAnsi"/>
          <w:bCs/>
          <w:snapToGrid w:val="0"/>
        </w:rPr>
        <w:t xml:space="preserve">noted that a number of individuals supported the PBS listing of </w:t>
      </w:r>
      <w:r w:rsidR="00BC4952" w:rsidRPr="00F618C1">
        <w:t>amivantamab</w:t>
      </w:r>
      <w:r w:rsidR="00BC4952">
        <w:t>-based treatment as a second-line regimen following progression on osimertinib.</w:t>
      </w:r>
    </w:p>
    <w:bookmarkEnd w:id="40"/>
    <w:bookmarkEnd w:id="44"/>
    <w:p w14:paraId="2B11D926" w14:textId="59D48E0E" w:rsidR="00754A1B" w:rsidRDefault="00754A1B" w:rsidP="00754A1B">
      <w:pPr>
        <w:pStyle w:val="4-SubsectionHeading"/>
      </w:pPr>
      <w:r w:rsidRPr="0098262F">
        <w:t xml:space="preserve">Clinical </w:t>
      </w:r>
      <w:bookmarkEnd w:id="38"/>
      <w:bookmarkEnd w:id="41"/>
      <w:r>
        <w:t>trial</w:t>
      </w:r>
      <w:bookmarkEnd w:id="42"/>
    </w:p>
    <w:p w14:paraId="798752F7" w14:textId="2A7DECD0" w:rsidR="00C425A0" w:rsidRPr="0077351E" w:rsidRDefault="00C425A0" w:rsidP="008C444D">
      <w:pPr>
        <w:pStyle w:val="3-BodyText"/>
        <w:ind w:left="709" w:hanging="709"/>
        <w:rPr>
          <w:color w:val="0066FF"/>
        </w:rPr>
      </w:pPr>
      <w:r w:rsidRPr="589E218A">
        <w:t>The submission was based on one ongoing head-to-head</w:t>
      </w:r>
      <w:r w:rsidR="008B141B" w:rsidRPr="589E218A">
        <w:t xml:space="preserve"> randomised controlled trial</w:t>
      </w:r>
      <w:r w:rsidRPr="589E218A">
        <w:t xml:space="preserve"> </w:t>
      </w:r>
      <w:r w:rsidR="008B141B" w:rsidRPr="589E218A">
        <w:t>(</w:t>
      </w:r>
      <w:r w:rsidRPr="589E218A">
        <w:t>RCT</w:t>
      </w:r>
      <w:r w:rsidR="008B141B" w:rsidRPr="589E218A">
        <w:t>)</w:t>
      </w:r>
      <w:r w:rsidRPr="589E218A">
        <w:t xml:space="preserve">, MARIPOSA, comparing the efficacy and safety of A+L to osimertinib as first-line treatment in patients with locally advanced or metastatic NSCLC with evidence of an </w:t>
      </w:r>
      <w:r w:rsidR="00F639C0" w:rsidRPr="589E218A">
        <w:rPr>
          <w:i/>
          <w:iCs/>
        </w:rPr>
        <w:t>EGFR</w:t>
      </w:r>
      <w:r w:rsidRPr="589E218A">
        <w:t xml:space="preserve"> gene mutation (specifically, exon 19del or exon 21 L858R substitution) (N=1,074).</w:t>
      </w:r>
    </w:p>
    <w:p w14:paraId="5786CCBC" w14:textId="66D13122" w:rsidR="00C425A0" w:rsidRDefault="00C425A0" w:rsidP="008C444D">
      <w:pPr>
        <w:pStyle w:val="3-BodyText"/>
        <w:ind w:left="709" w:hanging="709"/>
      </w:pPr>
      <w:r>
        <w:t xml:space="preserve">Details of the trial presented in the submission are provided in </w:t>
      </w:r>
      <w:r>
        <w:fldChar w:fldCharType="begin"/>
      </w:r>
      <w:r>
        <w:instrText xml:space="preserve"> REF _Ref187666016 \h </w:instrText>
      </w:r>
      <w:r>
        <w:fldChar w:fldCharType="separate"/>
      </w:r>
      <w:r w:rsidR="00184F9A">
        <w:t xml:space="preserve">Table </w:t>
      </w:r>
      <w:r w:rsidR="00184F9A">
        <w:rPr>
          <w:noProof/>
        </w:rPr>
        <w:t>2</w:t>
      </w:r>
      <w:r>
        <w:fldChar w:fldCharType="end"/>
      </w:r>
      <w:r>
        <w:t>.</w:t>
      </w:r>
    </w:p>
    <w:p w14:paraId="69691DA3" w14:textId="646F693C" w:rsidR="00C425A0" w:rsidRDefault="00C425A0" w:rsidP="00C425A0">
      <w:pPr>
        <w:pStyle w:val="Caption"/>
      </w:pPr>
      <w:bookmarkStart w:id="46" w:name="_Ref186725456"/>
      <w:bookmarkStart w:id="47" w:name="_Ref187666016"/>
      <w:r>
        <w:t xml:space="preserve">Table </w:t>
      </w:r>
      <w:r w:rsidR="001B4556">
        <w:fldChar w:fldCharType="begin"/>
      </w:r>
      <w:r w:rsidR="001B4556">
        <w:instrText xml:space="preserve"> SEQ Table \* ARABIC </w:instrText>
      </w:r>
      <w:r w:rsidR="001B4556">
        <w:fldChar w:fldCharType="separate"/>
      </w:r>
      <w:r w:rsidR="00184F9A">
        <w:rPr>
          <w:noProof/>
        </w:rPr>
        <w:t>2</w:t>
      </w:r>
      <w:r w:rsidR="001B4556">
        <w:rPr>
          <w:noProof/>
        </w:rPr>
        <w:fldChar w:fldCharType="end"/>
      </w:r>
      <w:bookmarkEnd w:id="46"/>
      <w:bookmarkEnd w:id="47"/>
      <w:r>
        <w:t xml:space="preserve">: </w:t>
      </w:r>
      <w:r w:rsidRPr="00B41E59">
        <w:t>Studies presented in the submission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Studies presented in the submission"/>
      </w:tblPr>
      <w:tblGrid>
        <w:gridCol w:w="1129"/>
        <w:gridCol w:w="5244"/>
        <w:gridCol w:w="2644"/>
      </w:tblGrid>
      <w:tr w:rsidR="00C425A0" w:rsidRPr="003912C2" w14:paraId="0C12D3A2" w14:textId="77777777" w:rsidTr="589E218A">
        <w:trPr>
          <w:tblHeader/>
        </w:trPr>
        <w:tc>
          <w:tcPr>
            <w:tcW w:w="626" w:type="pct"/>
            <w:vAlign w:val="center"/>
          </w:tcPr>
          <w:p w14:paraId="00A2F227" w14:textId="77777777" w:rsidR="00C425A0" w:rsidRPr="003912C2" w:rsidRDefault="00C425A0">
            <w:pPr>
              <w:keepNext/>
              <w:jc w:val="left"/>
              <w:rPr>
                <w:rFonts w:ascii="Arial Narrow" w:eastAsiaTheme="majorEastAsia" w:hAnsi="Arial Narrow" w:cs="Times New Roman"/>
                <w:b/>
                <w:sz w:val="20"/>
                <w:lang w:val="en-US"/>
              </w:rPr>
            </w:pPr>
            <w:r w:rsidRPr="003912C2">
              <w:rPr>
                <w:rFonts w:ascii="Arial Narrow" w:eastAsiaTheme="majorEastAsia" w:hAnsi="Arial Narrow" w:cs="Times New Roman"/>
                <w:b/>
                <w:sz w:val="20"/>
                <w:lang w:val="en-US"/>
              </w:rPr>
              <w:t>Trial ID</w:t>
            </w:r>
          </w:p>
        </w:tc>
        <w:tc>
          <w:tcPr>
            <w:tcW w:w="2908" w:type="pct"/>
            <w:vAlign w:val="center"/>
          </w:tcPr>
          <w:p w14:paraId="06305FEB" w14:textId="069EA881" w:rsidR="00C425A0" w:rsidRPr="003912C2" w:rsidRDefault="00C425A0">
            <w:pPr>
              <w:keepNext/>
              <w:jc w:val="left"/>
              <w:rPr>
                <w:rFonts w:ascii="Arial Narrow" w:eastAsiaTheme="majorEastAsia" w:hAnsi="Arial Narrow" w:cs="Times New Roman"/>
                <w:b/>
                <w:sz w:val="20"/>
                <w:lang w:val="en-US"/>
              </w:rPr>
            </w:pPr>
            <w:r w:rsidRPr="003912C2">
              <w:rPr>
                <w:rFonts w:ascii="Arial Narrow" w:eastAsiaTheme="majorEastAsia" w:hAnsi="Arial Narrow" w:cs="Times New Roman"/>
                <w:b/>
                <w:sz w:val="20"/>
                <w:lang w:val="en-US"/>
              </w:rPr>
              <w:t>Protocol title/ Publication title</w:t>
            </w:r>
          </w:p>
        </w:tc>
        <w:tc>
          <w:tcPr>
            <w:tcW w:w="1466" w:type="pct"/>
            <w:vAlign w:val="center"/>
          </w:tcPr>
          <w:p w14:paraId="08DC721F" w14:textId="77777777" w:rsidR="00C425A0" w:rsidRPr="003912C2" w:rsidRDefault="00C425A0">
            <w:pPr>
              <w:keepNext/>
              <w:jc w:val="left"/>
              <w:rPr>
                <w:rFonts w:ascii="Arial Narrow" w:eastAsiaTheme="majorEastAsia" w:hAnsi="Arial Narrow" w:cs="Times New Roman"/>
                <w:b/>
                <w:sz w:val="20"/>
                <w:lang w:val="en-US"/>
              </w:rPr>
            </w:pPr>
            <w:r w:rsidRPr="003912C2">
              <w:rPr>
                <w:rFonts w:ascii="Arial Narrow" w:eastAsiaTheme="majorEastAsia" w:hAnsi="Arial Narrow" w:cs="Times New Roman"/>
                <w:b/>
                <w:sz w:val="20"/>
                <w:lang w:val="en-US"/>
              </w:rPr>
              <w:t>Publication citation</w:t>
            </w:r>
          </w:p>
        </w:tc>
      </w:tr>
      <w:tr w:rsidR="00C425A0" w:rsidRPr="003912C2" w14:paraId="68BC3D21" w14:textId="77777777" w:rsidTr="589E218A">
        <w:trPr>
          <w:trHeight w:val="76"/>
        </w:trPr>
        <w:tc>
          <w:tcPr>
            <w:tcW w:w="626" w:type="pct"/>
            <w:vMerge w:val="restart"/>
            <w:vAlign w:val="center"/>
          </w:tcPr>
          <w:p w14:paraId="494DA32E" w14:textId="77777777" w:rsidR="00C425A0" w:rsidRDefault="00C425A0">
            <w:pPr>
              <w:keepNext/>
              <w:jc w:val="left"/>
              <w:rPr>
                <w:rFonts w:ascii="Arial Narrow" w:eastAsiaTheme="majorEastAsia" w:hAnsi="Arial Narrow" w:cstheme="majorBidi"/>
                <w:bCs/>
                <w:sz w:val="20"/>
              </w:rPr>
            </w:pPr>
            <w:r>
              <w:rPr>
                <w:rFonts w:ascii="Arial Narrow" w:eastAsiaTheme="majorEastAsia" w:hAnsi="Arial Narrow" w:cstheme="majorBidi"/>
                <w:bCs/>
                <w:sz w:val="20"/>
              </w:rPr>
              <w:t xml:space="preserve">MARIPOSA </w:t>
            </w:r>
          </w:p>
          <w:p w14:paraId="427A09FD" w14:textId="77777777" w:rsidR="00C425A0" w:rsidRPr="003912C2" w:rsidRDefault="00C425A0">
            <w:pPr>
              <w:keepNext/>
              <w:jc w:val="left"/>
              <w:rPr>
                <w:rFonts w:ascii="Arial Narrow" w:eastAsiaTheme="majorEastAsia" w:hAnsi="Arial Narrow" w:cstheme="majorBidi"/>
                <w:bCs/>
                <w:sz w:val="20"/>
              </w:rPr>
            </w:pPr>
            <w:r>
              <w:t xml:space="preserve"> </w:t>
            </w:r>
            <w:r w:rsidRPr="00626C63">
              <w:rPr>
                <w:rFonts w:ascii="Arial Narrow" w:eastAsiaTheme="majorEastAsia" w:hAnsi="Arial Narrow" w:cstheme="majorBidi"/>
                <w:bCs/>
                <w:sz w:val="20"/>
              </w:rPr>
              <w:t>NCT04487080</w:t>
            </w:r>
          </w:p>
        </w:tc>
        <w:tc>
          <w:tcPr>
            <w:tcW w:w="2908" w:type="pct"/>
            <w:vAlign w:val="center"/>
          </w:tcPr>
          <w:p w14:paraId="5EDDF8A3" w14:textId="68427A2B" w:rsidR="00C425A0" w:rsidRPr="003912C2" w:rsidRDefault="00C425A0" w:rsidP="589E218A">
            <w:pPr>
              <w:keepNext/>
              <w:jc w:val="left"/>
              <w:rPr>
                <w:rFonts w:ascii="Arial Narrow" w:eastAsiaTheme="majorEastAsia" w:hAnsi="Arial Narrow" w:cstheme="majorBidi"/>
                <w:sz w:val="20"/>
                <w:szCs w:val="20"/>
              </w:rPr>
            </w:pPr>
            <w:r w:rsidRPr="589E218A">
              <w:rPr>
                <w:rFonts w:ascii="Arial Narrow" w:eastAsiaTheme="majorEastAsia" w:hAnsi="Arial Narrow" w:cstheme="majorBidi"/>
                <w:sz w:val="20"/>
                <w:szCs w:val="20"/>
              </w:rPr>
              <w:t xml:space="preserve">Primary Endpoint Analysis Clinical Study Report: A Phase 3, Randomized Study of Amivantamab and Lazertinib Combination Therapy Versus Osimertinib Versus Lazertinib as First-Line Treatment in Patients with </w:t>
            </w:r>
            <w:r w:rsidR="00F639C0" w:rsidRPr="589E218A">
              <w:rPr>
                <w:rFonts w:ascii="Arial Narrow" w:eastAsiaTheme="majorEastAsia" w:hAnsi="Arial Narrow" w:cstheme="majorBidi"/>
                <w:i/>
                <w:iCs/>
                <w:sz w:val="20"/>
                <w:szCs w:val="20"/>
              </w:rPr>
              <w:t>EGFR</w:t>
            </w:r>
            <w:r w:rsidRPr="589E218A">
              <w:rPr>
                <w:rFonts w:ascii="Arial Narrow" w:eastAsiaTheme="majorEastAsia" w:hAnsi="Arial Narrow" w:cstheme="majorBidi"/>
                <w:sz w:val="20"/>
                <w:szCs w:val="20"/>
              </w:rPr>
              <w:t>-Mutated Locally Advanced or Metastatic Non-Small Cell Lung Cancer - MARIPOSA. Includes protocol and SAP analyses reports. (Reports)</w:t>
            </w:r>
          </w:p>
        </w:tc>
        <w:tc>
          <w:tcPr>
            <w:tcW w:w="1466" w:type="pct"/>
            <w:vAlign w:val="center"/>
          </w:tcPr>
          <w:p w14:paraId="04987B3B" w14:textId="77777777" w:rsidR="00C425A0" w:rsidRPr="003912C2" w:rsidRDefault="00C425A0">
            <w:pPr>
              <w:keepNext/>
              <w:jc w:val="left"/>
              <w:rPr>
                <w:rFonts w:ascii="Arial Narrow" w:eastAsiaTheme="majorEastAsia" w:hAnsi="Arial Narrow" w:cstheme="majorBidi"/>
                <w:bCs/>
                <w:sz w:val="20"/>
              </w:rPr>
            </w:pPr>
            <w:r>
              <w:rPr>
                <w:rFonts w:ascii="Arial Narrow" w:eastAsiaTheme="majorEastAsia" w:hAnsi="Arial Narrow" w:cstheme="majorBidi"/>
                <w:bCs/>
                <w:sz w:val="20"/>
              </w:rPr>
              <w:t>August 2023</w:t>
            </w:r>
          </w:p>
        </w:tc>
      </w:tr>
      <w:tr w:rsidR="00C425A0" w:rsidRPr="003912C2" w14:paraId="03F081CB" w14:textId="77777777" w:rsidTr="589E218A">
        <w:tc>
          <w:tcPr>
            <w:tcW w:w="626" w:type="pct"/>
            <w:vMerge/>
            <w:vAlign w:val="center"/>
          </w:tcPr>
          <w:p w14:paraId="18820BC2"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5009D31D" w14:textId="453E8143" w:rsidR="00C425A0" w:rsidRPr="003912C2" w:rsidRDefault="00C425A0" w:rsidP="589E218A">
            <w:pPr>
              <w:keepNext/>
              <w:jc w:val="left"/>
              <w:rPr>
                <w:rFonts w:ascii="Arial Narrow" w:eastAsiaTheme="majorEastAsia" w:hAnsi="Arial Narrow" w:cstheme="majorBidi"/>
                <w:sz w:val="20"/>
                <w:szCs w:val="20"/>
              </w:rPr>
            </w:pPr>
            <w:r w:rsidRPr="589E218A">
              <w:rPr>
                <w:rFonts w:ascii="Arial Narrow" w:eastAsiaTheme="majorEastAsia" w:hAnsi="Arial Narrow" w:cstheme="majorBidi"/>
                <w:sz w:val="20"/>
                <w:szCs w:val="20"/>
              </w:rPr>
              <w:t xml:space="preserve">Overview of updated efficacy from 13 May 2024: A Phase 3, Randomized Study of Amivantamab and Lazertinib Combination Therapy Versus Osimertinib Versus Lazertinib as First Line Treatment in Patients with </w:t>
            </w:r>
            <w:r w:rsidR="00F639C0" w:rsidRPr="589E218A">
              <w:rPr>
                <w:rFonts w:ascii="Arial Narrow" w:eastAsiaTheme="majorEastAsia" w:hAnsi="Arial Narrow" w:cstheme="majorBidi"/>
                <w:i/>
                <w:iCs/>
                <w:sz w:val="20"/>
                <w:szCs w:val="20"/>
              </w:rPr>
              <w:t>EGFR</w:t>
            </w:r>
            <w:r w:rsidRPr="589E218A">
              <w:rPr>
                <w:rFonts w:ascii="Arial Narrow" w:eastAsiaTheme="majorEastAsia" w:hAnsi="Arial Narrow" w:cstheme="majorBidi"/>
                <w:sz w:val="20"/>
                <w:szCs w:val="20"/>
              </w:rPr>
              <w:t xml:space="preserve"> Mutated Locally Advanced or Metastatic Non-Small Cell Lung Cancer. (Reports)</w:t>
            </w:r>
          </w:p>
        </w:tc>
        <w:tc>
          <w:tcPr>
            <w:tcW w:w="1466" w:type="pct"/>
            <w:vAlign w:val="center"/>
          </w:tcPr>
          <w:p w14:paraId="23F4DDDF" w14:textId="77777777" w:rsidR="00C425A0" w:rsidRPr="003912C2" w:rsidRDefault="00C425A0">
            <w:pPr>
              <w:keepNext/>
              <w:jc w:val="left"/>
              <w:rPr>
                <w:rFonts w:ascii="Arial Narrow" w:eastAsiaTheme="majorEastAsia" w:hAnsi="Arial Narrow" w:cstheme="majorBidi"/>
                <w:bCs/>
                <w:sz w:val="20"/>
              </w:rPr>
            </w:pPr>
            <w:r>
              <w:rPr>
                <w:rFonts w:ascii="Arial Narrow" w:eastAsiaTheme="majorEastAsia" w:hAnsi="Arial Narrow" w:cstheme="majorBidi"/>
                <w:bCs/>
                <w:sz w:val="20"/>
              </w:rPr>
              <w:t>May 2024</w:t>
            </w:r>
          </w:p>
        </w:tc>
      </w:tr>
      <w:tr w:rsidR="00C425A0" w:rsidRPr="003912C2" w14:paraId="67174BE3" w14:textId="77777777" w:rsidTr="589E218A">
        <w:tc>
          <w:tcPr>
            <w:tcW w:w="626" w:type="pct"/>
            <w:vMerge/>
            <w:vAlign w:val="center"/>
          </w:tcPr>
          <w:p w14:paraId="3CAFEAB0"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43CB46A4" w14:textId="77777777" w:rsidR="00C425A0" w:rsidRPr="003912C2" w:rsidRDefault="00C425A0" w:rsidP="589E218A">
            <w:pPr>
              <w:keepNext/>
              <w:jc w:val="left"/>
              <w:rPr>
                <w:rFonts w:ascii="Arial Narrow" w:eastAsiaTheme="majorEastAsia" w:hAnsi="Arial Narrow" w:cstheme="majorBidi"/>
                <w:sz w:val="20"/>
                <w:szCs w:val="20"/>
              </w:rPr>
            </w:pPr>
            <w:r w:rsidRPr="589E218A">
              <w:rPr>
                <w:rFonts w:ascii="Arial Narrow" w:eastAsiaTheme="majorEastAsia" w:hAnsi="Arial Narrow" w:cstheme="majorBidi"/>
                <w:sz w:val="20"/>
                <w:szCs w:val="20"/>
              </w:rPr>
              <w:t>Cho et al. Amivantamab plus Lazertinib in Previously</w:t>
            </w:r>
          </w:p>
          <w:p w14:paraId="6861E036" w14:textId="1B338BE2" w:rsidR="00C425A0" w:rsidRPr="003912C2" w:rsidRDefault="00C425A0">
            <w:pPr>
              <w:keepNext/>
              <w:jc w:val="left"/>
              <w:rPr>
                <w:rFonts w:ascii="Arial Narrow" w:eastAsiaTheme="majorEastAsia" w:hAnsi="Arial Narrow" w:cstheme="majorBidi"/>
                <w:bCs/>
                <w:sz w:val="20"/>
                <w:szCs w:val="18"/>
              </w:rPr>
            </w:pPr>
            <w:r w:rsidRPr="003912C2">
              <w:rPr>
                <w:rFonts w:ascii="Arial Narrow" w:eastAsiaTheme="majorEastAsia" w:hAnsi="Arial Narrow" w:cstheme="majorBidi"/>
                <w:bCs/>
                <w:sz w:val="20"/>
                <w:szCs w:val="18"/>
              </w:rPr>
              <w:t xml:space="preserve">Untreated </w:t>
            </w:r>
            <w:r w:rsidR="00F639C0" w:rsidRPr="00F639C0">
              <w:rPr>
                <w:rFonts w:ascii="Arial Narrow" w:eastAsiaTheme="majorEastAsia" w:hAnsi="Arial Narrow" w:cstheme="majorBidi"/>
                <w:bCs/>
                <w:i/>
                <w:sz w:val="20"/>
                <w:szCs w:val="18"/>
              </w:rPr>
              <w:t>EGFR</w:t>
            </w:r>
            <w:r w:rsidRPr="003912C2">
              <w:rPr>
                <w:rFonts w:ascii="Arial Narrow" w:eastAsiaTheme="majorEastAsia" w:hAnsi="Arial Narrow" w:cstheme="majorBidi"/>
                <w:bCs/>
                <w:sz w:val="20"/>
                <w:szCs w:val="18"/>
              </w:rPr>
              <w:t xml:space="preserve">-Mutated Advanced NSCLC. </w:t>
            </w:r>
            <w:r w:rsidRPr="009D6B1C">
              <w:rPr>
                <w:rFonts w:ascii="Arial Narrow" w:eastAsiaTheme="majorEastAsia" w:hAnsi="Arial Narrow" w:cstheme="majorBidi"/>
                <w:bCs/>
                <w:sz w:val="20"/>
                <w:szCs w:val="18"/>
              </w:rPr>
              <w:t>https://doi.org/10.1056/NEJMoa2403614</w:t>
            </w:r>
            <w:r w:rsidRPr="003912C2">
              <w:rPr>
                <w:rFonts w:ascii="Arial Narrow" w:eastAsiaTheme="majorEastAsia" w:hAnsi="Arial Narrow" w:cstheme="majorBidi"/>
                <w:bCs/>
                <w:sz w:val="20"/>
                <w:szCs w:val="18"/>
              </w:rPr>
              <w:t>.</w:t>
            </w:r>
            <w:r>
              <w:rPr>
                <w:rFonts w:ascii="Arial Narrow" w:eastAsiaTheme="majorEastAsia" w:hAnsi="Arial Narrow" w:cstheme="majorBidi"/>
                <w:bCs/>
                <w:sz w:val="20"/>
                <w:szCs w:val="18"/>
              </w:rPr>
              <w:t xml:space="preserve"> (Full publication)</w:t>
            </w:r>
          </w:p>
        </w:tc>
        <w:tc>
          <w:tcPr>
            <w:tcW w:w="1466" w:type="pct"/>
            <w:vAlign w:val="center"/>
          </w:tcPr>
          <w:p w14:paraId="0DE36145" w14:textId="77777777" w:rsidR="00C425A0" w:rsidRPr="003912C2" w:rsidRDefault="00C425A0">
            <w:pPr>
              <w:keepNext/>
              <w:jc w:val="left"/>
              <w:rPr>
                <w:rFonts w:ascii="Arial Narrow" w:eastAsiaTheme="majorEastAsia" w:hAnsi="Arial Narrow" w:cstheme="majorBidi"/>
                <w:bCs/>
                <w:sz w:val="20"/>
              </w:rPr>
            </w:pPr>
            <w:r w:rsidRPr="003912C2">
              <w:rPr>
                <w:rFonts w:ascii="Arial Narrow" w:eastAsiaTheme="majorEastAsia" w:hAnsi="Arial Narrow" w:cstheme="majorBidi"/>
                <w:bCs/>
                <w:sz w:val="20"/>
                <w:szCs w:val="18"/>
              </w:rPr>
              <w:t>N Engl J Med. 2024</w:t>
            </w:r>
          </w:p>
        </w:tc>
      </w:tr>
      <w:tr w:rsidR="00C425A0" w:rsidRPr="003912C2" w14:paraId="676F6F94" w14:textId="77777777" w:rsidTr="589E218A">
        <w:tc>
          <w:tcPr>
            <w:tcW w:w="626" w:type="pct"/>
            <w:vMerge/>
            <w:vAlign w:val="center"/>
          </w:tcPr>
          <w:p w14:paraId="03C729AC"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0A9655AC" w14:textId="07061D43" w:rsidR="00C425A0" w:rsidRPr="003912C2" w:rsidRDefault="00C425A0" w:rsidP="589E218A">
            <w:pPr>
              <w:keepNext/>
              <w:jc w:val="left"/>
              <w:rPr>
                <w:rFonts w:ascii="Arial Narrow" w:eastAsiaTheme="majorEastAsia" w:hAnsi="Arial Narrow" w:cstheme="majorBidi"/>
                <w:sz w:val="20"/>
                <w:szCs w:val="20"/>
              </w:rPr>
            </w:pPr>
            <w:r w:rsidRPr="589E218A">
              <w:rPr>
                <w:rFonts w:ascii="Arial Narrow" w:eastAsiaTheme="majorEastAsia" w:hAnsi="Arial Narrow" w:cstheme="majorBidi"/>
                <w:sz w:val="20"/>
                <w:szCs w:val="20"/>
              </w:rPr>
              <w:t xml:space="preserve">Cho et al. MARIPOSA: phase 3 study of first-line amivantamab + lazertinib versus osimertinib in </w:t>
            </w:r>
            <w:r w:rsidR="00F639C0" w:rsidRPr="589E218A">
              <w:rPr>
                <w:rFonts w:ascii="Arial Narrow" w:eastAsiaTheme="majorEastAsia" w:hAnsi="Arial Narrow" w:cstheme="majorBidi"/>
                <w:i/>
                <w:iCs/>
                <w:sz w:val="20"/>
                <w:szCs w:val="20"/>
              </w:rPr>
              <w:t>EGFR</w:t>
            </w:r>
            <w:r w:rsidRPr="589E218A">
              <w:rPr>
                <w:rFonts w:ascii="Arial Narrow" w:eastAsiaTheme="majorEastAsia" w:hAnsi="Arial Narrow" w:cstheme="majorBidi"/>
                <w:sz w:val="20"/>
                <w:szCs w:val="20"/>
              </w:rPr>
              <w:t>-mutant non-small cell lung cancer. (Full publication)</w:t>
            </w:r>
          </w:p>
        </w:tc>
        <w:tc>
          <w:tcPr>
            <w:tcW w:w="1466" w:type="pct"/>
            <w:vAlign w:val="center"/>
          </w:tcPr>
          <w:p w14:paraId="44616513" w14:textId="77777777" w:rsidR="00C425A0" w:rsidRPr="003912C2" w:rsidRDefault="00C425A0">
            <w:pPr>
              <w:keepNext/>
              <w:jc w:val="left"/>
              <w:rPr>
                <w:rFonts w:ascii="Arial Narrow" w:eastAsiaTheme="majorEastAsia" w:hAnsi="Arial Narrow" w:cstheme="majorBidi"/>
                <w:bCs/>
                <w:sz w:val="20"/>
              </w:rPr>
            </w:pPr>
            <w:r w:rsidRPr="003912C2">
              <w:rPr>
                <w:rFonts w:ascii="Arial Narrow" w:eastAsiaTheme="majorEastAsia" w:hAnsi="Arial Narrow" w:cstheme="majorBidi"/>
                <w:bCs/>
                <w:sz w:val="20"/>
              </w:rPr>
              <w:t>Future Oncol. 2021. 10.2217/fon-2021-0923</w:t>
            </w:r>
          </w:p>
        </w:tc>
      </w:tr>
      <w:tr w:rsidR="00C425A0" w:rsidRPr="003912C2" w14:paraId="216B1B45" w14:textId="77777777" w:rsidTr="589E218A">
        <w:tc>
          <w:tcPr>
            <w:tcW w:w="626" w:type="pct"/>
            <w:vMerge/>
            <w:vAlign w:val="center"/>
          </w:tcPr>
          <w:p w14:paraId="39186D43"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79247DC6" w14:textId="7E78BD29" w:rsidR="00C425A0" w:rsidRPr="003912C2" w:rsidRDefault="00C425A0" w:rsidP="589E218A">
            <w:pPr>
              <w:keepNext/>
              <w:jc w:val="left"/>
              <w:rPr>
                <w:rFonts w:ascii="Arial Narrow" w:eastAsiaTheme="majorEastAsia" w:hAnsi="Arial Narrow" w:cstheme="majorBidi"/>
                <w:sz w:val="20"/>
                <w:szCs w:val="20"/>
              </w:rPr>
            </w:pPr>
            <w:r w:rsidRPr="589E218A">
              <w:rPr>
                <w:rFonts w:ascii="Arial Narrow" w:eastAsiaTheme="majorEastAsia" w:hAnsi="Arial Narrow" w:cstheme="majorBidi"/>
                <w:sz w:val="20"/>
                <w:szCs w:val="20"/>
              </w:rPr>
              <w:t xml:space="preserve">Felip et al. Amivantamab plus lazertinib versus osimertinib in first-line </w:t>
            </w:r>
            <w:r w:rsidR="00F639C0" w:rsidRPr="589E218A">
              <w:rPr>
                <w:rFonts w:ascii="Arial Narrow" w:eastAsiaTheme="majorEastAsia" w:hAnsi="Arial Narrow" w:cstheme="majorBidi"/>
                <w:i/>
                <w:iCs/>
                <w:sz w:val="20"/>
                <w:szCs w:val="20"/>
              </w:rPr>
              <w:t>EGFR</w:t>
            </w:r>
            <w:r w:rsidRPr="589E218A">
              <w:rPr>
                <w:rFonts w:ascii="Arial Narrow" w:eastAsiaTheme="majorEastAsia" w:hAnsi="Arial Narrow" w:cstheme="majorBidi"/>
                <w:sz w:val="20"/>
                <w:szCs w:val="20"/>
              </w:rPr>
              <w:t>-mutant advanced non-small-cell lung cancer with biomarkers of high-risk disease: a secondary analysis from MARIPOSA. https://doi.org/10.1016/j.annonc.2024.05.541 (Full publication)</w:t>
            </w:r>
          </w:p>
        </w:tc>
        <w:tc>
          <w:tcPr>
            <w:tcW w:w="1466" w:type="pct"/>
            <w:vAlign w:val="center"/>
          </w:tcPr>
          <w:p w14:paraId="07FA1E5A" w14:textId="77777777" w:rsidR="00C425A0" w:rsidRPr="003912C2" w:rsidRDefault="00C425A0">
            <w:pPr>
              <w:keepNext/>
              <w:jc w:val="left"/>
              <w:rPr>
                <w:rFonts w:ascii="Arial Narrow" w:eastAsiaTheme="majorEastAsia" w:hAnsi="Arial Narrow" w:cstheme="majorBidi"/>
                <w:bCs/>
                <w:sz w:val="20"/>
              </w:rPr>
            </w:pPr>
            <w:r w:rsidRPr="003912C2">
              <w:rPr>
                <w:rFonts w:ascii="Arial Narrow" w:eastAsiaTheme="majorEastAsia" w:hAnsi="Arial Narrow" w:cstheme="majorBidi"/>
                <w:bCs/>
                <w:sz w:val="20"/>
                <w:szCs w:val="18"/>
              </w:rPr>
              <w:t>Annals of Oncol. 2024.</w:t>
            </w:r>
          </w:p>
        </w:tc>
      </w:tr>
      <w:tr w:rsidR="00C425A0" w:rsidRPr="00934A70" w14:paraId="6AD99160" w14:textId="77777777" w:rsidTr="589E218A">
        <w:tc>
          <w:tcPr>
            <w:tcW w:w="626" w:type="pct"/>
            <w:vMerge/>
            <w:vAlign w:val="center"/>
          </w:tcPr>
          <w:p w14:paraId="2501DEDD"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53CF91FC" w14:textId="3BEF65CB" w:rsidR="00C425A0" w:rsidRPr="003912C2" w:rsidRDefault="00C425A0">
            <w:pPr>
              <w:pStyle w:val="TableText0"/>
            </w:pPr>
            <w:r w:rsidRPr="589E218A">
              <w:t xml:space="preserve">Campelo et al. Effect of amivantamab dose interruptions on efficacy and safety of first-line amivantamab plus lazertinib in </w:t>
            </w:r>
            <w:r w:rsidR="00F639C0" w:rsidRPr="589E218A">
              <w:rPr>
                <w:i/>
                <w:iCs/>
              </w:rPr>
              <w:t>EGFR</w:t>
            </w:r>
            <w:r w:rsidRPr="589E218A">
              <w:t xml:space="preserve"> mutant advanced NSCLC: Exploratory analyses from the</w:t>
            </w:r>
          </w:p>
          <w:p w14:paraId="5D20583F" w14:textId="77777777" w:rsidR="00C425A0" w:rsidRPr="003912C2" w:rsidRDefault="00C425A0">
            <w:pPr>
              <w:pStyle w:val="TableText0"/>
            </w:pPr>
            <w:r w:rsidRPr="003912C2">
              <w:t>MARIPOSA study. (abstract and presentation).</w:t>
            </w:r>
          </w:p>
        </w:tc>
        <w:tc>
          <w:tcPr>
            <w:tcW w:w="1466" w:type="pct"/>
            <w:vAlign w:val="center"/>
          </w:tcPr>
          <w:p w14:paraId="3CE651B6" w14:textId="77777777" w:rsidR="00C425A0" w:rsidRPr="006921C5" w:rsidRDefault="00C425A0">
            <w:pPr>
              <w:keepNext/>
              <w:jc w:val="left"/>
              <w:rPr>
                <w:rFonts w:ascii="Arial Narrow" w:eastAsiaTheme="majorEastAsia" w:hAnsi="Arial Narrow" w:cstheme="majorBidi"/>
                <w:bCs/>
                <w:sz w:val="20"/>
                <w:lang w:val="es-CL"/>
              </w:rPr>
            </w:pPr>
            <w:r w:rsidRPr="006921C5">
              <w:rPr>
                <w:rFonts w:ascii="Arial Narrow" w:eastAsiaTheme="majorEastAsia" w:hAnsi="Arial Narrow" w:cstheme="majorBidi"/>
                <w:bCs/>
                <w:sz w:val="20"/>
                <w:lang w:val="es-CL"/>
              </w:rPr>
              <w:t>ESMO 2024. https://doi.org/10.1016/j.esmoop.2024.102584</w:t>
            </w:r>
          </w:p>
        </w:tc>
      </w:tr>
      <w:tr w:rsidR="00C425A0" w:rsidRPr="003912C2" w14:paraId="394AFCA7" w14:textId="77777777" w:rsidTr="589E218A">
        <w:tc>
          <w:tcPr>
            <w:tcW w:w="626" w:type="pct"/>
            <w:vMerge/>
            <w:vAlign w:val="center"/>
          </w:tcPr>
          <w:p w14:paraId="37AAFD0C" w14:textId="77777777" w:rsidR="00C425A0" w:rsidRPr="006921C5" w:rsidRDefault="00C425A0">
            <w:pPr>
              <w:keepNext/>
              <w:jc w:val="left"/>
              <w:rPr>
                <w:rFonts w:ascii="Arial Narrow" w:eastAsiaTheme="majorEastAsia" w:hAnsi="Arial Narrow" w:cstheme="majorBidi"/>
                <w:bCs/>
                <w:sz w:val="20"/>
                <w:lang w:val="es-CL"/>
              </w:rPr>
            </w:pPr>
          </w:p>
        </w:tc>
        <w:tc>
          <w:tcPr>
            <w:tcW w:w="2908" w:type="pct"/>
            <w:vAlign w:val="center"/>
          </w:tcPr>
          <w:p w14:paraId="35BA81DD" w14:textId="77777777" w:rsidR="00C425A0" w:rsidRPr="003912C2" w:rsidRDefault="00C425A0">
            <w:pPr>
              <w:pStyle w:val="TableText0"/>
            </w:pPr>
            <w:r w:rsidRPr="589E218A">
              <w:t>Cho et al. Amivantamab plus lazertinib vs osimertinib as first-line</w:t>
            </w:r>
          </w:p>
          <w:p w14:paraId="4F14C038" w14:textId="0F6C957A" w:rsidR="00C425A0" w:rsidRPr="003912C2" w:rsidRDefault="00C425A0">
            <w:pPr>
              <w:pStyle w:val="TableText0"/>
            </w:pPr>
            <w:r w:rsidRPr="003912C2">
              <w:t xml:space="preserve">treatment in patients with </w:t>
            </w:r>
            <w:r w:rsidR="00F639C0" w:rsidRPr="00F639C0">
              <w:rPr>
                <w:i/>
              </w:rPr>
              <w:t>EGFR</w:t>
            </w:r>
            <w:r w:rsidRPr="003912C2">
              <w:t>-mutated, advanced non</w:t>
            </w:r>
            <w:r>
              <w:t>-</w:t>
            </w:r>
            <w:r w:rsidRPr="003912C2">
              <w:t>small</w:t>
            </w:r>
          </w:p>
          <w:p w14:paraId="6A1F0260" w14:textId="77777777" w:rsidR="00C425A0" w:rsidRPr="003912C2" w:rsidRDefault="00C425A0">
            <w:pPr>
              <w:pStyle w:val="TableText0"/>
            </w:pPr>
            <w:r w:rsidRPr="003912C2">
              <w:t>cell lung cancer (NSCLC): Primary results from MARIPOSA, a phase III, global, randomized, controlled trial (abstract).</w:t>
            </w:r>
          </w:p>
        </w:tc>
        <w:tc>
          <w:tcPr>
            <w:tcW w:w="1466" w:type="pct"/>
            <w:vAlign w:val="center"/>
          </w:tcPr>
          <w:p w14:paraId="42AB1B81"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Annals of Oncol. 2023; 34(S2</w:t>
            </w:r>
            <w:r>
              <w:rPr>
                <w:rFonts w:ascii="Arial Narrow" w:eastAsiaTheme="majorEastAsia" w:hAnsi="Arial Narrow" w:cstheme="majorBidi"/>
                <w:bCs/>
                <w:sz w:val="20"/>
              </w:rPr>
              <w:t>)</w:t>
            </w:r>
          </w:p>
        </w:tc>
      </w:tr>
      <w:tr w:rsidR="00C425A0" w:rsidRPr="003912C2" w14:paraId="265513A3" w14:textId="77777777" w:rsidTr="589E218A">
        <w:tc>
          <w:tcPr>
            <w:tcW w:w="626" w:type="pct"/>
            <w:vMerge/>
            <w:vAlign w:val="center"/>
          </w:tcPr>
          <w:p w14:paraId="0CCB75E0"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7475D8BB" w14:textId="7ECB5CF8" w:rsidR="00C425A0" w:rsidRPr="003912C2" w:rsidRDefault="00C425A0">
            <w:pPr>
              <w:pStyle w:val="TableText0"/>
            </w:pPr>
            <w:r w:rsidRPr="589E218A">
              <w:t xml:space="preserve">Felip et al. Amivantamab plus lazertinib vs osimertinib in first-line </w:t>
            </w:r>
            <w:r w:rsidR="00F639C0" w:rsidRPr="589E218A">
              <w:rPr>
                <w:i/>
                <w:iCs/>
              </w:rPr>
              <w:t>EGFR</w:t>
            </w:r>
            <w:r w:rsidRPr="589E218A">
              <w:t>-mutant advanced non-small cell lung cancer (NSCLC) with biomarkers of high-risk disease: A secondary analysis from the phase 3 MARIPOSA study. (abstract).</w:t>
            </w:r>
          </w:p>
        </w:tc>
        <w:tc>
          <w:tcPr>
            <w:tcW w:w="1466" w:type="pct"/>
            <w:vAlign w:val="center"/>
          </w:tcPr>
          <w:p w14:paraId="68086D46"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ASCO 2024</w:t>
            </w:r>
          </w:p>
        </w:tc>
      </w:tr>
      <w:tr w:rsidR="00C425A0" w:rsidRPr="003912C2" w14:paraId="74055031" w14:textId="77777777" w:rsidTr="589E218A">
        <w:tc>
          <w:tcPr>
            <w:tcW w:w="626" w:type="pct"/>
            <w:vMerge/>
            <w:vAlign w:val="center"/>
          </w:tcPr>
          <w:p w14:paraId="28DF1BB3"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12366072" w14:textId="42D436FA" w:rsidR="00C425A0" w:rsidRPr="003912C2" w:rsidRDefault="00C425A0">
            <w:pPr>
              <w:pStyle w:val="TableText0"/>
            </w:pPr>
            <w:r w:rsidRPr="589E218A">
              <w:t xml:space="preserve">Lu et al. Amivantamab plus lazertinib vs osimertinib as first-line treatment among Asian patients with </w:t>
            </w:r>
            <w:r w:rsidR="00F639C0" w:rsidRPr="589E218A">
              <w:rPr>
                <w:i/>
                <w:iCs/>
              </w:rPr>
              <w:t>EGFR</w:t>
            </w:r>
            <w:r w:rsidRPr="589E218A">
              <w:t>-mutated, advanced non-small cell lung cancer (NSCLC): MARIPOSA subgroup analysis. (abstract).</w:t>
            </w:r>
          </w:p>
        </w:tc>
        <w:tc>
          <w:tcPr>
            <w:tcW w:w="1466" w:type="pct"/>
            <w:vAlign w:val="center"/>
          </w:tcPr>
          <w:p w14:paraId="4B1EB4A7"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Annals of Oncol. 2023; 34(S4)</w:t>
            </w:r>
          </w:p>
        </w:tc>
      </w:tr>
      <w:tr w:rsidR="00C425A0" w:rsidRPr="003912C2" w14:paraId="5BD13F2A" w14:textId="77777777" w:rsidTr="589E218A">
        <w:tc>
          <w:tcPr>
            <w:tcW w:w="626" w:type="pct"/>
            <w:vMerge/>
            <w:vAlign w:val="center"/>
          </w:tcPr>
          <w:p w14:paraId="0AE26CBA"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2B71D80A" w14:textId="63CF2F4C" w:rsidR="00C425A0" w:rsidRPr="003912C2" w:rsidRDefault="00C425A0">
            <w:pPr>
              <w:pStyle w:val="TableText0"/>
            </w:pPr>
            <w:r w:rsidRPr="589E218A">
              <w:t xml:space="preserve">Schuler et al. Amivantamab Plus Lazertinib vs Osimertinib as First-line Treatment in Patients With </w:t>
            </w:r>
            <w:r w:rsidR="00F639C0" w:rsidRPr="589E218A">
              <w:rPr>
                <w:i/>
                <w:iCs/>
              </w:rPr>
              <w:t>EGFR</w:t>
            </w:r>
            <w:r w:rsidRPr="589E218A">
              <w:t>-mutated, Advanced Non-small Cell Lung Cancer (NSCLC): Primary Results From MARIPOSA, a Phase 3, Global, Randomized, Controlled Trial</w:t>
            </w:r>
          </w:p>
          <w:p w14:paraId="4979C183" w14:textId="77777777" w:rsidR="00C425A0" w:rsidRPr="003912C2" w:rsidRDefault="00C425A0">
            <w:pPr>
              <w:pStyle w:val="TableText0"/>
            </w:pPr>
            <w:r w:rsidRPr="589E218A">
              <w:t>(Previously presented at ESMO Congress 2023, FPN:LBA14, Byoung Chul Cho et al. - Reused with permission.) (abstract).</w:t>
            </w:r>
          </w:p>
        </w:tc>
        <w:tc>
          <w:tcPr>
            <w:tcW w:w="1466" w:type="pct"/>
            <w:vAlign w:val="center"/>
          </w:tcPr>
          <w:p w14:paraId="5F019C2C"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Oncol Res Treat 2024;47(suppl 1):260</w:t>
            </w:r>
          </w:p>
        </w:tc>
      </w:tr>
      <w:tr w:rsidR="00C425A0" w:rsidRPr="003912C2" w14:paraId="2A83EC2A" w14:textId="77777777" w:rsidTr="589E218A">
        <w:tc>
          <w:tcPr>
            <w:tcW w:w="626" w:type="pct"/>
            <w:vMerge/>
            <w:vAlign w:val="center"/>
          </w:tcPr>
          <w:p w14:paraId="05711FC7"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5FDCCFE3" w14:textId="71926F5A" w:rsidR="00C425A0" w:rsidRPr="003912C2" w:rsidRDefault="00C425A0">
            <w:pPr>
              <w:pStyle w:val="TableText0"/>
            </w:pPr>
            <w:r w:rsidRPr="589E218A">
              <w:t xml:space="preserve">Shreeve et al. MARIPOSA: Randomized Phase 3 Study of First-line Amivantamab + Lazertinib vs Osimertinib vs Lazertinib in </w:t>
            </w:r>
            <w:r w:rsidR="00F639C0" w:rsidRPr="589E218A">
              <w:rPr>
                <w:i/>
                <w:iCs/>
              </w:rPr>
              <w:t>EGFR</w:t>
            </w:r>
            <w:r w:rsidRPr="589E218A">
              <w:t>-mutant NSCLC.</w:t>
            </w:r>
          </w:p>
        </w:tc>
        <w:tc>
          <w:tcPr>
            <w:tcW w:w="1466" w:type="pct"/>
            <w:vAlign w:val="center"/>
          </w:tcPr>
          <w:p w14:paraId="352012F4"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Journal of Thoracic Oncology 2021; 16(3S): S620</w:t>
            </w:r>
          </w:p>
        </w:tc>
      </w:tr>
      <w:tr w:rsidR="00C425A0" w:rsidRPr="003912C2" w14:paraId="23529C43" w14:textId="77777777" w:rsidTr="589E218A">
        <w:tc>
          <w:tcPr>
            <w:tcW w:w="626" w:type="pct"/>
            <w:vMerge/>
            <w:vAlign w:val="center"/>
          </w:tcPr>
          <w:p w14:paraId="2207D2B6"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212B6696" w14:textId="76FDCC18" w:rsidR="00C425A0" w:rsidRPr="003912C2" w:rsidRDefault="00C425A0">
            <w:pPr>
              <w:pStyle w:val="TableText0"/>
              <w:rPr>
                <w:lang w:val="en-US" w:eastAsia="en-US"/>
              </w:rPr>
            </w:pPr>
            <w:r w:rsidRPr="003912C2">
              <w:rPr>
                <w:lang w:val="en-US" w:eastAsia="en-US"/>
              </w:rPr>
              <w:t xml:space="preserve">Besse et al. Mechanisms of Acquired Resistance to First-line Amivantamab Plus Lazertinib Versus Osimertinib in Patients With </w:t>
            </w:r>
            <w:r w:rsidR="00F639C0" w:rsidRPr="00F639C0">
              <w:rPr>
                <w:i/>
                <w:lang w:val="en-US" w:eastAsia="en-US"/>
              </w:rPr>
              <w:t>EGFR</w:t>
            </w:r>
            <w:r w:rsidRPr="003912C2">
              <w:rPr>
                <w:lang w:val="en-US" w:eastAsia="en-US"/>
              </w:rPr>
              <w:t>-mutant Advanced Non-Small Cell Lung Cancer</w:t>
            </w:r>
          </w:p>
          <w:p w14:paraId="190B5380" w14:textId="77777777" w:rsidR="00C425A0" w:rsidRPr="003912C2" w:rsidRDefault="00C425A0">
            <w:pPr>
              <w:pStyle w:val="TableText0"/>
              <w:rPr>
                <w:lang w:val="en-US" w:eastAsia="en-US"/>
              </w:rPr>
            </w:pPr>
            <w:r w:rsidRPr="003912C2">
              <w:rPr>
                <w:lang w:val="en-US" w:eastAsia="en-US"/>
              </w:rPr>
              <w:t>An Early Analysis from the Phase 3 MARIPOSA Study. (presentation).</w:t>
            </w:r>
          </w:p>
        </w:tc>
        <w:tc>
          <w:tcPr>
            <w:tcW w:w="1466" w:type="pct"/>
            <w:vAlign w:val="center"/>
          </w:tcPr>
          <w:p w14:paraId="628F0228"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ESMO 2024</w:t>
            </w:r>
          </w:p>
        </w:tc>
      </w:tr>
      <w:tr w:rsidR="00C425A0" w:rsidRPr="003912C2" w14:paraId="7DF113F6" w14:textId="77777777" w:rsidTr="589E218A">
        <w:tc>
          <w:tcPr>
            <w:tcW w:w="626" w:type="pct"/>
            <w:vMerge/>
            <w:vAlign w:val="center"/>
          </w:tcPr>
          <w:p w14:paraId="3341871D"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73E93607" w14:textId="679A3433" w:rsidR="00C425A0" w:rsidRPr="003912C2" w:rsidRDefault="00C425A0">
            <w:pPr>
              <w:pStyle w:val="TableText0"/>
              <w:rPr>
                <w:lang w:eastAsia="en-US" w:bidi="en-US"/>
              </w:rPr>
            </w:pPr>
            <w:r w:rsidRPr="003912C2">
              <w:rPr>
                <w:lang w:eastAsia="en-US" w:bidi="en-US"/>
              </w:rPr>
              <w:t xml:space="preserve">Lee et al. Lazertinib vs Osimertinib in 1L </w:t>
            </w:r>
            <w:r w:rsidR="00F639C0" w:rsidRPr="00F639C0">
              <w:rPr>
                <w:i/>
                <w:lang w:eastAsia="en-US" w:bidi="en-US"/>
              </w:rPr>
              <w:t>EGFR</w:t>
            </w:r>
            <w:r w:rsidRPr="003912C2">
              <w:rPr>
                <w:lang w:eastAsia="en-US" w:bidi="en-US"/>
              </w:rPr>
              <w:t>-mutant Advanced NSCLC: A Randomized, Double-blind, Exploratory Analysis From MARIPOSA. (presentation).</w:t>
            </w:r>
          </w:p>
        </w:tc>
        <w:tc>
          <w:tcPr>
            <w:tcW w:w="1466" w:type="pct"/>
            <w:vAlign w:val="center"/>
          </w:tcPr>
          <w:p w14:paraId="54CAAA38" w14:textId="77777777" w:rsidR="00C425A0" w:rsidRPr="003912C2" w:rsidRDefault="00C425A0">
            <w:pPr>
              <w:keepNext/>
              <w:jc w:val="left"/>
              <w:rPr>
                <w:rFonts w:ascii="Arial Narrow" w:eastAsiaTheme="majorEastAsia" w:hAnsi="Arial Narrow" w:cstheme="majorBidi"/>
                <w:bCs/>
                <w:sz w:val="20"/>
              </w:rPr>
            </w:pPr>
            <w:r w:rsidRPr="00461583">
              <w:rPr>
                <w:rFonts w:ascii="Arial Narrow" w:eastAsiaTheme="majorEastAsia" w:hAnsi="Arial Narrow" w:cstheme="majorBidi"/>
                <w:bCs/>
                <w:sz w:val="20"/>
              </w:rPr>
              <w:t>WCLC 2024</w:t>
            </w:r>
          </w:p>
        </w:tc>
      </w:tr>
      <w:tr w:rsidR="00C425A0" w:rsidRPr="003912C2" w14:paraId="2C21E822" w14:textId="77777777" w:rsidTr="589E218A">
        <w:tc>
          <w:tcPr>
            <w:tcW w:w="626" w:type="pct"/>
            <w:vMerge/>
            <w:vAlign w:val="center"/>
          </w:tcPr>
          <w:p w14:paraId="2497BA9B"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6BDE980F" w14:textId="77777777" w:rsidR="00C425A0" w:rsidRPr="003912C2" w:rsidRDefault="00C425A0" w:rsidP="589E218A">
            <w:pPr>
              <w:pStyle w:val="TableText0"/>
              <w:rPr>
                <w:lang w:eastAsia="en-US" w:bidi="en-US"/>
              </w:rPr>
            </w:pPr>
            <w:r w:rsidRPr="589E218A">
              <w:rPr>
                <w:lang w:eastAsia="en-US" w:bidi="en-US"/>
              </w:rPr>
              <w:t xml:space="preserve">Gadgeel et al. Amivantamab Plus Lazertinib vs Osimertinib </w:t>
            </w:r>
          </w:p>
          <w:p w14:paraId="557C69CA" w14:textId="7DD37270" w:rsidR="00C425A0" w:rsidRPr="003912C2" w:rsidRDefault="00C425A0">
            <w:pPr>
              <w:pStyle w:val="TableText0"/>
              <w:rPr>
                <w:lang w:eastAsia="en-US" w:bidi="en-US"/>
              </w:rPr>
            </w:pPr>
            <w:r w:rsidRPr="003912C2">
              <w:rPr>
                <w:lang w:eastAsia="en-US" w:bidi="en-US"/>
              </w:rPr>
              <w:t xml:space="preserve">in First-line </w:t>
            </w:r>
            <w:r w:rsidR="00F639C0" w:rsidRPr="00F639C0">
              <w:rPr>
                <w:i/>
                <w:lang w:eastAsia="en-US" w:bidi="en-US"/>
              </w:rPr>
              <w:t>EGFR</w:t>
            </w:r>
            <w:r w:rsidRPr="003912C2">
              <w:rPr>
                <w:lang w:eastAsia="en-US" w:bidi="en-US"/>
              </w:rPr>
              <w:t xml:space="preserve">-mutant Advanced NSCLC: </w:t>
            </w:r>
          </w:p>
          <w:p w14:paraId="20F34B6B" w14:textId="77777777" w:rsidR="00C425A0" w:rsidRPr="003912C2" w:rsidRDefault="00C425A0">
            <w:pPr>
              <w:pStyle w:val="TableText0"/>
              <w:rPr>
                <w:lang w:eastAsia="en-US" w:bidi="en-US"/>
              </w:rPr>
            </w:pPr>
            <w:r w:rsidRPr="003912C2">
              <w:rPr>
                <w:lang w:eastAsia="en-US" w:bidi="en-US"/>
              </w:rPr>
              <w:t>Longer Follow-up of the MARIPOSA Study. (presentation).</w:t>
            </w:r>
          </w:p>
        </w:tc>
        <w:tc>
          <w:tcPr>
            <w:tcW w:w="1466" w:type="pct"/>
            <w:vAlign w:val="center"/>
          </w:tcPr>
          <w:p w14:paraId="30A103F7" w14:textId="77777777" w:rsidR="00C425A0" w:rsidRPr="003912C2" w:rsidRDefault="00C425A0">
            <w:pPr>
              <w:keepNext/>
              <w:jc w:val="left"/>
              <w:rPr>
                <w:rFonts w:ascii="Arial Narrow" w:eastAsiaTheme="majorEastAsia" w:hAnsi="Arial Narrow" w:cs="Times New Roman"/>
                <w:bCs/>
                <w:sz w:val="20"/>
                <w:lang w:val="en-US" w:eastAsia="en-US"/>
              </w:rPr>
            </w:pPr>
            <w:r w:rsidRPr="00461583">
              <w:rPr>
                <w:rFonts w:ascii="Arial Narrow" w:eastAsiaTheme="majorEastAsia" w:hAnsi="Arial Narrow" w:cs="Times New Roman"/>
                <w:bCs/>
                <w:sz w:val="20"/>
                <w:lang w:val="en-US" w:eastAsia="en-US"/>
              </w:rPr>
              <w:t>WCLC 2024</w:t>
            </w:r>
          </w:p>
        </w:tc>
      </w:tr>
      <w:tr w:rsidR="00C425A0" w:rsidRPr="003912C2" w14:paraId="035335B5" w14:textId="77777777" w:rsidTr="589E218A">
        <w:tc>
          <w:tcPr>
            <w:tcW w:w="626" w:type="pct"/>
            <w:vMerge/>
            <w:vAlign w:val="center"/>
          </w:tcPr>
          <w:p w14:paraId="2BD32C2E" w14:textId="77777777" w:rsidR="00C425A0" w:rsidRPr="003912C2" w:rsidRDefault="00C425A0">
            <w:pPr>
              <w:keepNext/>
              <w:jc w:val="left"/>
              <w:rPr>
                <w:rFonts w:ascii="Arial Narrow" w:eastAsiaTheme="majorEastAsia" w:hAnsi="Arial Narrow" w:cstheme="majorBidi"/>
                <w:bCs/>
                <w:sz w:val="20"/>
              </w:rPr>
            </w:pPr>
          </w:p>
        </w:tc>
        <w:tc>
          <w:tcPr>
            <w:tcW w:w="2908" w:type="pct"/>
            <w:vAlign w:val="center"/>
          </w:tcPr>
          <w:p w14:paraId="5F52B3A8" w14:textId="77777777" w:rsidR="00C425A0" w:rsidRPr="006921C5" w:rsidRDefault="00C425A0">
            <w:pPr>
              <w:pStyle w:val="TableText0"/>
              <w:rPr>
                <w:lang w:val="es-CL" w:eastAsia="en-US" w:bidi="en-US"/>
              </w:rPr>
            </w:pPr>
            <w:r w:rsidRPr="006921C5">
              <w:rPr>
                <w:lang w:val="es-CL" w:eastAsia="en-US" w:bidi="en-US"/>
              </w:rPr>
              <w:t xml:space="preserve">Nguyen et al. Amivantamab Plus Lazertinib vs Osimertinib </w:t>
            </w:r>
          </w:p>
          <w:p w14:paraId="02C310CC" w14:textId="544F6D0A" w:rsidR="00C425A0" w:rsidRPr="003912C2" w:rsidRDefault="00C425A0">
            <w:pPr>
              <w:pStyle w:val="TableText0"/>
              <w:rPr>
                <w:lang w:eastAsia="en-US" w:bidi="en-US"/>
              </w:rPr>
            </w:pPr>
            <w:r w:rsidRPr="003912C2">
              <w:rPr>
                <w:lang w:eastAsia="en-US" w:bidi="en-US"/>
              </w:rPr>
              <w:t xml:space="preserve">in First-line, </w:t>
            </w:r>
            <w:r w:rsidR="00F639C0" w:rsidRPr="00F639C0">
              <w:rPr>
                <w:i/>
                <w:lang w:eastAsia="en-US" w:bidi="en-US"/>
              </w:rPr>
              <w:t>EGFR</w:t>
            </w:r>
            <w:r w:rsidRPr="003912C2">
              <w:rPr>
                <w:lang w:eastAsia="en-US" w:bidi="en-US"/>
              </w:rPr>
              <w:t>-mutant Advanced NSCLC: Patient-relevant Outcomes From MARIPOSA. (presentation).</w:t>
            </w:r>
          </w:p>
        </w:tc>
        <w:tc>
          <w:tcPr>
            <w:tcW w:w="1466" w:type="pct"/>
            <w:vAlign w:val="center"/>
          </w:tcPr>
          <w:p w14:paraId="106810A5" w14:textId="77777777" w:rsidR="00C425A0" w:rsidRPr="003912C2" w:rsidRDefault="00C425A0">
            <w:pPr>
              <w:keepNext/>
              <w:jc w:val="left"/>
              <w:rPr>
                <w:rFonts w:ascii="Arial Narrow" w:eastAsiaTheme="majorEastAsia" w:hAnsi="Arial Narrow" w:cstheme="majorBidi"/>
                <w:bCs/>
                <w:sz w:val="20"/>
                <w:lang w:eastAsia="en-US"/>
              </w:rPr>
            </w:pPr>
            <w:r w:rsidRPr="00461583">
              <w:rPr>
                <w:rFonts w:ascii="Arial Narrow" w:eastAsiaTheme="majorEastAsia" w:hAnsi="Arial Narrow" w:cstheme="majorBidi"/>
                <w:bCs/>
                <w:sz w:val="20"/>
                <w:lang w:eastAsia="en-US"/>
              </w:rPr>
              <w:t>WCLC 2024</w:t>
            </w:r>
          </w:p>
        </w:tc>
      </w:tr>
    </w:tbl>
    <w:p w14:paraId="2A4007DE" w14:textId="77777777" w:rsidR="00C425A0" w:rsidRDefault="00C425A0" w:rsidP="007A7746">
      <w:pPr>
        <w:pStyle w:val="TableFigureFooter"/>
      </w:pPr>
      <w:r>
        <w:t>Source: Table 2.5, pp 57-58 of the submission.</w:t>
      </w:r>
    </w:p>
    <w:p w14:paraId="757AA272" w14:textId="3C7D19CE" w:rsidR="00C425A0" w:rsidRDefault="00C425A0" w:rsidP="007A7746">
      <w:pPr>
        <w:pStyle w:val="TableFigureFooter"/>
      </w:pPr>
      <w:r w:rsidRPr="00B20B51">
        <w:t>ASCO</w:t>
      </w:r>
      <w:r>
        <w:t xml:space="preserve"> </w:t>
      </w:r>
      <w:r w:rsidRPr="00B20B51">
        <w:t>=</w:t>
      </w:r>
      <w:r>
        <w:t xml:space="preserve"> </w:t>
      </w:r>
      <w:r w:rsidRPr="00B20B51">
        <w:t>American Society of Clinical Oncology,</w:t>
      </w:r>
      <w:r>
        <w:t xml:space="preserve"> </w:t>
      </w:r>
      <w:r w:rsidR="00F639C0" w:rsidRPr="00F639C0">
        <w:rPr>
          <w:i/>
        </w:rPr>
        <w:t>EGFR</w:t>
      </w:r>
      <w:r>
        <w:t xml:space="preserve"> </w:t>
      </w:r>
      <w:r w:rsidRPr="00B20B51">
        <w:t>= epidermal growth factor receptor, ESMO</w:t>
      </w:r>
      <w:r>
        <w:t xml:space="preserve"> </w:t>
      </w:r>
      <w:r w:rsidRPr="00B20B51">
        <w:t>=</w:t>
      </w:r>
      <w:r w:rsidRPr="00B20B51">
        <w:rPr>
          <w:szCs w:val="20"/>
        </w:rPr>
        <w:t xml:space="preserve"> </w:t>
      </w:r>
      <w:r w:rsidRPr="00B20B51">
        <w:t>European Society for Medical Oncology, NSCLC</w:t>
      </w:r>
      <w:r>
        <w:t xml:space="preserve"> </w:t>
      </w:r>
      <w:r w:rsidRPr="00B20B51">
        <w:t>=</w:t>
      </w:r>
      <w:r>
        <w:t xml:space="preserve"> </w:t>
      </w:r>
      <w:r w:rsidRPr="00B20B51">
        <w:t xml:space="preserve">non-small cell lung cancer, </w:t>
      </w:r>
      <w:r>
        <w:t xml:space="preserve">SAP = statistical action plan, </w:t>
      </w:r>
      <w:r w:rsidRPr="00B20B51">
        <w:t>WCLC</w:t>
      </w:r>
      <w:r>
        <w:t xml:space="preserve"> </w:t>
      </w:r>
      <w:r w:rsidRPr="00B20B51">
        <w:t>=</w:t>
      </w:r>
      <w:r>
        <w:t xml:space="preserve"> </w:t>
      </w:r>
      <w:r w:rsidRPr="00B20B51">
        <w:t>World Conference on Lung Cancer</w:t>
      </w:r>
      <w:r>
        <w:t>.</w:t>
      </w:r>
    </w:p>
    <w:p w14:paraId="0D1F7FAC" w14:textId="564FE8B5" w:rsidR="00C425A0" w:rsidRPr="00032E05" w:rsidRDefault="00C425A0" w:rsidP="008C444D">
      <w:pPr>
        <w:pStyle w:val="3-BodyText"/>
        <w:ind w:left="709" w:hanging="709"/>
        <w:rPr>
          <w:color w:val="0066FF"/>
        </w:rPr>
      </w:pPr>
      <w:r w:rsidRPr="589E218A">
        <w:t xml:space="preserve">The key features of MARIPOSA are summarised in </w:t>
      </w:r>
      <w:r>
        <w:fldChar w:fldCharType="begin"/>
      </w:r>
      <w:r>
        <w:instrText xml:space="preserve"> REF _Ref186725728 \h </w:instrText>
      </w:r>
      <w:r>
        <w:fldChar w:fldCharType="separate"/>
      </w:r>
      <w:r w:rsidR="00184F9A">
        <w:t xml:space="preserve">Table </w:t>
      </w:r>
      <w:r w:rsidR="00184F9A">
        <w:rPr>
          <w:noProof/>
        </w:rPr>
        <w:t>3</w:t>
      </w:r>
      <w:r>
        <w:fldChar w:fldCharType="end"/>
      </w:r>
      <w:r w:rsidRPr="589E218A">
        <w:t xml:space="preserve">. The RCT comprised </w:t>
      </w:r>
      <w:r w:rsidR="000146CF" w:rsidRPr="589E218A">
        <w:t xml:space="preserve">of </w:t>
      </w:r>
      <w:r w:rsidRPr="589E218A">
        <w:t>three arms</w:t>
      </w:r>
      <w:r w:rsidR="002925CE" w:rsidRPr="589E218A">
        <w:t>:</w:t>
      </w:r>
      <w:r w:rsidRPr="589E218A">
        <w:t xml:space="preserve"> </w:t>
      </w:r>
      <w:r w:rsidR="00BD3908">
        <w:t>A+L</w:t>
      </w:r>
      <w:r w:rsidRPr="589E218A">
        <w:t xml:space="preserve">, osimertinib (monotherapy), and lazertinib (monotherapy). </w:t>
      </w:r>
      <w:r w:rsidR="004C6641" w:rsidRPr="589E218A">
        <w:rPr>
          <w:rStyle w:val="Hyperlink"/>
          <w:color w:val="auto"/>
          <w:u w:val="none"/>
        </w:rPr>
        <w:t>The</w:t>
      </w:r>
      <w:r w:rsidRPr="589E218A">
        <w:rPr>
          <w:rStyle w:val="Hyperlink"/>
          <w:color w:val="auto"/>
          <w:u w:val="none"/>
        </w:rPr>
        <w:t xml:space="preserve"> evaluation </w:t>
      </w:r>
      <w:r w:rsidR="004C6641" w:rsidRPr="589E218A">
        <w:rPr>
          <w:rStyle w:val="Hyperlink"/>
          <w:color w:val="auto"/>
          <w:u w:val="none"/>
        </w:rPr>
        <w:t>considered</w:t>
      </w:r>
      <w:r w:rsidRPr="589E218A">
        <w:rPr>
          <w:rStyle w:val="Hyperlink"/>
          <w:color w:val="auto"/>
          <w:u w:val="none"/>
        </w:rPr>
        <w:t xml:space="preserve"> data on A+L compared to osimertinib only.</w:t>
      </w:r>
    </w:p>
    <w:p w14:paraId="0C719C5D" w14:textId="44F82CCD" w:rsidR="00C425A0" w:rsidRPr="00032E05" w:rsidRDefault="00903E20" w:rsidP="008C444D">
      <w:pPr>
        <w:pStyle w:val="3-BodyText"/>
        <w:ind w:left="709" w:hanging="709"/>
        <w:rPr>
          <w:color w:val="0066FF"/>
        </w:rPr>
      </w:pPr>
      <w:r>
        <w:t xml:space="preserve">The </w:t>
      </w:r>
      <w:r w:rsidR="00C425A0">
        <w:t>MARIPOSA</w:t>
      </w:r>
      <w:r>
        <w:t xml:space="preserve"> trial</w:t>
      </w:r>
      <w:r w:rsidR="00C425A0">
        <w:t xml:space="preserve"> is ongoing with the final analysis of overall survival (OS) expected to be available in the first 6 months of 2025. The submission presented results from 2 clinical cut offs (CCOs): </w:t>
      </w:r>
    </w:p>
    <w:p w14:paraId="7D885C12" w14:textId="2C98F225" w:rsidR="00C425A0" w:rsidRDefault="00924CC4" w:rsidP="00645435">
      <w:pPr>
        <w:pStyle w:val="ListParagraph"/>
        <w:ind w:left="1134" w:hanging="283"/>
        <w:jc w:val="both"/>
      </w:pPr>
      <w:r>
        <w:t>I</w:t>
      </w:r>
      <w:r w:rsidR="00C425A0" w:rsidRPr="00032E05">
        <w:t>nterim primary analysis (August 2023</w:t>
      </w:r>
      <w:r w:rsidR="00C425A0">
        <w:t xml:space="preserve"> CCO</w:t>
      </w:r>
      <w:r w:rsidR="00C425A0" w:rsidRPr="00032E05">
        <w:t>, median follow-up of 22.0 months for all reported outcomes</w:t>
      </w:r>
      <w:r w:rsidR="00C425A0">
        <w:t>)</w:t>
      </w:r>
      <w:r>
        <w:t>.</w:t>
      </w:r>
    </w:p>
    <w:p w14:paraId="734118E5" w14:textId="028E3AAE" w:rsidR="00C425A0" w:rsidRPr="00032E05" w:rsidRDefault="00924CC4" w:rsidP="00645435">
      <w:pPr>
        <w:pStyle w:val="ListParagraph"/>
        <w:ind w:left="1134" w:hanging="283"/>
        <w:jc w:val="both"/>
      </w:pPr>
      <w:r>
        <w:t>U</w:t>
      </w:r>
      <w:r w:rsidR="00C425A0" w:rsidRPr="00032E05">
        <w:t>pdated efficacy summary (May 2024</w:t>
      </w:r>
      <w:r w:rsidR="00C425A0">
        <w:t xml:space="preserve"> CCO</w:t>
      </w:r>
      <w:r w:rsidR="00C425A0" w:rsidRPr="00032E05">
        <w:t>, median follow-up of 31.1 months, reported for OS and other key secondary efficacy outcomes). The updated efficacy analysis was unplanned; it was conducted upon request by the European regulatory authority</w:t>
      </w:r>
      <w:r w:rsidR="00C425A0">
        <w:t>.</w:t>
      </w:r>
    </w:p>
    <w:p w14:paraId="2364FADC" w14:textId="33BC34F0" w:rsidR="00C425A0" w:rsidRPr="00127335" w:rsidRDefault="00C425A0" w:rsidP="008C444D">
      <w:pPr>
        <w:pStyle w:val="3-BodyText"/>
        <w:ind w:left="709" w:hanging="709"/>
        <w:rPr>
          <w:color w:val="0066FF"/>
        </w:rPr>
      </w:pPr>
      <w:r>
        <w:t>The submission based its clinical claim on the primary outcome, PFS, from the August</w:t>
      </w:r>
      <w:r w:rsidR="007A7746">
        <w:t> </w:t>
      </w:r>
      <w:r>
        <w:t>2023 CCO, and the secondary outcome, OS, from the May 2024 CCO</w:t>
      </w:r>
      <w:r>
        <w:rPr>
          <w:rStyle w:val="FootnoteReference"/>
        </w:rPr>
        <w:footnoteReference w:id="14"/>
      </w:r>
      <w:r>
        <w:t xml:space="preserve">. </w:t>
      </w:r>
    </w:p>
    <w:p w14:paraId="73F89286" w14:textId="2C915777" w:rsidR="00C425A0" w:rsidRDefault="00C425A0" w:rsidP="00C425A0">
      <w:pPr>
        <w:pStyle w:val="Caption"/>
      </w:pPr>
      <w:bookmarkStart w:id="48" w:name="_Ref186725728"/>
      <w:r>
        <w:t xml:space="preserve">Table </w:t>
      </w:r>
      <w:r w:rsidR="001B4556">
        <w:fldChar w:fldCharType="begin"/>
      </w:r>
      <w:r w:rsidR="001B4556">
        <w:instrText xml:space="preserve"> SEQ Table \* ARABIC </w:instrText>
      </w:r>
      <w:r w:rsidR="001B4556">
        <w:fldChar w:fldCharType="separate"/>
      </w:r>
      <w:r w:rsidR="00184F9A">
        <w:rPr>
          <w:noProof/>
        </w:rPr>
        <w:t>3</w:t>
      </w:r>
      <w:r w:rsidR="001B4556">
        <w:rPr>
          <w:noProof/>
        </w:rPr>
        <w:fldChar w:fldCharType="end"/>
      </w:r>
      <w:bookmarkEnd w:id="48"/>
      <w:r>
        <w:t xml:space="preserve">: </w:t>
      </w:r>
      <w:r w:rsidRPr="00050751">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694"/>
        <w:gridCol w:w="1556"/>
        <w:gridCol w:w="712"/>
        <w:gridCol w:w="1589"/>
        <w:gridCol w:w="1589"/>
        <w:gridCol w:w="1591"/>
      </w:tblGrid>
      <w:tr w:rsidR="00C425A0" w:rsidRPr="00BD4BBF" w14:paraId="683F1A2B" w14:textId="77777777" w:rsidTr="589E218A">
        <w:trPr>
          <w:cantSplit/>
        </w:trPr>
        <w:tc>
          <w:tcPr>
            <w:tcW w:w="713" w:type="pct"/>
            <w:shd w:val="clear" w:color="auto" w:fill="auto"/>
          </w:tcPr>
          <w:p w14:paraId="221A1F42" w14:textId="77777777" w:rsidR="00C425A0" w:rsidRPr="00BD4BBF" w:rsidRDefault="00C425A0">
            <w:pPr>
              <w:pStyle w:val="TableFigureHeading"/>
            </w:pPr>
            <w:r>
              <w:t>Trial</w:t>
            </w:r>
          </w:p>
        </w:tc>
        <w:tc>
          <w:tcPr>
            <w:tcW w:w="385" w:type="pct"/>
            <w:shd w:val="clear" w:color="auto" w:fill="auto"/>
            <w:vAlign w:val="center"/>
          </w:tcPr>
          <w:p w14:paraId="5F2DF520" w14:textId="77777777" w:rsidR="00C425A0" w:rsidRPr="00BD4BBF" w:rsidRDefault="00C425A0">
            <w:pPr>
              <w:pStyle w:val="TableFigureHeading"/>
              <w:jc w:val="center"/>
            </w:pPr>
            <w:r>
              <w:t>N</w:t>
            </w:r>
          </w:p>
        </w:tc>
        <w:tc>
          <w:tcPr>
            <w:tcW w:w="863" w:type="pct"/>
            <w:shd w:val="clear" w:color="auto" w:fill="auto"/>
            <w:vAlign w:val="center"/>
          </w:tcPr>
          <w:p w14:paraId="0121B7C7" w14:textId="77777777" w:rsidR="00C425A0" w:rsidRPr="00BD4BBF" w:rsidRDefault="00C425A0">
            <w:pPr>
              <w:pStyle w:val="TableFigureHeading"/>
              <w:jc w:val="center"/>
            </w:pPr>
            <w:r>
              <w:t>Design</w:t>
            </w:r>
          </w:p>
        </w:tc>
        <w:tc>
          <w:tcPr>
            <w:tcW w:w="395" w:type="pct"/>
            <w:shd w:val="clear" w:color="auto" w:fill="auto"/>
            <w:vAlign w:val="center"/>
          </w:tcPr>
          <w:p w14:paraId="0593F708" w14:textId="77777777" w:rsidR="00C425A0" w:rsidRPr="00BD4BBF" w:rsidRDefault="00C425A0">
            <w:pPr>
              <w:pStyle w:val="TableFigureHeading"/>
              <w:jc w:val="center"/>
            </w:pPr>
            <w:r>
              <w:t>Risk of bias</w:t>
            </w:r>
          </w:p>
        </w:tc>
        <w:tc>
          <w:tcPr>
            <w:tcW w:w="881" w:type="pct"/>
            <w:shd w:val="clear" w:color="auto" w:fill="auto"/>
            <w:vAlign w:val="center"/>
          </w:tcPr>
          <w:p w14:paraId="1878A80E" w14:textId="77777777" w:rsidR="00C425A0" w:rsidRPr="00BD4BBF" w:rsidRDefault="00C425A0">
            <w:pPr>
              <w:pStyle w:val="TableFigureHeading"/>
              <w:jc w:val="center"/>
            </w:pPr>
            <w:r>
              <w:t>Patient population</w:t>
            </w:r>
          </w:p>
        </w:tc>
        <w:tc>
          <w:tcPr>
            <w:tcW w:w="881" w:type="pct"/>
            <w:shd w:val="clear" w:color="auto" w:fill="auto"/>
            <w:vAlign w:val="center"/>
          </w:tcPr>
          <w:p w14:paraId="67D3DE42" w14:textId="77777777" w:rsidR="00C425A0" w:rsidRPr="00BD4BBF" w:rsidRDefault="00C425A0">
            <w:pPr>
              <w:pStyle w:val="TableFigureHeading"/>
              <w:jc w:val="center"/>
            </w:pPr>
            <w:r>
              <w:t>Outcomes</w:t>
            </w:r>
          </w:p>
        </w:tc>
        <w:tc>
          <w:tcPr>
            <w:tcW w:w="882" w:type="pct"/>
            <w:shd w:val="clear" w:color="auto" w:fill="auto"/>
            <w:vAlign w:val="center"/>
          </w:tcPr>
          <w:p w14:paraId="46027B40" w14:textId="77777777" w:rsidR="00C425A0" w:rsidRPr="00BD4BBF" w:rsidRDefault="00C425A0">
            <w:pPr>
              <w:pStyle w:val="TableFigureHeading"/>
              <w:jc w:val="center"/>
            </w:pPr>
            <w:r>
              <w:t>Use in modelled evaluation</w:t>
            </w:r>
          </w:p>
        </w:tc>
      </w:tr>
      <w:tr w:rsidR="00C425A0" w:rsidRPr="00327461" w14:paraId="4760BE8C" w14:textId="77777777" w:rsidTr="589E218A">
        <w:trPr>
          <w:cantSplit/>
        </w:trPr>
        <w:tc>
          <w:tcPr>
            <w:tcW w:w="713" w:type="pct"/>
            <w:shd w:val="clear" w:color="auto" w:fill="auto"/>
            <w:vAlign w:val="center"/>
          </w:tcPr>
          <w:p w14:paraId="57DBCE3E" w14:textId="77777777" w:rsidR="00C425A0" w:rsidRPr="00BD4BBF" w:rsidRDefault="00C425A0">
            <w:pPr>
              <w:pStyle w:val="TableText0"/>
            </w:pPr>
            <w:r w:rsidRPr="00BD4BBF">
              <w:t>MARIPOSA</w:t>
            </w:r>
          </w:p>
        </w:tc>
        <w:tc>
          <w:tcPr>
            <w:tcW w:w="385" w:type="pct"/>
            <w:shd w:val="clear" w:color="auto" w:fill="auto"/>
            <w:vAlign w:val="center"/>
          </w:tcPr>
          <w:p w14:paraId="26840C92" w14:textId="77777777" w:rsidR="00C425A0" w:rsidRPr="00BD4BBF" w:rsidRDefault="00C425A0">
            <w:pPr>
              <w:pStyle w:val="TableText0"/>
            </w:pPr>
            <w:r w:rsidRPr="00BD4BBF">
              <w:t>1</w:t>
            </w:r>
            <w:r>
              <w:t>,</w:t>
            </w:r>
            <w:r w:rsidRPr="00BD4BBF">
              <w:t>074</w:t>
            </w:r>
          </w:p>
        </w:tc>
        <w:tc>
          <w:tcPr>
            <w:tcW w:w="863" w:type="pct"/>
            <w:shd w:val="clear" w:color="auto" w:fill="auto"/>
            <w:vAlign w:val="center"/>
          </w:tcPr>
          <w:p w14:paraId="32E31408" w14:textId="45AA3B66" w:rsidR="00C425A0" w:rsidRPr="00BD4BBF" w:rsidRDefault="00C425A0">
            <w:pPr>
              <w:pStyle w:val="TableText0"/>
            </w:pPr>
            <w:r>
              <w:t>MC,</w:t>
            </w:r>
            <w:r w:rsidRPr="00BD4BBF">
              <w:t xml:space="preserve"> RCT. One treatment arm </w:t>
            </w:r>
            <w:r>
              <w:t>was</w:t>
            </w:r>
            <w:r w:rsidRPr="00BD4BBF">
              <w:t xml:space="preserve"> open label, two others </w:t>
            </w:r>
            <w:r>
              <w:t>were</w:t>
            </w:r>
            <w:r w:rsidRPr="00BD4BBF">
              <w:t xml:space="preserve"> double</w:t>
            </w:r>
            <w:r>
              <w:t>-</w:t>
            </w:r>
            <w:r w:rsidRPr="00BD4BBF">
              <w:t>blinded</w:t>
            </w:r>
            <w:r>
              <w:t>.</w:t>
            </w:r>
            <w:r w:rsidR="000C3D2E" w:rsidRPr="000C3D2E">
              <w:rPr>
                <w:vertAlign w:val="superscript"/>
              </w:rPr>
              <w:t>a</w:t>
            </w:r>
          </w:p>
        </w:tc>
        <w:tc>
          <w:tcPr>
            <w:tcW w:w="395" w:type="pct"/>
            <w:shd w:val="clear" w:color="auto" w:fill="auto"/>
            <w:vAlign w:val="center"/>
          </w:tcPr>
          <w:p w14:paraId="4C844C53" w14:textId="77777777" w:rsidR="00C425A0" w:rsidRPr="00BD4BBF" w:rsidRDefault="00C425A0">
            <w:pPr>
              <w:pStyle w:val="TableText0"/>
            </w:pPr>
            <w:r w:rsidRPr="00BD4BBF">
              <w:t>Low</w:t>
            </w:r>
          </w:p>
        </w:tc>
        <w:tc>
          <w:tcPr>
            <w:tcW w:w="881" w:type="pct"/>
            <w:shd w:val="clear" w:color="auto" w:fill="auto"/>
            <w:vAlign w:val="center"/>
          </w:tcPr>
          <w:p w14:paraId="0A70E8B1" w14:textId="795C4820" w:rsidR="00C425A0" w:rsidRPr="00BD4BBF" w:rsidRDefault="00C425A0">
            <w:pPr>
              <w:pStyle w:val="TableText0"/>
            </w:pPr>
            <w:r w:rsidRPr="00BD4BBF">
              <w:t xml:space="preserve">Locally advanced or metastatic NSCLC treatment naïve for advanced disease </w:t>
            </w:r>
            <w:r w:rsidR="00F639C0" w:rsidRPr="00F639C0">
              <w:rPr>
                <w:i/>
              </w:rPr>
              <w:t>EGFR</w:t>
            </w:r>
            <w:r w:rsidRPr="00BD4BBF">
              <w:t xml:space="preserve"> exon 19del or exon 21 L858R disease</w:t>
            </w:r>
          </w:p>
        </w:tc>
        <w:tc>
          <w:tcPr>
            <w:tcW w:w="881" w:type="pct"/>
            <w:shd w:val="clear" w:color="auto" w:fill="auto"/>
            <w:vAlign w:val="center"/>
          </w:tcPr>
          <w:p w14:paraId="289B8E4B" w14:textId="77777777" w:rsidR="00C425A0" w:rsidRPr="00BD4BBF" w:rsidRDefault="00C425A0">
            <w:pPr>
              <w:pStyle w:val="TableText0"/>
            </w:pPr>
            <w:r w:rsidRPr="00BD4BBF">
              <w:t>Primary: PFS (BICR)</w:t>
            </w:r>
          </w:p>
          <w:p w14:paraId="72AE8B5D" w14:textId="77777777" w:rsidR="00C425A0" w:rsidRPr="00BD4BBF" w:rsidRDefault="00C425A0">
            <w:pPr>
              <w:pStyle w:val="TableText0"/>
            </w:pPr>
          </w:p>
          <w:p w14:paraId="2D2570DD" w14:textId="77777777" w:rsidR="00C425A0" w:rsidRPr="00BD4BBF" w:rsidRDefault="00C425A0">
            <w:pPr>
              <w:pStyle w:val="TableText0"/>
            </w:pPr>
            <w:r w:rsidRPr="589E218A">
              <w:t>Secondary: OS, ORR, DOR, PFS2, TTSP, icPFS, NSCLC-SAQ (HRQoL), EORTC-QLQ-C30 (HRQoL)</w:t>
            </w:r>
          </w:p>
          <w:p w14:paraId="10678E5A" w14:textId="77777777" w:rsidR="00C425A0" w:rsidRPr="00BD4BBF" w:rsidRDefault="00C425A0">
            <w:pPr>
              <w:pStyle w:val="TableText0"/>
            </w:pPr>
          </w:p>
          <w:p w14:paraId="6FCCD1C8" w14:textId="77777777" w:rsidR="00C425A0" w:rsidRPr="00BD4BBF" w:rsidRDefault="00C425A0">
            <w:pPr>
              <w:pStyle w:val="TableText0"/>
            </w:pPr>
            <w:r w:rsidRPr="589E218A">
              <w:t>Exploratory: icORR, icDOR, TTST, TTTD, EQ-5D-5L (HRQoL)</w:t>
            </w:r>
          </w:p>
        </w:tc>
        <w:tc>
          <w:tcPr>
            <w:tcW w:w="882" w:type="pct"/>
            <w:shd w:val="clear" w:color="auto" w:fill="auto"/>
            <w:vAlign w:val="center"/>
          </w:tcPr>
          <w:p w14:paraId="1F98E39D" w14:textId="77777777" w:rsidR="00C425A0" w:rsidRPr="006921C5" w:rsidRDefault="00C425A0">
            <w:pPr>
              <w:pStyle w:val="TableText0"/>
              <w:rPr>
                <w:lang w:val="es-CL"/>
              </w:rPr>
            </w:pPr>
            <w:r w:rsidRPr="006921C5">
              <w:rPr>
                <w:lang w:val="es-CL"/>
              </w:rPr>
              <w:t>OS, PFS, TTTD, EQ-5D-5L</w:t>
            </w:r>
          </w:p>
        </w:tc>
      </w:tr>
    </w:tbl>
    <w:p w14:paraId="657AE9C2" w14:textId="77777777" w:rsidR="00C425A0" w:rsidRDefault="00C425A0" w:rsidP="007A7746">
      <w:pPr>
        <w:pStyle w:val="TableFigureFooter"/>
      </w:pPr>
      <w:r>
        <w:t>Source: Figure 2.2, p61 of the submission, Table 2.24, pp 85- 86 of the submission, Section 3.4.1.1 of the submission.</w:t>
      </w:r>
    </w:p>
    <w:p w14:paraId="0E271746" w14:textId="3BF2AC0C" w:rsidR="00C425A0" w:rsidRDefault="00C425A0" w:rsidP="007A7746">
      <w:pPr>
        <w:pStyle w:val="TableFigureFooter"/>
      </w:pPr>
      <w:r w:rsidRPr="589E218A">
        <w:t xml:space="preserve">BICR = blinded independent central review, DOR = duration of response, </w:t>
      </w:r>
      <w:r w:rsidR="00F639C0" w:rsidRPr="589E218A">
        <w:rPr>
          <w:i/>
          <w:iCs/>
        </w:rPr>
        <w:t>EGFR</w:t>
      </w:r>
      <w:r w:rsidRPr="589E218A">
        <w:t xml:space="preserve"> = epidermal growth factor receptor, EQ-5D-5L = Euro-QoL 5 dimensions five-levels, EORTC-QLQ-C30 = European Organization for the Research and Treatment of Cancer Quality of Life Questionnaire Core 30, HRQoL = health related quality of life, icDOR = intracranial duration of response, icORR = intracranial objective response rate, icPFS = intracranial progression free survival, MC = multi-centre, NSCLC = non-small cell lung cancer, NSCLC-SAQ = Non-Small Cell Lung Cancer – Symptom Assessment Questionnaire, ORR = objective response rate, OS = overall survival, PFS = progression free survival, PFS2 = PFS after first subsequent therapy, RCT = randomised controlled trial, TTSP = time to subsequent progression, TTTD = time to treatment discontinuation.</w:t>
      </w:r>
    </w:p>
    <w:p w14:paraId="55E0B9F7" w14:textId="38F330D3" w:rsidR="000D3918" w:rsidRPr="000D3918" w:rsidRDefault="000D3918" w:rsidP="007A7746">
      <w:pPr>
        <w:pStyle w:val="TableFigureFooter"/>
      </w:pPr>
      <w:r>
        <w:rPr>
          <w:vertAlign w:val="superscript"/>
        </w:rPr>
        <w:t>a</w:t>
      </w:r>
      <w:r>
        <w:t xml:space="preserve"> The A+L arm was </w:t>
      </w:r>
      <w:r w:rsidRPr="00724AF4">
        <w:t>open-label</w:t>
      </w:r>
      <w:r>
        <w:t xml:space="preserve">, while the </w:t>
      </w:r>
      <w:r w:rsidRPr="00724AF4">
        <w:t>osimertinib</w:t>
      </w:r>
      <w:r>
        <w:t xml:space="preserve"> and lazertinib arms were double blinded.</w:t>
      </w:r>
      <w:r w:rsidRPr="00724AF4">
        <w:t xml:space="preserve"> </w:t>
      </w:r>
      <w:r>
        <w:t>The trial investigators stated that t</w:t>
      </w:r>
      <w:r w:rsidRPr="00724AF4">
        <w:t xml:space="preserve">reatment blinding for the </w:t>
      </w:r>
      <w:r>
        <w:t xml:space="preserve">A+L </w:t>
      </w:r>
      <w:r w:rsidRPr="00724AF4">
        <w:t xml:space="preserve">group was not feasible </w:t>
      </w:r>
      <w:r>
        <w:t>due</w:t>
      </w:r>
      <w:r w:rsidRPr="00724AF4">
        <w:t xml:space="preserve"> to differences</w:t>
      </w:r>
      <w:r>
        <w:t xml:space="preserve"> </w:t>
      </w:r>
      <w:r w:rsidRPr="00724AF4">
        <w:t>in routes of administration</w:t>
      </w:r>
      <w:r>
        <w:t>.</w:t>
      </w:r>
    </w:p>
    <w:p w14:paraId="755A6151" w14:textId="6FEC8465" w:rsidR="00B92F2D" w:rsidRPr="00011454" w:rsidRDefault="00011454" w:rsidP="00F6717B">
      <w:pPr>
        <w:pStyle w:val="3-BodyText"/>
        <w:ind w:left="709" w:hanging="709"/>
      </w:pPr>
      <w:bookmarkStart w:id="49" w:name="_Ref191024339"/>
      <w:r w:rsidRPr="589E218A">
        <w:t>The submission referred to 2 non</w:t>
      </w:r>
      <w:r w:rsidR="00D23515" w:rsidRPr="589E218A">
        <w:t>-</w:t>
      </w:r>
      <w:r w:rsidRPr="589E218A">
        <w:t>comparative studies</w:t>
      </w:r>
      <w:r w:rsidR="003C57BD" w:rsidRPr="589E218A">
        <w:t>,</w:t>
      </w:r>
      <w:r w:rsidRPr="589E218A">
        <w:t xml:space="preserve"> CHRYSALIS-cohort E and PALOMA-3</w:t>
      </w:r>
      <w:r w:rsidR="003C57BD" w:rsidRPr="589E218A">
        <w:t>,</w:t>
      </w:r>
      <w:r w:rsidRPr="589E218A">
        <w:t xml:space="preserve"> in support of the PBS listing </w:t>
      </w:r>
      <w:r w:rsidR="00653754" w:rsidRPr="589E218A">
        <w:t xml:space="preserve">of A+L for </w:t>
      </w:r>
      <w:r w:rsidRPr="589E218A">
        <w:t>the second</w:t>
      </w:r>
      <w:r w:rsidR="00E469DC" w:rsidRPr="589E218A">
        <w:t xml:space="preserve"> (recurrent disease)</w:t>
      </w:r>
      <w:r w:rsidRPr="589E218A">
        <w:t xml:space="preserve"> popul</w:t>
      </w:r>
      <w:r w:rsidR="00653754" w:rsidRPr="589E218A">
        <w:t>ation</w:t>
      </w:r>
      <w:r w:rsidR="003F0D15">
        <w:t xml:space="preserve"> following </w:t>
      </w:r>
      <w:r w:rsidR="00590614">
        <w:t>osimertinib treatment in the adjuvant setting</w:t>
      </w:r>
      <w:r w:rsidR="00D66795" w:rsidRPr="589E218A">
        <w:t xml:space="preserve">. </w:t>
      </w:r>
      <w:r w:rsidR="00DF27BE" w:rsidRPr="589E218A">
        <w:t xml:space="preserve">CHRYSALIS was a phase 1, open-label dose escalation trial and PALOMA-3 was a phase 3 RCT comparing subcutaneous versus intravenous formulations of amivantamab, both combined with lazertinib. CHRYSALIS-cohort E (n=45) reported an objective response rate </w:t>
      </w:r>
      <w:r w:rsidR="00214924" w:rsidRPr="589E218A">
        <w:t>(</w:t>
      </w:r>
      <w:r w:rsidR="00DF27BE" w:rsidRPr="589E218A">
        <w:t>ORR</w:t>
      </w:r>
      <w:r w:rsidR="00214924" w:rsidRPr="589E218A">
        <w:t>)</w:t>
      </w:r>
      <w:r w:rsidR="00DF27BE" w:rsidRPr="589E218A">
        <w:t xml:space="preserve"> of 36% and a median PFS of 4.9 months. PALOMA-3 reported an ORR of 33% and a median PFS of 4.3 months in patients receiving intravenous amivantamab combined with lazertinib (n=212). </w:t>
      </w:r>
      <w:r w:rsidR="009D2BE4" w:rsidRPr="589E218A">
        <w:t xml:space="preserve">The submission estimated that </w:t>
      </w:r>
      <w:r w:rsidR="00C1154D" w:rsidRPr="589E218A">
        <w:t>the recurrent disease</w:t>
      </w:r>
      <w:r w:rsidR="009D2BE4" w:rsidRPr="589E218A">
        <w:t xml:space="preserve"> population represented 3% of the total requested PBS population and was included in the financial estimates</w:t>
      </w:r>
      <w:r w:rsidR="00A472F2" w:rsidRPr="589E218A">
        <w:t>.</w:t>
      </w:r>
      <w:r w:rsidR="00653754" w:rsidRPr="589E218A">
        <w:t xml:space="preserve"> This evidence is not discussed further</w:t>
      </w:r>
      <w:r w:rsidR="00324F0C" w:rsidRPr="589E218A">
        <w:t xml:space="preserve"> </w:t>
      </w:r>
      <w:r w:rsidR="00324F0C" w:rsidRPr="00BA6221">
        <w:t>in the comparative effectiveness/harms sections</w:t>
      </w:r>
      <w:r w:rsidR="003646EF" w:rsidRPr="00BA6221">
        <w:t xml:space="preserve"> below</w:t>
      </w:r>
      <w:r w:rsidR="00653754" w:rsidRPr="589E218A">
        <w:rPr>
          <w:i/>
          <w:iCs/>
        </w:rPr>
        <w:t xml:space="preserve"> </w:t>
      </w:r>
      <w:r w:rsidR="00653754" w:rsidRPr="589E218A">
        <w:t>given it is non</w:t>
      </w:r>
      <w:r w:rsidR="00A472F2" w:rsidRPr="589E218A">
        <w:t>-</w:t>
      </w:r>
      <w:r w:rsidR="00653754" w:rsidRPr="589E218A">
        <w:t>comparative evidence</w:t>
      </w:r>
      <w:r w:rsidR="00A472F2" w:rsidRPr="589E218A">
        <w:t>.</w:t>
      </w:r>
      <w:bookmarkEnd w:id="49"/>
    </w:p>
    <w:p w14:paraId="27DBE310" w14:textId="77777777" w:rsidR="00754A1B" w:rsidRDefault="00754A1B" w:rsidP="009A370A">
      <w:pPr>
        <w:pStyle w:val="4-SubsectionHeading"/>
        <w:keepNext w:val="0"/>
        <w:widowControl w:val="0"/>
      </w:pPr>
      <w:bookmarkStart w:id="50" w:name="_Toc22897641"/>
      <w:bookmarkStart w:id="51" w:name="_Toc107927627"/>
      <w:bookmarkStart w:id="52" w:name="_Toc188452571"/>
      <w:r w:rsidRPr="0098262F">
        <w:t>Comparative effectiveness</w:t>
      </w:r>
      <w:bookmarkEnd w:id="50"/>
      <w:bookmarkEnd w:id="51"/>
      <w:bookmarkEnd w:id="52"/>
    </w:p>
    <w:p w14:paraId="4914AB70" w14:textId="77777777" w:rsidR="00C425A0" w:rsidRPr="00EA0A2A" w:rsidRDefault="00C425A0" w:rsidP="009A370A">
      <w:pPr>
        <w:pStyle w:val="3-BodyText"/>
        <w:widowControl w:val="0"/>
        <w:numPr>
          <w:ilvl w:val="0"/>
          <w:numId w:val="0"/>
        </w:numPr>
        <w:ind w:left="720" w:hanging="720"/>
        <w:rPr>
          <w:color w:val="0066FF"/>
          <w:u w:val="single"/>
        </w:rPr>
      </w:pPr>
      <w:r w:rsidRPr="00EA0A2A">
        <w:rPr>
          <w:u w:val="single"/>
        </w:rPr>
        <w:t>Primary outcome</w:t>
      </w:r>
      <w:r>
        <w:rPr>
          <w:u w:val="single"/>
        </w:rPr>
        <w:t xml:space="preserve"> (PFS)</w:t>
      </w:r>
    </w:p>
    <w:p w14:paraId="3901D588" w14:textId="3FBCA423" w:rsidR="00C425A0" w:rsidRDefault="00C425A0" w:rsidP="009A370A">
      <w:pPr>
        <w:pStyle w:val="3-BodyText"/>
        <w:widowControl w:val="0"/>
        <w:ind w:left="709" w:hanging="709"/>
      </w:pPr>
      <w:r>
        <w:t xml:space="preserve">Results of PFS based on the blinded independent central review (BICR) in the full analysis set (FAS) population at the August 2023 CCO are presented in </w:t>
      </w:r>
      <w:r>
        <w:fldChar w:fldCharType="begin"/>
      </w:r>
      <w:r>
        <w:instrText xml:space="preserve"> REF _Ref187666112 \h </w:instrText>
      </w:r>
      <w:r>
        <w:fldChar w:fldCharType="separate"/>
      </w:r>
      <w:r w:rsidR="00184F9A">
        <w:t xml:space="preserve">Table </w:t>
      </w:r>
      <w:r w:rsidR="00184F9A">
        <w:rPr>
          <w:noProof/>
        </w:rPr>
        <w:t>4</w:t>
      </w:r>
      <w:r>
        <w:fldChar w:fldCharType="end"/>
      </w:r>
      <w:r>
        <w:t xml:space="preserve"> and the corresponding Kaplan-Meier (KM) curves are presented in </w:t>
      </w:r>
      <w:r w:rsidR="006D3945">
        <w:fldChar w:fldCharType="begin"/>
      </w:r>
      <w:r w:rsidR="006D3945">
        <w:instrText xml:space="preserve"> REF _Ref188444176 \h </w:instrText>
      </w:r>
      <w:r w:rsidR="006D3945">
        <w:fldChar w:fldCharType="separate"/>
      </w:r>
      <w:r w:rsidR="00184F9A">
        <w:t xml:space="preserve">Figure </w:t>
      </w:r>
      <w:r w:rsidR="00184F9A">
        <w:rPr>
          <w:noProof/>
        </w:rPr>
        <w:t>1</w:t>
      </w:r>
      <w:r w:rsidR="006D3945">
        <w:fldChar w:fldCharType="end"/>
      </w:r>
      <w:r>
        <w:t>.</w:t>
      </w:r>
    </w:p>
    <w:p w14:paraId="1669A730" w14:textId="5733EF5E" w:rsidR="00C425A0" w:rsidRDefault="00C425A0" w:rsidP="004C333E">
      <w:pPr>
        <w:pStyle w:val="Caption"/>
        <w:pageBreakBefore/>
      </w:pPr>
      <w:bookmarkStart w:id="53" w:name="_Ref186725965"/>
      <w:bookmarkStart w:id="54" w:name="_Ref187666112"/>
      <w:r>
        <w:t xml:space="preserve">Table </w:t>
      </w:r>
      <w:r w:rsidR="001B4556">
        <w:fldChar w:fldCharType="begin"/>
      </w:r>
      <w:r w:rsidR="001B4556">
        <w:instrText xml:space="preserve"> SEQ Table \* ARABIC </w:instrText>
      </w:r>
      <w:r w:rsidR="001B4556">
        <w:fldChar w:fldCharType="separate"/>
      </w:r>
      <w:r w:rsidR="00184F9A">
        <w:rPr>
          <w:noProof/>
        </w:rPr>
        <w:t>4</w:t>
      </w:r>
      <w:r w:rsidR="001B4556">
        <w:rPr>
          <w:noProof/>
        </w:rPr>
        <w:fldChar w:fldCharType="end"/>
      </w:r>
      <w:bookmarkEnd w:id="53"/>
      <w:bookmarkEnd w:id="54"/>
      <w:r>
        <w:t xml:space="preserve">: </w:t>
      </w:r>
      <w:r w:rsidRPr="00DB4B71">
        <w:t>Summary of PFS</w:t>
      </w:r>
      <w:r>
        <w:t xml:space="preserve"> BICR</w:t>
      </w:r>
      <w:r w:rsidRPr="00DB4B71">
        <w:t xml:space="preserve"> from MARIPOSA</w:t>
      </w:r>
      <w:r>
        <w:t xml:space="preserve"> </w:t>
      </w:r>
      <w:r>
        <w:rPr>
          <w:rStyle w:val="CommentReference"/>
          <w:b/>
          <w:szCs w:val="24"/>
        </w:rPr>
        <w:t>(August</w:t>
      </w:r>
      <w:r w:rsidRPr="003E500C">
        <w:rPr>
          <w:rStyle w:val="CommentReference"/>
          <w:b/>
          <w:szCs w:val="24"/>
        </w:rPr>
        <w:t xml:space="preserve"> 202</w:t>
      </w:r>
      <w:r>
        <w:rPr>
          <w:rStyle w:val="CommentReference"/>
          <w:b/>
          <w:szCs w:val="24"/>
        </w:rPr>
        <w:t>3</w:t>
      </w:r>
      <w:r w:rsidRPr="003E500C">
        <w:rPr>
          <w:rStyle w:val="CommentReference"/>
          <w:b/>
          <w:szCs w:val="24"/>
        </w:rPr>
        <w:t xml:space="preserve"> CCO</w:t>
      </w:r>
      <w:r>
        <w:rPr>
          <w:rStyle w:val="CommentReference"/>
          <w:b/>
          <w:szCs w:val="24"/>
        </w:rPr>
        <w:t>),</w:t>
      </w:r>
      <w:r w:rsidRPr="003E500C">
        <w:rPr>
          <w:rStyle w:val="CommentReference"/>
          <w:b/>
          <w:szCs w:val="24"/>
        </w:rPr>
        <w:t xml:space="preserve"> FAS population</w:t>
      </w:r>
    </w:p>
    <w:tbl>
      <w:tblPr>
        <w:tblStyle w:val="TableGrid"/>
        <w:tblpPr w:leftFromText="180" w:rightFromText="180" w:vertAnchor="text" w:tblpY="1"/>
        <w:tblOverlap w:val="never"/>
        <w:tblW w:w="5000" w:type="pct"/>
        <w:tblLook w:val="04A0" w:firstRow="1" w:lastRow="0" w:firstColumn="1" w:lastColumn="0" w:noHBand="0" w:noVBand="1"/>
        <w:tblCaption w:val="Table 4: Summary of PFS BICR from MARIPOSA (August 2023 CCO), FAS population"/>
      </w:tblPr>
      <w:tblGrid>
        <w:gridCol w:w="3038"/>
        <w:gridCol w:w="2976"/>
        <w:gridCol w:w="3003"/>
      </w:tblGrid>
      <w:tr w:rsidR="00C425A0" w:rsidRPr="00F414F6" w14:paraId="40F36127" w14:textId="77777777" w:rsidTr="00074070">
        <w:trPr>
          <w:cantSplit/>
          <w:trHeight w:val="283"/>
          <w:tblHeader/>
        </w:trPr>
        <w:tc>
          <w:tcPr>
            <w:tcW w:w="1685" w:type="pct"/>
          </w:tcPr>
          <w:p w14:paraId="6E3F9BAD" w14:textId="77777777" w:rsidR="00C425A0" w:rsidRPr="00AD6419" w:rsidRDefault="00C425A0" w:rsidP="004C333E">
            <w:pPr>
              <w:pStyle w:val="In-tableHeading"/>
              <w:rPr>
                <w:rStyle w:val="CommentReference"/>
                <w:b/>
                <w:bCs/>
                <w:szCs w:val="20"/>
              </w:rPr>
            </w:pPr>
            <w:r w:rsidRPr="00AD6419">
              <w:t xml:space="preserve">MARIPOSA </w:t>
            </w:r>
          </w:p>
        </w:tc>
        <w:tc>
          <w:tcPr>
            <w:tcW w:w="1650" w:type="pct"/>
          </w:tcPr>
          <w:p w14:paraId="19442161" w14:textId="77777777" w:rsidR="00C425A0" w:rsidRDefault="00C425A0" w:rsidP="004C333E">
            <w:pPr>
              <w:pStyle w:val="In-tableHeading"/>
              <w:jc w:val="center"/>
              <w:rPr>
                <w:rStyle w:val="CommentReference"/>
                <w:b/>
                <w:bCs/>
                <w:szCs w:val="20"/>
              </w:rPr>
            </w:pPr>
            <w:r w:rsidRPr="00F414F6">
              <w:rPr>
                <w:rStyle w:val="CommentReference"/>
                <w:b/>
                <w:bCs/>
                <w:szCs w:val="20"/>
              </w:rPr>
              <w:t xml:space="preserve">A+L </w:t>
            </w:r>
          </w:p>
          <w:p w14:paraId="65C13E82" w14:textId="77777777" w:rsidR="00C425A0" w:rsidRPr="00F414F6" w:rsidRDefault="00C425A0" w:rsidP="004C333E">
            <w:pPr>
              <w:pStyle w:val="In-tableHeading"/>
              <w:jc w:val="center"/>
              <w:rPr>
                <w:rStyle w:val="CommentReference"/>
                <w:b/>
                <w:bCs/>
                <w:szCs w:val="20"/>
              </w:rPr>
            </w:pPr>
            <w:r w:rsidRPr="00F414F6">
              <w:rPr>
                <w:rStyle w:val="CommentReference"/>
                <w:b/>
                <w:bCs/>
                <w:szCs w:val="20"/>
              </w:rPr>
              <w:t>(N=429)</w:t>
            </w:r>
          </w:p>
        </w:tc>
        <w:tc>
          <w:tcPr>
            <w:tcW w:w="1665" w:type="pct"/>
          </w:tcPr>
          <w:p w14:paraId="4187EAE0" w14:textId="77777777" w:rsidR="00C425A0" w:rsidRDefault="00C425A0" w:rsidP="004C333E">
            <w:pPr>
              <w:pStyle w:val="In-tableHeading"/>
              <w:jc w:val="center"/>
              <w:rPr>
                <w:rStyle w:val="CommentReference"/>
                <w:b/>
                <w:bCs/>
                <w:szCs w:val="20"/>
              </w:rPr>
            </w:pPr>
            <w:r w:rsidRPr="00F414F6">
              <w:rPr>
                <w:rStyle w:val="CommentReference"/>
                <w:b/>
                <w:bCs/>
                <w:szCs w:val="20"/>
              </w:rPr>
              <w:t xml:space="preserve">Osimertinib </w:t>
            </w:r>
          </w:p>
          <w:p w14:paraId="164A7190" w14:textId="77777777" w:rsidR="00C425A0" w:rsidRPr="00F414F6" w:rsidRDefault="00C425A0" w:rsidP="004C333E">
            <w:pPr>
              <w:pStyle w:val="In-tableHeading"/>
              <w:jc w:val="center"/>
              <w:rPr>
                <w:rStyle w:val="CommentReference"/>
                <w:b/>
                <w:bCs/>
                <w:szCs w:val="20"/>
              </w:rPr>
            </w:pPr>
            <w:r w:rsidRPr="00F414F6">
              <w:rPr>
                <w:rStyle w:val="CommentReference"/>
                <w:b/>
                <w:bCs/>
                <w:szCs w:val="20"/>
              </w:rPr>
              <w:t>(N=429)</w:t>
            </w:r>
          </w:p>
        </w:tc>
      </w:tr>
      <w:tr w:rsidR="00C425A0" w:rsidRPr="00F414F6" w14:paraId="4293816F" w14:textId="77777777" w:rsidTr="00074070">
        <w:trPr>
          <w:cantSplit/>
          <w:trHeight w:val="227"/>
        </w:trPr>
        <w:tc>
          <w:tcPr>
            <w:tcW w:w="5000" w:type="pct"/>
            <w:gridSpan w:val="3"/>
            <w:shd w:val="clear" w:color="auto" w:fill="auto"/>
          </w:tcPr>
          <w:p w14:paraId="53E2E5B7" w14:textId="77777777" w:rsidR="00C425A0" w:rsidRPr="00251043" w:rsidRDefault="00C425A0" w:rsidP="004C333E">
            <w:pPr>
              <w:pStyle w:val="TableText0"/>
              <w:rPr>
                <w:b/>
                <w:bCs w:val="0"/>
              </w:rPr>
            </w:pPr>
            <w:r w:rsidRPr="00251043">
              <w:rPr>
                <w:b/>
              </w:rPr>
              <w:t>August 2023 CCO</w:t>
            </w:r>
          </w:p>
        </w:tc>
      </w:tr>
      <w:tr w:rsidR="00C425A0" w:rsidRPr="00F414F6" w14:paraId="11CC4976" w14:textId="77777777" w:rsidTr="00074070">
        <w:trPr>
          <w:cantSplit/>
          <w:trHeight w:val="227"/>
        </w:trPr>
        <w:tc>
          <w:tcPr>
            <w:tcW w:w="1685" w:type="pct"/>
          </w:tcPr>
          <w:p w14:paraId="2FD96501" w14:textId="77777777" w:rsidR="00C425A0" w:rsidRPr="00F414F6" w:rsidRDefault="00C425A0" w:rsidP="004C333E">
            <w:pPr>
              <w:pStyle w:val="TableText0"/>
            </w:pPr>
            <w:r w:rsidRPr="00F414F6">
              <w:t>PFS</w:t>
            </w:r>
          </w:p>
        </w:tc>
        <w:tc>
          <w:tcPr>
            <w:tcW w:w="1650" w:type="pct"/>
          </w:tcPr>
          <w:p w14:paraId="42049D7F" w14:textId="77777777" w:rsidR="00C425A0" w:rsidRPr="00F414F6" w:rsidRDefault="00C425A0" w:rsidP="004C333E">
            <w:pPr>
              <w:pStyle w:val="TableText0"/>
              <w:jc w:val="center"/>
            </w:pPr>
          </w:p>
        </w:tc>
        <w:tc>
          <w:tcPr>
            <w:tcW w:w="1665" w:type="pct"/>
          </w:tcPr>
          <w:p w14:paraId="461AEB93" w14:textId="77777777" w:rsidR="00C425A0" w:rsidRPr="00F414F6" w:rsidRDefault="00C425A0" w:rsidP="004C333E">
            <w:pPr>
              <w:pStyle w:val="TableText0"/>
              <w:jc w:val="center"/>
            </w:pPr>
          </w:p>
        </w:tc>
      </w:tr>
      <w:tr w:rsidR="00C425A0" w:rsidRPr="00F414F6" w14:paraId="7BF52DB3" w14:textId="77777777" w:rsidTr="00074070">
        <w:trPr>
          <w:cantSplit/>
          <w:trHeight w:val="227"/>
        </w:trPr>
        <w:tc>
          <w:tcPr>
            <w:tcW w:w="1685" w:type="pct"/>
          </w:tcPr>
          <w:p w14:paraId="652AEC49" w14:textId="77777777" w:rsidR="00C425A0" w:rsidRPr="00F414F6" w:rsidRDefault="00C425A0" w:rsidP="004C333E">
            <w:pPr>
              <w:pStyle w:val="TableText0"/>
            </w:pPr>
            <w:r w:rsidRPr="00F414F6">
              <w:t>Event (</w:t>
            </w:r>
            <w:r>
              <w:t>n</w:t>
            </w:r>
            <w:r w:rsidRPr="00F414F6">
              <w:t>)%</w:t>
            </w:r>
          </w:p>
        </w:tc>
        <w:tc>
          <w:tcPr>
            <w:tcW w:w="1650" w:type="pct"/>
          </w:tcPr>
          <w:p w14:paraId="3AB7A41B" w14:textId="77777777" w:rsidR="00C425A0" w:rsidRPr="00F414F6" w:rsidRDefault="00C425A0" w:rsidP="004C333E">
            <w:pPr>
              <w:pStyle w:val="TableText0"/>
              <w:jc w:val="center"/>
            </w:pPr>
            <w:r w:rsidRPr="00F414F6">
              <w:t>192 (44.</w:t>
            </w:r>
            <w:r>
              <w:t>8</w:t>
            </w:r>
            <w:r w:rsidRPr="00F414F6">
              <w:t>%)</w:t>
            </w:r>
          </w:p>
        </w:tc>
        <w:tc>
          <w:tcPr>
            <w:tcW w:w="1665" w:type="pct"/>
          </w:tcPr>
          <w:p w14:paraId="321F75C1" w14:textId="77777777" w:rsidR="00C425A0" w:rsidRPr="00F414F6" w:rsidRDefault="00C425A0" w:rsidP="004C333E">
            <w:pPr>
              <w:pStyle w:val="TableText0"/>
              <w:jc w:val="center"/>
            </w:pPr>
            <w:r w:rsidRPr="00F414F6">
              <w:t>252 (58.7</w:t>
            </w:r>
            <w:r>
              <w:t>%)</w:t>
            </w:r>
          </w:p>
        </w:tc>
      </w:tr>
      <w:tr w:rsidR="00C425A0" w:rsidRPr="00F414F6" w14:paraId="702A4E70" w14:textId="77777777" w:rsidTr="00074070">
        <w:trPr>
          <w:cantSplit/>
          <w:trHeight w:val="227"/>
        </w:trPr>
        <w:tc>
          <w:tcPr>
            <w:tcW w:w="1685" w:type="pct"/>
          </w:tcPr>
          <w:p w14:paraId="07E71BE6" w14:textId="77777777" w:rsidR="00C425A0" w:rsidRPr="00F414F6" w:rsidRDefault="00C425A0" w:rsidP="004C333E">
            <w:pPr>
              <w:pStyle w:val="TableText0"/>
            </w:pPr>
            <w:r w:rsidRPr="00F414F6">
              <w:t>Censored (</w:t>
            </w:r>
            <w:r>
              <w:t>n</w:t>
            </w:r>
            <w:r w:rsidRPr="00F414F6">
              <w:t>)%</w:t>
            </w:r>
          </w:p>
        </w:tc>
        <w:tc>
          <w:tcPr>
            <w:tcW w:w="1650" w:type="pct"/>
          </w:tcPr>
          <w:p w14:paraId="48260160" w14:textId="77777777" w:rsidR="00C425A0" w:rsidRPr="00F414F6" w:rsidRDefault="00C425A0" w:rsidP="004C333E">
            <w:pPr>
              <w:pStyle w:val="TableText0"/>
              <w:jc w:val="center"/>
            </w:pPr>
            <w:r w:rsidRPr="00F414F6">
              <w:t>237 (55.2%)</w:t>
            </w:r>
          </w:p>
        </w:tc>
        <w:tc>
          <w:tcPr>
            <w:tcW w:w="1665" w:type="pct"/>
          </w:tcPr>
          <w:p w14:paraId="750F89E7" w14:textId="77777777" w:rsidR="00C425A0" w:rsidRPr="00F414F6" w:rsidRDefault="00C425A0" w:rsidP="004C333E">
            <w:pPr>
              <w:pStyle w:val="TableText0"/>
              <w:jc w:val="center"/>
            </w:pPr>
            <w:r w:rsidRPr="00F414F6">
              <w:t>177 (41.</w:t>
            </w:r>
            <w:r>
              <w:t>3</w:t>
            </w:r>
            <w:r w:rsidRPr="00F414F6">
              <w:t>%)</w:t>
            </w:r>
          </w:p>
        </w:tc>
      </w:tr>
      <w:tr w:rsidR="00C425A0" w:rsidRPr="00F414F6" w14:paraId="685B3C41" w14:textId="77777777" w:rsidTr="00074070">
        <w:trPr>
          <w:cantSplit/>
          <w:trHeight w:val="227"/>
        </w:trPr>
        <w:tc>
          <w:tcPr>
            <w:tcW w:w="1685" w:type="pct"/>
          </w:tcPr>
          <w:p w14:paraId="221011B4" w14:textId="77777777" w:rsidR="00C425A0" w:rsidRPr="00F414F6" w:rsidRDefault="00C425A0" w:rsidP="004C333E">
            <w:pPr>
              <w:pStyle w:val="TableText0"/>
            </w:pPr>
            <w:r w:rsidRPr="00F414F6">
              <w:t>Time to event (months)</w:t>
            </w:r>
          </w:p>
        </w:tc>
        <w:tc>
          <w:tcPr>
            <w:tcW w:w="1650" w:type="pct"/>
          </w:tcPr>
          <w:p w14:paraId="5D83F956" w14:textId="77777777" w:rsidR="00C425A0" w:rsidRPr="00F414F6" w:rsidRDefault="00C425A0" w:rsidP="004C333E">
            <w:pPr>
              <w:pStyle w:val="TableText0"/>
              <w:jc w:val="center"/>
            </w:pPr>
          </w:p>
        </w:tc>
        <w:tc>
          <w:tcPr>
            <w:tcW w:w="1665" w:type="pct"/>
          </w:tcPr>
          <w:p w14:paraId="2B013501" w14:textId="77777777" w:rsidR="00C425A0" w:rsidRPr="00F414F6" w:rsidRDefault="00C425A0" w:rsidP="004C333E">
            <w:pPr>
              <w:pStyle w:val="TableText0"/>
              <w:jc w:val="center"/>
            </w:pPr>
          </w:p>
        </w:tc>
      </w:tr>
      <w:tr w:rsidR="00C425A0" w:rsidRPr="00F414F6" w14:paraId="7518EFCB" w14:textId="77777777" w:rsidTr="00074070">
        <w:trPr>
          <w:cantSplit/>
          <w:trHeight w:val="227"/>
        </w:trPr>
        <w:tc>
          <w:tcPr>
            <w:tcW w:w="1685" w:type="pct"/>
          </w:tcPr>
          <w:p w14:paraId="0F23821A" w14:textId="77777777" w:rsidR="00C425A0" w:rsidRPr="00F414F6" w:rsidRDefault="00C425A0" w:rsidP="004C333E">
            <w:pPr>
              <w:pStyle w:val="TableText0"/>
            </w:pPr>
            <w:r w:rsidRPr="00F414F6">
              <w:t>Median (95% CI)</w:t>
            </w:r>
          </w:p>
        </w:tc>
        <w:tc>
          <w:tcPr>
            <w:tcW w:w="1650" w:type="pct"/>
          </w:tcPr>
          <w:p w14:paraId="6042D5EB" w14:textId="77777777" w:rsidR="00C425A0" w:rsidRPr="00F414F6" w:rsidRDefault="00C425A0" w:rsidP="004C333E">
            <w:pPr>
              <w:pStyle w:val="TableText0"/>
              <w:jc w:val="center"/>
            </w:pPr>
            <w:r w:rsidRPr="00F414F6">
              <w:t>23.72 (19.12, 27.66)</w:t>
            </w:r>
          </w:p>
        </w:tc>
        <w:tc>
          <w:tcPr>
            <w:tcW w:w="1665" w:type="pct"/>
          </w:tcPr>
          <w:p w14:paraId="7F15743B" w14:textId="77777777" w:rsidR="00C425A0" w:rsidRPr="00F414F6" w:rsidRDefault="00C425A0" w:rsidP="004C333E">
            <w:pPr>
              <w:pStyle w:val="TableText0"/>
              <w:jc w:val="center"/>
            </w:pPr>
            <w:r w:rsidRPr="00F414F6">
              <w:t>16.59 (14.78, 18.46)</w:t>
            </w:r>
          </w:p>
        </w:tc>
      </w:tr>
      <w:tr w:rsidR="00C425A0" w:rsidRPr="00F414F6" w14:paraId="2F262191" w14:textId="77777777" w:rsidTr="00074070">
        <w:trPr>
          <w:cantSplit/>
          <w:trHeight w:val="227"/>
        </w:trPr>
        <w:tc>
          <w:tcPr>
            <w:tcW w:w="1685" w:type="pct"/>
          </w:tcPr>
          <w:p w14:paraId="58B44265" w14:textId="77777777" w:rsidR="00C425A0" w:rsidRPr="00F414F6" w:rsidRDefault="00C425A0" w:rsidP="004C333E">
            <w:pPr>
              <w:pStyle w:val="TableText0"/>
            </w:pPr>
            <w:r w:rsidRPr="00F414F6">
              <w:t>6-month event-free rate (95% CI)</w:t>
            </w:r>
          </w:p>
        </w:tc>
        <w:tc>
          <w:tcPr>
            <w:tcW w:w="1650" w:type="pct"/>
          </w:tcPr>
          <w:p w14:paraId="1663FC14" w14:textId="77777777" w:rsidR="00C425A0" w:rsidRPr="00F414F6" w:rsidRDefault="00C425A0" w:rsidP="004C333E">
            <w:pPr>
              <w:pStyle w:val="TableText0"/>
              <w:jc w:val="center"/>
            </w:pPr>
            <w:r w:rsidRPr="00F414F6">
              <w:t>0.87 (0.83, 0.90)</w:t>
            </w:r>
          </w:p>
        </w:tc>
        <w:tc>
          <w:tcPr>
            <w:tcW w:w="1665" w:type="pct"/>
          </w:tcPr>
          <w:p w14:paraId="14CA4783" w14:textId="77777777" w:rsidR="00C425A0" w:rsidRPr="00F414F6" w:rsidRDefault="00C425A0" w:rsidP="004C333E">
            <w:pPr>
              <w:pStyle w:val="TableText0"/>
              <w:jc w:val="center"/>
            </w:pPr>
            <w:r w:rsidRPr="00F414F6">
              <w:t>0.85 (0.81, 0.88)</w:t>
            </w:r>
          </w:p>
        </w:tc>
      </w:tr>
      <w:tr w:rsidR="00C425A0" w:rsidRPr="00F414F6" w14:paraId="1C8C26F6" w14:textId="77777777" w:rsidTr="00074070">
        <w:trPr>
          <w:cantSplit/>
          <w:trHeight w:val="227"/>
        </w:trPr>
        <w:tc>
          <w:tcPr>
            <w:tcW w:w="1685" w:type="pct"/>
          </w:tcPr>
          <w:p w14:paraId="64E27B42" w14:textId="77777777" w:rsidR="00C425A0" w:rsidRPr="00F414F6" w:rsidRDefault="00C425A0" w:rsidP="004C333E">
            <w:pPr>
              <w:pStyle w:val="TableText0"/>
            </w:pPr>
            <w:r w:rsidRPr="00F414F6">
              <w:t>12-month event-free rate (95% CI)</w:t>
            </w:r>
          </w:p>
        </w:tc>
        <w:tc>
          <w:tcPr>
            <w:tcW w:w="1650" w:type="pct"/>
          </w:tcPr>
          <w:p w14:paraId="5F9F8D08" w14:textId="77777777" w:rsidR="00C425A0" w:rsidRPr="00F414F6" w:rsidRDefault="00C425A0" w:rsidP="004C333E">
            <w:pPr>
              <w:pStyle w:val="TableText0"/>
              <w:jc w:val="center"/>
            </w:pPr>
            <w:r w:rsidRPr="00F414F6">
              <w:t>0.73 (0.69, 0.77)</w:t>
            </w:r>
          </w:p>
        </w:tc>
        <w:tc>
          <w:tcPr>
            <w:tcW w:w="1665" w:type="pct"/>
          </w:tcPr>
          <w:p w14:paraId="06F267FE" w14:textId="77777777" w:rsidR="00C425A0" w:rsidRPr="00F414F6" w:rsidRDefault="00C425A0" w:rsidP="004C333E">
            <w:pPr>
              <w:pStyle w:val="TableText0"/>
              <w:jc w:val="center"/>
            </w:pPr>
            <w:r w:rsidRPr="00F414F6">
              <w:t>0.65 (0.60, 0.69)</w:t>
            </w:r>
          </w:p>
        </w:tc>
      </w:tr>
      <w:tr w:rsidR="00C425A0" w:rsidRPr="00F414F6" w14:paraId="5C3E3B12" w14:textId="77777777" w:rsidTr="00074070">
        <w:trPr>
          <w:cantSplit/>
          <w:trHeight w:val="227"/>
        </w:trPr>
        <w:tc>
          <w:tcPr>
            <w:tcW w:w="1685" w:type="pct"/>
          </w:tcPr>
          <w:p w14:paraId="47BF5ADF" w14:textId="77777777" w:rsidR="00C425A0" w:rsidRPr="00F414F6" w:rsidRDefault="00C425A0" w:rsidP="004C333E">
            <w:pPr>
              <w:pStyle w:val="TableText0"/>
            </w:pPr>
            <w:r w:rsidRPr="00F414F6">
              <w:t>18-month event-free rate (95% CI)</w:t>
            </w:r>
          </w:p>
        </w:tc>
        <w:tc>
          <w:tcPr>
            <w:tcW w:w="1650" w:type="pct"/>
          </w:tcPr>
          <w:p w14:paraId="130DFCFF" w14:textId="77777777" w:rsidR="00C425A0" w:rsidRPr="00F414F6" w:rsidRDefault="00C425A0" w:rsidP="004C333E">
            <w:pPr>
              <w:pStyle w:val="TableText0"/>
              <w:jc w:val="center"/>
            </w:pPr>
            <w:r w:rsidRPr="00F414F6">
              <w:t>0.60 (0.55, 0.64)</w:t>
            </w:r>
          </w:p>
        </w:tc>
        <w:tc>
          <w:tcPr>
            <w:tcW w:w="1665" w:type="pct"/>
          </w:tcPr>
          <w:p w14:paraId="1AAF9044" w14:textId="77777777" w:rsidR="00C425A0" w:rsidRPr="00F414F6" w:rsidRDefault="00C425A0" w:rsidP="004C333E">
            <w:pPr>
              <w:pStyle w:val="TableText0"/>
              <w:jc w:val="center"/>
            </w:pPr>
            <w:r w:rsidRPr="00F414F6">
              <w:t>0.48 (0.43, 0.53)</w:t>
            </w:r>
          </w:p>
        </w:tc>
      </w:tr>
      <w:tr w:rsidR="00C425A0" w:rsidRPr="00F414F6" w14:paraId="44A8D033" w14:textId="77777777" w:rsidTr="00074070">
        <w:trPr>
          <w:cantSplit/>
          <w:trHeight w:val="227"/>
        </w:trPr>
        <w:tc>
          <w:tcPr>
            <w:tcW w:w="1685" w:type="pct"/>
          </w:tcPr>
          <w:p w14:paraId="5A6D0E7C" w14:textId="77777777" w:rsidR="00C425A0" w:rsidRPr="00F414F6" w:rsidRDefault="00C425A0" w:rsidP="004C333E">
            <w:pPr>
              <w:pStyle w:val="TableText0"/>
            </w:pPr>
            <w:r w:rsidRPr="00F414F6">
              <w:t>24-month event-free rate (95% CI)</w:t>
            </w:r>
          </w:p>
        </w:tc>
        <w:tc>
          <w:tcPr>
            <w:tcW w:w="1650" w:type="pct"/>
          </w:tcPr>
          <w:p w14:paraId="24D188EF" w14:textId="77777777" w:rsidR="00C425A0" w:rsidRPr="00F414F6" w:rsidRDefault="00C425A0" w:rsidP="004C333E">
            <w:pPr>
              <w:pStyle w:val="TableText0"/>
              <w:jc w:val="center"/>
            </w:pPr>
            <w:r w:rsidRPr="00F414F6">
              <w:t>0.48 (0.42, 0.54)</w:t>
            </w:r>
          </w:p>
        </w:tc>
        <w:tc>
          <w:tcPr>
            <w:tcW w:w="1665" w:type="pct"/>
          </w:tcPr>
          <w:p w14:paraId="157F0328" w14:textId="77777777" w:rsidR="00C425A0" w:rsidRPr="00F414F6" w:rsidRDefault="00C425A0" w:rsidP="004C333E">
            <w:pPr>
              <w:pStyle w:val="TableText0"/>
              <w:jc w:val="center"/>
            </w:pPr>
            <w:r w:rsidRPr="00F414F6">
              <w:t>0.34 (0.28, 0.39)</w:t>
            </w:r>
          </w:p>
        </w:tc>
      </w:tr>
      <w:tr w:rsidR="00C425A0" w:rsidRPr="00F414F6" w14:paraId="0BC6CC1C" w14:textId="77777777" w:rsidTr="00074070">
        <w:trPr>
          <w:cantSplit/>
          <w:trHeight w:val="227"/>
        </w:trPr>
        <w:tc>
          <w:tcPr>
            <w:tcW w:w="1685" w:type="pct"/>
          </w:tcPr>
          <w:p w14:paraId="1B4816FC" w14:textId="77777777" w:rsidR="00C425A0" w:rsidRPr="00F414F6" w:rsidRDefault="00C425A0" w:rsidP="004C333E">
            <w:pPr>
              <w:pStyle w:val="TableText0"/>
            </w:pPr>
            <w:r w:rsidRPr="00F414F6">
              <w:t xml:space="preserve">p-value </w:t>
            </w:r>
            <w:r w:rsidRPr="00F414F6">
              <w:rPr>
                <w:vertAlign w:val="superscript"/>
              </w:rPr>
              <w:t>a</w:t>
            </w:r>
          </w:p>
        </w:tc>
        <w:tc>
          <w:tcPr>
            <w:tcW w:w="3315" w:type="pct"/>
            <w:gridSpan w:val="2"/>
          </w:tcPr>
          <w:p w14:paraId="37A68EF3" w14:textId="77777777" w:rsidR="00C425A0" w:rsidRPr="00251043" w:rsidRDefault="00C425A0" w:rsidP="004C333E">
            <w:pPr>
              <w:pStyle w:val="TableText0"/>
              <w:jc w:val="center"/>
              <w:rPr>
                <w:b/>
                <w:bCs w:val="0"/>
              </w:rPr>
            </w:pPr>
            <w:r w:rsidRPr="00251043">
              <w:rPr>
                <w:b/>
              </w:rPr>
              <w:t>0.0002</w:t>
            </w:r>
          </w:p>
        </w:tc>
      </w:tr>
      <w:tr w:rsidR="00C425A0" w:rsidRPr="00F414F6" w14:paraId="31725845" w14:textId="77777777" w:rsidTr="00074070">
        <w:trPr>
          <w:cantSplit/>
          <w:trHeight w:val="227"/>
        </w:trPr>
        <w:tc>
          <w:tcPr>
            <w:tcW w:w="1685" w:type="pct"/>
          </w:tcPr>
          <w:p w14:paraId="6490FAC1" w14:textId="77777777" w:rsidR="00C425A0" w:rsidRPr="00F414F6" w:rsidRDefault="00C425A0" w:rsidP="004C333E">
            <w:pPr>
              <w:pStyle w:val="TableText0"/>
            </w:pPr>
            <w:r w:rsidRPr="00F414F6">
              <w:t xml:space="preserve">Hazard ratio (95% CI) </w:t>
            </w:r>
            <w:r w:rsidRPr="00F414F6">
              <w:rPr>
                <w:vertAlign w:val="superscript"/>
              </w:rPr>
              <w:t>b</w:t>
            </w:r>
          </w:p>
        </w:tc>
        <w:tc>
          <w:tcPr>
            <w:tcW w:w="3315" w:type="pct"/>
            <w:gridSpan w:val="2"/>
          </w:tcPr>
          <w:p w14:paraId="28F09AE0" w14:textId="77777777" w:rsidR="00C425A0" w:rsidRPr="00251043" w:rsidRDefault="00C425A0" w:rsidP="004C333E">
            <w:pPr>
              <w:pStyle w:val="TableText0"/>
              <w:jc w:val="center"/>
              <w:rPr>
                <w:b/>
                <w:bCs w:val="0"/>
              </w:rPr>
            </w:pPr>
            <w:r w:rsidRPr="00251043">
              <w:rPr>
                <w:b/>
              </w:rPr>
              <w:t>0.70 (0.58, 0.85)</w:t>
            </w:r>
          </w:p>
        </w:tc>
      </w:tr>
    </w:tbl>
    <w:p w14:paraId="74495718" w14:textId="77777777" w:rsidR="004C333E" w:rsidRDefault="00C425A0" w:rsidP="004C333E">
      <w:pPr>
        <w:pStyle w:val="TableFigureFooter"/>
        <w:keepNext/>
        <w:widowControl/>
      </w:pPr>
      <w:r w:rsidRPr="589E218A">
        <w:t>Source: Table 2.25, p93 of the submission.</w:t>
      </w:r>
    </w:p>
    <w:p w14:paraId="0AB12131" w14:textId="3C9F3844" w:rsidR="00C425A0" w:rsidRDefault="00C425A0" w:rsidP="004C333E">
      <w:pPr>
        <w:pStyle w:val="TableFigureFooter"/>
        <w:keepNext/>
        <w:widowControl/>
      </w:pPr>
      <w:r w:rsidRPr="589E218A">
        <w:t xml:space="preserve">A+L = amivantamab plus lazertinib, BICR = blinded independent central review, CCO = clinical cut off, CI = confidence interval, FAS = full analysis set, PFS = progression free survival. </w:t>
      </w:r>
    </w:p>
    <w:p w14:paraId="48530B46" w14:textId="77777777" w:rsidR="00C425A0" w:rsidRDefault="00C425A0" w:rsidP="004C333E">
      <w:pPr>
        <w:pStyle w:val="TableFigureFooter"/>
        <w:keepNext/>
        <w:widowControl/>
      </w:pPr>
      <w:r w:rsidRPr="002D51D9">
        <w:rPr>
          <w:vertAlign w:val="superscript"/>
        </w:rPr>
        <w:t>a</w:t>
      </w:r>
      <w:r>
        <w:t xml:space="preserve"> p-value is from a log-rank test stratified by mutation type (exon 19del or exon 21 L858R substitution), race (Asian or Non-Asian), and history of brain metastasis (present or absent).</w:t>
      </w:r>
    </w:p>
    <w:p w14:paraId="34E4584B" w14:textId="77777777" w:rsidR="00C425A0" w:rsidRDefault="00C425A0" w:rsidP="004C333E">
      <w:pPr>
        <w:pStyle w:val="TableFigureFooter"/>
        <w:keepNext/>
        <w:widowControl/>
      </w:pPr>
      <w:r w:rsidRPr="589E218A">
        <w:rPr>
          <w:vertAlign w:val="superscript"/>
        </w:rPr>
        <w:t xml:space="preserve">b </w:t>
      </w:r>
      <w:r w:rsidRPr="589E218A">
        <w:t>Hazard ratio is from a stratified proportional hazards model. Hazard ratio &lt;1 favours amivantamab + lazertinib.</w:t>
      </w:r>
    </w:p>
    <w:p w14:paraId="371C033F" w14:textId="77777777" w:rsidR="00C425A0" w:rsidRDefault="00C425A0" w:rsidP="007A7746">
      <w:pPr>
        <w:pStyle w:val="TableFigureFooter"/>
      </w:pPr>
      <w:r w:rsidRPr="589E218A">
        <w:t>Bold indicates statistically significant results.</w:t>
      </w:r>
    </w:p>
    <w:p w14:paraId="71F4486B" w14:textId="17D03C85" w:rsidR="00C425A0" w:rsidRDefault="00C425A0" w:rsidP="00B06CFE">
      <w:pPr>
        <w:pStyle w:val="Caption"/>
        <w:keepNext w:val="0"/>
        <w:keepLines w:val="0"/>
        <w:widowControl w:val="0"/>
        <w:jc w:val="left"/>
      </w:pPr>
      <w:bookmarkStart w:id="55" w:name="_Ref186725883"/>
      <w:bookmarkStart w:id="56" w:name="_Ref188444176"/>
      <w:r>
        <w:t xml:space="preserve">Figure </w:t>
      </w:r>
      <w:r w:rsidR="001B4556">
        <w:fldChar w:fldCharType="begin"/>
      </w:r>
      <w:r w:rsidR="001B4556">
        <w:instrText xml:space="preserve"> SEQ Figure \* ARABIC </w:instrText>
      </w:r>
      <w:r w:rsidR="001B4556">
        <w:fldChar w:fldCharType="separate"/>
      </w:r>
      <w:r w:rsidR="00184F9A">
        <w:rPr>
          <w:noProof/>
        </w:rPr>
        <w:t>1</w:t>
      </w:r>
      <w:r w:rsidR="001B4556">
        <w:rPr>
          <w:noProof/>
        </w:rPr>
        <w:fldChar w:fldCharType="end"/>
      </w:r>
      <w:bookmarkEnd w:id="55"/>
      <w:bookmarkEnd w:id="56"/>
      <w:r>
        <w:t xml:space="preserve">: </w:t>
      </w:r>
      <w:r w:rsidRPr="003A2645">
        <w:t xml:space="preserve">Kaplan-Meier plot of PFS BICR </w:t>
      </w:r>
      <w:r>
        <w:t xml:space="preserve">from MARIPOSA </w:t>
      </w:r>
      <w:r w:rsidRPr="003A2645">
        <w:t>(August 2023 CCO), FAS population</w:t>
      </w:r>
    </w:p>
    <w:p w14:paraId="438B36FE" w14:textId="77777777" w:rsidR="00C425A0" w:rsidRDefault="00C425A0" w:rsidP="00B06CFE">
      <w:pPr>
        <w:pStyle w:val="Caption"/>
        <w:keepNext w:val="0"/>
        <w:keepLines w:val="0"/>
        <w:widowControl w:val="0"/>
        <w:jc w:val="left"/>
      </w:pPr>
      <w:r>
        <w:rPr>
          <w:noProof/>
        </w:rPr>
        <w:drawing>
          <wp:inline distT="0" distB="0" distL="0" distR="0" wp14:anchorId="1AFDCCA5" wp14:editId="72C180B4">
            <wp:extent cx="5505450" cy="2667000"/>
            <wp:effectExtent l="0" t="0" r="0" b="0"/>
            <wp:docPr id="944517299" name="Picture 1" descr="Figure 1: Kaplan-Meier plot of PFS BICR from MARIPOSA (August 2023 CCO), FAS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17299" name="Picture 1" descr="Figure 1: Kaplan-Meier plot of PFS BICR from MARIPOSA (August 2023 CCO), FAS population"/>
                    <pic:cNvPicPr/>
                  </pic:nvPicPr>
                  <pic:blipFill>
                    <a:blip r:embed="rId11"/>
                    <a:stretch>
                      <a:fillRect/>
                    </a:stretch>
                  </pic:blipFill>
                  <pic:spPr>
                    <a:xfrm>
                      <a:off x="0" y="0"/>
                      <a:ext cx="5532893" cy="2680294"/>
                    </a:xfrm>
                    <a:prstGeom prst="rect">
                      <a:avLst/>
                    </a:prstGeom>
                  </pic:spPr>
                </pic:pic>
              </a:graphicData>
            </a:graphic>
          </wp:inline>
        </w:drawing>
      </w:r>
    </w:p>
    <w:p w14:paraId="4EC98D82" w14:textId="77777777" w:rsidR="00C425A0" w:rsidRDefault="00C425A0" w:rsidP="007A7746">
      <w:pPr>
        <w:pStyle w:val="TableFigureFooter"/>
      </w:pPr>
      <w:r>
        <w:t>Source: Figure 2.4, p94 of the submission.</w:t>
      </w:r>
    </w:p>
    <w:p w14:paraId="254688E6" w14:textId="77777777" w:rsidR="00C425A0" w:rsidRDefault="00C425A0" w:rsidP="007A7746">
      <w:pPr>
        <w:pStyle w:val="TableFigureFooter"/>
      </w:pPr>
      <w:r w:rsidRPr="589E218A">
        <w:t>A+L= amivantamab plus lazertinib, BICR = blinded independent central review, CCO = clinical cut-off, FAS = full analysis set, Osi = osimertinib, PFS = progression free survival.</w:t>
      </w:r>
    </w:p>
    <w:p w14:paraId="1DFE9CC6" w14:textId="31F28C4B" w:rsidR="00C425A0" w:rsidRDefault="00C425A0" w:rsidP="00B06CFE">
      <w:pPr>
        <w:pStyle w:val="3-BodyText"/>
        <w:widowControl w:val="0"/>
        <w:ind w:left="709" w:hanging="709"/>
      </w:pPr>
      <w:r w:rsidRPr="589E218A">
        <w:rPr>
          <w:rStyle w:val="3-BodyTextChar"/>
        </w:rPr>
        <w:t>There was a statistically significant improvement in PFS of A+L compared to osimertinib: a</w:t>
      </w:r>
      <w:r w:rsidR="005D51DE">
        <w:rPr>
          <w:rStyle w:val="3-BodyTextChar"/>
        </w:rPr>
        <w:t xml:space="preserve"> 14% improvement</w:t>
      </w:r>
      <w:r w:rsidRPr="589E218A">
        <w:rPr>
          <w:rStyle w:val="3-BodyTextChar"/>
        </w:rPr>
        <w:t xml:space="preserve"> in the </w:t>
      </w:r>
      <w:r w:rsidR="005D5566">
        <w:rPr>
          <w:rStyle w:val="3-BodyTextChar"/>
        </w:rPr>
        <w:t>rate</w:t>
      </w:r>
      <w:r w:rsidR="005D5566" w:rsidRPr="589E218A">
        <w:rPr>
          <w:rStyle w:val="3-BodyTextChar"/>
        </w:rPr>
        <w:t xml:space="preserve"> </w:t>
      </w:r>
      <w:r w:rsidRPr="589E218A">
        <w:rPr>
          <w:rStyle w:val="3-BodyTextChar"/>
        </w:rPr>
        <w:t>of disease progression or death</w:t>
      </w:r>
      <w:r w:rsidR="00807E25">
        <w:rPr>
          <w:rStyle w:val="3-BodyTextChar"/>
        </w:rPr>
        <w:t xml:space="preserve"> at 24</w:t>
      </w:r>
      <w:r w:rsidR="004C333E">
        <w:rPr>
          <w:rStyle w:val="3-BodyTextChar"/>
        </w:rPr>
        <w:t> </w:t>
      </w:r>
      <w:r w:rsidR="00807E25">
        <w:rPr>
          <w:rStyle w:val="3-BodyTextChar"/>
        </w:rPr>
        <w:t>months</w:t>
      </w:r>
      <w:r w:rsidRPr="589E218A">
        <w:rPr>
          <w:rStyle w:val="3-BodyTextChar"/>
        </w:rPr>
        <w:t xml:space="preserve"> (</w:t>
      </w:r>
      <w:r w:rsidR="00A07F0F">
        <w:rPr>
          <w:rStyle w:val="3-BodyTextChar"/>
        </w:rPr>
        <w:t>48</w:t>
      </w:r>
      <w:r w:rsidR="00B07436">
        <w:rPr>
          <w:rStyle w:val="3-BodyTextChar"/>
        </w:rPr>
        <w:t>%</w:t>
      </w:r>
      <w:r w:rsidR="00206CB5">
        <w:rPr>
          <w:rStyle w:val="3-BodyTextChar"/>
        </w:rPr>
        <w:t xml:space="preserve"> A+L</w:t>
      </w:r>
      <w:r w:rsidR="00B07436">
        <w:rPr>
          <w:rStyle w:val="3-BodyTextChar"/>
        </w:rPr>
        <w:t xml:space="preserve"> vs </w:t>
      </w:r>
      <w:r w:rsidR="00A07F0F">
        <w:rPr>
          <w:rStyle w:val="3-BodyTextChar"/>
        </w:rPr>
        <w:t>34</w:t>
      </w:r>
      <w:r w:rsidR="00B07436">
        <w:rPr>
          <w:rStyle w:val="3-BodyTextChar"/>
        </w:rPr>
        <w:t>%</w:t>
      </w:r>
      <w:r w:rsidR="00206CB5">
        <w:rPr>
          <w:rStyle w:val="3-BodyTextChar"/>
        </w:rPr>
        <w:t xml:space="preserve"> osimertinib</w:t>
      </w:r>
      <w:r w:rsidR="00B07436">
        <w:rPr>
          <w:rStyle w:val="3-BodyTextChar"/>
        </w:rPr>
        <w:t xml:space="preserve">, </w:t>
      </w:r>
      <w:r w:rsidRPr="589E218A">
        <w:rPr>
          <w:rStyle w:val="3-BodyTextChar"/>
        </w:rPr>
        <w:t>hazard ratio [HR]=0.70 [95% CI: 0.58, 0.85]</w:t>
      </w:r>
      <w:r w:rsidR="009F64E7">
        <w:rPr>
          <w:rStyle w:val="3-BodyTextChar"/>
        </w:rPr>
        <w:t>, p=0.0002</w:t>
      </w:r>
      <w:r w:rsidRPr="589E218A">
        <w:rPr>
          <w:rStyle w:val="3-BodyTextChar"/>
        </w:rPr>
        <w:t>). The median PFS was 23.7 months for the A+L arm and 16.6 months for the osimertinib arm. The</w:t>
      </w:r>
      <w:r w:rsidR="00DE3509" w:rsidRPr="589E218A">
        <w:rPr>
          <w:rStyle w:val="3-BodyTextChar"/>
        </w:rPr>
        <w:t xml:space="preserve"> </w:t>
      </w:r>
      <w:r w:rsidR="00DE3509" w:rsidRPr="00BA6221">
        <w:rPr>
          <w:rStyle w:val="3-BodyTextChar"/>
        </w:rPr>
        <w:t>evaluation considered that the</w:t>
      </w:r>
      <w:r w:rsidRPr="589E218A">
        <w:rPr>
          <w:rStyle w:val="3-BodyTextChar"/>
        </w:rPr>
        <w:t xml:space="preserve"> difference </w:t>
      </w:r>
      <w:r w:rsidR="00CB2153" w:rsidRPr="589E218A">
        <w:rPr>
          <w:rStyle w:val="3-BodyTextChar"/>
        </w:rPr>
        <w:t>wa</w:t>
      </w:r>
      <w:r w:rsidRPr="589E218A">
        <w:rPr>
          <w:rStyle w:val="3-BodyTextChar"/>
        </w:rPr>
        <w:t xml:space="preserve">s likely to be clinically meaningful. The American Society of Clinical Oncology (ASCO) have recommended targets for meaningful clinical trial goals </w:t>
      </w:r>
      <w:r w:rsidR="00531719" w:rsidRPr="589E218A">
        <w:rPr>
          <w:rStyle w:val="3-BodyTextChar"/>
        </w:rPr>
        <w:t xml:space="preserve">in NSCLC </w:t>
      </w:r>
      <w:r w:rsidRPr="589E218A">
        <w:rPr>
          <w:rStyle w:val="3-BodyTextChar"/>
        </w:rPr>
        <w:t>to be 4 months for PFS</w:t>
      </w:r>
      <w:r w:rsidR="00531719" w:rsidRPr="589E218A">
        <w:rPr>
          <w:rStyle w:val="3-BodyTextChar"/>
        </w:rPr>
        <w:t xml:space="preserve"> for the new intervention</w:t>
      </w:r>
      <w:r w:rsidR="00531719" w:rsidRPr="589E218A">
        <w:rPr>
          <w:rStyle w:val="FootnoteReference"/>
        </w:rPr>
        <w:footnoteReference w:id="15"/>
      </w:r>
      <w:r w:rsidRPr="589E218A">
        <w:rPr>
          <w:rStyle w:val="3-BodyTextChar"/>
        </w:rPr>
        <w:t>.</w:t>
      </w:r>
    </w:p>
    <w:p w14:paraId="4BD11AC4" w14:textId="3B6DF48D" w:rsidR="00C425A0" w:rsidRDefault="00C425A0" w:rsidP="00B06CFE">
      <w:pPr>
        <w:pStyle w:val="3-BodyText"/>
        <w:widowControl w:val="0"/>
        <w:ind w:left="709" w:hanging="709"/>
      </w:pPr>
      <w:bookmarkStart w:id="57" w:name="_Ref190334487"/>
      <w:r>
        <w:rPr>
          <w:rStyle w:val="3-BodyTextChar"/>
        </w:rPr>
        <w:t>T</w:t>
      </w:r>
      <w:r w:rsidRPr="00AC25C9">
        <w:rPr>
          <w:rStyle w:val="3-BodyTextChar"/>
        </w:rPr>
        <w:t xml:space="preserve">he </w:t>
      </w:r>
      <w:r w:rsidR="00C83556">
        <w:rPr>
          <w:rStyle w:val="3-BodyTextChar"/>
        </w:rPr>
        <w:t>l</w:t>
      </w:r>
      <w:r w:rsidRPr="00AC25C9">
        <w:rPr>
          <w:rStyle w:val="3-BodyTextChar"/>
        </w:rPr>
        <w:t xml:space="preserve">og(-log(S)) vs log(time) plots showed that proportional hazards assumption did not hold for PFS. </w:t>
      </w:r>
      <w:r w:rsidR="00F82D88" w:rsidRPr="00BA6221">
        <w:rPr>
          <w:rStyle w:val="3-BodyTextChar"/>
        </w:rPr>
        <w:t>The evaluation noted that</w:t>
      </w:r>
      <w:r w:rsidR="00F82D88">
        <w:rPr>
          <w:rStyle w:val="3-BodyTextChar"/>
        </w:rPr>
        <w:t xml:space="preserve"> </w:t>
      </w:r>
      <w:r w:rsidR="00F82D88">
        <w:rPr>
          <w:rStyle w:val="3-BodyTextChar"/>
          <w:iCs/>
        </w:rPr>
        <w:t>u</w:t>
      </w:r>
      <w:r w:rsidRPr="002464B3">
        <w:rPr>
          <w:rStyle w:val="3-BodyTextChar"/>
          <w:iCs/>
        </w:rPr>
        <w:t>nder these circumstances, the HR, confidence intervals (CI) and p-values for this analysis are potentially misleading and should be interpreted with caution.</w:t>
      </w:r>
      <w:bookmarkEnd w:id="57"/>
    </w:p>
    <w:p w14:paraId="2FFCABF1" w14:textId="77777777" w:rsidR="00C425A0" w:rsidRPr="00D750C5" w:rsidRDefault="00C425A0" w:rsidP="00B06CFE">
      <w:pPr>
        <w:widowControl w:val="0"/>
        <w:jc w:val="left"/>
        <w:rPr>
          <w:u w:val="single"/>
        </w:rPr>
      </w:pPr>
      <w:r w:rsidRPr="00D750C5">
        <w:rPr>
          <w:u w:val="single"/>
        </w:rPr>
        <w:t>Secondary outcome (OS)</w:t>
      </w:r>
    </w:p>
    <w:p w14:paraId="0728AEA0" w14:textId="47294B8B" w:rsidR="00AD4352" w:rsidRDefault="00C425A0" w:rsidP="00B06CFE">
      <w:pPr>
        <w:pStyle w:val="3-BodyText"/>
        <w:widowControl w:val="0"/>
        <w:ind w:left="709" w:hanging="709"/>
      </w:pPr>
      <w:r w:rsidRPr="00D750C5">
        <w:rPr>
          <w:rStyle w:val="3-BodyTextChar"/>
        </w:rPr>
        <w:t xml:space="preserve">Results of the updated OS at the May 2024 CCO </w:t>
      </w:r>
      <w:r>
        <w:rPr>
          <w:rStyle w:val="3-BodyTextChar"/>
        </w:rPr>
        <w:t>are</w:t>
      </w:r>
      <w:r w:rsidRPr="00D750C5">
        <w:rPr>
          <w:rStyle w:val="3-BodyTextChar"/>
        </w:rPr>
        <w:t xml:space="preserve"> summarised in </w:t>
      </w:r>
      <w:r>
        <w:rPr>
          <w:rStyle w:val="3-BodyTextChar"/>
        </w:rPr>
        <w:fldChar w:fldCharType="begin"/>
      </w:r>
      <w:r>
        <w:rPr>
          <w:rStyle w:val="3-BodyTextChar"/>
        </w:rPr>
        <w:instrText xml:space="preserve"> REF _Ref186798756 \h </w:instrText>
      </w:r>
      <w:r>
        <w:rPr>
          <w:rStyle w:val="3-BodyTextChar"/>
        </w:rPr>
      </w:r>
      <w:r>
        <w:rPr>
          <w:rStyle w:val="3-BodyTextChar"/>
        </w:rPr>
        <w:fldChar w:fldCharType="separate"/>
      </w:r>
      <w:r w:rsidR="00184F9A">
        <w:t xml:space="preserve">Table </w:t>
      </w:r>
      <w:r w:rsidR="00184F9A">
        <w:rPr>
          <w:noProof/>
        </w:rPr>
        <w:t>5</w:t>
      </w:r>
      <w:r>
        <w:rPr>
          <w:rStyle w:val="3-BodyTextChar"/>
        </w:rPr>
        <w:fldChar w:fldCharType="end"/>
      </w:r>
      <w:r>
        <w:rPr>
          <w:rStyle w:val="3-BodyTextChar"/>
        </w:rPr>
        <w:t xml:space="preserve"> </w:t>
      </w:r>
      <w:r w:rsidRPr="00D750C5">
        <w:rPr>
          <w:rStyle w:val="3-BodyTextChar"/>
        </w:rPr>
        <w:t xml:space="preserve">and </w:t>
      </w:r>
      <w:r w:rsidRPr="00D750C5">
        <w:rPr>
          <w:rStyle w:val="3-BodyTextChar"/>
        </w:rPr>
        <w:fldChar w:fldCharType="begin"/>
      </w:r>
      <w:r w:rsidRPr="00D750C5">
        <w:rPr>
          <w:rStyle w:val="3-BodyTextChar"/>
        </w:rPr>
        <w:instrText xml:space="preserve"> REF _Ref186726728 \h  \* MERGEFORMAT </w:instrText>
      </w:r>
      <w:r w:rsidRPr="00D750C5">
        <w:rPr>
          <w:rStyle w:val="3-BodyTextChar"/>
        </w:rPr>
      </w:r>
      <w:r w:rsidRPr="00D750C5">
        <w:rPr>
          <w:rStyle w:val="3-BodyTextChar"/>
        </w:rPr>
        <w:fldChar w:fldCharType="separate"/>
      </w:r>
      <w:r w:rsidR="00184F9A" w:rsidRPr="00184F9A">
        <w:rPr>
          <w:rStyle w:val="3-BodyTextChar"/>
        </w:rPr>
        <w:t>Figure</w:t>
      </w:r>
      <w:r w:rsidR="00184F9A">
        <w:t xml:space="preserve"> </w:t>
      </w:r>
      <w:r w:rsidR="00184F9A">
        <w:rPr>
          <w:noProof/>
        </w:rPr>
        <w:t>2</w:t>
      </w:r>
      <w:r w:rsidRPr="00D750C5">
        <w:rPr>
          <w:rStyle w:val="3-BodyTextChar"/>
        </w:rPr>
        <w:fldChar w:fldCharType="end"/>
      </w:r>
      <w:r w:rsidRPr="00D750C5">
        <w:rPr>
          <w:rStyle w:val="3-BodyTextChar"/>
        </w:rPr>
        <w:t>.</w:t>
      </w:r>
    </w:p>
    <w:p w14:paraId="0CFFEE34" w14:textId="43A0C174" w:rsidR="00C425A0" w:rsidRDefault="00C425A0" w:rsidP="00B06CFE">
      <w:pPr>
        <w:pStyle w:val="Caption"/>
        <w:keepNext w:val="0"/>
        <w:keepLines w:val="0"/>
        <w:widowControl w:val="0"/>
        <w:jc w:val="left"/>
      </w:pPr>
      <w:bookmarkStart w:id="58" w:name="_Ref186798756"/>
      <w:bookmarkStart w:id="59" w:name="_Ref186798753"/>
      <w:r>
        <w:t xml:space="preserve">Table </w:t>
      </w:r>
      <w:r w:rsidR="001B4556">
        <w:fldChar w:fldCharType="begin"/>
      </w:r>
      <w:r w:rsidR="001B4556">
        <w:instrText xml:space="preserve"> SEQ Table \* ARABIC </w:instrText>
      </w:r>
      <w:r w:rsidR="001B4556">
        <w:fldChar w:fldCharType="separate"/>
      </w:r>
      <w:r w:rsidR="00184F9A">
        <w:rPr>
          <w:noProof/>
        </w:rPr>
        <w:t>5</w:t>
      </w:r>
      <w:r w:rsidR="001B4556">
        <w:rPr>
          <w:noProof/>
        </w:rPr>
        <w:fldChar w:fldCharType="end"/>
      </w:r>
      <w:bookmarkEnd w:id="58"/>
      <w:r>
        <w:t>:</w:t>
      </w:r>
      <w:r w:rsidRPr="007713D8">
        <w:t xml:space="preserve"> Summary </w:t>
      </w:r>
      <w:r>
        <w:t xml:space="preserve">of </w:t>
      </w:r>
      <w:r w:rsidRPr="007713D8">
        <w:t>OS from MARIPOSA</w:t>
      </w:r>
      <w:bookmarkEnd w:id="59"/>
      <w:r>
        <w:t xml:space="preserve"> </w:t>
      </w:r>
      <w:r w:rsidRPr="003A2645">
        <w:t>(</w:t>
      </w:r>
      <w:r>
        <w:t>May</w:t>
      </w:r>
      <w:r w:rsidRPr="003A2645">
        <w:t xml:space="preserve"> 202</w:t>
      </w:r>
      <w:r>
        <w:t>4</w:t>
      </w:r>
      <w:r w:rsidRPr="003A2645">
        <w:t xml:space="preserve"> CCO), FAS population</w:t>
      </w:r>
    </w:p>
    <w:tbl>
      <w:tblPr>
        <w:tblStyle w:val="TableGrid"/>
        <w:tblpPr w:leftFromText="180" w:rightFromText="180" w:vertAnchor="text" w:tblpY="1"/>
        <w:tblOverlap w:val="never"/>
        <w:tblW w:w="5000" w:type="pct"/>
        <w:tblLook w:val="04A0" w:firstRow="1" w:lastRow="0" w:firstColumn="1" w:lastColumn="0" w:noHBand="0" w:noVBand="1"/>
        <w:tblCaption w:val="Table 5: Summary of OS from MARIPOSA (May 2024 CCO), FAS population"/>
      </w:tblPr>
      <w:tblGrid>
        <w:gridCol w:w="3038"/>
        <w:gridCol w:w="2976"/>
        <w:gridCol w:w="3003"/>
      </w:tblGrid>
      <w:tr w:rsidR="00C425A0" w:rsidRPr="00F414F6" w14:paraId="3C7163EB" w14:textId="77777777" w:rsidTr="004F4259">
        <w:trPr>
          <w:trHeight w:val="283"/>
          <w:tblHeader/>
        </w:trPr>
        <w:tc>
          <w:tcPr>
            <w:tcW w:w="1685" w:type="pct"/>
          </w:tcPr>
          <w:p w14:paraId="5161ED3F" w14:textId="77777777" w:rsidR="00C425A0" w:rsidRPr="00F414F6" w:rsidRDefault="00C425A0" w:rsidP="00B06CFE">
            <w:pPr>
              <w:pStyle w:val="In-tableHeading"/>
              <w:keepNext w:val="0"/>
              <w:keepLines w:val="0"/>
              <w:widowControl w:val="0"/>
              <w:rPr>
                <w:rStyle w:val="CommentReference"/>
                <w:b/>
                <w:bCs/>
                <w:szCs w:val="20"/>
              </w:rPr>
            </w:pPr>
            <w:r w:rsidRPr="00F414F6">
              <w:t xml:space="preserve">MARIPOSA </w:t>
            </w:r>
          </w:p>
        </w:tc>
        <w:tc>
          <w:tcPr>
            <w:tcW w:w="1650" w:type="pct"/>
          </w:tcPr>
          <w:p w14:paraId="34D7781B" w14:textId="77777777" w:rsidR="00C425A0" w:rsidRDefault="00C425A0" w:rsidP="00B06CFE">
            <w:pPr>
              <w:pStyle w:val="In-tableHeading"/>
              <w:keepNext w:val="0"/>
              <w:keepLines w:val="0"/>
              <w:widowControl w:val="0"/>
              <w:jc w:val="center"/>
              <w:rPr>
                <w:rStyle w:val="CommentReference"/>
                <w:b/>
                <w:bCs/>
                <w:szCs w:val="20"/>
              </w:rPr>
            </w:pPr>
            <w:r w:rsidRPr="00F414F6">
              <w:rPr>
                <w:rStyle w:val="CommentReference"/>
                <w:b/>
                <w:bCs/>
                <w:szCs w:val="20"/>
              </w:rPr>
              <w:t>A+L</w:t>
            </w:r>
          </w:p>
          <w:p w14:paraId="49278511" w14:textId="77777777" w:rsidR="00C425A0" w:rsidRPr="00F414F6" w:rsidRDefault="00C425A0" w:rsidP="00B06CFE">
            <w:pPr>
              <w:pStyle w:val="In-tableHeading"/>
              <w:keepNext w:val="0"/>
              <w:keepLines w:val="0"/>
              <w:widowControl w:val="0"/>
              <w:jc w:val="center"/>
              <w:rPr>
                <w:rStyle w:val="CommentReference"/>
                <w:b/>
                <w:bCs/>
                <w:szCs w:val="20"/>
              </w:rPr>
            </w:pPr>
            <w:r w:rsidRPr="00F414F6">
              <w:rPr>
                <w:rStyle w:val="CommentReference"/>
                <w:b/>
                <w:bCs/>
                <w:szCs w:val="20"/>
              </w:rPr>
              <w:t>(N=429)</w:t>
            </w:r>
          </w:p>
        </w:tc>
        <w:tc>
          <w:tcPr>
            <w:tcW w:w="1665" w:type="pct"/>
          </w:tcPr>
          <w:p w14:paraId="0C28AE2D" w14:textId="77777777" w:rsidR="00C425A0" w:rsidRDefault="00C425A0" w:rsidP="00B06CFE">
            <w:pPr>
              <w:pStyle w:val="In-tableHeading"/>
              <w:keepNext w:val="0"/>
              <w:keepLines w:val="0"/>
              <w:widowControl w:val="0"/>
              <w:jc w:val="center"/>
              <w:rPr>
                <w:rStyle w:val="CommentReference"/>
                <w:b/>
                <w:bCs/>
                <w:szCs w:val="20"/>
              </w:rPr>
            </w:pPr>
            <w:r w:rsidRPr="00F414F6">
              <w:rPr>
                <w:rStyle w:val="CommentReference"/>
                <w:b/>
                <w:bCs/>
                <w:szCs w:val="20"/>
              </w:rPr>
              <w:t>Osimertinib</w:t>
            </w:r>
          </w:p>
          <w:p w14:paraId="0FAEB564" w14:textId="77777777" w:rsidR="00C425A0" w:rsidRPr="00F414F6" w:rsidRDefault="00C425A0" w:rsidP="00B06CFE">
            <w:pPr>
              <w:pStyle w:val="In-tableHeading"/>
              <w:keepNext w:val="0"/>
              <w:keepLines w:val="0"/>
              <w:widowControl w:val="0"/>
              <w:jc w:val="center"/>
              <w:rPr>
                <w:rStyle w:val="CommentReference"/>
                <w:b/>
                <w:bCs/>
                <w:szCs w:val="20"/>
              </w:rPr>
            </w:pPr>
            <w:r w:rsidRPr="00F414F6">
              <w:rPr>
                <w:rStyle w:val="CommentReference"/>
                <w:b/>
                <w:bCs/>
                <w:szCs w:val="20"/>
              </w:rPr>
              <w:t>(N=429)</w:t>
            </w:r>
          </w:p>
        </w:tc>
      </w:tr>
      <w:tr w:rsidR="00C425A0" w:rsidRPr="00F414F6" w14:paraId="23910F6D" w14:textId="77777777" w:rsidTr="004F4259">
        <w:trPr>
          <w:trHeight w:val="227"/>
        </w:trPr>
        <w:tc>
          <w:tcPr>
            <w:tcW w:w="5000" w:type="pct"/>
            <w:gridSpan w:val="3"/>
            <w:shd w:val="clear" w:color="auto" w:fill="auto"/>
          </w:tcPr>
          <w:p w14:paraId="6512F6C0" w14:textId="77777777" w:rsidR="00C425A0" w:rsidRPr="00251043" w:rsidRDefault="00C425A0" w:rsidP="00B06CFE">
            <w:pPr>
              <w:pStyle w:val="TableText0"/>
              <w:keepNext w:val="0"/>
              <w:keepLines w:val="0"/>
              <w:widowControl w:val="0"/>
            </w:pPr>
            <w:r w:rsidRPr="00251043">
              <w:t>May 2024 CCO</w:t>
            </w:r>
          </w:p>
        </w:tc>
      </w:tr>
      <w:tr w:rsidR="00C425A0" w:rsidRPr="00F414F6" w14:paraId="4FA351F2" w14:textId="77777777" w:rsidTr="004F4259">
        <w:trPr>
          <w:trHeight w:val="227"/>
        </w:trPr>
        <w:tc>
          <w:tcPr>
            <w:tcW w:w="1685" w:type="pct"/>
          </w:tcPr>
          <w:p w14:paraId="0F097CC0" w14:textId="77777777" w:rsidR="00C425A0" w:rsidRPr="00F414F6" w:rsidRDefault="00C425A0" w:rsidP="00B06CFE">
            <w:pPr>
              <w:pStyle w:val="TableText0"/>
              <w:keepNext w:val="0"/>
              <w:keepLines w:val="0"/>
              <w:widowControl w:val="0"/>
            </w:pPr>
            <w:r w:rsidRPr="00F414F6">
              <w:t>OS</w:t>
            </w:r>
          </w:p>
        </w:tc>
        <w:tc>
          <w:tcPr>
            <w:tcW w:w="1650" w:type="pct"/>
          </w:tcPr>
          <w:p w14:paraId="7A039568" w14:textId="77777777" w:rsidR="00C425A0" w:rsidRPr="00F414F6" w:rsidRDefault="00C425A0" w:rsidP="00B06CFE">
            <w:pPr>
              <w:pStyle w:val="TableText0"/>
              <w:keepNext w:val="0"/>
              <w:keepLines w:val="0"/>
              <w:widowControl w:val="0"/>
            </w:pPr>
          </w:p>
        </w:tc>
        <w:tc>
          <w:tcPr>
            <w:tcW w:w="1665" w:type="pct"/>
          </w:tcPr>
          <w:p w14:paraId="7687B7CE" w14:textId="77777777" w:rsidR="00C425A0" w:rsidRPr="00F414F6" w:rsidRDefault="00C425A0" w:rsidP="00B06CFE">
            <w:pPr>
              <w:pStyle w:val="TableText0"/>
              <w:keepNext w:val="0"/>
              <w:keepLines w:val="0"/>
              <w:widowControl w:val="0"/>
            </w:pPr>
          </w:p>
        </w:tc>
      </w:tr>
      <w:tr w:rsidR="00C425A0" w:rsidRPr="00F414F6" w14:paraId="4B9C4B36" w14:textId="77777777" w:rsidTr="004F4259">
        <w:trPr>
          <w:trHeight w:val="227"/>
        </w:trPr>
        <w:tc>
          <w:tcPr>
            <w:tcW w:w="1685" w:type="pct"/>
          </w:tcPr>
          <w:p w14:paraId="478B9159" w14:textId="77777777" w:rsidR="00C425A0" w:rsidRPr="00F414F6" w:rsidRDefault="00C425A0" w:rsidP="00B06CFE">
            <w:pPr>
              <w:pStyle w:val="TableText0"/>
              <w:keepNext w:val="0"/>
              <w:keepLines w:val="0"/>
              <w:widowControl w:val="0"/>
            </w:pPr>
            <w:r w:rsidRPr="00F414F6">
              <w:t>Event</w:t>
            </w:r>
            <w:r>
              <w:t xml:space="preserve"> (n)%</w:t>
            </w:r>
          </w:p>
        </w:tc>
        <w:tc>
          <w:tcPr>
            <w:tcW w:w="1650" w:type="pct"/>
          </w:tcPr>
          <w:p w14:paraId="5053D467" w14:textId="77777777" w:rsidR="00C425A0" w:rsidRPr="00F414F6" w:rsidRDefault="00C425A0" w:rsidP="00B06CFE">
            <w:pPr>
              <w:pStyle w:val="TableText0"/>
              <w:keepNext w:val="0"/>
              <w:keepLines w:val="0"/>
              <w:widowControl w:val="0"/>
              <w:jc w:val="center"/>
            </w:pPr>
            <w:r w:rsidRPr="00F414F6">
              <w:t>142 (33.1%)</w:t>
            </w:r>
          </w:p>
        </w:tc>
        <w:tc>
          <w:tcPr>
            <w:tcW w:w="1665" w:type="pct"/>
          </w:tcPr>
          <w:p w14:paraId="3B0861CA" w14:textId="77777777" w:rsidR="00C425A0" w:rsidRPr="00F414F6" w:rsidRDefault="00C425A0" w:rsidP="00B06CFE">
            <w:pPr>
              <w:pStyle w:val="TableText0"/>
              <w:keepNext w:val="0"/>
              <w:keepLines w:val="0"/>
              <w:widowControl w:val="0"/>
              <w:jc w:val="center"/>
            </w:pPr>
            <w:r w:rsidRPr="00F414F6">
              <w:t>177 (41.</w:t>
            </w:r>
            <w:r>
              <w:t>3</w:t>
            </w:r>
            <w:r w:rsidRPr="00F414F6">
              <w:t>%)</w:t>
            </w:r>
          </w:p>
        </w:tc>
      </w:tr>
      <w:tr w:rsidR="00C425A0" w:rsidRPr="00F414F6" w14:paraId="5F178F78" w14:textId="77777777" w:rsidTr="004F4259">
        <w:trPr>
          <w:trHeight w:val="227"/>
        </w:trPr>
        <w:tc>
          <w:tcPr>
            <w:tcW w:w="1685" w:type="pct"/>
          </w:tcPr>
          <w:p w14:paraId="45FE45BC" w14:textId="77777777" w:rsidR="00C425A0" w:rsidRPr="00F414F6" w:rsidRDefault="00C425A0" w:rsidP="00B06CFE">
            <w:pPr>
              <w:pStyle w:val="TableText0"/>
              <w:keepNext w:val="0"/>
              <w:keepLines w:val="0"/>
              <w:widowControl w:val="0"/>
            </w:pPr>
            <w:r w:rsidRPr="00F414F6">
              <w:t>Censored</w:t>
            </w:r>
            <w:r>
              <w:t xml:space="preserve"> (n)%</w:t>
            </w:r>
          </w:p>
        </w:tc>
        <w:tc>
          <w:tcPr>
            <w:tcW w:w="1650" w:type="pct"/>
          </w:tcPr>
          <w:p w14:paraId="46C62572" w14:textId="77777777" w:rsidR="00C425A0" w:rsidRPr="00F414F6" w:rsidRDefault="00C425A0" w:rsidP="00B06CFE">
            <w:pPr>
              <w:pStyle w:val="TableText0"/>
              <w:keepNext w:val="0"/>
              <w:keepLines w:val="0"/>
              <w:widowControl w:val="0"/>
              <w:jc w:val="center"/>
            </w:pPr>
            <w:r w:rsidRPr="00F414F6">
              <w:t>287 (66.</w:t>
            </w:r>
            <w:r>
              <w:t>9</w:t>
            </w:r>
            <w:r w:rsidRPr="00F414F6">
              <w:t>%)</w:t>
            </w:r>
          </w:p>
        </w:tc>
        <w:tc>
          <w:tcPr>
            <w:tcW w:w="1665" w:type="pct"/>
          </w:tcPr>
          <w:p w14:paraId="3A9772B0" w14:textId="77777777" w:rsidR="00C425A0" w:rsidRPr="00F414F6" w:rsidRDefault="00C425A0" w:rsidP="00B06CFE">
            <w:pPr>
              <w:pStyle w:val="TableText0"/>
              <w:keepNext w:val="0"/>
              <w:keepLines w:val="0"/>
              <w:widowControl w:val="0"/>
              <w:jc w:val="center"/>
            </w:pPr>
            <w:r w:rsidRPr="00F414F6">
              <w:t>252 (58.7%)</w:t>
            </w:r>
          </w:p>
        </w:tc>
      </w:tr>
      <w:tr w:rsidR="00C425A0" w:rsidRPr="00F414F6" w14:paraId="45A2182A" w14:textId="77777777" w:rsidTr="004F4259">
        <w:trPr>
          <w:trHeight w:val="227"/>
        </w:trPr>
        <w:tc>
          <w:tcPr>
            <w:tcW w:w="1685" w:type="pct"/>
          </w:tcPr>
          <w:p w14:paraId="25E7DE04" w14:textId="77777777" w:rsidR="00C425A0" w:rsidRPr="00F414F6" w:rsidRDefault="00C425A0" w:rsidP="00B06CFE">
            <w:pPr>
              <w:pStyle w:val="TableText0"/>
              <w:keepNext w:val="0"/>
              <w:keepLines w:val="0"/>
              <w:widowControl w:val="0"/>
            </w:pPr>
            <w:r w:rsidRPr="00F414F6">
              <w:t>Time to event (months)</w:t>
            </w:r>
          </w:p>
        </w:tc>
        <w:tc>
          <w:tcPr>
            <w:tcW w:w="1650" w:type="pct"/>
          </w:tcPr>
          <w:p w14:paraId="4B3CF6C0" w14:textId="77777777" w:rsidR="00C425A0" w:rsidRPr="00F414F6" w:rsidRDefault="00C425A0" w:rsidP="00B06CFE">
            <w:pPr>
              <w:pStyle w:val="TableText0"/>
              <w:keepNext w:val="0"/>
              <w:keepLines w:val="0"/>
              <w:widowControl w:val="0"/>
              <w:jc w:val="center"/>
            </w:pPr>
          </w:p>
        </w:tc>
        <w:tc>
          <w:tcPr>
            <w:tcW w:w="1665" w:type="pct"/>
          </w:tcPr>
          <w:p w14:paraId="7CD2FF89" w14:textId="77777777" w:rsidR="00C425A0" w:rsidRPr="00F414F6" w:rsidRDefault="00C425A0" w:rsidP="00B06CFE">
            <w:pPr>
              <w:pStyle w:val="TableText0"/>
              <w:keepNext w:val="0"/>
              <w:keepLines w:val="0"/>
              <w:widowControl w:val="0"/>
              <w:jc w:val="center"/>
            </w:pPr>
          </w:p>
        </w:tc>
      </w:tr>
      <w:tr w:rsidR="00C425A0" w:rsidRPr="00F414F6" w14:paraId="6CF6291B" w14:textId="77777777" w:rsidTr="004F4259">
        <w:trPr>
          <w:trHeight w:val="227"/>
        </w:trPr>
        <w:tc>
          <w:tcPr>
            <w:tcW w:w="1685" w:type="pct"/>
          </w:tcPr>
          <w:p w14:paraId="7685E496" w14:textId="77777777" w:rsidR="00C425A0" w:rsidRPr="00F414F6" w:rsidRDefault="00C425A0" w:rsidP="00B06CFE">
            <w:pPr>
              <w:pStyle w:val="TableText0"/>
              <w:keepNext w:val="0"/>
              <w:keepLines w:val="0"/>
              <w:widowControl w:val="0"/>
            </w:pPr>
            <w:r w:rsidRPr="00F414F6">
              <w:t>Median (95% CI)</w:t>
            </w:r>
          </w:p>
        </w:tc>
        <w:tc>
          <w:tcPr>
            <w:tcW w:w="1650" w:type="pct"/>
          </w:tcPr>
          <w:p w14:paraId="099F4CD3" w14:textId="77777777" w:rsidR="00C425A0" w:rsidRPr="00F414F6" w:rsidRDefault="00C425A0" w:rsidP="00B06CFE">
            <w:pPr>
              <w:pStyle w:val="TableText0"/>
              <w:keepNext w:val="0"/>
              <w:keepLines w:val="0"/>
              <w:widowControl w:val="0"/>
              <w:jc w:val="center"/>
            </w:pPr>
            <w:r w:rsidRPr="00F414F6">
              <w:t>NE (NE, NE)</w:t>
            </w:r>
          </w:p>
        </w:tc>
        <w:tc>
          <w:tcPr>
            <w:tcW w:w="1665" w:type="pct"/>
          </w:tcPr>
          <w:p w14:paraId="3F52F7B8" w14:textId="77777777" w:rsidR="00C425A0" w:rsidRPr="00F414F6" w:rsidRDefault="00C425A0" w:rsidP="00B06CFE">
            <w:pPr>
              <w:pStyle w:val="TableText0"/>
              <w:keepNext w:val="0"/>
              <w:keepLines w:val="0"/>
              <w:widowControl w:val="0"/>
              <w:jc w:val="center"/>
            </w:pPr>
            <w:r w:rsidRPr="00F414F6">
              <w:t>37.32 (32.53, NE)</w:t>
            </w:r>
          </w:p>
        </w:tc>
      </w:tr>
      <w:tr w:rsidR="00C425A0" w:rsidRPr="00F414F6" w14:paraId="40D88379" w14:textId="77777777" w:rsidTr="004F4259">
        <w:trPr>
          <w:trHeight w:val="227"/>
        </w:trPr>
        <w:tc>
          <w:tcPr>
            <w:tcW w:w="1685" w:type="pct"/>
          </w:tcPr>
          <w:p w14:paraId="3A93D3CA" w14:textId="77777777" w:rsidR="00C425A0" w:rsidRPr="00F414F6" w:rsidRDefault="00C425A0" w:rsidP="00B06CFE">
            <w:pPr>
              <w:pStyle w:val="TableText0"/>
              <w:keepNext w:val="0"/>
              <w:keepLines w:val="0"/>
              <w:widowControl w:val="0"/>
            </w:pPr>
            <w:r w:rsidRPr="00F414F6">
              <w:t>6-month event-free rate (95% CI)</w:t>
            </w:r>
          </w:p>
        </w:tc>
        <w:tc>
          <w:tcPr>
            <w:tcW w:w="1650" w:type="pct"/>
          </w:tcPr>
          <w:p w14:paraId="5430C446" w14:textId="77777777" w:rsidR="00C425A0" w:rsidRPr="00F414F6" w:rsidRDefault="00C425A0" w:rsidP="00B06CFE">
            <w:pPr>
              <w:pStyle w:val="TableText0"/>
              <w:keepNext w:val="0"/>
              <w:keepLines w:val="0"/>
              <w:widowControl w:val="0"/>
              <w:jc w:val="center"/>
            </w:pPr>
            <w:r w:rsidRPr="00F414F6">
              <w:t>0.93 (0.90, 0.95)</w:t>
            </w:r>
          </w:p>
        </w:tc>
        <w:tc>
          <w:tcPr>
            <w:tcW w:w="1665" w:type="pct"/>
          </w:tcPr>
          <w:p w14:paraId="6DE68DBD" w14:textId="77777777" w:rsidR="00C425A0" w:rsidRPr="00F414F6" w:rsidRDefault="00C425A0" w:rsidP="00B06CFE">
            <w:pPr>
              <w:pStyle w:val="TableText0"/>
              <w:keepNext w:val="0"/>
              <w:keepLines w:val="0"/>
              <w:widowControl w:val="0"/>
              <w:jc w:val="center"/>
            </w:pPr>
            <w:r w:rsidRPr="00F414F6">
              <w:t>0.96 (0.93, 0.97)</w:t>
            </w:r>
          </w:p>
        </w:tc>
      </w:tr>
      <w:tr w:rsidR="00C425A0" w:rsidRPr="00F414F6" w14:paraId="70727FFF" w14:textId="77777777" w:rsidTr="004F4259">
        <w:trPr>
          <w:trHeight w:val="227"/>
        </w:trPr>
        <w:tc>
          <w:tcPr>
            <w:tcW w:w="1685" w:type="pct"/>
          </w:tcPr>
          <w:p w14:paraId="4D387D84" w14:textId="77777777" w:rsidR="00C425A0" w:rsidRPr="00F414F6" w:rsidRDefault="00C425A0" w:rsidP="00B06CFE">
            <w:pPr>
              <w:pStyle w:val="TableText0"/>
              <w:keepNext w:val="0"/>
              <w:keepLines w:val="0"/>
              <w:widowControl w:val="0"/>
            </w:pPr>
            <w:r w:rsidRPr="00F414F6">
              <w:t>12-month event-free rate (95% CI)</w:t>
            </w:r>
          </w:p>
        </w:tc>
        <w:tc>
          <w:tcPr>
            <w:tcW w:w="1650" w:type="pct"/>
          </w:tcPr>
          <w:p w14:paraId="0B341283" w14:textId="77777777" w:rsidR="00C425A0" w:rsidRPr="00F414F6" w:rsidRDefault="00C425A0" w:rsidP="00B06CFE">
            <w:pPr>
              <w:pStyle w:val="TableText0"/>
              <w:keepNext w:val="0"/>
              <w:keepLines w:val="0"/>
              <w:widowControl w:val="0"/>
              <w:jc w:val="center"/>
            </w:pPr>
            <w:r w:rsidRPr="00F414F6">
              <w:t>0.90 (0.86, 0.92)</w:t>
            </w:r>
          </w:p>
        </w:tc>
        <w:tc>
          <w:tcPr>
            <w:tcW w:w="1665" w:type="pct"/>
          </w:tcPr>
          <w:p w14:paraId="67B6F218" w14:textId="77777777" w:rsidR="00C425A0" w:rsidRPr="00F414F6" w:rsidRDefault="00C425A0" w:rsidP="00B06CFE">
            <w:pPr>
              <w:pStyle w:val="TableText0"/>
              <w:keepNext w:val="0"/>
              <w:keepLines w:val="0"/>
              <w:widowControl w:val="0"/>
              <w:jc w:val="center"/>
            </w:pPr>
            <w:r w:rsidRPr="00F414F6">
              <w:t>0.88 (0.84, 0.91)</w:t>
            </w:r>
          </w:p>
        </w:tc>
      </w:tr>
      <w:tr w:rsidR="00C425A0" w:rsidRPr="00F414F6" w14:paraId="5FC69FBD" w14:textId="77777777" w:rsidTr="004F4259">
        <w:trPr>
          <w:trHeight w:val="227"/>
        </w:trPr>
        <w:tc>
          <w:tcPr>
            <w:tcW w:w="1685" w:type="pct"/>
          </w:tcPr>
          <w:p w14:paraId="73A54E72" w14:textId="77777777" w:rsidR="00C425A0" w:rsidRPr="00F414F6" w:rsidRDefault="00C425A0" w:rsidP="00B06CFE">
            <w:pPr>
              <w:pStyle w:val="TableText0"/>
              <w:keepNext w:val="0"/>
              <w:keepLines w:val="0"/>
              <w:widowControl w:val="0"/>
            </w:pPr>
            <w:r w:rsidRPr="00F414F6">
              <w:t>18-month event-free rate (95% CI)</w:t>
            </w:r>
          </w:p>
        </w:tc>
        <w:tc>
          <w:tcPr>
            <w:tcW w:w="1650" w:type="pct"/>
          </w:tcPr>
          <w:p w14:paraId="27BF7283" w14:textId="77777777" w:rsidR="00C425A0" w:rsidRPr="00F414F6" w:rsidRDefault="00C425A0" w:rsidP="00B06CFE">
            <w:pPr>
              <w:pStyle w:val="TableText0"/>
              <w:keepNext w:val="0"/>
              <w:keepLines w:val="0"/>
              <w:widowControl w:val="0"/>
              <w:jc w:val="center"/>
            </w:pPr>
            <w:r w:rsidRPr="00F414F6">
              <w:t>0.82 (0.78, 0.86)</w:t>
            </w:r>
          </w:p>
        </w:tc>
        <w:tc>
          <w:tcPr>
            <w:tcW w:w="1665" w:type="pct"/>
          </w:tcPr>
          <w:p w14:paraId="7698D23F" w14:textId="77777777" w:rsidR="00C425A0" w:rsidRPr="00F414F6" w:rsidRDefault="00C425A0" w:rsidP="00B06CFE">
            <w:pPr>
              <w:pStyle w:val="TableText0"/>
              <w:keepNext w:val="0"/>
              <w:keepLines w:val="0"/>
              <w:widowControl w:val="0"/>
              <w:jc w:val="center"/>
            </w:pPr>
            <w:r w:rsidRPr="00F414F6">
              <w:t>0.79 (0.75, 0.83)</w:t>
            </w:r>
          </w:p>
        </w:tc>
      </w:tr>
      <w:tr w:rsidR="00C425A0" w:rsidRPr="00F414F6" w14:paraId="707EDC32" w14:textId="77777777" w:rsidTr="004F4259">
        <w:trPr>
          <w:trHeight w:val="227"/>
        </w:trPr>
        <w:tc>
          <w:tcPr>
            <w:tcW w:w="1685" w:type="pct"/>
          </w:tcPr>
          <w:p w14:paraId="61EB0261" w14:textId="77777777" w:rsidR="00C425A0" w:rsidRPr="00F414F6" w:rsidRDefault="00C425A0" w:rsidP="00B06CFE">
            <w:pPr>
              <w:pStyle w:val="TableText0"/>
              <w:keepNext w:val="0"/>
              <w:keepLines w:val="0"/>
              <w:widowControl w:val="0"/>
            </w:pPr>
            <w:r w:rsidRPr="00F414F6">
              <w:t>24-month event-free rate (95% CI)</w:t>
            </w:r>
          </w:p>
        </w:tc>
        <w:tc>
          <w:tcPr>
            <w:tcW w:w="1650" w:type="pct"/>
          </w:tcPr>
          <w:p w14:paraId="0FC73296" w14:textId="77777777" w:rsidR="00C425A0" w:rsidRPr="00F414F6" w:rsidRDefault="00C425A0" w:rsidP="00B06CFE">
            <w:pPr>
              <w:pStyle w:val="TableText0"/>
              <w:keepNext w:val="0"/>
              <w:keepLines w:val="0"/>
              <w:widowControl w:val="0"/>
              <w:jc w:val="center"/>
            </w:pPr>
            <w:r w:rsidRPr="00F414F6">
              <w:t>0.75 (0.71, 0.79)</w:t>
            </w:r>
          </w:p>
        </w:tc>
        <w:tc>
          <w:tcPr>
            <w:tcW w:w="1665" w:type="pct"/>
          </w:tcPr>
          <w:p w14:paraId="67EC54D2" w14:textId="77777777" w:rsidR="00C425A0" w:rsidRPr="00F414F6" w:rsidRDefault="00C425A0" w:rsidP="00B06CFE">
            <w:pPr>
              <w:pStyle w:val="TableText0"/>
              <w:keepNext w:val="0"/>
              <w:keepLines w:val="0"/>
              <w:widowControl w:val="0"/>
              <w:jc w:val="center"/>
            </w:pPr>
            <w:r w:rsidRPr="00F414F6">
              <w:t>0.70 (0.65, 0.74)</w:t>
            </w:r>
          </w:p>
        </w:tc>
      </w:tr>
      <w:tr w:rsidR="00C425A0" w:rsidRPr="00F414F6" w14:paraId="73D2F56A" w14:textId="77777777" w:rsidTr="004F4259">
        <w:trPr>
          <w:trHeight w:val="227"/>
        </w:trPr>
        <w:tc>
          <w:tcPr>
            <w:tcW w:w="1685" w:type="pct"/>
          </w:tcPr>
          <w:p w14:paraId="4DD2572F" w14:textId="77777777" w:rsidR="00C425A0" w:rsidRPr="00F414F6" w:rsidRDefault="00C425A0" w:rsidP="00B06CFE">
            <w:pPr>
              <w:pStyle w:val="TableText0"/>
              <w:keepNext w:val="0"/>
              <w:keepLines w:val="0"/>
              <w:widowControl w:val="0"/>
            </w:pPr>
            <w:r w:rsidRPr="00F414F6">
              <w:t>30-month event-free rate (95% CI)</w:t>
            </w:r>
          </w:p>
        </w:tc>
        <w:tc>
          <w:tcPr>
            <w:tcW w:w="1650" w:type="pct"/>
          </w:tcPr>
          <w:p w14:paraId="19678B01" w14:textId="77777777" w:rsidR="00C425A0" w:rsidRPr="00F414F6" w:rsidRDefault="00C425A0" w:rsidP="00B06CFE">
            <w:pPr>
              <w:pStyle w:val="TableText0"/>
              <w:keepNext w:val="0"/>
              <w:keepLines w:val="0"/>
              <w:widowControl w:val="0"/>
              <w:jc w:val="center"/>
            </w:pPr>
            <w:r w:rsidRPr="00F414F6">
              <w:t>0.68 (0.63, 0.72)</w:t>
            </w:r>
          </w:p>
        </w:tc>
        <w:tc>
          <w:tcPr>
            <w:tcW w:w="1665" w:type="pct"/>
          </w:tcPr>
          <w:p w14:paraId="344C728A" w14:textId="77777777" w:rsidR="00C425A0" w:rsidRPr="00F414F6" w:rsidRDefault="00C425A0" w:rsidP="00B06CFE">
            <w:pPr>
              <w:pStyle w:val="TableText0"/>
              <w:keepNext w:val="0"/>
              <w:keepLines w:val="0"/>
              <w:widowControl w:val="0"/>
              <w:jc w:val="center"/>
            </w:pPr>
            <w:r w:rsidRPr="00F414F6">
              <w:t>0.59 (0.54, 0.64)</w:t>
            </w:r>
          </w:p>
        </w:tc>
      </w:tr>
      <w:tr w:rsidR="00C425A0" w:rsidRPr="00F414F6" w14:paraId="53709CD4" w14:textId="77777777" w:rsidTr="004F4259">
        <w:trPr>
          <w:trHeight w:val="227"/>
        </w:trPr>
        <w:tc>
          <w:tcPr>
            <w:tcW w:w="1685" w:type="pct"/>
          </w:tcPr>
          <w:p w14:paraId="7F1DE92D" w14:textId="77777777" w:rsidR="00C425A0" w:rsidRPr="00F414F6" w:rsidRDefault="00C425A0" w:rsidP="00B06CFE">
            <w:pPr>
              <w:pStyle w:val="TableText0"/>
              <w:keepNext w:val="0"/>
              <w:keepLines w:val="0"/>
              <w:widowControl w:val="0"/>
            </w:pPr>
            <w:r w:rsidRPr="00F414F6">
              <w:t>36-month event-free rate (95% CI)</w:t>
            </w:r>
          </w:p>
        </w:tc>
        <w:tc>
          <w:tcPr>
            <w:tcW w:w="1650" w:type="pct"/>
          </w:tcPr>
          <w:p w14:paraId="39876559" w14:textId="77777777" w:rsidR="00C425A0" w:rsidRPr="00F414F6" w:rsidRDefault="00C425A0" w:rsidP="00B06CFE">
            <w:pPr>
              <w:pStyle w:val="TableText0"/>
              <w:keepNext w:val="0"/>
              <w:keepLines w:val="0"/>
              <w:widowControl w:val="0"/>
              <w:jc w:val="center"/>
            </w:pPr>
            <w:r w:rsidRPr="00F414F6">
              <w:t>0.61 (0.56, 0.67)</w:t>
            </w:r>
          </w:p>
        </w:tc>
        <w:tc>
          <w:tcPr>
            <w:tcW w:w="1665" w:type="pct"/>
          </w:tcPr>
          <w:p w14:paraId="1A47E6DE" w14:textId="77777777" w:rsidR="00C425A0" w:rsidRPr="00F414F6" w:rsidRDefault="00C425A0" w:rsidP="00B06CFE">
            <w:pPr>
              <w:pStyle w:val="TableText0"/>
              <w:keepNext w:val="0"/>
              <w:keepLines w:val="0"/>
              <w:widowControl w:val="0"/>
              <w:jc w:val="center"/>
            </w:pPr>
            <w:r w:rsidRPr="00F414F6">
              <w:t>0.53 (0.47, 0.59)</w:t>
            </w:r>
          </w:p>
        </w:tc>
      </w:tr>
      <w:tr w:rsidR="00C425A0" w:rsidRPr="00F414F6" w14:paraId="53DBC7AA" w14:textId="77777777" w:rsidTr="004F4259">
        <w:trPr>
          <w:trHeight w:val="227"/>
        </w:trPr>
        <w:tc>
          <w:tcPr>
            <w:tcW w:w="1685" w:type="pct"/>
          </w:tcPr>
          <w:p w14:paraId="223D441D" w14:textId="77777777" w:rsidR="00C425A0" w:rsidRPr="00F414F6" w:rsidRDefault="00C425A0" w:rsidP="00B06CFE">
            <w:pPr>
              <w:pStyle w:val="TableText0"/>
              <w:keepNext w:val="0"/>
              <w:keepLines w:val="0"/>
              <w:widowControl w:val="0"/>
            </w:pPr>
            <w:r w:rsidRPr="00F414F6">
              <w:t xml:space="preserve">p-value </w:t>
            </w:r>
            <w:r w:rsidRPr="00F414F6">
              <w:rPr>
                <w:vertAlign w:val="superscript"/>
              </w:rPr>
              <w:t>a</w:t>
            </w:r>
          </w:p>
        </w:tc>
        <w:tc>
          <w:tcPr>
            <w:tcW w:w="3315" w:type="pct"/>
            <w:gridSpan w:val="2"/>
          </w:tcPr>
          <w:p w14:paraId="7AABE7DD" w14:textId="77777777" w:rsidR="00C425A0" w:rsidRPr="00CE65A6" w:rsidRDefault="00C425A0" w:rsidP="00B06CFE">
            <w:pPr>
              <w:pStyle w:val="TableText0"/>
              <w:keepNext w:val="0"/>
              <w:keepLines w:val="0"/>
              <w:widowControl w:val="0"/>
              <w:jc w:val="center"/>
              <w:rPr>
                <w:b/>
              </w:rPr>
            </w:pPr>
            <w:r w:rsidRPr="00CE65A6">
              <w:rPr>
                <w:b/>
              </w:rPr>
              <w:t>0.0185</w:t>
            </w:r>
          </w:p>
          <w:p w14:paraId="236AD0DF" w14:textId="25BF4613" w:rsidR="00050585" w:rsidRPr="00CE65A6" w:rsidRDefault="00050585" w:rsidP="00B06CFE">
            <w:pPr>
              <w:pStyle w:val="TableText0"/>
              <w:keepNext w:val="0"/>
              <w:keepLines w:val="0"/>
              <w:widowControl w:val="0"/>
              <w:jc w:val="center"/>
            </w:pPr>
            <w:r w:rsidRPr="00CE65A6">
              <w:rPr>
                <w:b/>
              </w:rPr>
              <w:t>0.0048</w:t>
            </w:r>
            <w:r w:rsidRPr="00CE65A6">
              <w:rPr>
                <w:b/>
                <w:vertAlign w:val="superscript"/>
              </w:rPr>
              <w:t>c</w:t>
            </w:r>
          </w:p>
        </w:tc>
      </w:tr>
      <w:tr w:rsidR="00C425A0" w:rsidRPr="00F414F6" w14:paraId="1AF9902C" w14:textId="77777777" w:rsidTr="004F4259">
        <w:trPr>
          <w:trHeight w:val="227"/>
        </w:trPr>
        <w:tc>
          <w:tcPr>
            <w:tcW w:w="1685" w:type="pct"/>
          </w:tcPr>
          <w:p w14:paraId="318797A1" w14:textId="77777777" w:rsidR="00C425A0" w:rsidRPr="00F414F6" w:rsidRDefault="00C425A0" w:rsidP="00B06CFE">
            <w:pPr>
              <w:pStyle w:val="TableText0"/>
              <w:keepNext w:val="0"/>
              <w:keepLines w:val="0"/>
              <w:widowControl w:val="0"/>
            </w:pPr>
            <w:r w:rsidRPr="00F414F6">
              <w:t xml:space="preserve">Hazard ratio (95% CI) </w:t>
            </w:r>
            <w:r w:rsidRPr="00F414F6">
              <w:rPr>
                <w:vertAlign w:val="superscript"/>
              </w:rPr>
              <w:t>b</w:t>
            </w:r>
          </w:p>
        </w:tc>
        <w:tc>
          <w:tcPr>
            <w:tcW w:w="3315" w:type="pct"/>
            <w:gridSpan w:val="2"/>
          </w:tcPr>
          <w:p w14:paraId="3A947316" w14:textId="77777777" w:rsidR="00C425A0" w:rsidRPr="00CE65A6" w:rsidRDefault="00C425A0" w:rsidP="00B06CFE">
            <w:pPr>
              <w:pStyle w:val="TableText0"/>
              <w:keepNext w:val="0"/>
              <w:keepLines w:val="0"/>
              <w:widowControl w:val="0"/>
              <w:jc w:val="center"/>
              <w:rPr>
                <w:b/>
              </w:rPr>
            </w:pPr>
            <w:r w:rsidRPr="00CE65A6">
              <w:rPr>
                <w:b/>
              </w:rPr>
              <w:t>0.77 (0.61, 0.96)</w:t>
            </w:r>
          </w:p>
          <w:p w14:paraId="39D0D148" w14:textId="7C7A6A87" w:rsidR="00DF0694" w:rsidRPr="00CE65A6" w:rsidRDefault="00DF0694" w:rsidP="00B06CFE">
            <w:pPr>
              <w:pStyle w:val="TableText0"/>
              <w:keepNext w:val="0"/>
              <w:keepLines w:val="0"/>
              <w:widowControl w:val="0"/>
              <w:jc w:val="center"/>
            </w:pPr>
            <w:r w:rsidRPr="00CE65A6">
              <w:rPr>
                <w:b/>
              </w:rPr>
              <w:t>0.75</w:t>
            </w:r>
            <w:r w:rsidR="00A91A9D" w:rsidRPr="00CE65A6">
              <w:rPr>
                <w:b/>
              </w:rPr>
              <w:t xml:space="preserve"> (0.61, 0.92)</w:t>
            </w:r>
            <w:r w:rsidR="00A91A9D" w:rsidRPr="00CE65A6">
              <w:rPr>
                <w:b/>
                <w:vertAlign w:val="superscript"/>
              </w:rPr>
              <w:t>c</w:t>
            </w:r>
          </w:p>
        </w:tc>
      </w:tr>
    </w:tbl>
    <w:p w14:paraId="731CB9BA" w14:textId="77777777" w:rsidR="00C425A0" w:rsidRDefault="00C425A0" w:rsidP="0077371D">
      <w:pPr>
        <w:pStyle w:val="TableFigureFooter"/>
      </w:pPr>
      <w:r w:rsidRPr="589E218A">
        <w:t>Source: Table 2.28 p100 of the submission.</w:t>
      </w:r>
      <w:r>
        <w:br/>
      </w:r>
      <w:r w:rsidRPr="589E218A">
        <w:t>A+L = amivantamab plus lazertinib, CCO = clinical cut off, CI = confidence interval, FAS = full analysis set, NE = not estimable., OS = overall survival.</w:t>
      </w:r>
    </w:p>
    <w:p w14:paraId="300E1B4B" w14:textId="77777777" w:rsidR="00C425A0" w:rsidRDefault="00C425A0" w:rsidP="007A7746">
      <w:pPr>
        <w:pStyle w:val="TableFigureFooter"/>
      </w:pPr>
      <w:r w:rsidRPr="00251043">
        <w:rPr>
          <w:vertAlign w:val="superscript"/>
        </w:rPr>
        <w:t>a</w:t>
      </w:r>
      <w:r>
        <w:t xml:space="preserve"> p-value is from a log-rank test stratified by mutation type (exon 19del or exon 21 L858R substitution), race (Asian or Non-Asian), and history of brain metastasis (present or absent).</w:t>
      </w:r>
    </w:p>
    <w:p w14:paraId="2839D680" w14:textId="6B51CD65" w:rsidR="00C425A0" w:rsidRDefault="00C425A0" w:rsidP="007A7746">
      <w:pPr>
        <w:pStyle w:val="TableFigureFooter"/>
      </w:pPr>
      <w:r w:rsidRPr="589E218A">
        <w:rPr>
          <w:vertAlign w:val="superscript"/>
        </w:rPr>
        <w:t>b</w:t>
      </w:r>
      <w:r w:rsidRPr="589E218A">
        <w:t xml:space="preserve"> Hazard ratio is from a stratified proportional hazards model. Hazard ratio &lt;1 favours amivantamab + lazertinib</w:t>
      </w:r>
      <w:r w:rsidR="00F536B9" w:rsidRPr="589E218A">
        <w:t>.</w:t>
      </w:r>
      <w:r w:rsidRPr="589E218A">
        <w:t xml:space="preserve"> </w:t>
      </w:r>
    </w:p>
    <w:p w14:paraId="4DE6C690" w14:textId="77777777" w:rsidR="00C425A0" w:rsidRDefault="00C425A0" w:rsidP="007A7746">
      <w:pPr>
        <w:pStyle w:val="TableFigureFooter"/>
      </w:pPr>
      <w:r w:rsidRPr="589E218A">
        <w:t>Bold indicates statistically significant results.</w:t>
      </w:r>
    </w:p>
    <w:p w14:paraId="0216B24F" w14:textId="7D9AA755" w:rsidR="00E12EE2" w:rsidRPr="00104BF7" w:rsidRDefault="00830A76" w:rsidP="007A7746">
      <w:pPr>
        <w:pStyle w:val="TableFigureFooter"/>
        <w:rPr>
          <w:lang w:val="en-US"/>
        </w:rPr>
      </w:pPr>
      <w:r w:rsidRPr="00104BF7">
        <w:rPr>
          <w:vertAlign w:val="superscript"/>
        </w:rPr>
        <w:t>c</w:t>
      </w:r>
      <w:r w:rsidRPr="00104BF7">
        <w:t xml:space="preserve"> </w:t>
      </w:r>
      <w:r w:rsidRPr="00104BF7">
        <w:rPr>
          <w:lang w:val="en-US"/>
        </w:rPr>
        <w:t xml:space="preserve">The PSCR stated that more mature OS data from MARIPOSA is available </w:t>
      </w:r>
      <w:r w:rsidR="00154819" w:rsidRPr="00104BF7">
        <w:rPr>
          <w:lang w:val="en-US"/>
        </w:rPr>
        <w:t xml:space="preserve">from the December 2024 </w:t>
      </w:r>
      <w:r w:rsidRPr="00104BF7">
        <w:rPr>
          <w:lang w:val="en-US"/>
        </w:rPr>
        <w:t>CCO</w:t>
      </w:r>
      <w:r w:rsidR="0012062B" w:rsidRPr="00104BF7">
        <w:rPr>
          <w:lang w:val="en-US"/>
        </w:rPr>
        <w:t xml:space="preserve"> with a</w:t>
      </w:r>
      <w:r w:rsidRPr="00104BF7">
        <w:rPr>
          <w:lang w:val="en-US"/>
        </w:rPr>
        <w:t xml:space="preserve"> median follow-up</w:t>
      </w:r>
      <w:r w:rsidR="0012062B" w:rsidRPr="00104BF7">
        <w:rPr>
          <w:lang w:val="en-US"/>
        </w:rPr>
        <w:t xml:space="preserve"> of</w:t>
      </w:r>
      <w:r w:rsidRPr="00104BF7">
        <w:rPr>
          <w:lang w:val="en-US"/>
        </w:rPr>
        <w:t xml:space="preserve"> 37.8 months</w:t>
      </w:r>
      <w:r w:rsidR="0012062B" w:rsidRPr="00104BF7">
        <w:rPr>
          <w:lang w:val="en-US"/>
        </w:rPr>
        <w:t>.</w:t>
      </w:r>
    </w:p>
    <w:p w14:paraId="295C68E4" w14:textId="3D09FF83" w:rsidR="00C425A0" w:rsidRDefault="00C425A0" w:rsidP="00B06CFE">
      <w:pPr>
        <w:pStyle w:val="Caption"/>
        <w:widowControl w:val="0"/>
      </w:pPr>
      <w:bookmarkStart w:id="60" w:name="_Ref186726728"/>
      <w:bookmarkStart w:id="61" w:name="_Ref186726094"/>
      <w:r>
        <w:t xml:space="preserve">Figure </w:t>
      </w:r>
      <w:r w:rsidR="001B4556">
        <w:fldChar w:fldCharType="begin"/>
      </w:r>
      <w:r w:rsidR="001B4556">
        <w:instrText xml:space="preserve"> SEQ Figure \* ARABIC </w:instrText>
      </w:r>
      <w:r w:rsidR="001B4556">
        <w:fldChar w:fldCharType="separate"/>
      </w:r>
      <w:r w:rsidR="00184F9A">
        <w:rPr>
          <w:noProof/>
        </w:rPr>
        <w:t>2</w:t>
      </w:r>
      <w:r w:rsidR="001B4556">
        <w:rPr>
          <w:noProof/>
        </w:rPr>
        <w:fldChar w:fldCharType="end"/>
      </w:r>
      <w:bookmarkEnd w:id="60"/>
      <w:r>
        <w:t>:</w:t>
      </w:r>
      <w:r w:rsidRPr="00511124">
        <w:t xml:space="preserve"> Kaplan-Meier </w:t>
      </w:r>
      <w:r>
        <w:t>p</w:t>
      </w:r>
      <w:r w:rsidRPr="00511124">
        <w:t xml:space="preserve">lot </w:t>
      </w:r>
      <w:r>
        <w:t xml:space="preserve">of OS </w:t>
      </w:r>
      <w:r w:rsidRPr="00511124">
        <w:t xml:space="preserve">from MARIPOSA </w:t>
      </w:r>
      <w:r>
        <w:t>(</w:t>
      </w:r>
      <w:r w:rsidRPr="00511124">
        <w:t>May 2024 CCO</w:t>
      </w:r>
      <w:r>
        <w:t xml:space="preserve">), </w:t>
      </w:r>
      <w:r w:rsidRPr="00511124">
        <w:t>FAS population</w:t>
      </w:r>
      <w:bookmarkEnd w:id="61"/>
    </w:p>
    <w:p w14:paraId="5930BFDA" w14:textId="77777777" w:rsidR="00C425A0" w:rsidRDefault="00C425A0" w:rsidP="00B06CFE">
      <w:pPr>
        <w:pStyle w:val="FooterTableFigure"/>
        <w:keepNext/>
        <w:keepLines/>
        <w:widowControl w:val="0"/>
        <w:rPr>
          <w:noProof/>
        </w:rPr>
      </w:pPr>
      <w:r w:rsidRPr="00F411AC">
        <w:rPr>
          <w:rFonts w:ascii="Arial" w:eastAsia="Calibri" w:hAnsi="Arial"/>
          <w:noProof/>
          <w:snapToGrid/>
          <w:sz w:val="20"/>
          <w:lang w:eastAsia="en-US"/>
        </w:rPr>
        <w:drawing>
          <wp:inline distT="0" distB="0" distL="0" distR="0" wp14:anchorId="4CE3E71A" wp14:editId="739B5A34">
            <wp:extent cx="5138382" cy="2879090"/>
            <wp:effectExtent l="0" t="0" r="5715" b="0"/>
            <wp:docPr id="1174019205" name="Picture 1" descr="Figure 2: Kaplan-Meier plot of OS from MARIPOSA (May 2024 CCO), FAS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19205" name="Picture 1" descr="Figure 2: Kaplan-Meier plot of OS from MARIPOSA (May 2024 CCO), FAS population"/>
                    <pic:cNvPicPr/>
                  </pic:nvPicPr>
                  <pic:blipFill>
                    <a:blip r:embed="rId12"/>
                    <a:stretch>
                      <a:fillRect/>
                    </a:stretch>
                  </pic:blipFill>
                  <pic:spPr>
                    <a:xfrm>
                      <a:off x="0" y="0"/>
                      <a:ext cx="5152499" cy="2887000"/>
                    </a:xfrm>
                    <a:prstGeom prst="rect">
                      <a:avLst/>
                    </a:prstGeom>
                  </pic:spPr>
                </pic:pic>
              </a:graphicData>
            </a:graphic>
          </wp:inline>
        </w:drawing>
      </w:r>
    </w:p>
    <w:p w14:paraId="3E3D03E8" w14:textId="77777777" w:rsidR="00C425A0" w:rsidRDefault="00C425A0" w:rsidP="00B06CFE">
      <w:pPr>
        <w:pStyle w:val="FooterTableFigure"/>
        <w:keepNext/>
        <w:keepLines/>
        <w:widowControl w:val="0"/>
        <w:rPr>
          <w:noProof/>
        </w:rPr>
      </w:pPr>
      <w:r>
        <w:rPr>
          <w:noProof/>
        </w:rPr>
        <w:t>Source: Figure 2.7, p101 of the submission.</w:t>
      </w:r>
    </w:p>
    <w:p w14:paraId="45CBC2D5" w14:textId="77777777" w:rsidR="00C425A0" w:rsidRDefault="00C425A0" w:rsidP="00B06CFE">
      <w:pPr>
        <w:pStyle w:val="FooterTableFigure"/>
        <w:keepNext/>
        <w:keepLines/>
        <w:widowControl w:val="0"/>
      </w:pPr>
      <w:r>
        <w:rPr>
          <w:noProof/>
        </w:rPr>
        <w:t xml:space="preserve">A+L = amivantamab plus lazertinib, </w:t>
      </w:r>
      <w:r>
        <w:t>CCO = clinical cut-off</w:t>
      </w:r>
      <w:r>
        <w:rPr>
          <w:noProof/>
        </w:rPr>
        <w:t>, FAS = full analysis set, OS = overall survival, Osi = osimertinib.</w:t>
      </w:r>
    </w:p>
    <w:p w14:paraId="34FE4045" w14:textId="0BEBF8FF" w:rsidR="00C425A0" w:rsidRPr="00123C34" w:rsidRDefault="00C425A0" w:rsidP="00FF5D53">
      <w:pPr>
        <w:pStyle w:val="3-BodyText"/>
        <w:widowControl w:val="0"/>
        <w:ind w:left="709" w:hanging="709"/>
      </w:pPr>
      <w:bookmarkStart w:id="62" w:name="_Ref190334333"/>
      <w:r w:rsidRPr="00D750C5">
        <w:rPr>
          <w:rStyle w:val="3-BodyTextChar"/>
        </w:rPr>
        <w:t xml:space="preserve">At </w:t>
      </w:r>
      <w:r>
        <w:rPr>
          <w:rStyle w:val="3-BodyTextChar"/>
        </w:rPr>
        <w:t xml:space="preserve">the </w:t>
      </w:r>
      <w:r w:rsidRPr="00D750C5">
        <w:rPr>
          <w:rStyle w:val="3-BodyTextChar"/>
        </w:rPr>
        <w:t>median follow up of 31.1 months, 142 patients (33.1%) in the A+L arm and 177 patients (41.3%) in the osimertinib arm had died</w:t>
      </w:r>
      <w:r>
        <w:rPr>
          <w:rStyle w:val="3-BodyTextChar"/>
        </w:rPr>
        <w:t xml:space="preserve">. There was a difference </w:t>
      </w:r>
      <w:r w:rsidRPr="00D750C5">
        <w:rPr>
          <w:rStyle w:val="3-BodyTextChar"/>
        </w:rPr>
        <w:t xml:space="preserve">in </w:t>
      </w:r>
      <w:r>
        <w:rPr>
          <w:rStyle w:val="3-BodyTextChar"/>
        </w:rPr>
        <w:t>OS</w:t>
      </w:r>
      <w:r w:rsidRPr="00D750C5">
        <w:rPr>
          <w:rStyle w:val="3-BodyTextChar"/>
        </w:rPr>
        <w:t xml:space="preserve"> for A+L over osimertinib, with a</w:t>
      </w:r>
      <w:r w:rsidR="004C5F53">
        <w:rPr>
          <w:rStyle w:val="3-BodyTextChar"/>
        </w:rPr>
        <w:t>n</w:t>
      </w:r>
      <w:r w:rsidR="009769B0">
        <w:rPr>
          <w:rStyle w:val="3-BodyTextChar"/>
        </w:rPr>
        <w:t xml:space="preserve"> </w:t>
      </w:r>
      <w:r w:rsidR="004C5F53">
        <w:rPr>
          <w:rStyle w:val="3-BodyTextChar"/>
        </w:rPr>
        <w:t>8</w:t>
      </w:r>
      <w:r w:rsidR="00CD19E0">
        <w:rPr>
          <w:rStyle w:val="3-BodyTextChar"/>
        </w:rPr>
        <w:t>% improvement</w:t>
      </w:r>
      <w:r w:rsidRPr="00D750C5">
        <w:rPr>
          <w:rStyle w:val="3-BodyTextChar"/>
        </w:rPr>
        <w:t xml:space="preserve"> in the </w:t>
      </w:r>
      <w:r w:rsidR="002E3B6A">
        <w:rPr>
          <w:rStyle w:val="3-BodyTextChar"/>
        </w:rPr>
        <w:t>rate</w:t>
      </w:r>
      <w:r w:rsidR="002E3B6A" w:rsidRPr="00D750C5">
        <w:rPr>
          <w:rStyle w:val="3-BodyTextChar"/>
        </w:rPr>
        <w:t xml:space="preserve"> </w:t>
      </w:r>
      <w:r w:rsidRPr="00D750C5">
        <w:rPr>
          <w:rStyle w:val="3-BodyTextChar"/>
        </w:rPr>
        <w:t>of death</w:t>
      </w:r>
      <w:r w:rsidR="00542630">
        <w:rPr>
          <w:rStyle w:val="3-BodyTextChar"/>
        </w:rPr>
        <w:t xml:space="preserve"> at 36 months</w:t>
      </w:r>
      <w:r w:rsidRPr="00D750C5">
        <w:rPr>
          <w:rStyle w:val="3-BodyTextChar"/>
        </w:rPr>
        <w:t xml:space="preserve"> (</w:t>
      </w:r>
      <w:r w:rsidR="008E5844">
        <w:rPr>
          <w:rStyle w:val="3-BodyTextChar"/>
        </w:rPr>
        <w:t>61</w:t>
      </w:r>
      <w:r w:rsidR="003C6EFA">
        <w:rPr>
          <w:rStyle w:val="3-BodyTextChar"/>
        </w:rPr>
        <w:t>%</w:t>
      </w:r>
      <w:r w:rsidR="00542630">
        <w:rPr>
          <w:rStyle w:val="3-BodyTextChar"/>
        </w:rPr>
        <w:t xml:space="preserve"> A+L</w:t>
      </w:r>
      <w:r w:rsidR="003C6EFA">
        <w:rPr>
          <w:rStyle w:val="3-BodyTextChar"/>
        </w:rPr>
        <w:t xml:space="preserve"> vs </w:t>
      </w:r>
      <w:r w:rsidR="008E5844">
        <w:rPr>
          <w:rStyle w:val="3-BodyTextChar"/>
        </w:rPr>
        <w:t>53</w:t>
      </w:r>
      <w:r w:rsidR="003C6EFA">
        <w:rPr>
          <w:rStyle w:val="3-BodyTextChar"/>
        </w:rPr>
        <w:t>%</w:t>
      </w:r>
      <w:r w:rsidR="00542630">
        <w:rPr>
          <w:rStyle w:val="3-BodyTextChar"/>
        </w:rPr>
        <w:t xml:space="preserve"> osimertinib</w:t>
      </w:r>
      <w:r w:rsidR="00412D06">
        <w:rPr>
          <w:rStyle w:val="3-BodyTextChar"/>
        </w:rPr>
        <w:t xml:space="preserve">, </w:t>
      </w:r>
      <w:r w:rsidRPr="00D750C5">
        <w:rPr>
          <w:rStyle w:val="3-BodyTextChar"/>
        </w:rPr>
        <w:t>HR=0.77 [95% CI: 0.61, 0.96], p=0.0185).</w:t>
      </w:r>
      <w:r w:rsidRPr="00CD011B">
        <w:t xml:space="preserve"> </w:t>
      </w:r>
      <w:r>
        <w:t>Median OS was not reached in the A+L arm.</w:t>
      </w:r>
      <w:r w:rsidR="008E377B">
        <w:t xml:space="preserve"> </w:t>
      </w:r>
      <w:r w:rsidR="008E377B" w:rsidRPr="00BA6221">
        <w:rPr>
          <w:lang w:val="en-US"/>
        </w:rPr>
        <w:t xml:space="preserve">The </w:t>
      </w:r>
      <w:r w:rsidR="00253443" w:rsidRPr="00253443">
        <w:t xml:space="preserve">Pre-Sub-Committee Response </w:t>
      </w:r>
      <w:r w:rsidR="00253443">
        <w:t>(</w:t>
      </w:r>
      <w:r w:rsidR="008E377B" w:rsidRPr="00BA6221">
        <w:rPr>
          <w:lang w:val="en-US"/>
        </w:rPr>
        <w:t>PSCR</w:t>
      </w:r>
      <w:r w:rsidR="00253443">
        <w:rPr>
          <w:lang w:val="en-US"/>
        </w:rPr>
        <w:t>)</w:t>
      </w:r>
      <w:r w:rsidR="008E377B" w:rsidRPr="00BA6221">
        <w:rPr>
          <w:lang w:val="en-US"/>
        </w:rPr>
        <w:t xml:space="preserve"> stated</w:t>
      </w:r>
      <w:r w:rsidR="00094673">
        <w:rPr>
          <w:lang w:val="en-US"/>
        </w:rPr>
        <w:t xml:space="preserve"> </w:t>
      </w:r>
      <w:r w:rsidR="008E377B" w:rsidRPr="00BA6221">
        <w:rPr>
          <w:lang w:val="en-US"/>
        </w:rPr>
        <w:t>that more mature OS data from MARIPOSA is available from the December 2024 CCO with a median follow-up of 37.8 months</w:t>
      </w:r>
      <w:r w:rsidR="00300329" w:rsidRPr="00BA6221">
        <w:rPr>
          <w:lang w:val="en-US"/>
        </w:rPr>
        <w:t xml:space="preserve"> </w:t>
      </w:r>
      <w:r w:rsidR="00844C41" w:rsidRPr="00BA6221">
        <w:rPr>
          <w:lang w:val="en-US"/>
        </w:rPr>
        <w:t>(</w:t>
      </w:r>
      <w:r w:rsidR="00300329" w:rsidRPr="00BA6221">
        <w:rPr>
          <w:lang w:val="en-US"/>
        </w:rPr>
        <w:t xml:space="preserve">HR </w:t>
      </w:r>
      <w:r w:rsidR="00300329" w:rsidRPr="00BA6221">
        <w:t xml:space="preserve">0.75 </w:t>
      </w:r>
      <w:r w:rsidR="00844C41" w:rsidRPr="00BA6221">
        <w:t>[</w:t>
      </w:r>
      <w:r w:rsidR="00300329" w:rsidRPr="00BA6221">
        <w:t>95% CI</w:t>
      </w:r>
      <w:r w:rsidR="00844C41" w:rsidRPr="00BA6221">
        <w:t xml:space="preserve">: </w:t>
      </w:r>
      <w:r w:rsidR="00300329" w:rsidRPr="00BA6221">
        <w:t>0.61, 0.92</w:t>
      </w:r>
      <w:r w:rsidR="00844C41" w:rsidRPr="00BA6221">
        <w:t>], p=0.0048</w:t>
      </w:r>
      <w:r w:rsidR="00123C34" w:rsidRPr="00BA6221">
        <w:t>)</w:t>
      </w:r>
      <w:r w:rsidR="008E377B" w:rsidRPr="00BA6221">
        <w:rPr>
          <w:lang w:val="en-US"/>
        </w:rPr>
        <w:t>.</w:t>
      </w:r>
      <w:bookmarkEnd w:id="62"/>
    </w:p>
    <w:p w14:paraId="43D7E508" w14:textId="4A22CC15" w:rsidR="00716D68" w:rsidRPr="00716D68" w:rsidRDefault="00C425A0" w:rsidP="00FF5D53">
      <w:pPr>
        <w:pStyle w:val="3-BodyText"/>
        <w:widowControl w:val="0"/>
        <w:ind w:left="709" w:hanging="709"/>
      </w:pPr>
      <w:bookmarkStart w:id="63" w:name="_Ref190334604"/>
      <w:bookmarkStart w:id="64" w:name="_Ref187666722"/>
      <w:r w:rsidRPr="589E218A">
        <w:t xml:space="preserve">The MARIPOSA trial protocol permitted treatment beyond disease progression. The trial results thus reflect treatment beyond progression for some patients, noting that 53.1% of A+L and 50.7% of osimertinib treated patients continued treatment post disease progression for a median of 3.9 and 3.1 months, respectively. </w:t>
      </w:r>
      <w:r w:rsidR="00BA6313" w:rsidRPr="002D335C">
        <w:t>The evaluation noted that</w:t>
      </w:r>
      <w:r w:rsidR="00BA6313" w:rsidRPr="589E218A">
        <w:t xml:space="preserve"> t</w:t>
      </w:r>
      <w:r w:rsidRPr="589E218A">
        <w:t xml:space="preserve">his was inconsistent with the proposed PBS restriction. The PBAC have previously acknowledged that treatment with TKI’s post progression is not permitted in the existing PBS restrictions for </w:t>
      </w:r>
      <w:r w:rsidR="00F639C0" w:rsidRPr="589E218A">
        <w:rPr>
          <w:i/>
          <w:iCs/>
        </w:rPr>
        <w:t>EGFR</w:t>
      </w:r>
      <w:r w:rsidRPr="589E218A">
        <w:t xml:space="preserve">-TKIs due to the limited evidence to support the </w:t>
      </w:r>
      <w:bookmarkStart w:id="65" w:name="_Hlk188278018"/>
      <w:r w:rsidRPr="589E218A">
        <w:t>sequential use of TKIs post-progression, and that it is also not recommended by the ESMO guidelines</w:t>
      </w:r>
      <w:bookmarkEnd w:id="65"/>
      <w:r w:rsidRPr="589E218A">
        <w:t>. On this basis and given that the proposed PBS listing limits continuing treatment to those who have not experienced disease progression, the observed OS outcomes may exceed what might be expected in clinical practice in Australia. Additionally, the draft amivantamab and lazertinib PIs state that treatment may be administered</w:t>
      </w:r>
      <w:r w:rsidR="002D1819" w:rsidRPr="589E218A">
        <w:t xml:space="preserve"> </w:t>
      </w:r>
      <w:r w:rsidR="002D1819" w:rsidRPr="00BA6221">
        <w:t>[only]</w:t>
      </w:r>
      <w:r w:rsidRPr="00BA6221">
        <w:t xml:space="preserve"> until disease progression</w:t>
      </w:r>
      <w:r w:rsidR="00C470CD" w:rsidRPr="00BA6221">
        <w:t>, not post progression</w:t>
      </w:r>
      <w:r w:rsidRPr="00BA6221">
        <w:t>.</w:t>
      </w:r>
      <w:bookmarkEnd w:id="63"/>
      <w:r w:rsidRPr="00BA6221">
        <w:t xml:space="preserve"> </w:t>
      </w:r>
    </w:p>
    <w:p w14:paraId="18F45735" w14:textId="43BE5C63" w:rsidR="00C425A0" w:rsidRDefault="00C425A0" w:rsidP="00FF5D53">
      <w:pPr>
        <w:pStyle w:val="3-BodyText"/>
        <w:widowControl w:val="0"/>
        <w:ind w:left="709" w:hanging="709"/>
      </w:pPr>
      <w:r w:rsidRPr="589E218A">
        <w:t>The submission stated that the continued use of A+L upon disease progression in MARIPOSA was similar to the post-progression use of osimertinib in the FLAURA trial. FLAURA reported a large proportion of patients continuing treatment beyond progression (67% and 70% in osimertinib and standard care arms for a median of 8</w:t>
      </w:r>
      <w:r w:rsidR="004C333E">
        <w:t> </w:t>
      </w:r>
      <w:r w:rsidRPr="589E218A">
        <w:t xml:space="preserve">and 7 weeks, respectively) (paragraph 6.10, osimertinib PSD, July 2020). For the PBS listing of osimertinib, the ESC concluded that </w:t>
      </w:r>
      <w:r w:rsidR="00330583">
        <w:t>al</w:t>
      </w:r>
      <w:r w:rsidRPr="589E218A">
        <w:t>though treatment continuation with osimertinib after disease post progression was of reasonable concern, it was unlikely to have had a significant impact on the OS benefit of first-line osimertinib (para</w:t>
      </w:r>
      <w:r w:rsidR="009A566C">
        <w:t>graph</w:t>
      </w:r>
      <w:r w:rsidRPr="589E218A">
        <w:t xml:space="preserve"> 6.11, osimertinib PSD, July 2020).</w:t>
      </w:r>
      <w:bookmarkEnd w:id="64"/>
    </w:p>
    <w:p w14:paraId="70C2524F" w14:textId="212E716D" w:rsidR="00C425A0" w:rsidRDefault="00C425A0" w:rsidP="00FF5D53">
      <w:pPr>
        <w:pStyle w:val="3-BodyText"/>
        <w:widowControl w:val="0"/>
        <w:ind w:left="709" w:hanging="709"/>
      </w:pPr>
      <w:bookmarkStart w:id="66" w:name="_Ref190334503"/>
      <w:r w:rsidRPr="589E218A">
        <w:t>The</w:t>
      </w:r>
      <w:r w:rsidR="00170E3F">
        <w:t xml:space="preserve"> evaluation considered that the</w:t>
      </w:r>
      <w:r w:rsidRPr="589E218A">
        <w:t xml:space="preserve"> potential OS benefit of A+L compared to osimertinib should be interpreted with caution due to the following reasons:</w:t>
      </w:r>
      <w:bookmarkEnd w:id="66"/>
    </w:p>
    <w:p w14:paraId="1BB0139E" w14:textId="77777777" w:rsidR="00C63CD8" w:rsidRDefault="00C425A0" w:rsidP="00B06CFE">
      <w:pPr>
        <w:pStyle w:val="ListParagraph"/>
        <w:widowControl w:val="0"/>
        <w:ind w:left="1276"/>
        <w:jc w:val="both"/>
      </w:pPr>
      <w:r w:rsidRPr="589E218A">
        <w:t>The median OS for osimertinib was 37.3 months whilst the median OS for A+L has not yet been reached</w:t>
      </w:r>
      <w:r w:rsidR="000108D5" w:rsidRPr="589E218A">
        <w:t>,</w:t>
      </w:r>
      <w:r w:rsidRPr="589E218A">
        <w:t xml:space="preserve"> demonstrating that the OS data remains immature. </w:t>
      </w:r>
    </w:p>
    <w:p w14:paraId="69DC9A88" w14:textId="5BB71AD3" w:rsidR="00C425A0" w:rsidRDefault="00C425A0" w:rsidP="00C63CD8">
      <w:pPr>
        <w:pStyle w:val="ListParagraph"/>
        <w:widowControl w:val="0"/>
        <w:numPr>
          <w:ilvl w:val="0"/>
          <w:numId w:val="33"/>
        </w:numPr>
        <w:ind w:left="1701" w:hanging="283"/>
        <w:jc w:val="both"/>
      </w:pPr>
      <w:r w:rsidRPr="589E218A">
        <w:t xml:space="preserve">The submission </w:t>
      </w:r>
      <w:r w:rsidR="0068706A" w:rsidRPr="007973DD">
        <w:t>stated</w:t>
      </w:r>
      <w:r w:rsidR="0068706A" w:rsidRPr="589E218A">
        <w:t xml:space="preserve"> </w:t>
      </w:r>
      <w:r w:rsidRPr="589E218A">
        <w:t xml:space="preserve">that </w:t>
      </w:r>
      <w:r w:rsidR="0068706A" w:rsidRPr="589E218A">
        <w:t>al</w:t>
      </w:r>
      <w:r w:rsidRPr="589E218A">
        <w:t>though the median OS had not been reached for A+L, the median PFS benefit of 7.1 months observed with A+L compared to osimertinib was a surrogate, predictive of a significant improvement in OS of A+L over osimertinib over time. The submission provided findings from 2 studies in support of this claim. A study by Hashim et. al (2018)</w:t>
      </w:r>
      <w:r w:rsidRPr="589E218A" w:rsidDel="000C49F4">
        <w:t xml:space="preserve"> </w:t>
      </w:r>
      <w:r w:rsidRPr="589E218A">
        <w:t xml:space="preserve">concluded that in NSCLC trials showing significant treatment effect size of &gt;4.2 months median PFS, </w:t>
      </w:r>
      <w:r w:rsidR="00B91E83" w:rsidRPr="589E218A">
        <w:t xml:space="preserve">an </w:t>
      </w:r>
      <w:r w:rsidRPr="589E218A">
        <w:t>OS benefit can be expected with sufficient certainty. Similarly, Johnson et. al (2006) has found that to predict a survival gain in NSCLC trials, an improvement of 3.3 months’ time to progression is required in trials with 250 patients. The ASCO have recommended targets for meaningful clinical trial goals to be 4 months for PFS and a hazard rate of 0.76</w:t>
      </w:r>
      <w:r w:rsidRPr="589E218A">
        <w:rPr>
          <w:rFonts w:cstheme="minorBidi"/>
        </w:rPr>
        <w:t>−</w:t>
      </w:r>
      <w:r w:rsidRPr="589E218A">
        <w:t xml:space="preserve">0.80 for OS for </w:t>
      </w:r>
      <w:r w:rsidR="00531719" w:rsidRPr="589E218A">
        <w:t xml:space="preserve">a new intervention </w:t>
      </w:r>
      <w:r w:rsidR="00D111DE" w:rsidRPr="589E218A">
        <w:t xml:space="preserve">for </w:t>
      </w:r>
      <w:r w:rsidRPr="589E218A">
        <w:t>NSCLC</w:t>
      </w:r>
      <w:r w:rsidRPr="589E218A">
        <w:rPr>
          <w:rStyle w:val="FootnoteReference"/>
        </w:rPr>
        <w:footnoteReference w:id="16"/>
      </w:r>
      <w:r w:rsidRPr="589E218A">
        <w:t>.</w:t>
      </w:r>
    </w:p>
    <w:p w14:paraId="75931765" w14:textId="6164CA12" w:rsidR="00D85941" w:rsidRDefault="00C425A0" w:rsidP="00B06CFE">
      <w:pPr>
        <w:pStyle w:val="ListParagraph"/>
        <w:widowControl w:val="0"/>
        <w:ind w:left="1276"/>
        <w:jc w:val="both"/>
      </w:pPr>
      <w:r w:rsidRPr="589E218A">
        <w:t>The KM plot for OS initially shows there were more deaths in the A+L arm than the osimertinib arm, with the curves crossing at approximately 12 months (</w:t>
      </w:r>
      <w:r w:rsidRPr="002464B3">
        <w:rPr>
          <w:iCs/>
        </w:rPr>
        <w:fldChar w:fldCharType="begin"/>
      </w:r>
      <w:r w:rsidRPr="002464B3">
        <w:rPr>
          <w:iCs/>
        </w:rPr>
        <w:instrText xml:space="preserve"> REF _Ref186726728 \h  \* MERGEFORMAT </w:instrText>
      </w:r>
      <w:r w:rsidRPr="002464B3">
        <w:rPr>
          <w:iCs/>
        </w:rPr>
      </w:r>
      <w:r w:rsidRPr="002464B3">
        <w:rPr>
          <w:iCs/>
        </w:rPr>
        <w:fldChar w:fldCharType="separate"/>
      </w:r>
      <w:r w:rsidR="00184F9A">
        <w:t xml:space="preserve">Figure </w:t>
      </w:r>
      <w:r w:rsidR="00184F9A">
        <w:rPr>
          <w:noProof/>
        </w:rPr>
        <w:t>2</w:t>
      </w:r>
      <w:r w:rsidRPr="002464B3">
        <w:rPr>
          <w:iCs/>
        </w:rPr>
        <w:fldChar w:fldCharType="end"/>
      </w:r>
      <w:r w:rsidRPr="589E218A">
        <w:t>)</w:t>
      </w:r>
      <w:r w:rsidR="003957C5" w:rsidRPr="589E218A">
        <w:t>, and diverging from approximately 15 months</w:t>
      </w:r>
      <w:r w:rsidRPr="589E218A">
        <w:t xml:space="preserve">. </w:t>
      </w:r>
    </w:p>
    <w:p w14:paraId="4F213ABB" w14:textId="5A0B10DF" w:rsidR="00C425A0" w:rsidRPr="009F65FE" w:rsidRDefault="00C425A0" w:rsidP="001C0D68">
      <w:pPr>
        <w:pStyle w:val="ListParagraph"/>
        <w:widowControl w:val="0"/>
        <w:numPr>
          <w:ilvl w:val="0"/>
          <w:numId w:val="34"/>
        </w:numPr>
        <w:ind w:left="1701" w:hanging="283"/>
        <w:jc w:val="both"/>
      </w:pPr>
      <w:r w:rsidRPr="589E218A">
        <w:t xml:space="preserve">The submission described the number of deaths due to AEs during the first 6 months and concluded that only 1 death in each arm was due to an AE related to study treatment. No further analysis of those that died in the first 12 months was presented by the submission. Log(-log(S)) vs log(time) plots presented by the submission confirmed that </w:t>
      </w:r>
      <w:r w:rsidRPr="00BA6221">
        <w:t>the proportional hazards assumption did not hold. The</w:t>
      </w:r>
      <w:r w:rsidR="00E36FC6" w:rsidRPr="00BA6221">
        <w:t xml:space="preserve"> evaluation considered that</w:t>
      </w:r>
      <w:r w:rsidRPr="589E218A">
        <w:t xml:space="preserve"> HR, CIs and p-values for this analysis should be interpreted with caution. While the submission acknowledged the violation of the proportional hazard’s assumption for OS, it did not present alternative methods of evaluating OS, such as restricted mean survival time.</w:t>
      </w:r>
    </w:p>
    <w:p w14:paraId="7BCC0AA8" w14:textId="77777777" w:rsidR="00C425A0" w:rsidRPr="00380111" w:rsidRDefault="00C425A0" w:rsidP="00B06CFE">
      <w:pPr>
        <w:pStyle w:val="3-BodyText"/>
        <w:widowControl w:val="0"/>
        <w:numPr>
          <w:ilvl w:val="0"/>
          <w:numId w:val="0"/>
        </w:numPr>
        <w:ind w:left="720" w:hanging="720"/>
        <w:rPr>
          <w:color w:val="0066FF"/>
          <w:u w:val="single"/>
        </w:rPr>
      </w:pPr>
      <w:r w:rsidRPr="00380111">
        <w:rPr>
          <w:u w:val="single"/>
        </w:rPr>
        <w:t>Secondary outcome (</w:t>
      </w:r>
      <w:r>
        <w:rPr>
          <w:u w:val="single"/>
        </w:rPr>
        <w:t>t</w:t>
      </w:r>
      <w:r w:rsidRPr="00380111">
        <w:rPr>
          <w:u w:val="single"/>
        </w:rPr>
        <w:t>ime to treatment discontinuation (TTTD), exploratory)</w:t>
      </w:r>
    </w:p>
    <w:p w14:paraId="5DC1BA54" w14:textId="01BCF5CD" w:rsidR="00C425A0" w:rsidRDefault="00C425A0" w:rsidP="00B06CFE">
      <w:pPr>
        <w:pStyle w:val="3-BodyText"/>
        <w:widowControl w:val="0"/>
        <w:ind w:left="850"/>
      </w:pPr>
      <w:r w:rsidRPr="589E218A">
        <w:t xml:space="preserve">The KM curves of TTTD for the individual components of A+L (amivantamab and lazertinib) and for osimertinib are shown in </w:t>
      </w:r>
      <w:r>
        <w:fldChar w:fldCharType="begin"/>
      </w:r>
      <w:r>
        <w:instrText xml:space="preserve"> REF _Ref186813085 \h </w:instrText>
      </w:r>
      <w:r>
        <w:fldChar w:fldCharType="separate"/>
      </w:r>
      <w:r w:rsidR="00184F9A">
        <w:t xml:space="preserve">Figure </w:t>
      </w:r>
      <w:r w:rsidR="00184F9A">
        <w:rPr>
          <w:noProof/>
        </w:rPr>
        <w:t>3</w:t>
      </w:r>
      <w:r>
        <w:fldChar w:fldCharType="end"/>
      </w:r>
      <w:r w:rsidRPr="589E218A">
        <w:t xml:space="preserve">. TTTD was used to inform the economic model. </w:t>
      </w:r>
    </w:p>
    <w:p w14:paraId="6C16068C" w14:textId="35E9FD15" w:rsidR="00C425A0" w:rsidRDefault="00C425A0" w:rsidP="00BB00FF">
      <w:pPr>
        <w:pStyle w:val="Caption"/>
        <w:widowControl w:val="0"/>
      </w:pPr>
      <w:bookmarkStart w:id="67" w:name="_Ref186813085"/>
      <w:r>
        <w:t xml:space="preserve">Figure </w:t>
      </w:r>
      <w:r w:rsidR="001B4556">
        <w:fldChar w:fldCharType="begin"/>
      </w:r>
      <w:r w:rsidR="001B4556">
        <w:instrText xml:space="preserve"> SEQ Figure \* ARABIC </w:instrText>
      </w:r>
      <w:r w:rsidR="001B4556">
        <w:fldChar w:fldCharType="separate"/>
      </w:r>
      <w:r w:rsidR="00184F9A">
        <w:rPr>
          <w:noProof/>
        </w:rPr>
        <w:t>3</w:t>
      </w:r>
      <w:r w:rsidR="001B4556">
        <w:rPr>
          <w:noProof/>
        </w:rPr>
        <w:fldChar w:fldCharType="end"/>
      </w:r>
      <w:bookmarkEnd w:id="67"/>
      <w:r>
        <w:t xml:space="preserve">: Kaplan-Meier Plot </w:t>
      </w:r>
      <w:r w:rsidRPr="00556568">
        <w:t xml:space="preserve">of </w:t>
      </w:r>
      <w:r>
        <w:t>TTTD</w:t>
      </w:r>
      <w:r w:rsidRPr="00556568">
        <w:t xml:space="preserve"> for </w:t>
      </w:r>
      <w:r>
        <w:t>individual components (May 2024 CCO), FAS population</w:t>
      </w:r>
    </w:p>
    <w:p w14:paraId="2406277D" w14:textId="77777777" w:rsidR="00C425A0" w:rsidRDefault="00C425A0" w:rsidP="00BB00FF">
      <w:pPr>
        <w:keepNext/>
        <w:keepLines/>
        <w:widowControl w:val="0"/>
        <w:jc w:val="left"/>
        <w:rPr>
          <w:rStyle w:val="TableFigureFooterChar"/>
        </w:rPr>
      </w:pPr>
      <w:r w:rsidRPr="00D952B2">
        <w:rPr>
          <w:noProof/>
        </w:rPr>
        <w:drawing>
          <wp:inline distT="0" distB="0" distL="0" distR="0" wp14:anchorId="6433B903" wp14:editId="78373867">
            <wp:extent cx="4744528" cy="2854967"/>
            <wp:effectExtent l="0" t="0" r="0" b="2540"/>
            <wp:docPr id="2025035768" name="Picture 1" descr="Figure 3: Kaplan-Meier Plot of TTTD for individual components (May 2024 CCO), FAS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35768" name="Picture 1" descr="Figure 3: Kaplan-Meier Plot of TTTD for individual components (May 2024 CCO), FAS population"/>
                    <pic:cNvPicPr/>
                  </pic:nvPicPr>
                  <pic:blipFill>
                    <a:blip r:embed="rId13"/>
                    <a:stretch>
                      <a:fillRect/>
                    </a:stretch>
                  </pic:blipFill>
                  <pic:spPr>
                    <a:xfrm>
                      <a:off x="0" y="0"/>
                      <a:ext cx="4777146" cy="2874595"/>
                    </a:xfrm>
                    <a:prstGeom prst="rect">
                      <a:avLst/>
                    </a:prstGeom>
                  </pic:spPr>
                </pic:pic>
              </a:graphicData>
            </a:graphic>
          </wp:inline>
        </w:drawing>
      </w:r>
      <w:r>
        <w:rPr>
          <w:bCs/>
        </w:rPr>
        <w:br/>
      </w:r>
      <w:r w:rsidRPr="00165EB8">
        <w:rPr>
          <w:rStyle w:val="TableFigureFooterChar"/>
        </w:rPr>
        <w:t>Source: Figure 2.15, p 114 of the submission</w:t>
      </w:r>
      <w:r>
        <w:rPr>
          <w:rStyle w:val="TableFigureFooterChar"/>
        </w:rPr>
        <w:t>.</w:t>
      </w:r>
    </w:p>
    <w:p w14:paraId="1B25BF5A" w14:textId="77777777" w:rsidR="00C425A0" w:rsidRPr="00294500" w:rsidRDefault="00C425A0" w:rsidP="007A7746">
      <w:pPr>
        <w:pStyle w:val="TableFigureFooter"/>
      </w:pPr>
      <w:r>
        <w:t>CCO = clinical cut off, FAS = full analysis set, TTTD = time to treatment discontinuation.</w:t>
      </w:r>
    </w:p>
    <w:p w14:paraId="122AAA7A" w14:textId="6F3D3801" w:rsidR="00C425A0" w:rsidRDefault="00C425A0" w:rsidP="00EF0466">
      <w:pPr>
        <w:pStyle w:val="3-BodyText"/>
        <w:widowControl w:val="0"/>
        <w:ind w:left="709" w:hanging="709"/>
      </w:pPr>
      <w:r w:rsidRPr="589E218A">
        <w:t>A higher percentage of patients in the osimertinib arm (n= 283; 66.0%) discontinued treatment compared to the A+L arm (n= 236; 55.0%) after a follow up of 31.1 months (May 2024 CCO). Patients treated with A+L had a longer time to all treatment discontinuation than patients treated with osimertinib (median TTTD for A+L was 26.3</w:t>
      </w:r>
      <w:r w:rsidR="004C333E">
        <w:t> </w:t>
      </w:r>
      <w:r w:rsidRPr="589E218A">
        <w:t>months vs. 22.6 months for osimertinib). Patients remained on amivantamab for a shorter duration than lazertinib and osimertinib, potentially due to higher rates of AEs observed with amivantamab.</w:t>
      </w:r>
    </w:p>
    <w:p w14:paraId="09DAC871" w14:textId="77777777" w:rsidR="00C425A0" w:rsidRPr="004D56CF" w:rsidRDefault="00C425A0" w:rsidP="00B06CFE">
      <w:pPr>
        <w:widowControl w:val="0"/>
        <w:jc w:val="left"/>
        <w:rPr>
          <w:bCs/>
        </w:rPr>
      </w:pPr>
      <w:r w:rsidRPr="00BE124F">
        <w:rPr>
          <w:bCs/>
          <w:u w:val="single"/>
        </w:rPr>
        <w:t>Secondary</w:t>
      </w:r>
      <w:r>
        <w:rPr>
          <w:u w:val="single"/>
        </w:rPr>
        <w:t xml:space="preserve"> outcomes:</w:t>
      </w:r>
      <w:r w:rsidRPr="00BE124F">
        <w:rPr>
          <w:u w:val="single"/>
        </w:rPr>
        <w:t xml:space="preserve"> </w:t>
      </w:r>
      <w:r>
        <w:rPr>
          <w:u w:val="single"/>
        </w:rPr>
        <w:t>health-related quality of life (HRQoL)</w:t>
      </w:r>
      <w:r w:rsidRPr="00BE124F">
        <w:rPr>
          <w:u w:val="single"/>
        </w:rPr>
        <w:t xml:space="preserve"> (EORTC-QLQ-C30</w:t>
      </w:r>
      <w:r>
        <w:rPr>
          <w:u w:val="single"/>
        </w:rPr>
        <w:t xml:space="preserve"> and EQ5D-5L</w:t>
      </w:r>
      <w:r w:rsidRPr="00BE124F">
        <w:rPr>
          <w:u w:val="single"/>
        </w:rPr>
        <w:t>)</w:t>
      </w:r>
    </w:p>
    <w:p w14:paraId="29483A6B" w14:textId="186EC97A" w:rsidR="00C425A0" w:rsidRPr="00E223D4" w:rsidRDefault="00C425A0" w:rsidP="00494D5D">
      <w:pPr>
        <w:pStyle w:val="3-BodyText"/>
        <w:widowControl w:val="0"/>
        <w:ind w:left="709" w:hanging="709"/>
        <w:rPr>
          <w:color w:val="0066FF"/>
        </w:rPr>
      </w:pPr>
      <w:r w:rsidRPr="589E218A">
        <w:t>The submission provided HRQoL data from the European Organisation for Research and Treatment of Cancer quality-of-life questionnaire (EORTC QLQ-C30) and Euro QoL 5 dimensions five-levels (EQ-5D-5L) measures. Analysis of the EQ-5D-5L measure showed a statistically significant difference favouring the osimertinib arm. However, neither measure showed a clinically meaningful difference between treatment arms.</w:t>
      </w:r>
    </w:p>
    <w:p w14:paraId="52F5EA85" w14:textId="0C273FCD" w:rsidR="00C425A0" w:rsidRPr="00597F8F" w:rsidRDefault="00C425A0" w:rsidP="00B06CFE">
      <w:pPr>
        <w:pStyle w:val="ListParagraph"/>
        <w:widowControl w:val="0"/>
        <w:ind w:left="1276"/>
        <w:jc w:val="both"/>
        <w:rPr>
          <w:color w:val="0066FF"/>
        </w:rPr>
      </w:pPr>
      <w:r w:rsidRPr="589E218A">
        <w:t xml:space="preserve">For the EORTC QLQ-C30 after a median follow-up of 22.0 months, there were no meaningful differences, as per the submission’s proposed minimal clinically important difference (MCID) of 10 points, from baseline or between treatment arms in the least squares mean differences. </w:t>
      </w:r>
      <w:r w:rsidR="00D2332A" w:rsidRPr="00BA6221">
        <w:t>The evaluation considered it to be</w:t>
      </w:r>
      <w:r w:rsidRPr="589E218A">
        <w:t xml:space="preserve"> unclear why the submission proposed an MCID of 10 points specifically</w:t>
      </w:r>
      <w:r w:rsidR="00D2332A" w:rsidRPr="589E218A">
        <w:t>,</w:t>
      </w:r>
      <w:r w:rsidRPr="589E218A">
        <w:t xml:space="preserve"> although this value seems to be reasonable.</w:t>
      </w:r>
    </w:p>
    <w:p w14:paraId="457F8B6D" w14:textId="5771DF1D" w:rsidR="00C425A0" w:rsidRPr="002464B3" w:rsidRDefault="00C425A0" w:rsidP="00B06CFE">
      <w:pPr>
        <w:pStyle w:val="ListParagraph"/>
        <w:widowControl w:val="0"/>
        <w:ind w:left="1276"/>
        <w:jc w:val="both"/>
        <w:rPr>
          <w:color w:val="0066FF"/>
        </w:rPr>
      </w:pPr>
      <w:r w:rsidRPr="589E218A">
        <w:t>Exploratory analysis of the EQ-5D-5L (using the United Kingdom value set) performed after a me</w:t>
      </w:r>
      <w:r w:rsidRPr="00701556">
        <w:t>dian follow-up of 22.0 months showed that at timepoints</w:t>
      </w:r>
      <w:r w:rsidR="00184CBE" w:rsidRPr="00701556">
        <w:t xml:space="preserve"> up to</w:t>
      </w:r>
      <w:r w:rsidR="00C82E04" w:rsidRPr="00701556">
        <w:t xml:space="preserve"> cycle 25</w:t>
      </w:r>
      <w:r w:rsidRPr="00701556">
        <w:t>, the least squares mean difference from baseline and least squares mean difference between A+L and osimertinib arms were statistically significant,</w:t>
      </w:r>
      <w:r w:rsidRPr="589E218A">
        <w:t xml:space="preserve"> with patients in the A+L arm experiencing a smaller improvement from baseline than patients in the osimertinib arm. The difference between the 2 arms in least squares mean change from baseline was &lt;0.08 points and</w:t>
      </w:r>
      <w:r w:rsidR="001D55FA" w:rsidRPr="589E218A">
        <w:t xml:space="preserve"> </w:t>
      </w:r>
      <w:r w:rsidR="001D55FA" w:rsidRPr="00BA6221">
        <w:t>was</w:t>
      </w:r>
      <w:r w:rsidRPr="00BA6221">
        <w:t xml:space="preserve"> not considered clinically meaningful</w:t>
      </w:r>
      <w:r w:rsidR="001D55FA" w:rsidRPr="00BA6221">
        <w:t xml:space="preserve"> by the evaluation</w:t>
      </w:r>
      <w:r w:rsidRPr="589E218A">
        <w:t>. The lower EQ-5D-5L utility scores associated with A+L versus osimertinib may be associated with the higher rate of AEs. The submission used data from EQ-5D-5L (using the Australian value set) to inform the economic evaluation.</w:t>
      </w:r>
    </w:p>
    <w:p w14:paraId="2D591F16" w14:textId="77777777" w:rsidR="00754A1B" w:rsidRDefault="00754A1B" w:rsidP="00B06CFE">
      <w:pPr>
        <w:pStyle w:val="4-SubsectionHeading"/>
        <w:keepNext w:val="0"/>
        <w:widowControl w:val="0"/>
      </w:pPr>
      <w:bookmarkStart w:id="68" w:name="_Toc22897642"/>
      <w:bookmarkStart w:id="69" w:name="_Toc107927628"/>
      <w:bookmarkStart w:id="70" w:name="_Toc188452572"/>
      <w:r w:rsidRPr="0098262F">
        <w:t>Comparative harms</w:t>
      </w:r>
      <w:bookmarkEnd w:id="68"/>
      <w:bookmarkEnd w:id="69"/>
      <w:bookmarkEnd w:id="70"/>
    </w:p>
    <w:p w14:paraId="48282C45" w14:textId="0C0178F8" w:rsidR="00C425A0" w:rsidRPr="00C425A0" w:rsidRDefault="00C425A0" w:rsidP="007B7813">
      <w:pPr>
        <w:pStyle w:val="3-BodyText"/>
        <w:widowControl w:val="0"/>
        <w:ind w:left="709" w:hanging="709"/>
        <w:rPr>
          <w:lang w:eastAsia="en-US"/>
        </w:rPr>
      </w:pPr>
      <w:bookmarkStart w:id="71" w:name="_Ref188366183"/>
      <w:r w:rsidRPr="00C425A0">
        <w:rPr>
          <w:lang w:eastAsia="en-US"/>
        </w:rPr>
        <w:t xml:space="preserve">A summary of the safety data from MARIPOSA is presented in </w:t>
      </w:r>
      <w:r w:rsidRPr="00C425A0">
        <w:rPr>
          <w:lang w:eastAsia="en-US"/>
        </w:rPr>
        <w:fldChar w:fldCharType="begin"/>
      </w:r>
      <w:r w:rsidRPr="00C425A0">
        <w:rPr>
          <w:lang w:eastAsia="en-US"/>
        </w:rPr>
        <w:instrText xml:space="preserve"> REF _Ref186727447 \h </w:instrText>
      </w:r>
      <w:r w:rsidRPr="00C425A0">
        <w:rPr>
          <w:lang w:eastAsia="en-US"/>
        </w:rPr>
      </w:r>
      <w:r w:rsidRPr="00C425A0">
        <w:rPr>
          <w:lang w:eastAsia="en-US"/>
        </w:rPr>
        <w:fldChar w:fldCharType="separate"/>
      </w:r>
      <w:r w:rsidR="00184F9A">
        <w:t xml:space="preserve">Table </w:t>
      </w:r>
      <w:r w:rsidR="00184F9A">
        <w:rPr>
          <w:noProof/>
        </w:rPr>
        <w:t>6</w:t>
      </w:r>
      <w:r w:rsidRPr="00C425A0">
        <w:rPr>
          <w:lang w:eastAsia="en-US"/>
        </w:rPr>
        <w:fldChar w:fldCharType="end"/>
      </w:r>
      <w:r w:rsidRPr="00C425A0">
        <w:rPr>
          <w:lang w:eastAsia="en-US"/>
        </w:rPr>
        <w:t xml:space="preserve"> (August 2023 CCO). The safety data reported on the safety analysis set (SAS) consisted of all individuals within the study who received at least one dose of study treatment</w:t>
      </w:r>
      <w:bookmarkEnd w:id="71"/>
      <w:r w:rsidR="00BA6221">
        <w:rPr>
          <w:lang w:eastAsia="en-US"/>
        </w:rPr>
        <w:t>.</w:t>
      </w:r>
    </w:p>
    <w:p w14:paraId="30EB92CE" w14:textId="52C46E3F" w:rsidR="00C425A0" w:rsidRDefault="00C425A0" w:rsidP="001608E9">
      <w:pPr>
        <w:pStyle w:val="Caption"/>
      </w:pPr>
      <w:bookmarkStart w:id="72" w:name="_Ref186727447"/>
      <w:r>
        <w:t xml:space="preserve">Table </w:t>
      </w:r>
      <w:r w:rsidR="001B4556">
        <w:fldChar w:fldCharType="begin"/>
      </w:r>
      <w:r w:rsidR="001B4556">
        <w:instrText xml:space="preserve"> SEQ Table \* ARABIC </w:instrText>
      </w:r>
      <w:r w:rsidR="001B4556">
        <w:fldChar w:fldCharType="separate"/>
      </w:r>
      <w:r w:rsidR="00184F9A">
        <w:rPr>
          <w:noProof/>
        </w:rPr>
        <w:t>6</w:t>
      </w:r>
      <w:r w:rsidR="001B4556">
        <w:rPr>
          <w:noProof/>
        </w:rPr>
        <w:fldChar w:fldCharType="end"/>
      </w:r>
      <w:bookmarkEnd w:id="72"/>
      <w:r>
        <w:t>:</w:t>
      </w:r>
      <w:r w:rsidRPr="00C94EF0">
        <w:t xml:space="preserve"> Overall summary of TEAE incidence </w:t>
      </w:r>
      <w:r>
        <w:t xml:space="preserve">(August 2023, CCO), </w:t>
      </w:r>
      <w:r w:rsidRPr="00C94EF0">
        <w:t>SAS population</w:t>
      </w:r>
    </w:p>
    <w:tbl>
      <w:tblPr>
        <w:tblStyle w:val="TableGrid"/>
        <w:tblW w:w="5000" w:type="pct"/>
        <w:tblLook w:val="04A0" w:firstRow="1" w:lastRow="0" w:firstColumn="1" w:lastColumn="0" w:noHBand="0" w:noVBand="1"/>
        <w:tblCaption w:val="Table 6: Overall summary of TEAE incidence (August 2023, CCO), SAS population"/>
      </w:tblPr>
      <w:tblGrid>
        <w:gridCol w:w="5240"/>
        <w:gridCol w:w="1984"/>
        <w:gridCol w:w="1793"/>
      </w:tblGrid>
      <w:tr w:rsidR="00C425A0" w:rsidRPr="00FB3BE8" w14:paraId="0357AE55" w14:textId="77777777">
        <w:tc>
          <w:tcPr>
            <w:tcW w:w="2906" w:type="pct"/>
          </w:tcPr>
          <w:p w14:paraId="586BA4ED" w14:textId="77777777" w:rsidR="00C425A0" w:rsidRPr="00FB3BE8" w:rsidRDefault="00C425A0" w:rsidP="001608E9">
            <w:pPr>
              <w:pStyle w:val="TableText0"/>
              <w:rPr>
                <w:snapToGrid w:val="0"/>
              </w:rPr>
            </w:pPr>
          </w:p>
        </w:tc>
        <w:tc>
          <w:tcPr>
            <w:tcW w:w="1100" w:type="pct"/>
          </w:tcPr>
          <w:p w14:paraId="34A30BDD" w14:textId="77777777" w:rsidR="00C425A0" w:rsidRPr="00FB3BE8" w:rsidRDefault="00C425A0" w:rsidP="001608E9">
            <w:pPr>
              <w:pStyle w:val="In-tableHeading"/>
              <w:jc w:val="center"/>
              <w:rPr>
                <w:snapToGrid w:val="0"/>
              </w:rPr>
            </w:pPr>
            <w:r w:rsidRPr="00FB3BE8">
              <w:rPr>
                <w:snapToGrid w:val="0"/>
              </w:rPr>
              <w:t>A+L</w:t>
            </w:r>
          </w:p>
          <w:p w14:paraId="6E0AE91C" w14:textId="77777777" w:rsidR="00C425A0" w:rsidRDefault="00C425A0" w:rsidP="001608E9">
            <w:pPr>
              <w:pStyle w:val="In-tableHeading"/>
              <w:jc w:val="center"/>
              <w:rPr>
                <w:snapToGrid w:val="0"/>
              </w:rPr>
            </w:pPr>
            <w:r w:rsidRPr="00FB3BE8">
              <w:rPr>
                <w:snapToGrid w:val="0"/>
              </w:rPr>
              <w:t>(</w:t>
            </w:r>
            <w:r>
              <w:rPr>
                <w:snapToGrid w:val="0"/>
              </w:rPr>
              <w:t>N</w:t>
            </w:r>
            <w:r w:rsidRPr="00FB3BE8">
              <w:rPr>
                <w:snapToGrid w:val="0"/>
              </w:rPr>
              <w:t>=421)</w:t>
            </w:r>
          </w:p>
          <w:p w14:paraId="339DD07B" w14:textId="77777777" w:rsidR="00C425A0" w:rsidRPr="00740AD6" w:rsidRDefault="00C425A0" w:rsidP="001608E9">
            <w:pPr>
              <w:pStyle w:val="TableText0"/>
              <w:jc w:val="center"/>
              <w:rPr>
                <w:b/>
                <w:bCs w:val="0"/>
                <w:snapToGrid w:val="0"/>
              </w:rPr>
            </w:pPr>
            <w:r w:rsidRPr="00740AD6">
              <w:rPr>
                <w:b/>
                <w:snapToGrid w:val="0"/>
              </w:rPr>
              <w:t>n (%)</w:t>
            </w:r>
          </w:p>
        </w:tc>
        <w:tc>
          <w:tcPr>
            <w:tcW w:w="994" w:type="pct"/>
          </w:tcPr>
          <w:p w14:paraId="4853DB85" w14:textId="77777777" w:rsidR="00C425A0" w:rsidRPr="00FB3BE8" w:rsidRDefault="00C425A0" w:rsidP="001608E9">
            <w:pPr>
              <w:pStyle w:val="In-tableHeading"/>
              <w:jc w:val="center"/>
              <w:rPr>
                <w:snapToGrid w:val="0"/>
              </w:rPr>
            </w:pPr>
            <w:r w:rsidRPr="00FB3BE8">
              <w:rPr>
                <w:snapToGrid w:val="0"/>
              </w:rPr>
              <w:t>Osimertinib</w:t>
            </w:r>
          </w:p>
          <w:p w14:paraId="5419592D" w14:textId="77777777" w:rsidR="00C425A0" w:rsidRDefault="00C425A0" w:rsidP="001608E9">
            <w:pPr>
              <w:pStyle w:val="In-tableHeading"/>
              <w:jc w:val="center"/>
              <w:rPr>
                <w:snapToGrid w:val="0"/>
              </w:rPr>
            </w:pPr>
            <w:r w:rsidRPr="00FB3BE8">
              <w:rPr>
                <w:snapToGrid w:val="0"/>
              </w:rPr>
              <w:t>(</w:t>
            </w:r>
            <w:r>
              <w:rPr>
                <w:snapToGrid w:val="0"/>
              </w:rPr>
              <w:t>N</w:t>
            </w:r>
            <w:r w:rsidRPr="00FB3BE8">
              <w:rPr>
                <w:snapToGrid w:val="0"/>
              </w:rPr>
              <w:t>=428)</w:t>
            </w:r>
          </w:p>
          <w:p w14:paraId="6B7F07B5" w14:textId="77777777" w:rsidR="00C425A0" w:rsidRPr="00740AD6" w:rsidRDefault="00C425A0" w:rsidP="001608E9">
            <w:pPr>
              <w:pStyle w:val="TableText0"/>
              <w:jc w:val="center"/>
              <w:rPr>
                <w:b/>
                <w:bCs w:val="0"/>
                <w:snapToGrid w:val="0"/>
              </w:rPr>
            </w:pPr>
            <w:r w:rsidRPr="00740AD6">
              <w:rPr>
                <w:b/>
                <w:snapToGrid w:val="0"/>
              </w:rPr>
              <w:t>n (%)</w:t>
            </w:r>
          </w:p>
        </w:tc>
      </w:tr>
      <w:tr w:rsidR="00C425A0" w:rsidRPr="00FB3BE8" w14:paraId="1C154F53" w14:textId="77777777">
        <w:tc>
          <w:tcPr>
            <w:tcW w:w="2906" w:type="pct"/>
          </w:tcPr>
          <w:p w14:paraId="55C7A4DB" w14:textId="77777777" w:rsidR="00C425A0" w:rsidRPr="00FB3BE8" w:rsidRDefault="00C425A0" w:rsidP="001608E9">
            <w:pPr>
              <w:pStyle w:val="TableText0"/>
              <w:rPr>
                <w:bCs w:val="0"/>
                <w:snapToGrid w:val="0"/>
              </w:rPr>
            </w:pPr>
            <w:r w:rsidRPr="00FB3BE8">
              <w:rPr>
                <w:snapToGrid w:val="0"/>
              </w:rPr>
              <w:t xml:space="preserve">Patients experiencing 1 or more </w:t>
            </w:r>
            <w:r>
              <w:rPr>
                <w:snapToGrid w:val="0"/>
              </w:rPr>
              <w:t>TE</w:t>
            </w:r>
            <w:r w:rsidRPr="00FB3BE8">
              <w:rPr>
                <w:snapToGrid w:val="0"/>
              </w:rPr>
              <w:t>AE</w:t>
            </w:r>
          </w:p>
        </w:tc>
        <w:tc>
          <w:tcPr>
            <w:tcW w:w="1100" w:type="pct"/>
          </w:tcPr>
          <w:p w14:paraId="670C4551" w14:textId="77777777" w:rsidR="00C425A0" w:rsidRPr="00FB3BE8" w:rsidRDefault="00C425A0" w:rsidP="001608E9">
            <w:pPr>
              <w:pStyle w:val="TableText0"/>
              <w:jc w:val="center"/>
              <w:rPr>
                <w:snapToGrid w:val="0"/>
              </w:rPr>
            </w:pPr>
            <w:r w:rsidRPr="00FB3BE8">
              <w:rPr>
                <w:snapToGrid w:val="0"/>
              </w:rPr>
              <w:t>421 (100.0)</w:t>
            </w:r>
          </w:p>
        </w:tc>
        <w:tc>
          <w:tcPr>
            <w:tcW w:w="994" w:type="pct"/>
          </w:tcPr>
          <w:p w14:paraId="5CCC1382" w14:textId="77777777" w:rsidR="00C425A0" w:rsidRPr="00FB3BE8" w:rsidRDefault="00C425A0" w:rsidP="001608E9">
            <w:pPr>
              <w:pStyle w:val="TableText0"/>
              <w:jc w:val="center"/>
              <w:rPr>
                <w:snapToGrid w:val="0"/>
              </w:rPr>
            </w:pPr>
            <w:r w:rsidRPr="00FB3BE8">
              <w:rPr>
                <w:snapToGrid w:val="0"/>
              </w:rPr>
              <w:t>425 (99.</w:t>
            </w:r>
            <w:r>
              <w:rPr>
                <w:snapToGrid w:val="0"/>
              </w:rPr>
              <w:t>3</w:t>
            </w:r>
            <w:r w:rsidRPr="00FB3BE8">
              <w:rPr>
                <w:snapToGrid w:val="0"/>
              </w:rPr>
              <w:t>)</w:t>
            </w:r>
          </w:p>
        </w:tc>
      </w:tr>
      <w:tr w:rsidR="00C425A0" w:rsidRPr="00FB3BE8" w14:paraId="62F32526" w14:textId="77777777">
        <w:tc>
          <w:tcPr>
            <w:tcW w:w="2906" w:type="pct"/>
          </w:tcPr>
          <w:p w14:paraId="7890E89C" w14:textId="77777777" w:rsidR="00C425A0" w:rsidRPr="00FB3BE8" w:rsidRDefault="00C425A0" w:rsidP="001608E9">
            <w:pPr>
              <w:pStyle w:val="TableText0"/>
              <w:rPr>
                <w:snapToGrid w:val="0"/>
              </w:rPr>
            </w:pPr>
            <w:r>
              <w:rPr>
                <w:snapToGrid w:val="0"/>
              </w:rPr>
              <w:t>TE</w:t>
            </w:r>
            <w:r w:rsidRPr="00FB3BE8">
              <w:rPr>
                <w:snapToGrid w:val="0"/>
              </w:rPr>
              <w:t>AEs related to study treatment</w:t>
            </w:r>
            <w:r w:rsidRPr="00FB3BE8">
              <w:rPr>
                <w:snapToGrid w:val="0"/>
                <w:vertAlign w:val="superscript"/>
              </w:rPr>
              <w:t xml:space="preserve"> a</w:t>
            </w:r>
          </w:p>
        </w:tc>
        <w:tc>
          <w:tcPr>
            <w:tcW w:w="1100" w:type="pct"/>
          </w:tcPr>
          <w:p w14:paraId="6A38911F" w14:textId="77777777" w:rsidR="00C425A0" w:rsidRPr="00FB3BE8" w:rsidRDefault="00C425A0" w:rsidP="001608E9">
            <w:pPr>
              <w:pStyle w:val="TableText0"/>
              <w:jc w:val="center"/>
              <w:rPr>
                <w:snapToGrid w:val="0"/>
              </w:rPr>
            </w:pPr>
            <w:r w:rsidRPr="00FB3BE8">
              <w:rPr>
                <w:snapToGrid w:val="0"/>
              </w:rPr>
              <w:t>414 (98.3)</w:t>
            </w:r>
          </w:p>
        </w:tc>
        <w:tc>
          <w:tcPr>
            <w:tcW w:w="994" w:type="pct"/>
          </w:tcPr>
          <w:p w14:paraId="17243432" w14:textId="77777777" w:rsidR="00C425A0" w:rsidRPr="00FB3BE8" w:rsidRDefault="00C425A0" w:rsidP="001608E9">
            <w:pPr>
              <w:pStyle w:val="TableText0"/>
              <w:jc w:val="center"/>
              <w:rPr>
                <w:snapToGrid w:val="0"/>
              </w:rPr>
            </w:pPr>
            <w:r w:rsidRPr="00FB3BE8">
              <w:rPr>
                <w:snapToGrid w:val="0"/>
              </w:rPr>
              <w:t>378 (88.3)</w:t>
            </w:r>
          </w:p>
        </w:tc>
      </w:tr>
      <w:tr w:rsidR="00C425A0" w:rsidRPr="00FB3BE8" w14:paraId="790C1AF8" w14:textId="77777777">
        <w:tc>
          <w:tcPr>
            <w:tcW w:w="2906" w:type="pct"/>
          </w:tcPr>
          <w:p w14:paraId="24E50B7B" w14:textId="77777777" w:rsidR="00C425A0" w:rsidRPr="00FB3BE8" w:rsidRDefault="00C425A0" w:rsidP="001608E9">
            <w:pPr>
              <w:pStyle w:val="TableText0"/>
              <w:rPr>
                <w:bCs w:val="0"/>
                <w:snapToGrid w:val="0"/>
              </w:rPr>
            </w:pPr>
            <w:r w:rsidRPr="00FB3BE8">
              <w:rPr>
                <w:snapToGrid w:val="0"/>
              </w:rPr>
              <w:t>Grade ≥</w:t>
            </w:r>
            <w:r>
              <w:rPr>
                <w:snapToGrid w:val="0"/>
              </w:rPr>
              <w:t xml:space="preserve"> </w:t>
            </w:r>
            <w:r w:rsidRPr="00FB3BE8">
              <w:rPr>
                <w:snapToGrid w:val="0"/>
              </w:rPr>
              <w:t xml:space="preserve">3 </w:t>
            </w:r>
            <w:r>
              <w:rPr>
                <w:snapToGrid w:val="0"/>
              </w:rPr>
              <w:t>TE</w:t>
            </w:r>
            <w:r w:rsidRPr="00FB3BE8">
              <w:rPr>
                <w:snapToGrid w:val="0"/>
              </w:rPr>
              <w:t>AEs</w:t>
            </w:r>
          </w:p>
        </w:tc>
        <w:tc>
          <w:tcPr>
            <w:tcW w:w="1100" w:type="pct"/>
          </w:tcPr>
          <w:p w14:paraId="01F63E03" w14:textId="77777777" w:rsidR="00C425A0" w:rsidRPr="00FB3BE8" w:rsidRDefault="00C425A0" w:rsidP="001608E9">
            <w:pPr>
              <w:pStyle w:val="TableText0"/>
              <w:jc w:val="center"/>
              <w:rPr>
                <w:snapToGrid w:val="0"/>
              </w:rPr>
            </w:pPr>
            <w:r w:rsidRPr="00FB3BE8">
              <w:rPr>
                <w:snapToGrid w:val="0"/>
              </w:rPr>
              <w:t>316 (75.</w:t>
            </w:r>
            <w:r>
              <w:rPr>
                <w:snapToGrid w:val="0"/>
              </w:rPr>
              <w:t>1)</w:t>
            </w:r>
          </w:p>
        </w:tc>
        <w:tc>
          <w:tcPr>
            <w:tcW w:w="994" w:type="pct"/>
          </w:tcPr>
          <w:p w14:paraId="5EB5A1C6" w14:textId="77777777" w:rsidR="00C425A0" w:rsidRPr="00FB3BE8" w:rsidRDefault="00C425A0" w:rsidP="001608E9">
            <w:pPr>
              <w:pStyle w:val="TableText0"/>
              <w:jc w:val="center"/>
              <w:rPr>
                <w:snapToGrid w:val="0"/>
              </w:rPr>
            </w:pPr>
            <w:r w:rsidRPr="00FB3BE8">
              <w:rPr>
                <w:snapToGrid w:val="0"/>
              </w:rPr>
              <w:t>183 (42.</w:t>
            </w:r>
            <w:r>
              <w:rPr>
                <w:snapToGrid w:val="0"/>
              </w:rPr>
              <w:t>8</w:t>
            </w:r>
            <w:r w:rsidRPr="00FB3BE8">
              <w:rPr>
                <w:snapToGrid w:val="0"/>
              </w:rPr>
              <w:t>)</w:t>
            </w:r>
          </w:p>
        </w:tc>
      </w:tr>
      <w:tr w:rsidR="00C425A0" w:rsidRPr="00FB3BE8" w14:paraId="4CD3BEF7" w14:textId="77777777">
        <w:tc>
          <w:tcPr>
            <w:tcW w:w="2906" w:type="pct"/>
          </w:tcPr>
          <w:p w14:paraId="60739E78" w14:textId="77777777" w:rsidR="00C425A0" w:rsidRPr="00FB3BE8" w:rsidRDefault="00C425A0" w:rsidP="001608E9">
            <w:pPr>
              <w:pStyle w:val="TableText0"/>
              <w:rPr>
                <w:snapToGrid w:val="0"/>
              </w:rPr>
            </w:pPr>
            <w:r w:rsidRPr="00FB3BE8">
              <w:rPr>
                <w:snapToGrid w:val="0"/>
              </w:rPr>
              <w:t>Grade ≥</w:t>
            </w:r>
            <w:r>
              <w:rPr>
                <w:snapToGrid w:val="0"/>
              </w:rPr>
              <w:t xml:space="preserve"> </w:t>
            </w:r>
            <w:r w:rsidRPr="00FB3BE8">
              <w:rPr>
                <w:snapToGrid w:val="0"/>
              </w:rPr>
              <w:t xml:space="preserve">3 </w:t>
            </w:r>
            <w:r>
              <w:rPr>
                <w:snapToGrid w:val="0"/>
              </w:rPr>
              <w:t>TE</w:t>
            </w:r>
            <w:r w:rsidRPr="00FB3BE8">
              <w:rPr>
                <w:snapToGrid w:val="0"/>
              </w:rPr>
              <w:t>AEs related to study treatment</w:t>
            </w:r>
            <w:r w:rsidRPr="00FB3BE8">
              <w:rPr>
                <w:snapToGrid w:val="0"/>
                <w:vertAlign w:val="superscript"/>
              </w:rPr>
              <w:t xml:space="preserve"> a</w:t>
            </w:r>
          </w:p>
        </w:tc>
        <w:tc>
          <w:tcPr>
            <w:tcW w:w="1100" w:type="pct"/>
          </w:tcPr>
          <w:p w14:paraId="4E933D88" w14:textId="77777777" w:rsidR="00C425A0" w:rsidRPr="00FB3BE8" w:rsidRDefault="00C425A0" w:rsidP="001608E9">
            <w:pPr>
              <w:pStyle w:val="TableText0"/>
              <w:jc w:val="center"/>
              <w:rPr>
                <w:snapToGrid w:val="0"/>
              </w:rPr>
            </w:pPr>
            <w:r w:rsidRPr="00FB3BE8">
              <w:rPr>
                <w:snapToGrid w:val="0"/>
              </w:rPr>
              <w:t>252 (59.</w:t>
            </w:r>
            <w:r>
              <w:rPr>
                <w:snapToGrid w:val="0"/>
              </w:rPr>
              <w:t>9</w:t>
            </w:r>
            <w:r w:rsidRPr="00FB3BE8">
              <w:rPr>
                <w:snapToGrid w:val="0"/>
              </w:rPr>
              <w:t>)</w:t>
            </w:r>
          </w:p>
        </w:tc>
        <w:tc>
          <w:tcPr>
            <w:tcW w:w="994" w:type="pct"/>
          </w:tcPr>
          <w:p w14:paraId="01AC5F61" w14:textId="77777777" w:rsidR="00C425A0" w:rsidRPr="00FB3BE8" w:rsidRDefault="00C425A0" w:rsidP="001608E9">
            <w:pPr>
              <w:pStyle w:val="TableText0"/>
              <w:jc w:val="center"/>
              <w:rPr>
                <w:snapToGrid w:val="0"/>
              </w:rPr>
            </w:pPr>
            <w:r w:rsidRPr="00FB3BE8">
              <w:rPr>
                <w:snapToGrid w:val="0"/>
              </w:rPr>
              <w:t>59 (13.</w:t>
            </w:r>
            <w:r>
              <w:rPr>
                <w:snapToGrid w:val="0"/>
              </w:rPr>
              <w:t>8</w:t>
            </w:r>
            <w:r w:rsidRPr="00FB3BE8">
              <w:rPr>
                <w:snapToGrid w:val="0"/>
              </w:rPr>
              <w:t>)</w:t>
            </w:r>
          </w:p>
        </w:tc>
      </w:tr>
      <w:tr w:rsidR="00C425A0" w:rsidRPr="00FB3BE8" w14:paraId="01E4C697" w14:textId="77777777">
        <w:tc>
          <w:tcPr>
            <w:tcW w:w="2906" w:type="pct"/>
          </w:tcPr>
          <w:p w14:paraId="7251E272" w14:textId="77777777" w:rsidR="00C425A0" w:rsidRPr="00FB3BE8" w:rsidRDefault="00C425A0" w:rsidP="001608E9">
            <w:pPr>
              <w:pStyle w:val="TableText0"/>
              <w:rPr>
                <w:bCs w:val="0"/>
                <w:snapToGrid w:val="0"/>
              </w:rPr>
            </w:pPr>
            <w:r w:rsidRPr="00FB3BE8">
              <w:rPr>
                <w:snapToGrid w:val="0"/>
              </w:rPr>
              <w:t xml:space="preserve">Serious </w:t>
            </w:r>
            <w:r>
              <w:rPr>
                <w:snapToGrid w:val="0"/>
              </w:rPr>
              <w:t>TE</w:t>
            </w:r>
            <w:r w:rsidRPr="00FB3BE8">
              <w:rPr>
                <w:snapToGrid w:val="0"/>
              </w:rPr>
              <w:t>AEs</w:t>
            </w:r>
          </w:p>
        </w:tc>
        <w:tc>
          <w:tcPr>
            <w:tcW w:w="1100" w:type="pct"/>
            <w:shd w:val="clear" w:color="auto" w:fill="auto"/>
          </w:tcPr>
          <w:p w14:paraId="4A6922A7" w14:textId="77777777" w:rsidR="00C425A0" w:rsidRPr="00FB3BE8" w:rsidRDefault="00C425A0" w:rsidP="001608E9">
            <w:pPr>
              <w:pStyle w:val="TableText0"/>
              <w:jc w:val="center"/>
              <w:rPr>
                <w:snapToGrid w:val="0"/>
              </w:rPr>
            </w:pPr>
            <w:r w:rsidRPr="00FB3BE8">
              <w:rPr>
                <w:snapToGrid w:val="0"/>
              </w:rPr>
              <w:t>205 (48.</w:t>
            </w:r>
            <w:r>
              <w:rPr>
                <w:snapToGrid w:val="0"/>
              </w:rPr>
              <w:t>7</w:t>
            </w:r>
            <w:r w:rsidRPr="00FB3BE8">
              <w:rPr>
                <w:snapToGrid w:val="0"/>
              </w:rPr>
              <w:t>)</w:t>
            </w:r>
          </w:p>
        </w:tc>
        <w:tc>
          <w:tcPr>
            <w:tcW w:w="994" w:type="pct"/>
            <w:shd w:val="clear" w:color="auto" w:fill="auto"/>
          </w:tcPr>
          <w:p w14:paraId="3E634898" w14:textId="77777777" w:rsidR="00C425A0" w:rsidRPr="00FB3BE8" w:rsidRDefault="00C425A0" w:rsidP="001608E9">
            <w:pPr>
              <w:pStyle w:val="TableText0"/>
              <w:jc w:val="center"/>
              <w:rPr>
                <w:snapToGrid w:val="0"/>
              </w:rPr>
            </w:pPr>
            <w:r w:rsidRPr="00FB3BE8">
              <w:rPr>
                <w:snapToGrid w:val="0"/>
              </w:rPr>
              <w:t>143 (33.4)</w:t>
            </w:r>
          </w:p>
        </w:tc>
      </w:tr>
      <w:tr w:rsidR="00C425A0" w:rsidRPr="00FB3BE8" w14:paraId="73183210" w14:textId="77777777">
        <w:tc>
          <w:tcPr>
            <w:tcW w:w="2906" w:type="pct"/>
          </w:tcPr>
          <w:p w14:paraId="40A33A64" w14:textId="77777777" w:rsidR="00C425A0" w:rsidRPr="00FB3BE8" w:rsidRDefault="00C425A0" w:rsidP="001608E9">
            <w:pPr>
              <w:pStyle w:val="TableText0"/>
              <w:rPr>
                <w:snapToGrid w:val="0"/>
              </w:rPr>
            </w:pPr>
            <w:r w:rsidRPr="00FB3BE8">
              <w:rPr>
                <w:snapToGrid w:val="0"/>
              </w:rPr>
              <w:t>SAEs related to study treatment</w:t>
            </w:r>
            <w:r w:rsidRPr="00FB3BE8">
              <w:rPr>
                <w:snapToGrid w:val="0"/>
                <w:vertAlign w:val="superscript"/>
              </w:rPr>
              <w:t xml:space="preserve"> a</w:t>
            </w:r>
          </w:p>
        </w:tc>
        <w:tc>
          <w:tcPr>
            <w:tcW w:w="1100" w:type="pct"/>
            <w:shd w:val="clear" w:color="auto" w:fill="auto"/>
          </w:tcPr>
          <w:p w14:paraId="5103D643" w14:textId="77777777" w:rsidR="00C425A0" w:rsidRPr="009A58F9" w:rsidRDefault="00C425A0" w:rsidP="001608E9">
            <w:pPr>
              <w:pStyle w:val="TableText0"/>
              <w:jc w:val="center"/>
              <w:rPr>
                <w:snapToGrid w:val="0"/>
              </w:rPr>
            </w:pPr>
            <w:r w:rsidRPr="009A58F9">
              <w:rPr>
                <w:snapToGrid w:val="0"/>
              </w:rPr>
              <w:t>97 (23.0)</w:t>
            </w:r>
          </w:p>
        </w:tc>
        <w:tc>
          <w:tcPr>
            <w:tcW w:w="994" w:type="pct"/>
            <w:shd w:val="clear" w:color="auto" w:fill="auto"/>
          </w:tcPr>
          <w:p w14:paraId="1B3FA135" w14:textId="77777777" w:rsidR="00C425A0" w:rsidRPr="009A58F9" w:rsidRDefault="00C425A0" w:rsidP="001608E9">
            <w:pPr>
              <w:pStyle w:val="TableText0"/>
              <w:jc w:val="center"/>
              <w:rPr>
                <w:snapToGrid w:val="0"/>
              </w:rPr>
            </w:pPr>
            <w:r w:rsidRPr="009A58F9">
              <w:rPr>
                <w:snapToGrid w:val="0"/>
              </w:rPr>
              <w:t>24 (5.6)</w:t>
            </w:r>
          </w:p>
        </w:tc>
      </w:tr>
      <w:tr w:rsidR="00C425A0" w:rsidRPr="00FB3BE8" w14:paraId="0E7192D0" w14:textId="77777777">
        <w:tc>
          <w:tcPr>
            <w:tcW w:w="2906" w:type="pct"/>
          </w:tcPr>
          <w:p w14:paraId="0245786B" w14:textId="77777777" w:rsidR="00C425A0" w:rsidRPr="00FB3BE8" w:rsidRDefault="00C425A0" w:rsidP="001608E9">
            <w:pPr>
              <w:pStyle w:val="TableText0"/>
              <w:rPr>
                <w:bCs w:val="0"/>
                <w:snapToGrid w:val="0"/>
                <w:vertAlign w:val="superscript"/>
              </w:rPr>
            </w:pPr>
            <w:r>
              <w:rPr>
                <w:snapToGrid w:val="0"/>
              </w:rPr>
              <w:t>TE</w:t>
            </w:r>
            <w:r w:rsidRPr="00FB3BE8">
              <w:rPr>
                <w:snapToGrid w:val="0"/>
              </w:rPr>
              <w:t>AEs leading to discontinuation of any study treatment</w:t>
            </w:r>
          </w:p>
        </w:tc>
        <w:tc>
          <w:tcPr>
            <w:tcW w:w="1100" w:type="pct"/>
          </w:tcPr>
          <w:p w14:paraId="3E2943DD" w14:textId="77777777" w:rsidR="00C425A0" w:rsidRPr="00FB3BE8" w:rsidRDefault="00C425A0" w:rsidP="001608E9">
            <w:pPr>
              <w:pStyle w:val="TableText0"/>
              <w:jc w:val="center"/>
              <w:rPr>
                <w:snapToGrid w:val="0"/>
              </w:rPr>
            </w:pPr>
            <w:r w:rsidRPr="00FB3BE8">
              <w:rPr>
                <w:snapToGrid w:val="0"/>
              </w:rPr>
              <w:t>147 (34.9)</w:t>
            </w:r>
          </w:p>
        </w:tc>
        <w:tc>
          <w:tcPr>
            <w:tcW w:w="994" w:type="pct"/>
          </w:tcPr>
          <w:p w14:paraId="501D4875" w14:textId="77777777" w:rsidR="00C425A0" w:rsidRPr="00FB3BE8" w:rsidRDefault="00C425A0" w:rsidP="001608E9">
            <w:pPr>
              <w:pStyle w:val="TableText0"/>
              <w:jc w:val="center"/>
              <w:rPr>
                <w:snapToGrid w:val="0"/>
              </w:rPr>
            </w:pPr>
            <w:r w:rsidRPr="00FB3BE8">
              <w:rPr>
                <w:snapToGrid w:val="0"/>
              </w:rPr>
              <w:t>58 (13.</w:t>
            </w:r>
            <w:r>
              <w:rPr>
                <w:snapToGrid w:val="0"/>
              </w:rPr>
              <w:t>6)</w:t>
            </w:r>
          </w:p>
        </w:tc>
      </w:tr>
      <w:tr w:rsidR="00C425A0" w:rsidRPr="00FB3BE8" w14:paraId="3DAEB93D" w14:textId="77777777">
        <w:tc>
          <w:tcPr>
            <w:tcW w:w="2906" w:type="pct"/>
          </w:tcPr>
          <w:p w14:paraId="3619F507" w14:textId="77777777" w:rsidR="00C425A0" w:rsidRPr="00FB3BE8" w:rsidRDefault="00C425A0" w:rsidP="001608E9">
            <w:pPr>
              <w:pStyle w:val="TableText0"/>
              <w:rPr>
                <w:bCs w:val="0"/>
                <w:snapToGrid w:val="0"/>
                <w:vertAlign w:val="superscript"/>
              </w:rPr>
            </w:pPr>
            <w:r>
              <w:rPr>
                <w:snapToGrid w:val="0"/>
              </w:rPr>
              <w:t>TE</w:t>
            </w:r>
            <w:r w:rsidRPr="00FB3BE8">
              <w:rPr>
                <w:snapToGrid w:val="0"/>
              </w:rPr>
              <w:t xml:space="preserve">AEs leading to death </w:t>
            </w:r>
            <w:r w:rsidRPr="00FB3BE8">
              <w:rPr>
                <w:snapToGrid w:val="0"/>
                <w:vertAlign w:val="superscript"/>
              </w:rPr>
              <w:t>b</w:t>
            </w:r>
          </w:p>
        </w:tc>
        <w:tc>
          <w:tcPr>
            <w:tcW w:w="1100" w:type="pct"/>
          </w:tcPr>
          <w:p w14:paraId="1CD9E19D" w14:textId="77777777" w:rsidR="00C425A0" w:rsidRPr="00FB3BE8" w:rsidRDefault="00C425A0" w:rsidP="001608E9">
            <w:pPr>
              <w:pStyle w:val="TableText0"/>
              <w:jc w:val="center"/>
              <w:rPr>
                <w:snapToGrid w:val="0"/>
              </w:rPr>
            </w:pPr>
            <w:r w:rsidRPr="00FB3BE8">
              <w:rPr>
                <w:snapToGrid w:val="0"/>
              </w:rPr>
              <w:t>34 (8.</w:t>
            </w:r>
            <w:r>
              <w:rPr>
                <w:snapToGrid w:val="0"/>
              </w:rPr>
              <w:t>1)</w:t>
            </w:r>
          </w:p>
        </w:tc>
        <w:tc>
          <w:tcPr>
            <w:tcW w:w="994" w:type="pct"/>
          </w:tcPr>
          <w:p w14:paraId="6DB1163B" w14:textId="77777777" w:rsidR="00C425A0" w:rsidRPr="00FB3BE8" w:rsidRDefault="00C425A0" w:rsidP="001608E9">
            <w:pPr>
              <w:pStyle w:val="TableText0"/>
              <w:jc w:val="center"/>
              <w:rPr>
                <w:snapToGrid w:val="0"/>
              </w:rPr>
            </w:pPr>
            <w:r w:rsidRPr="00FB3BE8">
              <w:rPr>
                <w:snapToGrid w:val="0"/>
              </w:rPr>
              <w:t>31 (7.2)</w:t>
            </w:r>
          </w:p>
        </w:tc>
      </w:tr>
      <w:tr w:rsidR="00C425A0" w:rsidRPr="00FB3BE8" w14:paraId="51CC34AA" w14:textId="77777777">
        <w:tc>
          <w:tcPr>
            <w:tcW w:w="2906" w:type="pct"/>
          </w:tcPr>
          <w:p w14:paraId="730530E6" w14:textId="77777777" w:rsidR="00C425A0" w:rsidRPr="004A40B8" w:rsidRDefault="00C425A0" w:rsidP="001608E9">
            <w:pPr>
              <w:pStyle w:val="TableText0"/>
              <w:rPr>
                <w:b/>
                <w:bCs w:val="0"/>
                <w:snapToGrid w:val="0"/>
              </w:rPr>
            </w:pPr>
            <w:r w:rsidRPr="004A40B8">
              <w:rPr>
                <w:b/>
                <w:bCs w:val="0"/>
              </w:rPr>
              <w:t xml:space="preserve">Select TEAEs Grade </w:t>
            </w:r>
            <w:r w:rsidRPr="004A40B8">
              <w:rPr>
                <w:b/>
                <w:bCs w:val="0"/>
                <w:snapToGrid w:val="0"/>
              </w:rPr>
              <w:t>≥ 3</w:t>
            </w:r>
          </w:p>
        </w:tc>
        <w:tc>
          <w:tcPr>
            <w:tcW w:w="1100" w:type="pct"/>
          </w:tcPr>
          <w:p w14:paraId="2931DC4B" w14:textId="77777777" w:rsidR="00C425A0" w:rsidRPr="00FB3BE8" w:rsidRDefault="00C425A0" w:rsidP="001608E9">
            <w:pPr>
              <w:pStyle w:val="TableText0"/>
              <w:jc w:val="center"/>
              <w:rPr>
                <w:snapToGrid w:val="0"/>
              </w:rPr>
            </w:pPr>
          </w:p>
        </w:tc>
        <w:tc>
          <w:tcPr>
            <w:tcW w:w="994" w:type="pct"/>
          </w:tcPr>
          <w:p w14:paraId="78DD0315" w14:textId="77777777" w:rsidR="00C425A0" w:rsidRPr="00FB3BE8" w:rsidRDefault="00C425A0" w:rsidP="001608E9">
            <w:pPr>
              <w:pStyle w:val="TableText0"/>
              <w:jc w:val="center"/>
              <w:rPr>
                <w:snapToGrid w:val="0"/>
              </w:rPr>
            </w:pPr>
          </w:p>
        </w:tc>
      </w:tr>
      <w:tr w:rsidR="00C425A0" w:rsidRPr="00FB3BE8" w14:paraId="45C898DA" w14:textId="77777777">
        <w:tc>
          <w:tcPr>
            <w:tcW w:w="2906" w:type="pct"/>
          </w:tcPr>
          <w:p w14:paraId="220D374D" w14:textId="77777777" w:rsidR="00C425A0" w:rsidRPr="00FB3BE8" w:rsidRDefault="00C425A0" w:rsidP="001608E9">
            <w:pPr>
              <w:pStyle w:val="TableText0"/>
              <w:rPr>
                <w:snapToGrid w:val="0"/>
              </w:rPr>
            </w:pPr>
            <w:r>
              <w:rPr>
                <w:snapToGrid w:val="0"/>
              </w:rPr>
              <w:t xml:space="preserve">Rash </w:t>
            </w:r>
          </w:p>
        </w:tc>
        <w:tc>
          <w:tcPr>
            <w:tcW w:w="1100" w:type="pct"/>
          </w:tcPr>
          <w:p w14:paraId="700F3AC5" w14:textId="77777777" w:rsidR="00C425A0" w:rsidRPr="00FB3BE8" w:rsidRDefault="00C425A0" w:rsidP="001608E9">
            <w:pPr>
              <w:pStyle w:val="TableText0"/>
              <w:jc w:val="center"/>
              <w:rPr>
                <w:snapToGrid w:val="0"/>
              </w:rPr>
            </w:pPr>
            <w:r w:rsidRPr="006B7A33">
              <w:t>65 (15.4)</w:t>
            </w:r>
          </w:p>
        </w:tc>
        <w:tc>
          <w:tcPr>
            <w:tcW w:w="994" w:type="pct"/>
          </w:tcPr>
          <w:p w14:paraId="134E8171" w14:textId="77777777" w:rsidR="00C425A0" w:rsidRPr="00FB3BE8" w:rsidRDefault="00C425A0" w:rsidP="001608E9">
            <w:pPr>
              <w:pStyle w:val="TableText0"/>
              <w:jc w:val="center"/>
              <w:rPr>
                <w:snapToGrid w:val="0"/>
              </w:rPr>
            </w:pPr>
            <w:r w:rsidRPr="006B7A33">
              <w:t>3 (0.7</w:t>
            </w:r>
            <w:r>
              <w:t>)</w:t>
            </w:r>
          </w:p>
        </w:tc>
      </w:tr>
      <w:tr w:rsidR="00C425A0" w:rsidRPr="00FB3BE8" w14:paraId="611017A2" w14:textId="77777777">
        <w:tc>
          <w:tcPr>
            <w:tcW w:w="2906" w:type="pct"/>
          </w:tcPr>
          <w:p w14:paraId="3B9CC401" w14:textId="77777777" w:rsidR="00C425A0" w:rsidRPr="00FB3BE8" w:rsidRDefault="00C425A0" w:rsidP="001608E9">
            <w:pPr>
              <w:pStyle w:val="TableText0"/>
              <w:rPr>
                <w:snapToGrid w:val="0"/>
              </w:rPr>
            </w:pPr>
            <w:r w:rsidRPr="006B7A33">
              <w:t>Paronychia</w:t>
            </w:r>
          </w:p>
        </w:tc>
        <w:tc>
          <w:tcPr>
            <w:tcW w:w="1100" w:type="pct"/>
          </w:tcPr>
          <w:p w14:paraId="081827EB" w14:textId="77777777" w:rsidR="00C425A0" w:rsidRPr="00FB3BE8" w:rsidRDefault="00C425A0" w:rsidP="001608E9">
            <w:pPr>
              <w:pStyle w:val="TableText0"/>
              <w:jc w:val="center"/>
              <w:rPr>
                <w:snapToGrid w:val="0"/>
              </w:rPr>
            </w:pPr>
            <w:r w:rsidRPr="006B7A33">
              <w:t>46 (10.9)</w:t>
            </w:r>
          </w:p>
        </w:tc>
        <w:tc>
          <w:tcPr>
            <w:tcW w:w="994" w:type="pct"/>
          </w:tcPr>
          <w:p w14:paraId="21C015C6" w14:textId="77777777" w:rsidR="00C425A0" w:rsidRPr="00FB3BE8" w:rsidRDefault="00C425A0" w:rsidP="001608E9">
            <w:pPr>
              <w:pStyle w:val="TableText0"/>
              <w:jc w:val="center"/>
              <w:rPr>
                <w:snapToGrid w:val="0"/>
              </w:rPr>
            </w:pPr>
            <w:r w:rsidRPr="006B7A33">
              <w:t>2 (0.</w:t>
            </w:r>
            <w:r>
              <w:t>5</w:t>
            </w:r>
            <w:r w:rsidRPr="006B7A33">
              <w:t>)</w:t>
            </w:r>
          </w:p>
        </w:tc>
      </w:tr>
      <w:tr w:rsidR="00C425A0" w:rsidRPr="00FB3BE8" w14:paraId="565347FE" w14:textId="77777777">
        <w:tc>
          <w:tcPr>
            <w:tcW w:w="2906" w:type="pct"/>
          </w:tcPr>
          <w:p w14:paraId="41677F5D" w14:textId="77777777" w:rsidR="00C425A0" w:rsidRPr="00FB3BE8" w:rsidRDefault="00C425A0" w:rsidP="001608E9">
            <w:pPr>
              <w:pStyle w:val="TableText0"/>
              <w:rPr>
                <w:snapToGrid w:val="0"/>
              </w:rPr>
            </w:pPr>
            <w:r>
              <w:rPr>
                <w:snapToGrid w:val="0"/>
              </w:rPr>
              <w:t>Pulmonary embolism</w:t>
            </w:r>
          </w:p>
        </w:tc>
        <w:tc>
          <w:tcPr>
            <w:tcW w:w="1100" w:type="pct"/>
          </w:tcPr>
          <w:p w14:paraId="3A8DE0A3" w14:textId="77777777" w:rsidR="00C425A0" w:rsidRPr="00FB3BE8" w:rsidRDefault="00C425A0" w:rsidP="001608E9">
            <w:pPr>
              <w:pStyle w:val="TableText0"/>
              <w:jc w:val="center"/>
              <w:rPr>
                <w:snapToGrid w:val="0"/>
              </w:rPr>
            </w:pPr>
            <w:r w:rsidRPr="006B7A33">
              <w:t>35 (8.3</w:t>
            </w:r>
            <w:r>
              <w:t>)</w:t>
            </w:r>
          </w:p>
        </w:tc>
        <w:tc>
          <w:tcPr>
            <w:tcW w:w="994" w:type="pct"/>
          </w:tcPr>
          <w:p w14:paraId="6FEF9C7D" w14:textId="77777777" w:rsidR="00C425A0" w:rsidRPr="00FB3BE8" w:rsidRDefault="00C425A0" w:rsidP="001608E9">
            <w:pPr>
              <w:pStyle w:val="TableText0"/>
              <w:jc w:val="center"/>
              <w:rPr>
                <w:snapToGrid w:val="0"/>
              </w:rPr>
            </w:pPr>
            <w:r w:rsidRPr="006B7A33">
              <w:t>10 (2.3)</w:t>
            </w:r>
          </w:p>
        </w:tc>
      </w:tr>
      <w:tr w:rsidR="00C425A0" w:rsidRPr="00FB3BE8" w14:paraId="39655B5C" w14:textId="77777777">
        <w:tc>
          <w:tcPr>
            <w:tcW w:w="2906" w:type="pct"/>
          </w:tcPr>
          <w:p w14:paraId="53FDBA5B" w14:textId="77777777" w:rsidR="00C425A0" w:rsidRPr="00FB3BE8" w:rsidRDefault="00C425A0" w:rsidP="001608E9">
            <w:pPr>
              <w:pStyle w:val="TableText0"/>
              <w:rPr>
                <w:snapToGrid w:val="0"/>
              </w:rPr>
            </w:pPr>
            <w:r w:rsidRPr="006B7A33">
              <w:t>Dermatitis acneiform</w:t>
            </w:r>
          </w:p>
        </w:tc>
        <w:tc>
          <w:tcPr>
            <w:tcW w:w="1100" w:type="pct"/>
          </w:tcPr>
          <w:p w14:paraId="47E32227" w14:textId="77777777" w:rsidR="00C425A0" w:rsidRPr="00FB3BE8" w:rsidRDefault="00C425A0" w:rsidP="001608E9">
            <w:pPr>
              <w:pStyle w:val="TableText0"/>
              <w:jc w:val="center"/>
              <w:rPr>
                <w:snapToGrid w:val="0"/>
              </w:rPr>
            </w:pPr>
            <w:r w:rsidRPr="006B7A33">
              <w:t>35 (8.3)</w:t>
            </w:r>
          </w:p>
        </w:tc>
        <w:tc>
          <w:tcPr>
            <w:tcW w:w="994" w:type="pct"/>
          </w:tcPr>
          <w:p w14:paraId="6FA21DFD" w14:textId="77777777" w:rsidR="00C425A0" w:rsidRPr="00FB3BE8" w:rsidRDefault="00C425A0" w:rsidP="001608E9">
            <w:pPr>
              <w:pStyle w:val="TableText0"/>
              <w:jc w:val="center"/>
              <w:rPr>
                <w:snapToGrid w:val="0"/>
              </w:rPr>
            </w:pPr>
            <w:r w:rsidRPr="006B7A33">
              <w:t>0</w:t>
            </w:r>
          </w:p>
        </w:tc>
      </w:tr>
      <w:tr w:rsidR="00C425A0" w:rsidRPr="00FB3BE8" w14:paraId="4905F04F" w14:textId="77777777">
        <w:tc>
          <w:tcPr>
            <w:tcW w:w="2906" w:type="pct"/>
          </w:tcPr>
          <w:p w14:paraId="006EBA5B" w14:textId="77777777" w:rsidR="00C425A0" w:rsidRPr="00FB3BE8" w:rsidRDefault="00C425A0" w:rsidP="001608E9">
            <w:pPr>
              <w:pStyle w:val="TableText0"/>
              <w:rPr>
                <w:snapToGrid w:val="0"/>
              </w:rPr>
            </w:pPr>
            <w:r>
              <w:rPr>
                <w:snapToGrid w:val="0"/>
              </w:rPr>
              <w:t>Infusion related reaction</w:t>
            </w:r>
          </w:p>
        </w:tc>
        <w:tc>
          <w:tcPr>
            <w:tcW w:w="1100" w:type="pct"/>
          </w:tcPr>
          <w:p w14:paraId="32EFF80C" w14:textId="77777777" w:rsidR="00C425A0" w:rsidRPr="00FB3BE8" w:rsidRDefault="00C425A0" w:rsidP="001608E9">
            <w:pPr>
              <w:pStyle w:val="TableText0"/>
              <w:jc w:val="center"/>
              <w:rPr>
                <w:snapToGrid w:val="0"/>
              </w:rPr>
            </w:pPr>
            <w:r w:rsidRPr="687061FF">
              <w:t>27 (6.4</w:t>
            </w:r>
            <w:r>
              <w:t>)</w:t>
            </w:r>
          </w:p>
        </w:tc>
        <w:tc>
          <w:tcPr>
            <w:tcW w:w="994" w:type="pct"/>
          </w:tcPr>
          <w:p w14:paraId="3B0BA6AC" w14:textId="77777777" w:rsidR="00C425A0" w:rsidRPr="00FB3BE8" w:rsidRDefault="00C425A0" w:rsidP="001608E9">
            <w:pPr>
              <w:pStyle w:val="TableText0"/>
              <w:jc w:val="center"/>
              <w:rPr>
                <w:snapToGrid w:val="0"/>
              </w:rPr>
            </w:pPr>
            <w:r w:rsidRPr="687061FF">
              <w:t>0</w:t>
            </w:r>
          </w:p>
        </w:tc>
      </w:tr>
      <w:tr w:rsidR="00C425A0" w:rsidRPr="00FB3BE8" w14:paraId="4AEF68A3" w14:textId="77777777">
        <w:tc>
          <w:tcPr>
            <w:tcW w:w="2906" w:type="pct"/>
          </w:tcPr>
          <w:p w14:paraId="03E0E45D" w14:textId="77777777" w:rsidR="00C425A0" w:rsidRDefault="00C425A0" w:rsidP="001608E9">
            <w:pPr>
              <w:pStyle w:val="TableText0"/>
              <w:rPr>
                <w:snapToGrid w:val="0"/>
              </w:rPr>
            </w:pPr>
            <w:r w:rsidRPr="00D952B2">
              <w:t>Deep vein thrombosis</w:t>
            </w:r>
          </w:p>
        </w:tc>
        <w:tc>
          <w:tcPr>
            <w:tcW w:w="1100" w:type="pct"/>
          </w:tcPr>
          <w:p w14:paraId="65A57935" w14:textId="77777777" w:rsidR="00C425A0" w:rsidRPr="687061FF" w:rsidRDefault="00C425A0" w:rsidP="001608E9">
            <w:pPr>
              <w:pStyle w:val="TableText0"/>
              <w:jc w:val="center"/>
            </w:pPr>
            <w:r>
              <w:t>12 (2.8)</w:t>
            </w:r>
          </w:p>
        </w:tc>
        <w:tc>
          <w:tcPr>
            <w:tcW w:w="994" w:type="pct"/>
          </w:tcPr>
          <w:p w14:paraId="1827D3A7" w14:textId="77777777" w:rsidR="00C425A0" w:rsidRPr="687061FF" w:rsidRDefault="00C425A0" w:rsidP="001608E9">
            <w:pPr>
              <w:pStyle w:val="TableText0"/>
              <w:jc w:val="center"/>
            </w:pPr>
            <w:r>
              <w:t>2 (0.5)</w:t>
            </w:r>
          </w:p>
        </w:tc>
      </w:tr>
      <w:tr w:rsidR="00C425A0" w:rsidRPr="00FB3BE8" w14:paraId="63CCA1CD" w14:textId="77777777">
        <w:tc>
          <w:tcPr>
            <w:tcW w:w="2906" w:type="pct"/>
          </w:tcPr>
          <w:p w14:paraId="5D8E0D2E" w14:textId="77777777" w:rsidR="00C425A0" w:rsidRDefault="00C425A0" w:rsidP="001608E9">
            <w:pPr>
              <w:pStyle w:val="TableText0"/>
              <w:rPr>
                <w:snapToGrid w:val="0"/>
              </w:rPr>
            </w:pPr>
            <w:r>
              <w:t xml:space="preserve">Conjunctivitis </w:t>
            </w:r>
          </w:p>
        </w:tc>
        <w:tc>
          <w:tcPr>
            <w:tcW w:w="1100" w:type="pct"/>
          </w:tcPr>
          <w:p w14:paraId="2D9C80FE" w14:textId="77777777" w:rsidR="00C425A0" w:rsidRPr="687061FF" w:rsidRDefault="00C425A0" w:rsidP="001608E9">
            <w:pPr>
              <w:pStyle w:val="TableText0"/>
              <w:jc w:val="center"/>
            </w:pPr>
            <w:r>
              <w:t>1 (0.2)</w:t>
            </w:r>
          </w:p>
        </w:tc>
        <w:tc>
          <w:tcPr>
            <w:tcW w:w="994" w:type="pct"/>
          </w:tcPr>
          <w:p w14:paraId="680D5D99" w14:textId="77777777" w:rsidR="00C425A0" w:rsidRPr="687061FF" w:rsidRDefault="00C425A0" w:rsidP="001608E9">
            <w:pPr>
              <w:pStyle w:val="TableText0"/>
              <w:jc w:val="center"/>
            </w:pPr>
            <w:r>
              <w:t>0</w:t>
            </w:r>
          </w:p>
        </w:tc>
      </w:tr>
      <w:tr w:rsidR="00C425A0" w:rsidRPr="00FB3BE8" w14:paraId="4DB4D87A" w14:textId="77777777">
        <w:tc>
          <w:tcPr>
            <w:tcW w:w="2906" w:type="pct"/>
          </w:tcPr>
          <w:p w14:paraId="3C6832E7" w14:textId="0D8C7F2A" w:rsidR="00C425A0" w:rsidRPr="004A40B8" w:rsidRDefault="00C425A0" w:rsidP="001608E9">
            <w:pPr>
              <w:pStyle w:val="TableText0"/>
              <w:rPr>
                <w:b/>
                <w:bCs w:val="0"/>
                <w:snapToGrid w:val="0"/>
              </w:rPr>
            </w:pPr>
            <w:r w:rsidRPr="004A40B8">
              <w:rPr>
                <w:b/>
                <w:bCs w:val="0"/>
                <w:snapToGrid w:val="0"/>
              </w:rPr>
              <w:t xml:space="preserve">Select TEAEs of any </w:t>
            </w:r>
            <w:r>
              <w:rPr>
                <w:b/>
                <w:bCs w:val="0"/>
                <w:snapToGrid w:val="0"/>
              </w:rPr>
              <w:t>G</w:t>
            </w:r>
            <w:r w:rsidRPr="004A40B8">
              <w:rPr>
                <w:b/>
                <w:bCs w:val="0"/>
                <w:snapToGrid w:val="0"/>
              </w:rPr>
              <w:t>rade</w:t>
            </w:r>
          </w:p>
        </w:tc>
        <w:tc>
          <w:tcPr>
            <w:tcW w:w="1100" w:type="pct"/>
          </w:tcPr>
          <w:p w14:paraId="0475A44F" w14:textId="77777777" w:rsidR="00C425A0" w:rsidRPr="687061FF" w:rsidRDefault="00C425A0" w:rsidP="001608E9">
            <w:pPr>
              <w:pStyle w:val="TableText0"/>
              <w:jc w:val="center"/>
            </w:pPr>
          </w:p>
        </w:tc>
        <w:tc>
          <w:tcPr>
            <w:tcW w:w="994" w:type="pct"/>
          </w:tcPr>
          <w:p w14:paraId="302D1CC1" w14:textId="77777777" w:rsidR="00C425A0" w:rsidRPr="687061FF" w:rsidRDefault="00C425A0" w:rsidP="001608E9">
            <w:pPr>
              <w:pStyle w:val="TableText0"/>
              <w:jc w:val="center"/>
            </w:pPr>
          </w:p>
        </w:tc>
      </w:tr>
      <w:tr w:rsidR="00C425A0" w:rsidRPr="00FB3BE8" w14:paraId="2948F972" w14:textId="77777777">
        <w:tc>
          <w:tcPr>
            <w:tcW w:w="2906" w:type="pct"/>
          </w:tcPr>
          <w:p w14:paraId="2DE19B49" w14:textId="77777777" w:rsidR="00C425A0" w:rsidRPr="00D952B2" w:rsidRDefault="00C425A0" w:rsidP="001608E9">
            <w:pPr>
              <w:pStyle w:val="TableText0"/>
            </w:pPr>
            <w:r>
              <w:t xml:space="preserve">Pulmonary embolism </w:t>
            </w:r>
          </w:p>
        </w:tc>
        <w:tc>
          <w:tcPr>
            <w:tcW w:w="1100" w:type="pct"/>
          </w:tcPr>
          <w:p w14:paraId="430F06A0" w14:textId="77777777" w:rsidR="00C425A0" w:rsidRPr="00D952B2" w:rsidRDefault="00C425A0" w:rsidP="001608E9">
            <w:pPr>
              <w:pStyle w:val="TableText0"/>
              <w:jc w:val="center"/>
            </w:pPr>
            <w:r>
              <w:t>73 (17.3)</w:t>
            </w:r>
          </w:p>
        </w:tc>
        <w:tc>
          <w:tcPr>
            <w:tcW w:w="994" w:type="pct"/>
          </w:tcPr>
          <w:p w14:paraId="327E106D" w14:textId="77777777" w:rsidR="00C425A0" w:rsidRPr="00D952B2" w:rsidRDefault="00C425A0" w:rsidP="001608E9">
            <w:pPr>
              <w:pStyle w:val="TableText0"/>
              <w:jc w:val="center"/>
            </w:pPr>
            <w:r>
              <w:t>20 (4.7)</w:t>
            </w:r>
          </w:p>
        </w:tc>
      </w:tr>
      <w:tr w:rsidR="00C425A0" w:rsidRPr="00FB3BE8" w14:paraId="47727B90" w14:textId="77777777">
        <w:tc>
          <w:tcPr>
            <w:tcW w:w="2906" w:type="pct"/>
          </w:tcPr>
          <w:p w14:paraId="6F9647B4" w14:textId="77777777" w:rsidR="00C425A0" w:rsidRDefault="00C425A0" w:rsidP="001608E9">
            <w:pPr>
              <w:pStyle w:val="TableText0"/>
              <w:rPr>
                <w:snapToGrid w:val="0"/>
              </w:rPr>
            </w:pPr>
            <w:r w:rsidRPr="00D952B2">
              <w:t>Deep vein thrombosis</w:t>
            </w:r>
          </w:p>
        </w:tc>
        <w:tc>
          <w:tcPr>
            <w:tcW w:w="1100" w:type="pct"/>
          </w:tcPr>
          <w:p w14:paraId="7349B48E" w14:textId="77777777" w:rsidR="00C425A0" w:rsidRPr="687061FF" w:rsidRDefault="00C425A0" w:rsidP="001608E9">
            <w:pPr>
              <w:pStyle w:val="TableText0"/>
              <w:jc w:val="center"/>
            </w:pPr>
            <w:r w:rsidRPr="00D952B2">
              <w:t>61 (14.</w:t>
            </w:r>
            <w:r>
              <w:t>5</w:t>
            </w:r>
            <w:r w:rsidRPr="00D952B2">
              <w:t>)</w:t>
            </w:r>
          </w:p>
        </w:tc>
        <w:tc>
          <w:tcPr>
            <w:tcW w:w="994" w:type="pct"/>
          </w:tcPr>
          <w:p w14:paraId="6DA0A8A4" w14:textId="77777777" w:rsidR="00C425A0" w:rsidRPr="687061FF" w:rsidRDefault="00C425A0" w:rsidP="001608E9">
            <w:pPr>
              <w:pStyle w:val="TableText0"/>
              <w:jc w:val="center"/>
            </w:pPr>
            <w:r w:rsidRPr="00D952B2">
              <w:t>11 (2.</w:t>
            </w:r>
            <w:r>
              <w:t>6</w:t>
            </w:r>
            <w:r w:rsidRPr="00D952B2">
              <w:t>)</w:t>
            </w:r>
          </w:p>
        </w:tc>
      </w:tr>
      <w:tr w:rsidR="00C425A0" w:rsidRPr="00FB3BE8" w14:paraId="0FB58498" w14:textId="77777777">
        <w:tc>
          <w:tcPr>
            <w:tcW w:w="2906" w:type="pct"/>
          </w:tcPr>
          <w:p w14:paraId="0DFB1104" w14:textId="77777777" w:rsidR="00C425A0" w:rsidRPr="00D952B2" w:rsidRDefault="00C425A0" w:rsidP="001608E9">
            <w:pPr>
              <w:pStyle w:val="TableText0"/>
              <w:rPr>
                <w:szCs w:val="20"/>
              </w:rPr>
            </w:pPr>
            <w:r>
              <w:t xml:space="preserve">Conjunctivitis </w:t>
            </w:r>
          </w:p>
        </w:tc>
        <w:tc>
          <w:tcPr>
            <w:tcW w:w="1100" w:type="pct"/>
          </w:tcPr>
          <w:p w14:paraId="73C887CA" w14:textId="77777777" w:rsidR="00C425A0" w:rsidRPr="00D952B2" w:rsidRDefault="00C425A0" w:rsidP="001608E9">
            <w:pPr>
              <w:pStyle w:val="TableText0"/>
              <w:jc w:val="center"/>
              <w:rPr>
                <w:szCs w:val="20"/>
              </w:rPr>
            </w:pPr>
            <w:r>
              <w:t>46 (10.9)</w:t>
            </w:r>
          </w:p>
        </w:tc>
        <w:tc>
          <w:tcPr>
            <w:tcW w:w="994" w:type="pct"/>
          </w:tcPr>
          <w:p w14:paraId="6F0E3934" w14:textId="77777777" w:rsidR="00C425A0" w:rsidRPr="00D952B2" w:rsidRDefault="00C425A0" w:rsidP="001608E9">
            <w:pPr>
              <w:pStyle w:val="TableText0"/>
              <w:jc w:val="center"/>
              <w:rPr>
                <w:szCs w:val="20"/>
              </w:rPr>
            </w:pPr>
            <w:r>
              <w:t>7 (1.6)</w:t>
            </w:r>
          </w:p>
        </w:tc>
      </w:tr>
      <w:tr w:rsidR="00C425A0" w:rsidRPr="00FB3BE8" w14:paraId="5A0A54A2" w14:textId="77777777">
        <w:tc>
          <w:tcPr>
            <w:tcW w:w="2906" w:type="pct"/>
          </w:tcPr>
          <w:p w14:paraId="41AC62B5" w14:textId="77777777" w:rsidR="00C425A0" w:rsidRPr="00F67585" w:rsidRDefault="00C425A0" w:rsidP="001608E9">
            <w:pPr>
              <w:pStyle w:val="TableText0"/>
              <w:rPr>
                <w:rFonts w:eastAsia="Calibri" w:cs="Calibri Light"/>
                <w:b/>
                <w:szCs w:val="20"/>
              </w:rPr>
            </w:pPr>
            <w:r w:rsidRPr="00F67585">
              <w:rPr>
                <w:rFonts w:eastAsia="Calibri" w:cs="Calibri Light"/>
                <w:b/>
                <w:szCs w:val="20"/>
              </w:rPr>
              <w:t>VTE TEAE</w:t>
            </w:r>
          </w:p>
        </w:tc>
        <w:tc>
          <w:tcPr>
            <w:tcW w:w="1100" w:type="pct"/>
          </w:tcPr>
          <w:p w14:paraId="0D538908" w14:textId="77777777" w:rsidR="00C425A0" w:rsidRPr="00C81BE3" w:rsidRDefault="00C425A0" w:rsidP="001608E9">
            <w:pPr>
              <w:pStyle w:val="TableText0"/>
              <w:jc w:val="center"/>
              <w:rPr>
                <w:rFonts w:eastAsia="Calibri" w:cs="Calibri Light"/>
                <w:szCs w:val="20"/>
              </w:rPr>
            </w:pPr>
          </w:p>
        </w:tc>
        <w:tc>
          <w:tcPr>
            <w:tcW w:w="994" w:type="pct"/>
          </w:tcPr>
          <w:p w14:paraId="58BCB220" w14:textId="77777777" w:rsidR="00C425A0" w:rsidRPr="00366A7F" w:rsidRDefault="00C425A0" w:rsidP="001608E9">
            <w:pPr>
              <w:pStyle w:val="TableText0"/>
              <w:jc w:val="center"/>
              <w:rPr>
                <w:rFonts w:eastAsia="Calibri" w:cs="Calibri Light"/>
                <w:szCs w:val="20"/>
              </w:rPr>
            </w:pPr>
          </w:p>
        </w:tc>
      </w:tr>
      <w:tr w:rsidR="00C425A0" w:rsidRPr="00FB3BE8" w14:paraId="64721C62" w14:textId="77777777">
        <w:tc>
          <w:tcPr>
            <w:tcW w:w="2906" w:type="pct"/>
          </w:tcPr>
          <w:p w14:paraId="595DB0FA" w14:textId="77777777" w:rsidR="00C425A0" w:rsidRPr="00F67585" w:rsidRDefault="00C425A0" w:rsidP="001608E9">
            <w:pPr>
              <w:pStyle w:val="TableText0"/>
              <w:rPr>
                <w:bCs w:val="0"/>
              </w:rPr>
            </w:pPr>
            <w:r w:rsidRPr="00F67585">
              <w:rPr>
                <w:rFonts w:eastAsia="Calibri" w:cs="Calibri Light"/>
                <w:bCs w:val="0"/>
                <w:szCs w:val="20"/>
              </w:rPr>
              <w:t xml:space="preserve">Subjects with 1 or more VTEs </w:t>
            </w:r>
            <w:r>
              <w:rPr>
                <w:rFonts w:eastAsia="Calibri" w:cs="Calibri Light"/>
                <w:bCs w:val="0"/>
                <w:szCs w:val="20"/>
              </w:rPr>
              <w:t>of any Grade</w:t>
            </w:r>
          </w:p>
        </w:tc>
        <w:tc>
          <w:tcPr>
            <w:tcW w:w="1100" w:type="pct"/>
          </w:tcPr>
          <w:p w14:paraId="7A5B56C3" w14:textId="77777777" w:rsidR="00C425A0" w:rsidRDefault="00C425A0" w:rsidP="001608E9">
            <w:pPr>
              <w:pStyle w:val="TableText0"/>
              <w:jc w:val="center"/>
            </w:pPr>
            <w:r w:rsidRPr="00C81BE3">
              <w:rPr>
                <w:rFonts w:eastAsia="Calibri" w:cs="Calibri Light"/>
                <w:szCs w:val="20"/>
              </w:rPr>
              <w:t>157 (37.3)</w:t>
            </w:r>
          </w:p>
        </w:tc>
        <w:tc>
          <w:tcPr>
            <w:tcW w:w="994" w:type="pct"/>
          </w:tcPr>
          <w:p w14:paraId="1D1C5EEB" w14:textId="77777777" w:rsidR="00C425A0" w:rsidRDefault="00C425A0" w:rsidP="001608E9">
            <w:pPr>
              <w:pStyle w:val="TableText0"/>
              <w:jc w:val="center"/>
            </w:pPr>
            <w:r w:rsidRPr="00366A7F">
              <w:rPr>
                <w:rFonts w:eastAsia="Calibri" w:cs="Calibri Light"/>
                <w:szCs w:val="20"/>
              </w:rPr>
              <w:t>39 (9.1)</w:t>
            </w:r>
          </w:p>
        </w:tc>
      </w:tr>
      <w:tr w:rsidR="00C425A0" w:rsidRPr="00FB3BE8" w14:paraId="629CEDAE" w14:textId="77777777">
        <w:tc>
          <w:tcPr>
            <w:tcW w:w="2906" w:type="pct"/>
          </w:tcPr>
          <w:p w14:paraId="08B7D297" w14:textId="77777777" w:rsidR="00C425A0" w:rsidRPr="00F67585" w:rsidRDefault="00C425A0" w:rsidP="001608E9">
            <w:pPr>
              <w:pStyle w:val="TableText0"/>
              <w:rPr>
                <w:rFonts w:eastAsia="Calibri" w:cs="Calibri Light"/>
                <w:bCs w:val="0"/>
                <w:szCs w:val="20"/>
              </w:rPr>
            </w:pPr>
            <w:r w:rsidRPr="00F67585">
              <w:rPr>
                <w:rFonts w:eastAsia="Calibri" w:cs="Calibri Light"/>
                <w:bCs w:val="0"/>
                <w:szCs w:val="20"/>
              </w:rPr>
              <w:t>First VTE started while on anticoagulants</w:t>
            </w:r>
          </w:p>
        </w:tc>
        <w:tc>
          <w:tcPr>
            <w:tcW w:w="1100" w:type="pct"/>
          </w:tcPr>
          <w:p w14:paraId="0F16AF6B" w14:textId="77777777" w:rsidR="00C425A0" w:rsidRPr="00C81BE3" w:rsidRDefault="00C425A0" w:rsidP="001608E9">
            <w:pPr>
              <w:pStyle w:val="TableText0"/>
              <w:jc w:val="center"/>
              <w:rPr>
                <w:rFonts w:eastAsia="Calibri" w:cs="Calibri Light"/>
                <w:szCs w:val="20"/>
              </w:rPr>
            </w:pPr>
            <w:r>
              <w:rPr>
                <w:rFonts w:eastAsia="Calibri" w:cs="Calibri Light"/>
                <w:szCs w:val="20"/>
              </w:rPr>
              <w:t>5 (1.2)</w:t>
            </w:r>
          </w:p>
        </w:tc>
        <w:tc>
          <w:tcPr>
            <w:tcW w:w="994" w:type="pct"/>
          </w:tcPr>
          <w:p w14:paraId="74545710" w14:textId="77777777" w:rsidR="00C425A0" w:rsidRPr="00366A7F" w:rsidRDefault="00C425A0" w:rsidP="001608E9">
            <w:pPr>
              <w:pStyle w:val="TableText0"/>
              <w:jc w:val="center"/>
              <w:rPr>
                <w:rFonts w:eastAsia="Calibri" w:cs="Calibri Light"/>
                <w:szCs w:val="20"/>
              </w:rPr>
            </w:pPr>
            <w:r>
              <w:rPr>
                <w:rFonts w:eastAsia="Calibri" w:cs="Calibri Light"/>
                <w:szCs w:val="20"/>
              </w:rPr>
              <w:t>0</w:t>
            </w:r>
          </w:p>
        </w:tc>
      </w:tr>
      <w:tr w:rsidR="00C425A0" w:rsidRPr="00FB3BE8" w14:paraId="259E01F8" w14:textId="77777777">
        <w:tc>
          <w:tcPr>
            <w:tcW w:w="2906" w:type="pct"/>
          </w:tcPr>
          <w:p w14:paraId="39572991" w14:textId="77777777" w:rsidR="00C425A0" w:rsidRPr="00081F6E" w:rsidRDefault="00C425A0" w:rsidP="001608E9">
            <w:pPr>
              <w:pStyle w:val="TableText0"/>
            </w:pPr>
            <w:r>
              <w:t>Grade 3 VTE event</w:t>
            </w:r>
          </w:p>
        </w:tc>
        <w:tc>
          <w:tcPr>
            <w:tcW w:w="1100" w:type="pct"/>
          </w:tcPr>
          <w:p w14:paraId="5FE27518" w14:textId="77777777" w:rsidR="00C425A0" w:rsidRDefault="00C425A0" w:rsidP="001608E9">
            <w:pPr>
              <w:pStyle w:val="TableText0"/>
              <w:jc w:val="center"/>
            </w:pPr>
            <w:r>
              <w:t>43 (10.2)</w:t>
            </w:r>
          </w:p>
        </w:tc>
        <w:tc>
          <w:tcPr>
            <w:tcW w:w="994" w:type="pct"/>
          </w:tcPr>
          <w:p w14:paraId="0DB2F642" w14:textId="77777777" w:rsidR="00C425A0" w:rsidRDefault="00C425A0" w:rsidP="001608E9">
            <w:pPr>
              <w:pStyle w:val="TableText0"/>
              <w:jc w:val="center"/>
            </w:pPr>
            <w:r>
              <w:t>12 (2.8)</w:t>
            </w:r>
          </w:p>
        </w:tc>
      </w:tr>
      <w:tr w:rsidR="00C425A0" w:rsidRPr="00FB3BE8" w14:paraId="7F77DD05" w14:textId="77777777">
        <w:tc>
          <w:tcPr>
            <w:tcW w:w="2906" w:type="pct"/>
          </w:tcPr>
          <w:p w14:paraId="39BE3F37" w14:textId="77777777" w:rsidR="00C425A0" w:rsidRDefault="00C425A0" w:rsidP="001608E9">
            <w:pPr>
              <w:pStyle w:val="TableText0"/>
            </w:pPr>
            <w:r>
              <w:t>Grade 4 VTE event</w:t>
            </w:r>
          </w:p>
        </w:tc>
        <w:tc>
          <w:tcPr>
            <w:tcW w:w="1100" w:type="pct"/>
          </w:tcPr>
          <w:p w14:paraId="528BFCB1" w14:textId="77777777" w:rsidR="00C425A0" w:rsidRDefault="00C425A0" w:rsidP="001608E9">
            <w:pPr>
              <w:pStyle w:val="TableText0"/>
              <w:jc w:val="center"/>
            </w:pPr>
            <w:r>
              <w:t>2 (0.5)</w:t>
            </w:r>
          </w:p>
        </w:tc>
        <w:tc>
          <w:tcPr>
            <w:tcW w:w="994" w:type="pct"/>
          </w:tcPr>
          <w:p w14:paraId="5F69F8BA" w14:textId="77777777" w:rsidR="00C425A0" w:rsidRDefault="00C425A0" w:rsidP="001608E9">
            <w:pPr>
              <w:pStyle w:val="TableText0"/>
              <w:jc w:val="center"/>
            </w:pPr>
            <w:r>
              <w:t>2 (0.5)</w:t>
            </w:r>
          </w:p>
        </w:tc>
      </w:tr>
      <w:tr w:rsidR="00C425A0" w:rsidRPr="00FB3BE8" w14:paraId="11B05482" w14:textId="77777777">
        <w:tc>
          <w:tcPr>
            <w:tcW w:w="2906" w:type="pct"/>
          </w:tcPr>
          <w:p w14:paraId="346706C6" w14:textId="77777777" w:rsidR="00C425A0" w:rsidRDefault="00C425A0" w:rsidP="001608E9">
            <w:pPr>
              <w:pStyle w:val="TableText0"/>
            </w:pPr>
            <w:r>
              <w:t>Grade 5 VTE event</w:t>
            </w:r>
          </w:p>
        </w:tc>
        <w:tc>
          <w:tcPr>
            <w:tcW w:w="1100" w:type="pct"/>
          </w:tcPr>
          <w:p w14:paraId="6F7B9A71" w14:textId="77777777" w:rsidR="00C425A0" w:rsidRDefault="00C425A0" w:rsidP="001608E9">
            <w:pPr>
              <w:pStyle w:val="TableText0"/>
              <w:jc w:val="center"/>
            </w:pPr>
            <w:r>
              <w:t>2 (0.5)</w:t>
            </w:r>
          </w:p>
        </w:tc>
        <w:tc>
          <w:tcPr>
            <w:tcW w:w="994" w:type="pct"/>
          </w:tcPr>
          <w:p w14:paraId="73E0C9F3" w14:textId="77777777" w:rsidR="00C425A0" w:rsidRDefault="00C425A0" w:rsidP="001608E9">
            <w:pPr>
              <w:pStyle w:val="TableText0"/>
              <w:jc w:val="center"/>
            </w:pPr>
            <w:r>
              <w:t>2 (0.5)</w:t>
            </w:r>
          </w:p>
        </w:tc>
      </w:tr>
      <w:tr w:rsidR="00C425A0" w:rsidRPr="00FB3BE8" w14:paraId="7437428D" w14:textId="77777777">
        <w:tc>
          <w:tcPr>
            <w:tcW w:w="2906" w:type="pct"/>
          </w:tcPr>
          <w:p w14:paraId="34A6C1FD" w14:textId="77777777" w:rsidR="00C425A0" w:rsidRDefault="00C425A0" w:rsidP="001608E9">
            <w:pPr>
              <w:pStyle w:val="TableText0"/>
            </w:pPr>
            <w:r>
              <w:t>VTEs leading to death</w:t>
            </w:r>
          </w:p>
        </w:tc>
        <w:tc>
          <w:tcPr>
            <w:tcW w:w="1100" w:type="pct"/>
          </w:tcPr>
          <w:p w14:paraId="7C6CDAAD" w14:textId="77777777" w:rsidR="00C425A0" w:rsidRDefault="00C425A0" w:rsidP="001608E9">
            <w:pPr>
              <w:pStyle w:val="TableText0"/>
              <w:jc w:val="center"/>
            </w:pPr>
            <w:r>
              <w:t>2 (0.5)</w:t>
            </w:r>
          </w:p>
        </w:tc>
        <w:tc>
          <w:tcPr>
            <w:tcW w:w="994" w:type="pct"/>
          </w:tcPr>
          <w:p w14:paraId="770E21E5" w14:textId="77777777" w:rsidR="00C425A0" w:rsidRDefault="00C425A0" w:rsidP="001608E9">
            <w:pPr>
              <w:pStyle w:val="TableText0"/>
              <w:jc w:val="center"/>
            </w:pPr>
            <w:r>
              <w:t>2 (0.5)</w:t>
            </w:r>
          </w:p>
        </w:tc>
      </w:tr>
    </w:tbl>
    <w:p w14:paraId="07011EE0" w14:textId="6400967F" w:rsidR="00C425A0" w:rsidRDefault="00C425A0" w:rsidP="001608E9">
      <w:pPr>
        <w:pStyle w:val="TableFigureFooter"/>
        <w:keepNext/>
        <w:widowControl/>
      </w:pPr>
      <w:r w:rsidRPr="0098262F">
        <w:t xml:space="preserve">Source: </w:t>
      </w:r>
      <w:r>
        <w:t xml:space="preserve">Table 2.41, pp120-121, Table 2.43, p 126 of the submission and Table </w:t>
      </w:r>
      <w:r w:rsidRPr="00DA5393">
        <w:t xml:space="preserve">TSFAE02bytoxpart1of2, </w:t>
      </w:r>
      <w:r>
        <w:t>pp</w:t>
      </w:r>
      <w:r w:rsidRPr="00DA5393">
        <w:t xml:space="preserve"> 408 </w:t>
      </w:r>
      <w:r>
        <w:t>–</w:t>
      </w:r>
      <w:r w:rsidRPr="00DA5393">
        <w:t xml:space="preserve"> 452</w:t>
      </w:r>
      <w:r>
        <w:t xml:space="preserve"> of Attachment 2.2 of the submission, Table 37, p136 and Table 38, p 137 of attachment 2.2 of the submission</w:t>
      </w:r>
    </w:p>
    <w:p w14:paraId="510A3065" w14:textId="059A7AA7" w:rsidR="00C425A0" w:rsidRDefault="00C425A0" w:rsidP="001608E9">
      <w:pPr>
        <w:pStyle w:val="TableFigureFooter"/>
        <w:keepNext/>
        <w:widowControl/>
      </w:pPr>
      <w:r w:rsidRPr="589E218A">
        <w:t>A+L=amivantamab plus lazertinib, CCO = clinical cut-off, SAE = serious adverse event, SAS = safety analysis set, TEAE = treatment-emergent adverse event, VTE = Venous thromboembolic event.</w:t>
      </w:r>
    </w:p>
    <w:p w14:paraId="0EEF754D" w14:textId="77777777" w:rsidR="00C425A0" w:rsidRDefault="00C425A0" w:rsidP="001608E9">
      <w:pPr>
        <w:pStyle w:val="TableFigureFooter"/>
        <w:keepNext/>
        <w:widowControl/>
      </w:pPr>
      <w:r w:rsidRPr="589E218A">
        <w:rPr>
          <w:vertAlign w:val="superscript"/>
        </w:rPr>
        <w:t>a</w:t>
      </w:r>
      <w:r w:rsidRPr="589E218A">
        <w:t xml:space="preserve"> AE assessed by the investigator as related to study agent.</w:t>
      </w:r>
    </w:p>
    <w:p w14:paraId="1373BFF3" w14:textId="77777777" w:rsidR="00C425A0" w:rsidRPr="004A40B8" w:rsidRDefault="00C425A0" w:rsidP="007A7746">
      <w:pPr>
        <w:pStyle w:val="TableFigureFooter"/>
      </w:pPr>
      <w:r w:rsidRPr="001842D4">
        <w:rPr>
          <w:vertAlign w:val="superscript"/>
        </w:rPr>
        <w:t>b</w:t>
      </w:r>
      <w:r>
        <w:t xml:space="preserve"> Excludes infusion related reactions.</w:t>
      </w:r>
    </w:p>
    <w:p w14:paraId="5A9790DD" w14:textId="405A1882" w:rsidR="00C425A0" w:rsidRPr="006E0154" w:rsidRDefault="00C425A0" w:rsidP="00C27A0F">
      <w:pPr>
        <w:pStyle w:val="3-BodyText"/>
        <w:ind w:left="709" w:hanging="709"/>
      </w:pPr>
      <w:r w:rsidRPr="589E218A">
        <w:t xml:space="preserve">Treatment with A+L was associated with a higher frequency of Grade 3 or above treatment emergent adverse events (TEAEs) when compared to osimertinib (75.1% versus 42.8%). Serious TEAEs were reported more frequently for the combination of A+L (48.7%) than for osimertinib (33.4%). Based on investigator assessment, it was concluded that 23% and 5.6% of </w:t>
      </w:r>
      <w:r w:rsidR="005865A1">
        <w:t>serious adverse events (</w:t>
      </w:r>
      <w:r w:rsidRPr="589E218A">
        <w:t>SAEs</w:t>
      </w:r>
      <w:r w:rsidR="005865A1">
        <w:t>)</w:t>
      </w:r>
      <w:r w:rsidRPr="589E218A">
        <w:t xml:space="preserve"> were related to A+L and osimertinib, respectively. </w:t>
      </w:r>
    </w:p>
    <w:p w14:paraId="039D41FC" w14:textId="205A9D85" w:rsidR="00C425A0" w:rsidRPr="00EF3BFC" w:rsidRDefault="00C425A0" w:rsidP="00C27A0F">
      <w:pPr>
        <w:pStyle w:val="3-BodyText"/>
        <w:ind w:left="709" w:hanging="709"/>
      </w:pPr>
      <w:r w:rsidRPr="589E218A">
        <w:t xml:space="preserve">Infections and infestations were generally common across both arms of the trial, however the A+L arm saw a higher rates (68.4%) of paronychia than osimertinib (28.3%), and higher rates of conjunctivitis (A+L; 10.9% vs osimertinib; 1.6%). Amivantamab intravenous infusion requirements led to a high rate of infusion related reactions (62.9%). Additionally, peripheral oedema was more frequent in patients receiving A+L (35.6%) versus osimertinib (5.6%), as were pulmonary embolisms (PE; 17.3% versus 4.7%) and deep vein thrombosis (DVT; 14.5% versus 2.6%). A higher number of VTEs of any grade were observed in the A+L arm (37.3%) versus osimertinib (9.1%). </w:t>
      </w:r>
    </w:p>
    <w:p w14:paraId="42F90FE7" w14:textId="0FE05056" w:rsidR="00C425A0" w:rsidRDefault="00E05DF3" w:rsidP="00C27A0F">
      <w:pPr>
        <w:pStyle w:val="3-BodyText"/>
        <w:ind w:left="709" w:hanging="709"/>
      </w:pPr>
      <w:r>
        <w:rPr>
          <w:rFonts w:cstheme="minorHAnsi"/>
        </w:rPr>
        <w:t>A</w:t>
      </w:r>
      <w:r w:rsidR="00C425A0">
        <w:rPr>
          <w:rFonts w:cstheme="minorHAnsi"/>
        </w:rPr>
        <w:t xml:space="preserve"> protocol amendment was made to recommend anticoagulation for patients in the first 4 months of treatment in the A+L arm due to the noted high rates of VTE such as DVT and PE </w:t>
      </w:r>
      <w:r w:rsidR="00C425A0" w:rsidDel="0043169B">
        <w:rPr>
          <w:rFonts w:cstheme="minorHAnsi"/>
        </w:rPr>
        <w:t>events</w:t>
      </w:r>
      <w:r w:rsidR="00C425A0" w:rsidDel="0043169B">
        <w:rPr>
          <w:rStyle w:val="CommentReference"/>
          <w:rFonts w:eastAsia="Times New Roman" w:cs="Times New Roman"/>
        </w:rPr>
        <w:t>.</w:t>
      </w:r>
      <w:r w:rsidR="00C425A0">
        <w:rPr>
          <w:rFonts w:cstheme="minorHAnsi"/>
        </w:rPr>
        <w:t xml:space="preserve"> </w:t>
      </w:r>
      <w:r w:rsidR="00C425A0" w:rsidRPr="00835331">
        <w:rPr>
          <w:rFonts w:cstheme="minorHAnsi"/>
        </w:rPr>
        <w:t xml:space="preserve">At the time of the protocol amendment </w:t>
      </w:r>
      <w:r w:rsidR="00C425A0">
        <w:rPr>
          <w:rFonts w:cstheme="minorHAnsi"/>
        </w:rPr>
        <w:t>(</w:t>
      </w:r>
      <w:r w:rsidR="00C425A0" w:rsidRPr="00835331">
        <w:rPr>
          <w:rFonts w:cstheme="minorHAnsi"/>
        </w:rPr>
        <w:t>August 2022</w:t>
      </w:r>
      <w:r w:rsidR="00C425A0">
        <w:rPr>
          <w:rFonts w:cstheme="minorHAnsi"/>
        </w:rPr>
        <w:t>),</w:t>
      </w:r>
      <w:r w:rsidR="00C425A0" w:rsidRPr="00835331">
        <w:rPr>
          <w:rFonts w:cstheme="minorHAnsi"/>
        </w:rPr>
        <w:t xml:space="preserve"> th</w:t>
      </w:r>
      <w:r w:rsidR="00C425A0">
        <w:rPr>
          <w:rFonts w:cstheme="minorHAnsi"/>
        </w:rPr>
        <w:t>e new anticoagulation</w:t>
      </w:r>
      <w:r w:rsidR="00C425A0" w:rsidRPr="00835331">
        <w:rPr>
          <w:rFonts w:cstheme="minorHAnsi"/>
        </w:rPr>
        <w:t xml:space="preserve"> recommendation was only applicable to 12</w:t>
      </w:r>
      <w:r w:rsidR="00C425A0">
        <w:rPr>
          <w:rFonts w:cstheme="minorHAnsi"/>
        </w:rPr>
        <w:t xml:space="preserve"> patients </w:t>
      </w:r>
      <w:r w:rsidR="00C425A0" w:rsidRPr="00835331">
        <w:rPr>
          <w:rFonts w:cstheme="minorHAnsi"/>
        </w:rPr>
        <w:t xml:space="preserve">receiving A+L </w:t>
      </w:r>
      <w:r w:rsidR="00C425A0">
        <w:rPr>
          <w:rFonts w:cstheme="minorHAnsi"/>
        </w:rPr>
        <w:t>who</w:t>
      </w:r>
      <w:r w:rsidR="00C425A0" w:rsidRPr="00835331">
        <w:rPr>
          <w:rFonts w:cstheme="minorHAnsi"/>
        </w:rPr>
        <w:t xml:space="preserve"> were within the first 4 cycles of </w:t>
      </w:r>
      <w:r w:rsidR="00C425A0">
        <w:rPr>
          <w:rFonts w:cstheme="minorHAnsi"/>
        </w:rPr>
        <w:t xml:space="preserve">their </w:t>
      </w:r>
      <w:r w:rsidR="00C425A0" w:rsidRPr="00835331">
        <w:rPr>
          <w:rFonts w:cstheme="minorHAnsi"/>
        </w:rPr>
        <w:t>treatment as recruitment for the trial was completed in May 2022.</w:t>
      </w:r>
      <w:r w:rsidR="00C425A0">
        <w:rPr>
          <w:rFonts w:cstheme="minorHAnsi"/>
        </w:rPr>
        <w:t xml:space="preserve"> Despite 37.3% of patients in the A+L arm experiencing a VTE event of any grade, only 1.2% of patients in the A+L arm experienced a ‘f</w:t>
      </w:r>
      <w:r w:rsidR="00C425A0" w:rsidRPr="005F7E06">
        <w:rPr>
          <w:rFonts w:cstheme="minorHAnsi"/>
        </w:rPr>
        <w:t>irst VTE</w:t>
      </w:r>
      <w:r w:rsidR="00C425A0">
        <w:rPr>
          <w:rFonts w:cstheme="minorHAnsi"/>
        </w:rPr>
        <w:t>’</w:t>
      </w:r>
      <w:r w:rsidR="00C425A0" w:rsidRPr="005F7E06">
        <w:rPr>
          <w:rFonts w:cstheme="minorHAnsi"/>
        </w:rPr>
        <w:t xml:space="preserve"> while on anticoagulants</w:t>
      </w:r>
      <w:r w:rsidR="00C425A0">
        <w:rPr>
          <w:rFonts w:cstheme="minorHAnsi"/>
        </w:rPr>
        <w:t xml:space="preserve">. </w:t>
      </w:r>
    </w:p>
    <w:p w14:paraId="67E3E2F6" w14:textId="77777777" w:rsidR="00C425A0" w:rsidRPr="0098262F" w:rsidRDefault="00C425A0" w:rsidP="00C425A0">
      <w:pPr>
        <w:pStyle w:val="4-SubsectionHeading"/>
      </w:pPr>
      <w:bookmarkStart w:id="73" w:name="_Toc188452573"/>
      <w:r w:rsidRPr="0098262F">
        <w:t>Benefits/harms</w:t>
      </w:r>
      <w:bookmarkEnd w:id="73"/>
    </w:p>
    <w:p w14:paraId="2C86F39A" w14:textId="0FFFECFB" w:rsidR="00C425A0" w:rsidRPr="002C716E" w:rsidRDefault="00C425A0" w:rsidP="00411552">
      <w:pPr>
        <w:pStyle w:val="3-BodyText"/>
        <w:ind w:left="709" w:hanging="709"/>
        <w:rPr>
          <w:rStyle w:val="CommentReference"/>
          <w:rFonts w:asciiTheme="minorHAnsi" w:hAnsiTheme="minorHAnsi"/>
          <w:b w:val="0"/>
          <w:sz w:val="24"/>
          <w:szCs w:val="24"/>
        </w:rPr>
      </w:pPr>
      <w:r w:rsidRPr="589E218A">
        <w:t xml:space="preserve">A summary of benefits and harms for A+L versus osimertinib is presented in </w:t>
      </w:r>
      <w:r>
        <w:fldChar w:fldCharType="begin"/>
      </w:r>
      <w:r>
        <w:instrText xml:space="preserve"> REF _Ref188366011 \h </w:instrText>
      </w:r>
      <w:r>
        <w:fldChar w:fldCharType="separate"/>
      </w:r>
      <w:r w:rsidR="00184F9A" w:rsidRPr="589E218A">
        <w:t xml:space="preserve">Table </w:t>
      </w:r>
      <w:r w:rsidR="00184F9A">
        <w:rPr>
          <w:noProof/>
        </w:rPr>
        <w:t>7</w:t>
      </w:r>
      <w:r>
        <w:fldChar w:fldCharType="end"/>
      </w:r>
      <w:r w:rsidRPr="589E218A">
        <w:t xml:space="preserve">. </w:t>
      </w:r>
    </w:p>
    <w:p w14:paraId="503C1491" w14:textId="5A66A968" w:rsidR="00C425A0" w:rsidRDefault="00C425A0" w:rsidP="001608E9">
      <w:pPr>
        <w:pStyle w:val="Caption"/>
        <w:pageBreakBefore/>
      </w:pPr>
      <w:bookmarkStart w:id="74" w:name="_Ref188366011"/>
      <w:r w:rsidRPr="589E218A">
        <w:t xml:space="preserve">Table </w:t>
      </w:r>
      <w:r w:rsidRPr="589E218A">
        <w:fldChar w:fldCharType="begin"/>
      </w:r>
      <w:r>
        <w:instrText xml:space="preserve"> SEQ Table \* ARABIC </w:instrText>
      </w:r>
      <w:r w:rsidRPr="589E218A">
        <w:fldChar w:fldCharType="separate"/>
      </w:r>
      <w:r w:rsidR="00184F9A">
        <w:rPr>
          <w:noProof/>
        </w:rPr>
        <w:t>7</w:t>
      </w:r>
      <w:r w:rsidRPr="589E218A">
        <w:rPr>
          <w:noProof/>
        </w:rPr>
        <w:fldChar w:fldCharType="end"/>
      </w:r>
      <w:bookmarkEnd w:id="74"/>
      <w:r w:rsidRPr="589E218A">
        <w:t>: Summary of comparative benefits and harms for A+L and osimertinib</w:t>
      </w:r>
    </w:p>
    <w:tbl>
      <w:tblPr>
        <w:tblStyle w:val="TableGrid"/>
        <w:tblW w:w="5028" w:type="pct"/>
        <w:tblLayout w:type="fixed"/>
        <w:tblCellMar>
          <w:left w:w="28" w:type="dxa"/>
          <w:right w:w="28" w:type="dxa"/>
        </w:tblCellMar>
        <w:tblLook w:val="04A0" w:firstRow="1" w:lastRow="0" w:firstColumn="1" w:lastColumn="0" w:noHBand="0" w:noVBand="1"/>
        <w:tblCaption w:val="Table 7: Summary of comparative benefits and harms for A+L and osimertinib"/>
      </w:tblPr>
      <w:tblGrid>
        <w:gridCol w:w="2464"/>
        <w:gridCol w:w="1445"/>
        <w:gridCol w:w="1614"/>
        <w:gridCol w:w="1908"/>
        <w:gridCol w:w="1636"/>
      </w:tblGrid>
      <w:tr w:rsidR="00C425A0" w:rsidRPr="0098262F" w14:paraId="5CC386B4" w14:textId="77777777" w:rsidTr="002925CE">
        <w:trPr>
          <w:trHeight w:val="20"/>
        </w:trPr>
        <w:tc>
          <w:tcPr>
            <w:tcW w:w="5000" w:type="pct"/>
            <w:gridSpan w:val="5"/>
            <w:tcBorders>
              <w:right w:val="single" w:sz="4" w:space="0" w:color="auto"/>
            </w:tcBorders>
            <w:shd w:val="clear" w:color="auto" w:fill="auto"/>
          </w:tcPr>
          <w:p w14:paraId="2BEDCC4E" w14:textId="77777777" w:rsidR="00C425A0" w:rsidRPr="00AA1BBE" w:rsidRDefault="00C425A0" w:rsidP="001608E9">
            <w:pPr>
              <w:pStyle w:val="TableText0"/>
              <w:rPr>
                <w:b/>
                <w:bCs w:val="0"/>
              </w:rPr>
            </w:pPr>
            <w:r w:rsidRPr="00AA1BBE">
              <w:rPr>
                <w:b/>
              </w:rPr>
              <w:t>Benefits</w:t>
            </w:r>
          </w:p>
        </w:tc>
      </w:tr>
      <w:tr w:rsidR="00C425A0" w:rsidRPr="0098262F" w14:paraId="0E2E8521" w14:textId="77777777" w:rsidTr="002925CE">
        <w:trPr>
          <w:trHeight w:val="20"/>
        </w:trPr>
        <w:tc>
          <w:tcPr>
            <w:tcW w:w="5000" w:type="pct"/>
            <w:gridSpan w:val="5"/>
            <w:tcBorders>
              <w:right w:val="single" w:sz="4" w:space="0" w:color="auto"/>
            </w:tcBorders>
            <w:shd w:val="clear" w:color="auto" w:fill="auto"/>
          </w:tcPr>
          <w:p w14:paraId="54139456" w14:textId="77777777" w:rsidR="00C425A0" w:rsidRPr="00AA1BBE" w:rsidRDefault="00C425A0" w:rsidP="001608E9">
            <w:pPr>
              <w:pStyle w:val="TableText0"/>
              <w:rPr>
                <w:b/>
                <w:bCs w:val="0"/>
              </w:rPr>
            </w:pPr>
            <w:r w:rsidRPr="00AA1BBE">
              <w:rPr>
                <w:b/>
              </w:rPr>
              <w:t>Progression free survival (median duration of follow up 22.0 months)</w:t>
            </w:r>
          </w:p>
        </w:tc>
      </w:tr>
      <w:tr w:rsidR="00C425A0" w:rsidRPr="0098262F" w14:paraId="4829BD75" w14:textId="77777777" w:rsidTr="002925CE">
        <w:trPr>
          <w:trHeight w:val="20"/>
        </w:trPr>
        <w:tc>
          <w:tcPr>
            <w:tcW w:w="5000" w:type="pct"/>
            <w:gridSpan w:val="5"/>
            <w:tcBorders>
              <w:right w:val="single" w:sz="4" w:space="0" w:color="auto"/>
            </w:tcBorders>
            <w:shd w:val="clear" w:color="auto" w:fill="auto"/>
          </w:tcPr>
          <w:p w14:paraId="29B60D52" w14:textId="77777777" w:rsidR="00C425A0" w:rsidRPr="00AA1BBE" w:rsidRDefault="00C425A0" w:rsidP="001608E9">
            <w:pPr>
              <w:pStyle w:val="TableText0"/>
              <w:rPr>
                <w:b/>
                <w:bCs w:val="0"/>
              </w:rPr>
            </w:pPr>
            <w:r w:rsidRPr="00AA1BBE">
              <w:rPr>
                <w:b/>
              </w:rPr>
              <w:t>August 2023 CCO</w:t>
            </w:r>
          </w:p>
        </w:tc>
      </w:tr>
      <w:tr w:rsidR="00C425A0" w:rsidRPr="0098262F" w14:paraId="251C0396" w14:textId="77777777" w:rsidTr="002925CE">
        <w:trPr>
          <w:trHeight w:val="20"/>
        </w:trPr>
        <w:tc>
          <w:tcPr>
            <w:tcW w:w="1359" w:type="pct"/>
            <w:shd w:val="clear" w:color="auto" w:fill="auto"/>
          </w:tcPr>
          <w:p w14:paraId="045613F7" w14:textId="77777777" w:rsidR="00C425A0" w:rsidRPr="00AA1BBE" w:rsidRDefault="00C425A0" w:rsidP="001608E9">
            <w:pPr>
              <w:pStyle w:val="TableText0"/>
              <w:rPr>
                <w:b/>
                <w:bCs w:val="0"/>
              </w:rPr>
            </w:pPr>
            <w:r w:rsidRPr="00AA1BBE">
              <w:rPr>
                <w:b/>
              </w:rPr>
              <w:t>Event</w:t>
            </w:r>
          </w:p>
        </w:tc>
        <w:tc>
          <w:tcPr>
            <w:tcW w:w="797" w:type="pct"/>
            <w:shd w:val="clear" w:color="auto" w:fill="auto"/>
          </w:tcPr>
          <w:p w14:paraId="754891C4" w14:textId="77777777" w:rsidR="00C425A0" w:rsidRPr="00AA1BBE" w:rsidRDefault="00C425A0" w:rsidP="001608E9">
            <w:pPr>
              <w:pStyle w:val="TableText0"/>
              <w:jc w:val="center"/>
              <w:rPr>
                <w:b/>
                <w:bCs w:val="0"/>
              </w:rPr>
            </w:pPr>
            <w:r w:rsidRPr="00AA1BBE">
              <w:rPr>
                <w:b/>
              </w:rPr>
              <w:t>A+L</w:t>
            </w:r>
          </w:p>
        </w:tc>
        <w:tc>
          <w:tcPr>
            <w:tcW w:w="890" w:type="pct"/>
            <w:shd w:val="clear" w:color="auto" w:fill="auto"/>
          </w:tcPr>
          <w:p w14:paraId="7C0CFE64" w14:textId="77777777" w:rsidR="00C425A0" w:rsidRPr="00AA1BBE" w:rsidRDefault="00C425A0" w:rsidP="001608E9">
            <w:pPr>
              <w:pStyle w:val="TableText0"/>
              <w:jc w:val="center"/>
              <w:rPr>
                <w:b/>
                <w:bCs w:val="0"/>
              </w:rPr>
            </w:pPr>
            <w:r w:rsidRPr="00AA1BBE">
              <w:rPr>
                <w:b/>
              </w:rPr>
              <w:t>Osimertinib</w:t>
            </w:r>
          </w:p>
        </w:tc>
        <w:tc>
          <w:tcPr>
            <w:tcW w:w="1052" w:type="pct"/>
            <w:tcBorders>
              <w:bottom w:val="single" w:sz="4" w:space="0" w:color="auto"/>
              <w:right w:val="single" w:sz="4" w:space="0" w:color="auto"/>
            </w:tcBorders>
            <w:shd w:val="clear" w:color="auto" w:fill="auto"/>
          </w:tcPr>
          <w:p w14:paraId="19883BA4" w14:textId="77777777" w:rsidR="00C425A0" w:rsidRPr="00AA1BBE" w:rsidRDefault="00C425A0" w:rsidP="001608E9">
            <w:pPr>
              <w:pStyle w:val="TableText0"/>
              <w:jc w:val="center"/>
              <w:rPr>
                <w:b/>
                <w:bCs w:val="0"/>
              </w:rPr>
            </w:pPr>
            <w:r w:rsidRPr="00AA1BBE">
              <w:rPr>
                <w:b/>
              </w:rPr>
              <w:t>Absolute Difference</w:t>
            </w:r>
          </w:p>
        </w:tc>
        <w:tc>
          <w:tcPr>
            <w:tcW w:w="902" w:type="pct"/>
            <w:tcBorders>
              <w:top w:val="single" w:sz="4" w:space="0" w:color="auto"/>
              <w:left w:val="single" w:sz="4" w:space="0" w:color="auto"/>
              <w:bottom w:val="single" w:sz="4" w:space="0" w:color="auto"/>
              <w:right w:val="single" w:sz="4" w:space="0" w:color="auto"/>
            </w:tcBorders>
            <w:shd w:val="clear" w:color="auto" w:fill="auto"/>
          </w:tcPr>
          <w:p w14:paraId="1A64B90E" w14:textId="77777777" w:rsidR="00C425A0" w:rsidRPr="00AA1BBE" w:rsidRDefault="00C425A0" w:rsidP="001608E9">
            <w:pPr>
              <w:pStyle w:val="TableText0"/>
              <w:jc w:val="center"/>
              <w:rPr>
                <w:b/>
                <w:bCs w:val="0"/>
              </w:rPr>
            </w:pPr>
            <w:r w:rsidRPr="00AA1BBE">
              <w:rPr>
                <w:b/>
              </w:rPr>
              <w:t>HR</w:t>
            </w:r>
            <w:r>
              <w:rPr>
                <w:b/>
              </w:rPr>
              <w:t xml:space="preserve"> </w:t>
            </w:r>
            <w:r w:rsidRPr="00AA1BBE">
              <w:rPr>
                <w:b/>
                <w:vertAlign w:val="superscript"/>
              </w:rPr>
              <w:t>b</w:t>
            </w:r>
            <w:r w:rsidRPr="00AA1BBE">
              <w:rPr>
                <w:b/>
              </w:rPr>
              <w:t xml:space="preserve"> (95% CI)</w:t>
            </w:r>
          </w:p>
        </w:tc>
      </w:tr>
      <w:tr w:rsidR="00C425A0" w:rsidRPr="0098262F" w14:paraId="72D57C86" w14:textId="77777777" w:rsidTr="002925CE">
        <w:trPr>
          <w:trHeight w:val="20"/>
        </w:trPr>
        <w:tc>
          <w:tcPr>
            <w:tcW w:w="1359" w:type="pct"/>
            <w:shd w:val="clear" w:color="auto" w:fill="auto"/>
            <w:vAlign w:val="center"/>
          </w:tcPr>
          <w:p w14:paraId="3EC25F7E" w14:textId="77777777" w:rsidR="00C425A0" w:rsidRPr="0098262F" w:rsidRDefault="00C425A0" w:rsidP="001608E9">
            <w:pPr>
              <w:pStyle w:val="TableText0"/>
            </w:pPr>
            <w:r w:rsidRPr="0098262F">
              <w:t>Progressed, n</w:t>
            </w:r>
            <w:r>
              <w:t>/N</w:t>
            </w:r>
            <w:r w:rsidRPr="0098262F">
              <w:t xml:space="preserve"> (%)</w:t>
            </w:r>
          </w:p>
        </w:tc>
        <w:tc>
          <w:tcPr>
            <w:tcW w:w="797" w:type="pct"/>
            <w:shd w:val="clear" w:color="auto" w:fill="auto"/>
            <w:vAlign w:val="center"/>
          </w:tcPr>
          <w:p w14:paraId="41D641FC" w14:textId="77777777" w:rsidR="00C425A0" w:rsidRPr="0098262F" w:rsidRDefault="00C425A0" w:rsidP="001608E9">
            <w:pPr>
              <w:pStyle w:val="TableText0"/>
              <w:jc w:val="center"/>
            </w:pPr>
            <w:r>
              <w:t>192/429</w:t>
            </w:r>
            <w:r w:rsidRPr="0098262F">
              <w:t xml:space="preserve"> (</w:t>
            </w:r>
            <w:r>
              <w:t>44.8</w:t>
            </w:r>
            <w:r w:rsidRPr="0098262F">
              <w:t>%)</w:t>
            </w:r>
          </w:p>
        </w:tc>
        <w:tc>
          <w:tcPr>
            <w:tcW w:w="890" w:type="pct"/>
            <w:shd w:val="clear" w:color="auto" w:fill="auto"/>
            <w:vAlign w:val="center"/>
          </w:tcPr>
          <w:p w14:paraId="53AE38E3" w14:textId="77777777" w:rsidR="00C425A0" w:rsidRPr="0098262F" w:rsidRDefault="00C425A0" w:rsidP="001608E9">
            <w:pPr>
              <w:pStyle w:val="TableText0"/>
              <w:jc w:val="center"/>
            </w:pPr>
            <w:r>
              <w:t>252/429</w:t>
            </w:r>
            <w:r w:rsidRPr="0098262F">
              <w:t xml:space="preserve"> (</w:t>
            </w:r>
            <w:r>
              <w:t>58.7</w:t>
            </w:r>
            <w:r w:rsidRPr="0098262F">
              <w:t>%)</w:t>
            </w:r>
          </w:p>
        </w:tc>
        <w:tc>
          <w:tcPr>
            <w:tcW w:w="1052" w:type="pct"/>
            <w:tcBorders>
              <w:bottom w:val="single" w:sz="4" w:space="0" w:color="auto"/>
              <w:right w:val="single" w:sz="4" w:space="0" w:color="auto"/>
            </w:tcBorders>
            <w:shd w:val="clear" w:color="auto" w:fill="auto"/>
            <w:vAlign w:val="center"/>
          </w:tcPr>
          <w:p w14:paraId="5DC93C39" w14:textId="77777777" w:rsidR="00C425A0" w:rsidRPr="0098262F" w:rsidRDefault="00C425A0" w:rsidP="001608E9">
            <w:pPr>
              <w:pStyle w:val="TableText0"/>
              <w:jc w:val="center"/>
            </w:pPr>
            <w:r>
              <w:t>-</w:t>
            </w:r>
          </w:p>
        </w:tc>
        <w:tc>
          <w:tcPr>
            <w:tcW w:w="902" w:type="pct"/>
            <w:vMerge w:val="restart"/>
            <w:tcBorders>
              <w:top w:val="single" w:sz="4" w:space="0" w:color="auto"/>
              <w:left w:val="single" w:sz="4" w:space="0" w:color="auto"/>
              <w:right w:val="single" w:sz="4" w:space="0" w:color="auto"/>
            </w:tcBorders>
            <w:shd w:val="clear" w:color="auto" w:fill="auto"/>
          </w:tcPr>
          <w:p w14:paraId="0C1835CB" w14:textId="77777777" w:rsidR="00C425A0" w:rsidRDefault="00C425A0" w:rsidP="001608E9">
            <w:pPr>
              <w:pStyle w:val="TableText0"/>
              <w:jc w:val="center"/>
            </w:pPr>
            <w:r>
              <w:t>0.70</w:t>
            </w:r>
            <w:r w:rsidRPr="0098262F">
              <w:t xml:space="preserve"> </w:t>
            </w:r>
          </w:p>
          <w:p w14:paraId="17D4737B" w14:textId="77777777" w:rsidR="00C425A0" w:rsidRPr="0098262F" w:rsidRDefault="00C425A0" w:rsidP="001608E9">
            <w:pPr>
              <w:pStyle w:val="TableText0"/>
              <w:jc w:val="center"/>
            </w:pPr>
            <w:r w:rsidRPr="0098262F">
              <w:t>(</w:t>
            </w:r>
            <w:r>
              <w:t>0.58, 0.85</w:t>
            </w:r>
            <w:r w:rsidRPr="0098262F">
              <w:t>)</w:t>
            </w:r>
          </w:p>
          <w:p w14:paraId="4C5EFB24" w14:textId="77777777" w:rsidR="00C425A0" w:rsidRPr="0098262F" w:rsidRDefault="00C425A0" w:rsidP="001608E9">
            <w:pPr>
              <w:pStyle w:val="TableText0"/>
              <w:jc w:val="center"/>
            </w:pPr>
            <w:r>
              <w:t xml:space="preserve">p </w:t>
            </w:r>
            <w:r>
              <w:rPr>
                <w:vertAlign w:val="superscript"/>
              </w:rPr>
              <w:t xml:space="preserve">a </w:t>
            </w:r>
            <w:r w:rsidRPr="0098262F">
              <w:t>=</w:t>
            </w:r>
            <w:r>
              <w:t xml:space="preserve"> 0.0002</w:t>
            </w:r>
          </w:p>
        </w:tc>
      </w:tr>
      <w:tr w:rsidR="00C425A0" w:rsidRPr="0098262F" w14:paraId="30F6A5EF" w14:textId="77777777" w:rsidTr="002925CE">
        <w:trPr>
          <w:trHeight w:val="20"/>
        </w:trPr>
        <w:tc>
          <w:tcPr>
            <w:tcW w:w="1359" w:type="pct"/>
            <w:shd w:val="clear" w:color="auto" w:fill="auto"/>
            <w:vAlign w:val="center"/>
          </w:tcPr>
          <w:p w14:paraId="031728D4" w14:textId="77777777" w:rsidR="00C425A0" w:rsidRPr="0098262F" w:rsidRDefault="00C425A0" w:rsidP="001608E9">
            <w:pPr>
              <w:pStyle w:val="TableText0"/>
            </w:pPr>
            <w:r w:rsidRPr="0098262F">
              <w:t>Median PFS, months (95% CI)</w:t>
            </w:r>
          </w:p>
        </w:tc>
        <w:tc>
          <w:tcPr>
            <w:tcW w:w="797" w:type="pct"/>
            <w:shd w:val="clear" w:color="auto" w:fill="auto"/>
            <w:vAlign w:val="center"/>
          </w:tcPr>
          <w:p w14:paraId="2A860224" w14:textId="77777777" w:rsidR="00C425A0" w:rsidRPr="0098262F" w:rsidRDefault="00C425A0" w:rsidP="001608E9">
            <w:pPr>
              <w:pStyle w:val="TableText0"/>
              <w:jc w:val="center"/>
            </w:pPr>
            <w:r>
              <w:t>23.72</w:t>
            </w:r>
            <w:r w:rsidRPr="0098262F">
              <w:t xml:space="preserve"> (</w:t>
            </w:r>
            <w:r>
              <w:t>19.12, 27.66)</w:t>
            </w:r>
          </w:p>
        </w:tc>
        <w:tc>
          <w:tcPr>
            <w:tcW w:w="890" w:type="pct"/>
            <w:shd w:val="clear" w:color="auto" w:fill="auto"/>
            <w:vAlign w:val="center"/>
          </w:tcPr>
          <w:p w14:paraId="720CF09A" w14:textId="77777777" w:rsidR="00C425A0" w:rsidRPr="0098262F" w:rsidRDefault="00C425A0" w:rsidP="001608E9">
            <w:pPr>
              <w:pStyle w:val="TableText0"/>
              <w:jc w:val="center"/>
            </w:pPr>
            <w:r>
              <w:t>16.59 (14.78, 18.46)</w:t>
            </w:r>
          </w:p>
        </w:tc>
        <w:tc>
          <w:tcPr>
            <w:tcW w:w="1052" w:type="pct"/>
            <w:tcBorders>
              <w:top w:val="single" w:sz="4" w:space="0" w:color="auto"/>
              <w:bottom w:val="single" w:sz="4" w:space="0" w:color="auto"/>
              <w:right w:val="single" w:sz="4" w:space="0" w:color="auto"/>
            </w:tcBorders>
            <w:shd w:val="clear" w:color="auto" w:fill="auto"/>
            <w:vAlign w:val="center"/>
          </w:tcPr>
          <w:p w14:paraId="75772666" w14:textId="77777777" w:rsidR="00C425A0" w:rsidRPr="0098262F" w:rsidRDefault="00C425A0" w:rsidP="001608E9">
            <w:pPr>
              <w:pStyle w:val="TableText0"/>
              <w:jc w:val="center"/>
            </w:pPr>
            <w:r>
              <w:t xml:space="preserve">7.13 </w:t>
            </w:r>
          </w:p>
        </w:tc>
        <w:tc>
          <w:tcPr>
            <w:tcW w:w="902" w:type="pct"/>
            <w:vMerge/>
            <w:tcBorders>
              <w:left w:val="single" w:sz="4" w:space="0" w:color="auto"/>
              <w:right w:val="single" w:sz="4" w:space="0" w:color="auto"/>
            </w:tcBorders>
            <w:shd w:val="clear" w:color="auto" w:fill="auto"/>
            <w:vAlign w:val="center"/>
          </w:tcPr>
          <w:p w14:paraId="77090AF7" w14:textId="77777777" w:rsidR="00C425A0" w:rsidRPr="0098262F" w:rsidRDefault="00C425A0" w:rsidP="001608E9">
            <w:pPr>
              <w:pStyle w:val="TableText0"/>
              <w:jc w:val="center"/>
            </w:pPr>
          </w:p>
        </w:tc>
      </w:tr>
      <w:tr w:rsidR="00C425A0" w:rsidRPr="0098262F" w14:paraId="3461F8C4" w14:textId="77777777" w:rsidTr="002925CE">
        <w:trPr>
          <w:trHeight w:val="20"/>
        </w:trPr>
        <w:tc>
          <w:tcPr>
            <w:tcW w:w="1359" w:type="pct"/>
            <w:shd w:val="clear" w:color="auto" w:fill="auto"/>
            <w:vAlign w:val="center"/>
          </w:tcPr>
          <w:p w14:paraId="01489393" w14:textId="77777777" w:rsidR="00C425A0" w:rsidRPr="0098262F" w:rsidRDefault="00C425A0" w:rsidP="001608E9">
            <w:pPr>
              <w:pStyle w:val="TableText0"/>
            </w:pPr>
            <w:r w:rsidRPr="0098262F">
              <w:t xml:space="preserve">% not progressed at </w:t>
            </w:r>
            <w:r>
              <w:t>12</w:t>
            </w:r>
            <w:r w:rsidRPr="0098262F">
              <w:t xml:space="preserve"> months (95% CI)</w:t>
            </w:r>
          </w:p>
        </w:tc>
        <w:tc>
          <w:tcPr>
            <w:tcW w:w="797" w:type="pct"/>
            <w:shd w:val="clear" w:color="auto" w:fill="auto"/>
            <w:vAlign w:val="center"/>
          </w:tcPr>
          <w:p w14:paraId="58522865" w14:textId="77777777" w:rsidR="00C425A0" w:rsidRPr="0098262F" w:rsidRDefault="00C425A0" w:rsidP="001608E9">
            <w:pPr>
              <w:pStyle w:val="TableText0"/>
              <w:jc w:val="center"/>
            </w:pPr>
            <w:r>
              <w:t>73</w:t>
            </w:r>
            <w:r w:rsidRPr="0098262F">
              <w:t xml:space="preserve"> (</w:t>
            </w:r>
            <w:r>
              <w:t>69, 77</w:t>
            </w:r>
            <w:r w:rsidRPr="0098262F">
              <w:t>)</w:t>
            </w:r>
          </w:p>
        </w:tc>
        <w:tc>
          <w:tcPr>
            <w:tcW w:w="890" w:type="pct"/>
            <w:shd w:val="clear" w:color="auto" w:fill="auto"/>
            <w:vAlign w:val="center"/>
          </w:tcPr>
          <w:p w14:paraId="62E49B28" w14:textId="77777777" w:rsidR="00C425A0" w:rsidRPr="0098262F" w:rsidRDefault="00C425A0" w:rsidP="001608E9">
            <w:pPr>
              <w:pStyle w:val="TableText0"/>
              <w:jc w:val="center"/>
            </w:pPr>
            <w:r>
              <w:t>65 (60, 69)</w:t>
            </w:r>
          </w:p>
        </w:tc>
        <w:tc>
          <w:tcPr>
            <w:tcW w:w="1052" w:type="pct"/>
            <w:tcBorders>
              <w:top w:val="single" w:sz="4" w:space="0" w:color="auto"/>
              <w:bottom w:val="single" w:sz="4" w:space="0" w:color="auto"/>
              <w:right w:val="single" w:sz="4" w:space="0" w:color="auto"/>
            </w:tcBorders>
            <w:shd w:val="clear" w:color="auto" w:fill="auto"/>
            <w:vAlign w:val="center"/>
          </w:tcPr>
          <w:p w14:paraId="77214B7C" w14:textId="77777777" w:rsidR="00C425A0" w:rsidRPr="0098262F" w:rsidRDefault="00C425A0" w:rsidP="001608E9">
            <w:pPr>
              <w:pStyle w:val="TableText0"/>
              <w:jc w:val="center"/>
            </w:pPr>
            <w:r>
              <w:t>8</w:t>
            </w:r>
          </w:p>
        </w:tc>
        <w:tc>
          <w:tcPr>
            <w:tcW w:w="902" w:type="pct"/>
            <w:vMerge/>
            <w:tcBorders>
              <w:left w:val="single" w:sz="4" w:space="0" w:color="auto"/>
              <w:right w:val="single" w:sz="4" w:space="0" w:color="auto"/>
            </w:tcBorders>
            <w:shd w:val="clear" w:color="auto" w:fill="auto"/>
            <w:vAlign w:val="center"/>
          </w:tcPr>
          <w:p w14:paraId="5359BAD9" w14:textId="77777777" w:rsidR="00C425A0" w:rsidRPr="0098262F" w:rsidRDefault="00C425A0" w:rsidP="001608E9">
            <w:pPr>
              <w:pStyle w:val="TableText0"/>
              <w:jc w:val="center"/>
            </w:pPr>
          </w:p>
        </w:tc>
      </w:tr>
      <w:tr w:rsidR="00C425A0" w:rsidRPr="0098262F" w14:paraId="630C59B9" w14:textId="77777777" w:rsidTr="002925CE">
        <w:trPr>
          <w:trHeight w:val="20"/>
        </w:trPr>
        <w:tc>
          <w:tcPr>
            <w:tcW w:w="1359" w:type="pct"/>
            <w:shd w:val="clear" w:color="auto" w:fill="auto"/>
            <w:vAlign w:val="center"/>
          </w:tcPr>
          <w:p w14:paraId="2D913A31" w14:textId="77777777" w:rsidR="00C425A0" w:rsidRPr="0098262F" w:rsidRDefault="00C425A0" w:rsidP="001608E9">
            <w:pPr>
              <w:pStyle w:val="TableText0"/>
            </w:pPr>
            <w:r w:rsidRPr="0098262F">
              <w:t xml:space="preserve">% not progressed at </w:t>
            </w:r>
            <w:r>
              <w:t>24</w:t>
            </w:r>
            <w:r w:rsidRPr="0098262F">
              <w:t xml:space="preserve"> months (95% CI)</w:t>
            </w:r>
          </w:p>
        </w:tc>
        <w:tc>
          <w:tcPr>
            <w:tcW w:w="797" w:type="pct"/>
            <w:shd w:val="clear" w:color="auto" w:fill="auto"/>
            <w:vAlign w:val="center"/>
          </w:tcPr>
          <w:p w14:paraId="37722C1D" w14:textId="77777777" w:rsidR="00C425A0" w:rsidRPr="0098262F" w:rsidRDefault="00C425A0" w:rsidP="001608E9">
            <w:pPr>
              <w:pStyle w:val="TableText0"/>
              <w:jc w:val="center"/>
            </w:pPr>
            <w:r>
              <w:t>48</w:t>
            </w:r>
            <w:r w:rsidRPr="0098262F">
              <w:t xml:space="preserve"> (</w:t>
            </w:r>
            <w:r>
              <w:t>42, 54</w:t>
            </w:r>
            <w:r w:rsidRPr="0098262F">
              <w:t>)</w:t>
            </w:r>
          </w:p>
        </w:tc>
        <w:tc>
          <w:tcPr>
            <w:tcW w:w="890" w:type="pct"/>
            <w:shd w:val="clear" w:color="auto" w:fill="auto"/>
            <w:vAlign w:val="center"/>
          </w:tcPr>
          <w:p w14:paraId="321324DC" w14:textId="77777777" w:rsidR="00C425A0" w:rsidRPr="0098262F" w:rsidRDefault="00C425A0" w:rsidP="001608E9">
            <w:pPr>
              <w:pStyle w:val="TableText0"/>
              <w:jc w:val="center"/>
            </w:pPr>
            <w:r>
              <w:t>34</w:t>
            </w:r>
            <w:r w:rsidRPr="0098262F">
              <w:t xml:space="preserve"> (</w:t>
            </w:r>
            <w:r>
              <w:t>28, 39</w:t>
            </w:r>
            <w:r w:rsidRPr="0098262F">
              <w:t>)</w:t>
            </w:r>
          </w:p>
        </w:tc>
        <w:tc>
          <w:tcPr>
            <w:tcW w:w="1052" w:type="pct"/>
            <w:tcBorders>
              <w:top w:val="single" w:sz="4" w:space="0" w:color="auto"/>
              <w:right w:val="single" w:sz="4" w:space="0" w:color="auto"/>
            </w:tcBorders>
            <w:shd w:val="clear" w:color="auto" w:fill="auto"/>
            <w:vAlign w:val="center"/>
          </w:tcPr>
          <w:p w14:paraId="2379DAF9" w14:textId="77777777" w:rsidR="00C425A0" w:rsidRPr="0098262F" w:rsidRDefault="00C425A0" w:rsidP="001608E9">
            <w:pPr>
              <w:pStyle w:val="TableText0"/>
              <w:jc w:val="center"/>
            </w:pPr>
            <w:r>
              <w:t>14</w:t>
            </w:r>
          </w:p>
        </w:tc>
        <w:tc>
          <w:tcPr>
            <w:tcW w:w="902" w:type="pct"/>
            <w:vMerge/>
            <w:tcBorders>
              <w:left w:val="single" w:sz="4" w:space="0" w:color="auto"/>
              <w:bottom w:val="single" w:sz="4" w:space="0" w:color="auto"/>
              <w:right w:val="single" w:sz="4" w:space="0" w:color="auto"/>
            </w:tcBorders>
            <w:shd w:val="clear" w:color="auto" w:fill="auto"/>
            <w:vAlign w:val="center"/>
          </w:tcPr>
          <w:p w14:paraId="14D24E23" w14:textId="77777777" w:rsidR="00C425A0" w:rsidRPr="0098262F" w:rsidRDefault="00C425A0" w:rsidP="001608E9">
            <w:pPr>
              <w:pStyle w:val="TableText0"/>
              <w:jc w:val="center"/>
            </w:pPr>
          </w:p>
        </w:tc>
      </w:tr>
      <w:tr w:rsidR="00C425A0" w:rsidRPr="0098262F" w14:paraId="49B132C3" w14:textId="77777777" w:rsidTr="002925CE">
        <w:trPr>
          <w:trHeight w:val="20"/>
        </w:trPr>
        <w:tc>
          <w:tcPr>
            <w:tcW w:w="5000" w:type="pct"/>
            <w:gridSpan w:val="5"/>
            <w:tcBorders>
              <w:right w:val="single" w:sz="4" w:space="0" w:color="auto"/>
            </w:tcBorders>
            <w:shd w:val="clear" w:color="auto" w:fill="auto"/>
          </w:tcPr>
          <w:p w14:paraId="6BDAF335" w14:textId="77777777" w:rsidR="00C425A0" w:rsidRPr="00F82ED4" w:rsidRDefault="00C425A0" w:rsidP="001608E9">
            <w:pPr>
              <w:pStyle w:val="TableText0"/>
              <w:rPr>
                <w:b/>
                <w:bCs w:val="0"/>
              </w:rPr>
            </w:pPr>
            <w:r w:rsidRPr="00F82ED4">
              <w:rPr>
                <w:b/>
              </w:rPr>
              <w:t>Overall survival (median duration of follow up 31.1 months)</w:t>
            </w:r>
          </w:p>
        </w:tc>
      </w:tr>
      <w:tr w:rsidR="00C425A0" w:rsidRPr="0098262F" w14:paraId="340EB1EB" w14:textId="77777777" w:rsidTr="002925CE">
        <w:trPr>
          <w:trHeight w:val="20"/>
        </w:trPr>
        <w:tc>
          <w:tcPr>
            <w:tcW w:w="5000" w:type="pct"/>
            <w:gridSpan w:val="5"/>
            <w:tcBorders>
              <w:right w:val="single" w:sz="4" w:space="0" w:color="auto"/>
            </w:tcBorders>
            <w:shd w:val="clear" w:color="auto" w:fill="auto"/>
          </w:tcPr>
          <w:p w14:paraId="2DF53C15" w14:textId="77777777" w:rsidR="00C425A0" w:rsidRPr="00F82ED4" w:rsidRDefault="00C425A0" w:rsidP="001608E9">
            <w:pPr>
              <w:pStyle w:val="TableText0"/>
              <w:rPr>
                <w:b/>
                <w:bCs w:val="0"/>
              </w:rPr>
            </w:pPr>
            <w:r w:rsidRPr="00F82ED4">
              <w:rPr>
                <w:b/>
              </w:rPr>
              <w:t>May 2024 CCO</w:t>
            </w:r>
          </w:p>
        </w:tc>
      </w:tr>
      <w:tr w:rsidR="00C425A0" w:rsidRPr="0098262F" w14:paraId="77FFE1D5" w14:textId="77777777" w:rsidTr="002925CE">
        <w:trPr>
          <w:trHeight w:val="20"/>
        </w:trPr>
        <w:tc>
          <w:tcPr>
            <w:tcW w:w="1359" w:type="pct"/>
            <w:shd w:val="clear" w:color="auto" w:fill="auto"/>
          </w:tcPr>
          <w:p w14:paraId="32CC585E" w14:textId="77777777" w:rsidR="00C425A0" w:rsidRPr="00F82ED4" w:rsidRDefault="00C425A0" w:rsidP="001608E9">
            <w:pPr>
              <w:pStyle w:val="TableText0"/>
              <w:rPr>
                <w:b/>
                <w:bCs w:val="0"/>
              </w:rPr>
            </w:pPr>
            <w:r w:rsidRPr="00F82ED4">
              <w:rPr>
                <w:b/>
              </w:rPr>
              <w:t>Event</w:t>
            </w:r>
          </w:p>
        </w:tc>
        <w:tc>
          <w:tcPr>
            <w:tcW w:w="797" w:type="pct"/>
            <w:shd w:val="clear" w:color="auto" w:fill="auto"/>
          </w:tcPr>
          <w:p w14:paraId="6466D960" w14:textId="77777777" w:rsidR="00C425A0" w:rsidRDefault="00C425A0" w:rsidP="001608E9">
            <w:pPr>
              <w:pStyle w:val="TableText0"/>
              <w:jc w:val="center"/>
              <w:rPr>
                <w:b/>
                <w:bCs w:val="0"/>
              </w:rPr>
            </w:pPr>
            <w:r w:rsidRPr="00F82ED4">
              <w:rPr>
                <w:b/>
              </w:rPr>
              <w:t xml:space="preserve">A+L </w:t>
            </w:r>
          </w:p>
          <w:p w14:paraId="58AE1FCD" w14:textId="77777777" w:rsidR="00C425A0" w:rsidRPr="00F82ED4" w:rsidRDefault="00C425A0" w:rsidP="001608E9">
            <w:pPr>
              <w:pStyle w:val="TableText0"/>
              <w:jc w:val="center"/>
              <w:rPr>
                <w:b/>
                <w:bCs w:val="0"/>
              </w:rPr>
            </w:pPr>
            <w:r w:rsidRPr="00F82ED4">
              <w:rPr>
                <w:b/>
              </w:rPr>
              <w:t>n/N (%)</w:t>
            </w:r>
          </w:p>
        </w:tc>
        <w:tc>
          <w:tcPr>
            <w:tcW w:w="890" w:type="pct"/>
            <w:shd w:val="clear" w:color="auto" w:fill="auto"/>
          </w:tcPr>
          <w:p w14:paraId="2B06D2D7" w14:textId="77777777" w:rsidR="00C425A0" w:rsidRDefault="00C425A0" w:rsidP="001608E9">
            <w:pPr>
              <w:pStyle w:val="TableText0"/>
              <w:jc w:val="center"/>
              <w:rPr>
                <w:b/>
                <w:bCs w:val="0"/>
              </w:rPr>
            </w:pPr>
            <w:r w:rsidRPr="00F82ED4">
              <w:rPr>
                <w:b/>
              </w:rPr>
              <w:t xml:space="preserve">Osimertinib </w:t>
            </w:r>
          </w:p>
          <w:p w14:paraId="3FD35401" w14:textId="77777777" w:rsidR="00C425A0" w:rsidRPr="00F82ED4" w:rsidRDefault="00C425A0" w:rsidP="001608E9">
            <w:pPr>
              <w:pStyle w:val="TableText0"/>
              <w:jc w:val="center"/>
              <w:rPr>
                <w:b/>
                <w:bCs w:val="0"/>
              </w:rPr>
            </w:pPr>
            <w:r w:rsidRPr="00F82ED4">
              <w:rPr>
                <w:b/>
              </w:rPr>
              <w:t>n/N (%)</w:t>
            </w:r>
          </w:p>
        </w:tc>
        <w:tc>
          <w:tcPr>
            <w:tcW w:w="1052" w:type="pct"/>
            <w:tcBorders>
              <w:right w:val="single" w:sz="4" w:space="0" w:color="auto"/>
            </w:tcBorders>
            <w:shd w:val="clear" w:color="auto" w:fill="auto"/>
          </w:tcPr>
          <w:p w14:paraId="294A724C" w14:textId="77777777" w:rsidR="00C425A0" w:rsidRPr="00F82ED4" w:rsidRDefault="00C425A0" w:rsidP="001608E9">
            <w:pPr>
              <w:pStyle w:val="TableText0"/>
              <w:jc w:val="center"/>
              <w:rPr>
                <w:b/>
                <w:bCs w:val="0"/>
              </w:rPr>
            </w:pPr>
            <w:r w:rsidRPr="00F82ED4">
              <w:rPr>
                <w:b/>
              </w:rPr>
              <w:t>Absolute Difference</w:t>
            </w:r>
          </w:p>
        </w:tc>
        <w:tc>
          <w:tcPr>
            <w:tcW w:w="902" w:type="pct"/>
            <w:tcBorders>
              <w:top w:val="nil"/>
              <w:left w:val="single" w:sz="4" w:space="0" w:color="auto"/>
              <w:bottom w:val="single" w:sz="4" w:space="0" w:color="auto"/>
              <w:right w:val="single" w:sz="4" w:space="0" w:color="auto"/>
            </w:tcBorders>
            <w:shd w:val="clear" w:color="auto" w:fill="auto"/>
          </w:tcPr>
          <w:p w14:paraId="280F8F79" w14:textId="77777777" w:rsidR="00C425A0" w:rsidRPr="00F82ED4" w:rsidRDefault="00C425A0" w:rsidP="001608E9">
            <w:pPr>
              <w:pStyle w:val="TableText0"/>
              <w:jc w:val="center"/>
              <w:rPr>
                <w:b/>
                <w:bCs w:val="0"/>
              </w:rPr>
            </w:pPr>
            <w:r w:rsidRPr="00F82ED4">
              <w:rPr>
                <w:b/>
              </w:rPr>
              <w:t>HR</w:t>
            </w:r>
            <w:r>
              <w:rPr>
                <w:b/>
              </w:rPr>
              <w:t xml:space="preserve"> </w:t>
            </w:r>
            <w:r w:rsidRPr="00F82ED4">
              <w:rPr>
                <w:b/>
                <w:vertAlign w:val="superscript"/>
              </w:rPr>
              <w:t>b</w:t>
            </w:r>
            <w:r w:rsidRPr="00F82ED4">
              <w:rPr>
                <w:b/>
              </w:rPr>
              <w:t xml:space="preserve"> (95% CI)</w:t>
            </w:r>
          </w:p>
        </w:tc>
      </w:tr>
      <w:tr w:rsidR="00C425A0" w:rsidRPr="0098262F" w14:paraId="14B587DB" w14:textId="77777777" w:rsidTr="002925CE">
        <w:trPr>
          <w:trHeight w:val="20"/>
        </w:trPr>
        <w:tc>
          <w:tcPr>
            <w:tcW w:w="1359" w:type="pct"/>
            <w:shd w:val="clear" w:color="auto" w:fill="auto"/>
          </w:tcPr>
          <w:p w14:paraId="2E879028" w14:textId="77777777" w:rsidR="00C425A0" w:rsidRPr="0098262F" w:rsidRDefault="00C425A0" w:rsidP="001608E9">
            <w:pPr>
              <w:pStyle w:val="TableText0"/>
            </w:pPr>
            <w:r w:rsidRPr="0098262F">
              <w:t xml:space="preserve">Deaths, n/N (%) </w:t>
            </w:r>
          </w:p>
        </w:tc>
        <w:tc>
          <w:tcPr>
            <w:tcW w:w="797" w:type="pct"/>
            <w:shd w:val="clear" w:color="auto" w:fill="auto"/>
          </w:tcPr>
          <w:p w14:paraId="21B2180A" w14:textId="77777777" w:rsidR="00C425A0" w:rsidRDefault="00C425A0" w:rsidP="001608E9">
            <w:pPr>
              <w:pStyle w:val="TableText0"/>
              <w:jc w:val="center"/>
            </w:pPr>
            <w:r>
              <w:t>142</w:t>
            </w:r>
            <w:r w:rsidRPr="0098262F">
              <w:t>/</w:t>
            </w:r>
            <w:r>
              <w:t>429</w:t>
            </w:r>
            <w:r w:rsidRPr="0098262F">
              <w:t xml:space="preserve"> (</w:t>
            </w:r>
            <w:r>
              <w:t>33.1</w:t>
            </w:r>
            <w:r w:rsidRPr="0098262F">
              <w:t>%)</w:t>
            </w:r>
          </w:p>
        </w:tc>
        <w:tc>
          <w:tcPr>
            <w:tcW w:w="890" w:type="pct"/>
            <w:shd w:val="clear" w:color="auto" w:fill="auto"/>
          </w:tcPr>
          <w:p w14:paraId="4850F260" w14:textId="77777777" w:rsidR="00C425A0" w:rsidRDefault="00C425A0" w:rsidP="001608E9">
            <w:pPr>
              <w:pStyle w:val="TableText0"/>
              <w:jc w:val="center"/>
            </w:pPr>
            <w:r>
              <w:t>177/429</w:t>
            </w:r>
            <w:r w:rsidRPr="0098262F">
              <w:t xml:space="preserve"> (</w:t>
            </w:r>
            <w:r>
              <w:t>41.3</w:t>
            </w:r>
            <w:r w:rsidRPr="0098262F">
              <w:t>%)</w:t>
            </w:r>
          </w:p>
        </w:tc>
        <w:tc>
          <w:tcPr>
            <w:tcW w:w="1052" w:type="pct"/>
            <w:tcBorders>
              <w:right w:val="single" w:sz="4" w:space="0" w:color="auto"/>
            </w:tcBorders>
            <w:shd w:val="clear" w:color="auto" w:fill="auto"/>
          </w:tcPr>
          <w:p w14:paraId="646F364C" w14:textId="77777777" w:rsidR="00C425A0" w:rsidRPr="0098262F" w:rsidRDefault="00C425A0" w:rsidP="001608E9">
            <w:pPr>
              <w:pStyle w:val="TableText0"/>
              <w:jc w:val="center"/>
            </w:pPr>
          </w:p>
        </w:tc>
        <w:tc>
          <w:tcPr>
            <w:tcW w:w="902" w:type="pct"/>
            <w:vMerge w:val="restart"/>
            <w:tcBorders>
              <w:top w:val="nil"/>
              <w:left w:val="single" w:sz="4" w:space="0" w:color="auto"/>
              <w:right w:val="single" w:sz="4" w:space="0" w:color="auto"/>
            </w:tcBorders>
            <w:shd w:val="clear" w:color="auto" w:fill="auto"/>
          </w:tcPr>
          <w:p w14:paraId="1982F141" w14:textId="77777777" w:rsidR="00C425A0" w:rsidRDefault="00C425A0" w:rsidP="001608E9">
            <w:pPr>
              <w:pStyle w:val="TableText0"/>
              <w:jc w:val="center"/>
            </w:pPr>
            <w:r>
              <w:t>0.77</w:t>
            </w:r>
            <w:r w:rsidRPr="0098262F">
              <w:t xml:space="preserve"> </w:t>
            </w:r>
          </w:p>
          <w:p w14:paraId="4F6E16D1" w14:textId="77777777" w:rsidR="00C425A0" w:rsidRPr="0098262F" w:rsidRDefault="00C425A0" w:rsidP="001608E9">
            <w:pPr>
              <w:pStyle w:val="TableText0"/>
              <w:jc w:val="center"/>
            </w:pPr>
            <w:r w:rsidRPr="0098262F">
              <w:t>(</w:t>
            </w:r>
            <w:r>
              <w:t>0.61, 0.96</w:t>
            </w:r>
            <w:r w:rsidRPr="0098262F">
              <w:t>)</w:t>
            </w:r>
          </w:p>
          <w:p w14:paraId="4D6E1F59" w14:textId="77777777" w:rsidR="00C425A0" w:rsidRPr="0098262F" w:rsidRDefault="00C425A0" w:rsidP="001608E9">
            <w:pPr>
              <w:pStyle w:val="TableText0"/>
              <w:jc w:val="center"/>
            </w:pPr>
            <w:r>
              <w:t xml:space="preserve">p </w:t>
            </w:r>
            <w:r>
              <w:rPr>
                <w:vertAlign w:val="superscript"/>
              </w:rPr>
              <w:t xml:space="preserve">a </w:t>
            </w:r>
            <w:r w:rsidRPr="0098262F">
              <w:t>=</w:t>
            </w:r>
            <w:r>
              <w:t>0.0185</w:t>
            </w:r>
          </w:p>
        </w:tc>
      </w:tr>
      <w:tr w:rsidR="00C425A0" w:rsidRPr="0098262F" w14:paraId="375A322C" w14:textId="77777777" w:rsidTr="002925CE">
        <w:trPr>
          <w:trHeight w:val="20"/>
        </w:trPr>
        <w:tc>
          <w:tcPr>
            <w:tcW w:w="1359" w:type="pct"/>
            <w:shd w:val="clear" w:color="auto" w:fill="auto"/>
          </w:tcPr>
          <w:p w14:paraId="13298CF7" w14:textId="77777777" w:rsidR="00C425A0" w:rsidRPr="0098262F" w:rsidRDefault="00C425A0" w:rsidP="001608E9">
            <w:pPr>
              <w:pStyle w:val="TableText0"/>
            </w:pPr>
            <w:r w:rsidRPr="0098262F">
              <w:t>Median OS, months (95% CI)</w:t>
            </w:r>
          </w:p>
        </w:tc>
        <w:tc>
          <w:tcPr>
            <w:tcW w:w="797" w:type="pct"/>
            <w:shd w:val="clear" w:color="auto" w:fill="auto"/>
          </w:tcPr>
          <w:p w14:paraId="3C11A03F" w14:textId="77777777" w:rsidR="00C425A0" w:rsidRDefault="00C425A0" w:rsidP="001608E9">
            <w:pPr>
              <w:pStyle w:val="TableText0"/>
              <w:jc w:val="center"/>
            </w:pPr>
            <w:r>
              <w:t>NE</w:t>
            </w:r>
            <w:r w:rsidRPr="0098262F">
              <w:t xml:space="preserve"> (</w:t>
            </w:r>
            <w:r>
              <w:t>NE, NE</w:t>
            </w:r>
            <w:r w:rsidRPr="0098262F">
              <w:t>)</w:t>
            </w:r>
          </w:p>
        </w:tc>
        <w:tc>
          <w:tcPr>
            <w:tcW w:w="890" w:type="pct"/>
            <w:shd w:val="clear" w:color="auto" w:fill="auto"/>
          </w:tcPr>
          <w:p w14:paraId="0B3D536D" w14:textId="77777777" w:rsidR="00C425A0" w:rsidRDefault="00C425A0" w:rsidP="001608E9">
            <w:pPr>
              <w:pStyle w:val="TableText0"/>
              <w:jc w:val="center"/>
            </w:pPr>
            <w:r>
              <w:t>37.32</w:t>
            </w:r>
            <w:r w:rsidRPr="0098262F">
              <w:t xml:space="preserve"> (</w:t>
            </w:r>
            <w:r w:rsidRPr="00D952B2">
              <w:t>32.53, NE</w:t>
            </w:r>
            <w:r w:rsidRPr="0098262F">
              <w:t>)</w:t>
            </w:r>
          </w:p>
        </w:tc>
        <w:tc>
          <w:tcPr>
            <w:tcW w:w="1052" w:type="pct"/>
            <w:tcBorders>
              <w:right w:val="single" w:sz="4" w:space="0" w:color="auto"/>
            </w:tcBorders>
            <w:shd w:val="clear" w:color="auto" w:fill="auto"/>
          </w:tcPr>
          <w:p w14:paraId="4AB63B76" w14:textId="77777777" w:rsidR="00C425A0" w:rsidRPr="0098262F" w:rsidRDefault="00C425A0" w:rsidP="001608E9">
            <w:pPr>
              <w:pStyle w:val="TableText0"/>
              <w:jc w:val="center"/>
            </w:pPr>
            <w:r>
              <w:t>NE</w:t>
            </w:r>
          </w:p>
        </w:tc>
        <w:tc>
          <w:tcPr>
            <w:tcW w:w="902" w:type="pct"/>
            <w:vMerge/>
            <w:tcBorders>
              <w:left w:val="single" w:sz="4" w:space="0" w:color="auto"/>
              <w:right w:val="single" w:sz="4" w:space="0" w:color="auto"/>
            </w:tcBorders>
            <w:shd w:val="clear" w:color="auto" w:fill="auto"/>
          </w:tcPr>
          <w:p w14:paraId="4C1406EB" w14:textId="77777777" w:rsidR="00C425A0" w:rsidRPr="0098262F" w:rsidRDefault="00C425A0" w:rsidP="001608E9">
            <w:pPr>
              <w:pStyle w:val="TableText0"/>
              <w:jc w:val="center"/>
            </w:pPr>
          </w:p>
        </w:tc>
      </w:tr>
      <w:tr w:rsidR="00C425A0" w:rsidRPr="0098262F" w14:paraId="1DF279A5" w14:textId="77777777" w:rsidTr="002925CE">
        <w:trPr>
          <w:trHeight w:val="20"/>
        </w:trPr>
        <w:tc>
          <w:tcPr>
            <w:tcW w:w="1359" w:type="pct"/>
            <w:shd w:val="clear" w:color="auto" w:fill="auto"/>
          </w:tcPr>
          <w:p w14:paraId="1A43A2CB" w14:textId="77777777" w:rsidR="00C425A0" w:rsidRPr="0098262F" w:rsidRDefault="00C425A0" w:rsidP="001608E9">
            <w:pPr>
              <w:pStyle w:val="TableText0"/>
            </w:pPr>
            <w:r w:rsidRPr="00F414F6">
              <w:t>6-month event-free rate (95% CI)</w:t>
            </w:r>
          </w:p>
        </w:tc>
        <w:tc>
          <w:tcPr>
            <w:tcW w:w="797" w:type="pct"/>
            <w:shd w:val="clear" w:color="auto" w:fill="auto"/>
          </w:tcPr>
          <w:p w14:paraId="2FC9134C" w14:textId="77777777" w:rsidR="00C425A0" w:rsidRDefault="00C425A0" w:rsidP="001608E9">
            <w:pPr>
              <w:pStyle w:val="TableText0"/>
              <w:jc w:val="center"/>
            </w:pPr>
            <w:r w:rsidRPr="00F414F6">
              <w:t>93 (90, 95)</w:t>
            </w:r>
          </w:p>
        </w:tc>
        <w:tc>
          <w:tcPr>
            <w:tcW w:w="890" w:type="pct"/>
            <w:shd w:val="clear" w:color="auto" w:fill="auto"/>
          </w:tcPr>
          <w:p w14:paraId="4FF6245F" w14:textId="77777777" w:rsidR="00C425A0" w:rsidRDefault="00C425A0" w:rsidP="001608E9">
            <w:pPr>
              <w:pStyle w:val="TableText0"/>
              <w:jc w:val="center"/>
            </w:pPr>
            <w:r w:rsidRPr="00F414F6">
              <w:t>96 (93, 97)</w:t>
            </w:r>
          </w:p>
        </w:tc>
        <w:tc>
          <w:tcPr>
            <w:tcW w:w="1052" w:type="pct"/>
            <w:tcBorders>
              <w:right w:val="single" w:sz="4" w:space="0" w:color="auto"/>
            </w:tcBorders>
            <w:shd w:val="clear" w:color="auto" w:fill="auto"/>
          </w:tcPr>
          <w:p w14:paraId="30DE4194" w14:textId="77777777" w:rsidR="00C425A0" w:rsidRPr="0098262F" w:rsidRDefault="00C425A0" w:rsidP="001608E9">
            <w:pPr>
              <w:pStyle w:val="TableText0"/>
              <w:jc w:val="center"/>
            </w:pPr>
            <w:r>
              <w:t>3</w:t>
            </w:r>
          </w:p>
        </w:tc>
        <w:tc>
          <w:tcPr>
            <w:tcW w:w="902" w:type="pct"/>
            <w:vMerge/>
            <w:tcBorders>
              <w:left w:val="single" w:sz="4" w:space="0" w:color="auto"/>
              <w:right w:val="single" w:sz="4" w:space="0" w:color="auto"/>
            </w:tcBorders>
            <w:shd w:val="clear" w:color="auto" w:fill="auto"/>
          </w:tcPr>
          <w:p w14:paraId="5986A846" w14:textId="77777777" w:rsidR="00C425A0" w:rsidRPr="0098262F" w:rsidRDefault="00C425A0" w:rsidP="001608E9">
            <w:pPr>
              <w:pStyle w:val="TableText0"/>
              <w:jc w:val="center"/>
            </w:pPr>
          </w:p>
        </w:tc>
      </w:tr>
      <w:tr w:rsidR="00C425A0" w:rsidRPr="0098262F" w14:paraId="4093EC8E" w14:textId="77777777" w:rsidTr="002925CE">
        <w:trPr>
          <w:trHeight w:val="20"/>
        </w:trPr>
        <w:tc>
          <w:tcPr>
            <w:tcW w:w="1359" w:type="pct"/>
            <w:shd w:val="clear" w:color="auto" w:fill="auto"/>
          </w:tcPr>
          <w:p w14:paraId="7A317E36" w14:textId="77777777" w:rsidR="00C425A0" w:rsidRPr="0098262F" w:rsidRDefault="00C425A0" w:rsidP="001608E9">
            <w:pPr>
              <w:pStyle w:val="TableText0"/>
            </w:pPr>
            <w:r>
              <w:t xml:space="preserve">% Alive at </w:t>
            </w:r>
            <w:r w:rsidRPr="00F414F6">
              <w:t>12-month (95% CI)</w:t>
            </w:r>
          </w:p>
        </w:tc>
        <w:tc>
          <w:tcPr>
            <w:tcW w:w="797" w:type="pct"/>
            <w:shd w:val="clear" w:color="auto" w:fill="auto"/>
          </w:tcPr>
          <w:p w14:paraId="57C3E490" w14:textId="77777777" w:rsidR="00C425A0" w:rsidRDefault="00C425A0" w:rsidP="001608E9">
            <w:pPr>
              <w:pStyle w:val="TableText0"/>
              <w:jc w:val="center"/>
            </w:pPr>
            <w:r w:rsidRPr="00F414F6">
              <w:t>90 (86, 92)</w:t>
            </w:r>
          </w:p>
        </w:tc>
        <w:tc>
          <w:tcPr>
            <w:tcW w:w="890" w:type="pct"/>
            <w:shd w:val="clear" w:color="auto" w:fill="auto"/>
          </w:tcPr>
          <w:p w14:paraId="11244766" w14:textId="77777777" w:rsidR="00C425A0" w:rsidRDefault="00C425A0" w:rsidP="001608E9">
            <w:pPr>
              <w:pStyle w:val="TableText0"/>
              <w:jc w:val="center"/>
            </w:pPr>
            <w:r w:rsidRPr="00F414F6">
              <w:t>88 (84, 91)</w:t>
            </w:r>
          </w:p>
        </w:tc>
        <w:tc>
          <w:tcPr>
            <w:tcW w:w="1052" w:type="pct"/>
            <w:tcBorders>
              <w:right w:val="single" w:sz="4" w:space="0" w:color="auto"/>
            </w:tcBorders>
            <w:shd w:val="clear" w:color="auto" w:fill="auto"/>
          </w:tcPr>
          <w:p w14:paraId="37D3DACA" w14:textId="77777777" w:rsidR="00C425A0" w:rsidRPr="0098262F" w:rsidRDefault="00C425A0" w:rsidP="001608E9">
            <w:pPr>
              <w:pStyle w:val="TableText0"/>
              <w:jc w:val="center"/>
            </w:pPr>
            <w:r>
              <w:t>2</w:t>
            </w:r>
          </w:p>
        </w:tc>
        <w:tc>
          <w:tcPr>
            <w:tcW w:w="902" w:type="pct"/>
            <w:vMerge/>
            <w:tcBorders>
              <w:left w:val="single" w:sz="4" w:space="0" w:color="auto"/>
              <w:right w:val="single" w:sz="4" w:space="0" w:color="auto"/>
            </w:tcBorders>
            <w:shd w:val="clear" w:color="auto" w:fill="auto"/>
          </w:tcPr>
          <w:p w14:paraId="557D3CD7" w14:textId="77777777" w:rsidR="00C425A0" w:rsidRPr="0098262F" w:rsidRDefault="00C425A0" w:rsidP="001608E9">
            <w:pPr>
              <w:pStyle w:val="TableText0"/>
              <w:jc w:val="center"/>
            </w:pPr>
          </w:p>
        </w:tc>
      </w:tr>
      <w:tr w:rsidR="00C425A0" w:rsidRPr="0098262F" w14:paraId="0620B300" w14:textId="77777777" w:rsidTr="002925CE">
        <w:trPr>
          <w:trHeight w:val="20"/>
        </w:trPr>
        <w:tc>
          <w:tcPr>
            <w:tcW w:w="1359" w:type="pct"/>
            <w:shd w:val="clear" w:color="auto" w:fill="auto"/>
          </w:tcPr>
          <w:p w14:paraId="05E6E55F" w14:textId="77777777" w:rsidR="00C425A0" w:rsidRPr="0098262F" w:rsidRDefault="00C425A0" w:rsidP="001608E9">
            <w:pPr>
              <w:pStyle w:val="TableText0"/>
            </w:pPr>
            <w:r>
              <w:t xml:space="preserve">% Alive at </w:t>
            </w:r>
            <w:r w:rsidRPr="00F414F6">
              <w:t>18-month (95% CI)</w:t>
            </w:r>
          </w:p>
        </w:tc>
        <w:tc>
          <w:tcPr>
            <w:tcW w:w="797" w:type="pct"/>
            <w:shd w:val="clear" w:color="auto" w:fill="auto"/>
          </w:tcPr>
          <w:p w14:paraId="05FA2291" w14:textId="77777777" w:rsidR="00C425A0" w:rsidRDefault="00C425A0" w:rsidP="001608E9">
            <w:pPr>
              <w:pStyle w:val="TableText0"/>
              <w:jc w:val="center"/>
            </w:pPr>
            <w:r w:rsidRPr="00F414F6">
              <w:t>82 (78, 86)</w:t>
            </w:r>
          </w:p>
        </w:tc>
        <w:tc>
          <w:tcPr>
            <w:tcW w:w="890" w:type="pct"/>
            <w:shd w:val="clear" w:color="auto" w:fill="auto"/>
          </w:tcPr>
          <w:p w14:paraId="680CB8DD" w14:textId="77777777" w:rsidR="00C425A0" w:rsidRDefault="00C425A0" w:rsidP="001608E9">
            <w:pPr>
              <w:pStyle w:val="TableText0"/>
              <w:jc w:val="center"/>
            </w:pPr>
            <w:r w:rsidRPr="00F414F6">
              <w:t>79 (75, 83)</w:t>
            </w:r>
          </w:p>
        </w:tc>
        <w:tc>
          <w:tcPr>
            <w:tcW w:w="1052" w:type="pct"/>
            <w:tcBorders>
              <w:right w:val="single" w:sz="4" w:space="0" w:color="auto"/>
            </w:tcBorders>
            <w:shd w:val="clear" w:color="auto" w:fill="auto"/>
          </w:tcPr>
          <w:p w14:paraId="4B1CEC39" w14:textId="77777777" w:rsidR="00C425A0" w:rsidRPr="0098262F" w:rsidRDefault="00C425A0" w:rsidP="001608E9">
            <w:pPr>
              <w:pStyle w:val="TableText0"/>
              <w:jc w:val="center"/>
            </w:pPr>
            <w:r>
              <w:t>3</w:t>
            </w:r>
          </w:p>
        </w:tc>
        <w:tc>
          <w:tcPr>
            <w:tcW w:w="902" w:type="pct"/>
            <w:vMerge/>
            <w:tcBorders>
              <w:left w:val="single" w:sz="4" w:space="0" w:color="auto"/>
              <w:right w:val="single" w:sz="4" w:space="0" w:color="auto"/>
            </w:tcBorders>
            <w:shd w:val="clear" w:color="auto" w:fill="auto"/>
          </w:tcPr>
          <w:p w14:paraId="2F9F1CCD" w14:textId="77777777" w:rsidR="00C425A0" w:rsidRPr="0098262F" w:rsidRDefault="00C425A0" w:rsidP="001608E9">
            <w:pPr>
              <w:pStyle w:val="TableText0"/>
              <w:jc w:val="center"/>
            </w:pPr>
          </w:p>
        </w:tc>
      </w:tr>
      <w:tr w:rsidR="00C425A0" w:rsidRPr="0098262F" w14:paraId="65F946BC" w14:textId="77777777" w:rsidTr="002925CE">
        <w:trPr>
          <w:trHeight w:val="20"/>
        </w:trPr>
        <w:tc>
          <w:tcPr>
            <w:tcW w:w="1359" w:type="pct"/>
            <w:shd w:val="clear" w:color="auto" w:fill="auto"/>
          </w:tcPr>
          <w:p w14:paraId="2F7FC844" w14:textId="77777777" w:rsidR="00C425A0" w:rsidRPr="0098262F" w:rsidRDefault="00C425A0" w:rsidP="001608E9">
            <w:pPr>
              <w:pStyle w:val="TableText0"/>
            </w:pPr>
            <w:r>
              <w:t xml:space="preserve">% Alive at </w:t>
            </w:r>
            <w:r w:rsidRPr="00F414F6">
              <w:t>24-month (95% CI)</w:t>
            </w:r>
          </w:p>
        </w:tc>
        <w:tc>
          <w:tcPr>
            <w:tcW w:w="797" w:type="pct"/>
            <w:shd w:val="clear" w:color="auto" w:fill="auto"/>
          </w:tcPr>
          <w:p w14:paraId="54329432" w14:textId="77777777" w:rsidR="00C425A0" w:rsidRDefault="00C425A0" w:rsidP="001608E9">
            <w:pPr>
              <w:pStyle w:val="TableText0"/>
              <w:jc w:val="center"/>
            </w:pPr>
            <w:r w:rsidRPr="00F414F6">
              <w:t>75 (71, 79)</w:t>
            </w:r>
          </w:p>
        </w:tc>
        <w:tc>
          <w:tcPr>
            <w:tcW w:w="890" w:type="pct"/>
            <w:shd w:val="clear" w:color="auto" w:fill="auto"/>
          </w:tcPr>
          <w:p w14:paraId="336C248C" w14:textId="77777777" w:rsidR="00C425A0" w:rsidRDefault="00C425A0" w:rsidP="001608E9">
            <w:pPr>
              <w:pStyle w:val="TableText0"/>
              <w:jc w:val="center"/>
            </w:pPr>
            <w:r w:rsidRPr="00F414F6">
              <w:t>70 (65, 74)</w:t>
            </w:r>
          </w:p>
        </w:tc>
        <w:tc>
          <w:tcPr>
            <w:tcW w:w="1052" w:type="pct"/>
            <w:tcBorders>
              <w:right w:val="single" w:sz="4" w:space="0" w:color="auto"/>
            </w:tcBorders>
            <w:shd w:val="clear" w:color="auto" w:fill="auto"/>
          </w:tcPr>
          <w:p w14:paraId="56C2D54A" w14:textId="77777777" w:rsidR="00C425A0" w:rsidRPr="0098262F" w:rsidRDefault="00C425A0" w:rsidP="001608E9">
            <w:pPr>
              <w:pStyle w:val="TableText0"/>
              <w:jc w:val="center"/>
            </w:pPr>
            <w:r>
              <w:t>5</w:t>
            </w:r>
          </w:p>
        </w:tc>
        <w:tc>
          <w:tcPr>
            <w:tcW w:w="902" w:type="pct"/>
            <w:vMerge/>
            <w:tcBorders>
              <w:left w:val="single" w:sz="4" w:space="0" w:color="auto"/>
              <w:right w:val="single" w:sz="4" w:space="0" w:color="auto"/>
            </w:tcBorders>
            <w:shd w:val="clear" w:color="auto" w:fill="auto"/>
          </w:tcPr>
          <w:p w14:paraId="0B7D6E33" w14:textId="77777777" w:rsidR="00C425A0" w:rsidRPr="0098262F" w:rsidRDefault="00C425A0" w:rsidP="001608E9">
            <w:pPr>
              <w:pStyle w:val="TableText0"/>
              <w:jc w:val="center"/>
            </w:pPr>
          </w:p>
        </w:tc>
      </w:tr>
      <w:tr w:rsidR="00C425A0" w:rsidRPr="0098262F" w14:paraId="6034A75C" w14:textId="77777777" w:rsidTr="002925CE">
        <w:trPr>
          <w:trHeight w:val="20"/>
        </w:trPr>
        <w:tc>
          <w:tcPr>
            <w:tcW w:w="1359" w:type="pct"/>
            <w:shd w:val="clear" w:color="auto" w:fill="auto"/>
          </w:tcPr>
          <w:p w14:paraId="271B7A95" w14:textId="77777777" w:rsidR="00C425A0" w:rsidRPr="0098262F" w:rsidRDefault="00C425A0" w:rsidP="001608E9">
            <w:pPr>
              <w:pStyle w:val="TableText0"/>
            </w:pPr>
            <w:r>
              <w:t xml:space="preserve">% Alive at </w:t>
            </w:r>
            <w:r w:rsidRPr="00F414F6">
              <w:t>30-month (95% CI)</w:t>
            </w:r>
          </w:p>
        </w:tc>
        <w:tc>
          <w:tcPr>
            <w:tcW w:w="797" w:type="pct"/>
            <w:shd w:val="clear" w:color="auto" w:fill="auto"/>
          </w:tcPr>
          <w:p w14:paraId="643A6943" w14:textId="77777777" w:rsidR="00C425A0" w:rsidRDefault="00C425A0" w:rsidP="001608E9">
            <w:pPr>
              <w:pStyle w:val="TableText0"/>
              <w:jc w:val="center"/>
            </w:pPr>
            <w:r w:rsidRPr="00F414F6">
              <w:t>68 (63, 72)</w:t>
            </w:r>
          </w:p>
        </w:tc>
        <w:tc>
          <w:tcPr>
            <w:tcW w:w="890" w:type="pct"/>
            <w:shd w:val="clear" w:color="auto" w:fill="auto"/>
          </w:tcPr>
          <w:p w14:paraId="2FE525F4" w14:textId="77777777" w:rsidR="00C425A0" w:rsidRDefault="00C425A0" w:rsidP="001608E9">
            <w:pPr>
              <w:pStyle w:val="TableText0"/>
              <w:jc w:val="center"/>
            </w:pPr>
            <w:r w:rsidRPr="00F414F6">
              <w:t>59 (54, 64)</w:t>
            </w:r>
          </w:p>
        </w:tc>
        <w:tc>
          <w:tcPr>
            <w:tcW w:w="1052" w:type="pct"/>
            <w:tcBorders>
              <w:right w:val="single" w:sz="4" w:space="0" w:color="auto"/>
            </w:tcBorders>
            <w:shd w:val="clear" w:color="auto" w:fill="auto"/>
          </w:tcPr>
          <w:p w14:paraId="04EDC9BA" w14:textId="77777777" w:rsidR="00C425A0" w:rsidRPr="0098262F" w:rsidRDefault="00C425A0" w:rsidP="001608E9">
            <w:pPr>
              <w:pStyle w:val="TableText0"/>
              <w:jc w:val="center"/>
            </w:pPr>
            <w:r>
              <w:t>9</w:t>
            </w:r>
          </w:p>
        </w:tc>
        <w:tc>
          <w:tcPr>
            <w:tcW w:w="902" w:type="pct"/>
            <w:vMerge/>
            <w:tcBorders>
              <w:left w:val="single" w:sz="4" w:space="0" w:color="auto"/>
              <w:right w:val="single" w:sz="4" w:space="0" w:color="auto"/>
            </w:tcBorders>
            <w:shd w:val="clear" w:color="auto" w:fill="auto"/>
          </w:tcPr>
          <w:p w14:paraId="31608E02" w14:textId="77777777" w:rsidR="00C425A0" w:rsidRPr="0098262F" w:rsidRDefault="00C425A0" w:rsidP="001608E9">
            <w:pPr>
              <w:pStyle w:val="TableText0"/>
              <w:jc w:val="center"/>
            </w:pPr>
          </w:p>
        </w:tc>
      </w:tr>
      <w:tr w:rsidR="00C425A0" w:rsidRPr="0098262F" w14:paraId="4BDD2075" w14:textId="77777777" w:rsidTr="002925CE">
        <w:trPr>
          <w:trHeight w:val="20"/>
        </w:trPr>
        <w:tc>
          <w:tcPr>
            <w:tcW w:w="1359" w:type="pct"/>
            <w:shd w:val="clear" w:color="auto" w:fill="auto"/>
          </w:tcPr>
          <w:p w14:paraId="5F055CF2" w14:textId="77777777" w:rsidR="00C425A0" w:rsidRPr="0098262F" w:rsidRDefault="00C425A0" w:rsidP="001608E9">
            <w:pPr>
              <w:pStyle w:val="TableText0"/>
            </w:pPr>
            <w:r>
              <w:t xml:space="preserve">% Alive at </w:t>
            </w:r>
            <w:r w:rsidRPr="00F414F6">
              <w:t>36-month (95% CI)</w:t>
            </w:r>
          </w:p>
        </w:tc>
        <w:tc>
          <w:tcPr>
            <w:tcW w:w="797" w:type="pct"/>
            <w:shd w:val="clear" w:color="auto" w:fill="auto"/>
          </w:tcPr>
          <w:p w14:paraId="6BCB98A9" w14:textId="77777777" w:rsidR="00C425A0" w:rsidRDefault="00C425A0" w:rsidP="001608E9">
            <w:pPr>
              <w:pStyle w:val="TableText0"/>
              <w:jc w:val="center"/>
            </w:pPr>
            <w:r w:rsidRPr="00F414F6">
              <w:t>61 (56, 67)</w:t>
            </w:r>
          </w:p>
        </w:tc>
        <w:tc>
          <w:tcPr>
            <w:tcW w:w="890" w:type="pct"/>
            <w:shd w:val="clear" w:color="auto" w:fill="auto"/>
          </w:tcPr>
          <w:p w14:paraId="7CAC890C" w14:textId="77777777" w:rsidR="00C425A0" w:rsidRDefault="00C425A0" w:rsidP="001608E9">
            <w:pPr>
              <w:pStyle w:val="TableText0"/>
              <w:jc w:val="center"/>
            </w:pPr>
            <w:r w:rsidRPr="00F414F6">
              <w:t>53 (47, 59)</w:t>
            </w:r>
          </w:p>
        </w:tc>
        <w:tc>
          <w:tcPr>
            <w:tcW w:w="1052" w:type="pct"/>
            <w:tcBorders>
              <w:right w:val="single" w:sz="4" w:space="0" w:color="auto"/>
            </w:tcBorders>
            <w:shd w:val="clear" w:color="auto" w:fill="auto"/>
          </w:tcPr>
          <w:p w14:paraId="021282BB" w14:textId="77777777" w:rsidR="00C425A0" w:rsidRPr="0098262F" w:rsidRDefault="00C425A0" w:rsidP="001608E9">
            <w:pPr>
              <w:pStyle w:val="TableText0"/>
              <w:jc w:val="center"/>
            </w:pPr>
            <w:r>
              <w:t>8</w:t>
            </w:r>
          </w:p>
        </w:tc>
        <w:tc>
          <w:tcPr>
            <w:tcW w:w="902" w:type="pct"/>
            <w:vMerge/>
            <w:tcBorders>
              <w:left w:val="single" w:sz="4" w:space="0" w:color="auto"/>
              <w:bottom w:val="single" w:sz="4" w:space="0" w:color="auto"/>
              <w:right w:val="single" w:sz="4" w:space="0" w:color="auto"/>
            </w:tcBorders>
            <w:shd w:val="clear" w:color="auto" w:fill="auto"/>
          </w:tcPr>
          <w:p w14:paraId="1B2DECAB" w14:textId="77777777" w:rsidR="00C425A0" w:rsidRPr="0098262F" w:rsidRDefault="00C425A0" w:rsidP="001608E9">
            <w:pPr>
              <w:pStyle w:val="TableText0"/>
              <w:jc w:val="center"/>
            </w:pPr>
          </w:p>
        </w:tc>
      </w:tr>
    </w:tbl>
    <w:tbl>
      <w:tblPr>
        <w:tblpPr w:leftFromText="180" w:rightFromText="180" w:vertAnchor="text" w:tblpY="1"/>
        <w:tblOverlap w:val="never"/>
        <w:tblW w:w="5028" w:type="pct"/>
        <w:tblLayout w:type="fixed"/>
        <w:tblCellMar>
          <w:left w:w="28" w:type="dxa"/>
          <w:right w:w="28" w:type="dxa"/>
        </w:tblCellMar>
        <w:tblLook w:val="04A0" w:firstRow="1" w:lastRow="0" w:firstColumn="1" w:lastColumn="0" w:noHBand="0" w:noVBand="1"/>
        <w:tblCaption w:val="Table 7: Summary of comparative benefits and harms for A+L and osimertinib"/>
      </w:tblPr>
      <w:tblGrid>
        <w:gridCol w:w="2397"/>
        <w:gridCol w:w="1084"/>
        <w:gridCol w:w="1086"/>
        <w:gridCol w:w="1086"/>
        <w:gridCol w:w="981"/>
        <w:gridCol w:w="986"/>
        <w:gridCol w:w="1447"/>
      </w:tblGrid>
      <w:tr w:rsidR="00C425A0" w:rsidRPr="00FA292E" w14:paraId="2A664AB3" w14:textId="77777777" w:rsidTr="004D5EC0">
        <w:tc>
          <w:tcPr>
            <w:tcW w:w="5000" w:type="pct"/>
            <w:gridSpan w:val="7"/>
            <w:tcBorders>
              <w:left w:val="single" w:sz="4" w:space="0" w:color="auto"/>
              <w:bottom w:val="single" w:sz="4" w:space="0" w:color="auto"/>
              <w:right w:val="single" w:sz="4" w:space="0" w:color="auto"/>
            </w:tcBorders>
            <w:shd w:val="clear" w:color="auto" w:fill="auto"/>
            <w:vAlign w:val="center"/>
          </w:tcPr>
          <w:p w14:paraId="7D330C28" w14:textId="77777777" w:rsidR="00C425A0" w:rsidRPr="00FA292E" w:rsidRDefault="00C425A0" w:rsidP="001608E9">
            <w:pPr>
              <w:pStyle w:val="In-tableHeading"/>
            </w:pPr>
            <w:r w:rsidRPr="00FA292E">
              <w:t xml:space="preserve">Harms </w:t>
            </w:r>
          </w:p>
        </w:tc>
      </w:tr>
      <w:tr w:rsidR="00C425A0" w:rsidRPr="0098262F" w14:paraId="15AC3A89" w14:textId="77777777" w:rsidTr="002925CE">
        <w:trPr>
          <w:trHeight w:val="233"/>
        </w:trPr>
        <w:tc>
          <w:tcPr>
            <w:tcW w:w="13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4C8BB8" w14:textId="77777777" w:rsidR="00C425A0" w:rsidRPr="0098262F" w:rsidRDefault="00C425A0" w:rsidP="001608E9">
            <w:pPr>
              <w:pStyle w:val="In-tableHeading"/>
            </w:pPr>
          </w:p>
        </w:tc>
        <w:tc>
          <w:tcPr>
            <w:tcW w:w="598" w:type="pct"/>
            <w:vMerge w:val="restart"/>
            <w:tcBorders>
              <w:top w:val="single" w:sz="4" w:space="0" w:color="auto"/>
              <w:left w:val="single" w:sz="4" w:space="0" w:color="auto"/>
              <w:bottom w:val="single" w:sz="4" w:space="0" w:color="auto"/>
              <w:right w:val="single" w:sz="4" w:space="0" w:color="auto"/>
            </w:tcBorders>
            <w:shd w:val="clear" w:color="auto" w:fill="auto"/>
          </w:tcPr>
          <w:p w14:paraId="6098F1C0" w14:textId="77777777" w:rsidR="00C425A0" w:rsidRDefault="00C425A0" w:rsidP="001608E9">
            <w:pPr>
              <w:pStyle w:val="In-tableHeading"/>
              <w:jc w:val="center"/>
            </w:pPr>
            <w:r w:rsidRPr="00F40E4A">
              <w:rPr>
                <w:lang w:val="en-AU"/>
              </w:rPr>
              <w:t>A+L</w:t>
            </w:r>
            <w:r w:rsidRPr="00F40E4A">
              <w:t xml:space="preserve"> </w:t>
            </w:r>
          </w:p>
          <w:p w14:paraId="667F3FC5" w14:textId="77777777" w:rsidR="00C425A0" w:rsidRPr="00F40E4A" w:rsidRDefault="00C425A0" w:rsidP="001608E9">
            <w:pPr>
              <w:pStyle w:val="In-tableHeading"/>
              <w:jc w:val="center"/>
            </w:pPr>
            <w:r w:rsidRPr="00F40E4A">
              <w:t>n/N</w:t>
            </w:r>
          </w:p>
        </w:tc>
        <w:tc>
          <w:tcPr>
            <w:tcW w:w="599" w:type="pct"/>
            <w:vMerge w:val="restart"/>
            <w:tcBorders>
              <w:top w:val="single" w:sz="4" w:space="0" w:color="auto"/>
              <w:left w:val="single" w:sz="4" w:space="0" w:color="auto"/>
              <w:bottom w:val="single" w:sz="4" w:space="0" w:color="auto"/>
              <w:right w:val="single" w:sz="4" w:space="0" w:color="auto"/>
            </w:tcBorders>
            <w:shd w:val="clear" w:color="auto" w:fill="auto"/>
          </w:tcPr>
          <w:p w14:paraId="3ABE4D6C" w14:textId="77777777" w:rsidR="00C425A0" w:rsidRPr="00F40E4A" w:rsidRDefault="00C425A0" w:rsidP="001608E9">
            <w:pPr>
              <w:pStyle w:val="In-tableHeading"/>
              <w:jc w:val="center"/>
            </w:pPr>
            <w:r w:rsidRPr="00F40E4A">
              <w:t>Osimertinib n/N</w:t>
            </w:r>
          </w:p>
        </w:tc>
        <w:tc>
          <w:tcPr>
            <w:tcW w:w="599" w:type="pct"/>
            <w:vMerge w:val="restart"/>
            <w:tcBorders>
              <w:top w:val="single" w:sz="4" w:space="0" w:color="auto"/>
              <w:left w:val="single" w:sz="4" w:space="0" w:color="auto"/>
              <w:bottom w:val="single" w:sz="4" w:space="0" w:color="auto"/>
              <w:right w:val="single" w:sz="4" w:space="0" w:color="auto"/>
            </w:tcBorders>
            <w:shd w:val="clear" w:color="auto" w:fill="auto"/>
          </w:tcPr>
          <w:p w14:paraId="31ACEE72" w14:textId="77777777" w:rsidR="00C425A0" w:rsidRPr="00F40E4A" w:rsidRDefault="00C425A0" w:rsidP="001608E9">
            <w:pPr>
              <w:pStyle w:val="In-tableHeading"/>
              <w:jc w:val="center"/>
            </w:pPr>
            <w:r w:rsidRPr="00F40E4A">
              <w:t>RR</w:t>
            </w:r>
          </w:p>
          <w:p w14:paraId="52444675" w14:textId="77777777" w:rsidR="00C425A0" w:rsidRPr="00F40E4A" w:rsidRDefault="00C425A0" w:rsidP="001608E9">
            <w:pPr>
              <w:pStyle w:val="In-tableHeading"/>
              <w:jc w:val="center"/>
            </w:pPr>
            <w:r w:rsidRPr="00F40E4A">
              <w:t>(95% CI)</w:t>
            </w:r>
          </w:p>
        </w:tc>
        <w:tc>
          <w:tcPr>
            <w:tcW w:w="1085" w:type="pct"/>
            <w:gridSpan w:val="2"/>
            <w:tcBorders>
              <w:top w:val="single" w:sz="4" w:space="0" w:color="auto"/>
              <w:left w:val="single" w:sz="4" w:space="0" w:color="auto"/>
              <w:bottom w:val="single" w:sz="4" w:space="0" w:color="auto"/>
              <w:right w:val="single" w:sz="4" w:space="0" w:color="auto"/>
            </w:tcBorders>
            <w:shd w:val="clear" w:color="auto" w:fill="auto"/>
          </w:tcPr>
          <w:p w14:paraId="204FD571" w14:textId="77777777" w:rsidR="00C425A0" w:rsidRPr="00F40E4A" w:rsidRDefault="00C425A0" w:rsidP="001608E9">
            <w:pPr>
              <w:pStyle w:val="In-tableHeading"/>
              <w:jc w:val="center"/>
            </w:pPr>
            <w:r w:rsidRPr="00F40E4A">
              <w:t>Event rate/100 patients</w:t>
            </w:r>
          </w:p>
        </w:tc>
        <w:tc>
          <w:tcPr>
            <w:tcW w:w="799" w:type="pct"/>
            <w:tcBorders>
              <w:top w:val="single" w:sz="4" w:space="0" w:color="auto"/>
              <w:left w:val="single" w:sz="4" w:space="0" w:color="auto"/>
              <w:right w:val="single" w:sz="4" w:space="0" w:color="auto"/>
            </w:tcBorders>
            <w:shd w:val="clear" w:color="auto" w:fill="auto"/>
          </w:tcPr>
          <w:p w14:paraId="31BC08D9" w14:textId="77777777" w:rsidR="00C425A0" w:rsidRPr="00F40E4A" w:rsidRDefault="00C425A0" w:rsidP="001608E9">
            <w:pPr>
              <w:pStyle w:val="In-tableHeading"/>
              <w:jc w:val="center"/>
            </w:pPr>
            <w:r w:rsidRPr="00F40E4A">
              <w:t>RD (95% CI)</w:t>
            </w:r>
          </w:p>
        </w:tc>
      </w:tr>
      <w:tr w:rsidR="00C425A0" w:rsidRPr="0098262F" w14:paraId="6606EB59" w14:textId="77777777" w:rsidTr="002925CE">
        <w:trPr>
          <w:trHeight w:val="232"/>
        </w:trPr>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4E5B1C" w14:textId="77777777" w:rsidR="00C425A0" w:rsidRPr="0098262F" w:rsidRDefault="00C425A0" w:rsidP="001608E9">
            <w:pPr>
              <w:pStyle w:val="In-tableHeading"/>
            </w:pPr>
          </w:p>
        </w:tc>
        <w:tc>
          <w:tcPr>
            <w:tcW w:w="598" w:type="pct"/>
            <w:vMerge/>
            <w:tcBorders>
              <w:top w:val="single" w:sz="4" w:space="0" w:color="auto"/>
              <w:left w:val="single" w:sz="4" w:space="0" w:color="auto"/>
              <w:bottom w:val="single" w:sz="4" w:space="0" w:color="auto"/>
              <w:right w:val="single" w:sz="4" w:space="0" w:color="auto"/>
            </w:tcBorders>
            <w:shd w:val="clear" w:color="auto" w:fill="auto"/>
          </w:tcPr>
          <w:p w14:paraId="580A03A2" w14:textId="77777777" w:rsidR="00C425A0" w:rsidRPr="00F40E4A" w:rsidRDefault="00C425A0" w:rsidP="001608E9">
            <w:pPr>
              <w:pStyle w:val="In-tableHeading"/>
              <w:jc w:val="center"/>
            </w:pPr>
          </w:p>
        </w:tc>
        <w:tc>
          <w:tcPr>
            <w:tcW w:w="599" w:type="pct"/>
            <w:vMerge/>
            <w:tcBorders>
              <w:top w:val="single" w:sz="4" w:space="0" w:color="auto"/>
              <w:left w:val="single" w:sz="4" w:space="0" w:color="auto"/>
              <w:bottom w:val="single" w:sz="4" w:space="0" w:color="auto"/>
              <w:right w:val="single" w:sz="4" w:space="0" w:color="auto"/>
            </w:tcBorders>
            <w:shd w:val="clear" w:color="auto" w:fill="auto"/>
          </w:tcPr>
          <w:p w14:paraId="133A3C1D" w14:textId="77777777" w:rsidR="00C425A0" w:rsidRPr="00F40E4A" w:rsidRDefault="00C425A0" w:rsidP="001608E9">
            <w:pPr>
              <w:pStyle w:val="In-tableHeading"/>
              <w:jc w:val="center"/>
            </w:pPr>
          </w:p>
        </w:tc>
        <w:tc>
          <w:tcPr>
            <w:tcW w:w="599" w:type="pct"/>
            <w:vMerge/>
            <w:tcBorders>
              <w:top w:val="single" w:sz="4" w:space="0" w:color="auto"/>
              <w:left w:val="single" w:sz="4" w:space="0" w:color="auto"/>
              <w:bottom w:val="single" w:sz="4" w:space="0" w:color="auto"/>
              <w:right w:val="single" w:sz="4" w:space="0" w:color="auto"/>
            </w:tcBorders>
            <w:shd w:val="clear" w:color="auto" w:fill="auto"/>
          </w:tcPr>
          <w:p w14:paraId="3C20EB58" w14:textId="77777777" w:rsidR="00C425A0" w:rsidRPr="00F40E4A" w:rsidRDefault="00C425A0" w:rsidP="001608E9">
            <w:pPr>
              <w:pStyle w:val="In-tableHeading"/>
              <w:jc w:val="cente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F15B65" w14:textId="77777777" w:rsidR="00C425A0" w:rsidRPr="00F40E4A" w:rsidRDefault="00C425A0" w:rsidP="001608E9">
            <w:pPr>
              <w:pStyle w:val="In-tableHeading"/>
              <w:jc w:val="center"/>
            </w:pPr>
            <w:r w:rsidRPr="00F40E4A">
              <w:t>A+L</w:t>
            </w: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74C1606" w14:textId="77777777" w:rsidR="00C425A0" w:rsidRPr="00F40E4A" w:rsidRDefault="00C425A0" w:rsidP="001608E9">
            <w:pPr>
              <w:pStyle w:val="In-tableHeading"/>
              <w:jc w:val="center"/>
            </w:pPr>
            <w:r w:rsidRPr="00F40E4A">
              <w:t>Osimertinib</w:t>
            </w:r>
          </w:p>
        </w:tc>
        <w:tc>
          <w:tcPr>
            <w:tcW w:w="799" w:type="pct"/>
            <w:tcBorders>
              <w:left w:val="single" w:sz="4" w:space="0" w:color="auto"/>
              <w:bottom w:val="single" w:sz="4" w:space="0" w:color="auto"/>
              <w:right w:val="single" w:sz="4" w:space="0" w:color="auto"/>
            </w:tcBorders>
            <w:shd w:val="clear" w:color="auto" w:fill="auto"/>
          </w:tcPr>
          <w:p w14:paraId="2CF59FF9" w14:textId="77777777" w:rsidR="00C425A0" w:rsidRPr="00F40E4A" w:rsidRDefault="00C425A0" w:rsidP="001608E9">
            <w:pPr>
              <w:pStyle w:val="In-tableHeading"/>
              <w:jc w:val="center"/>
            </w:pPr>
          </w:p>
        </w:tc>
      </w:tr>
      <w:tr w:rsidR="00C425A0" w:rsidRPr="0098262F" w14:paraId="63033863" w14:textId="77777777" w:rsidTr="002925CE">
        <w:trPr>
          <w:trHeight w:val="23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27F91A5" w14:textId="77777777" w:rsidR="00C425A0" w:rsidRPr="003C3E0F" w:rsidRDefault="00C425A0" w:rsidP="001608E9">
            <w:pPr>
              <w:pStyle w:val="In-tableHeading"/>
              <w:rPr>
                <w:b w:val="0"/>
                <w:bCs/>
              </w:rPr>
            </w:pPr>
            <w:r w:rsidRPr="00FA2ADD">
              <w:t>August 2023 CCO</w:t>
            </w:r>
          </w:p>
        </w:tc>
      </w:tr>
      <w:tr w:rsidR="00C425A0" w:rsidRPr="0098262F" w14:paraId="2B9A4116"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0D9718D1" w14:textId="77777777" w:rsidR="00C425A0" w:rsidRPr="003C3E0F" w:rsidRDefault="00C425A0" w:rsidP="001608E9">
            <w:pPr>
              <w:pStyle w:val="In-tableHeading"/>
              <w:rPr>
                <w:b w:val="0"/>
                <w:bCs/>
              </w:rPr>
            </w:pPr>
            <w:r w:rsidRPr="003C3E0F">
              <w:rPr>
                <w:b w:val="0"/>
                <w:bCs/>
              </w:rPr>
              <w:t>Serious TEAEs</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789FBE26" w14:textId="77777777" w:rsidR="00C425A0" w:rsidRPr="003C3E0F" w:rsidRDefault="00C425A0" w:rsidP="001608E9">
            <w:pPr>
              <w:pStyle w:val="In-tableHeading"/>
              <w:jc w:val="center"/>
              <w:rPr>
                <w:b w:val="0"/>
                <w:bCs/>
              </w:rPr>
            </w:pPr>
            <w:r w:rsidRPr="003C3E0F">
              <w:rPr>
                <w:b w:val="0"/>
                <w:bCs/>
              </w:rPr>
              <w:t>205/421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34EA8CC" w14:textId="77777777" w:rsidR="00C425A0" w:rsidRPr="003C3E0F" w:rsidRDefault="00C425A0" w:rsidP="001608E9">
            <w:pPr>
              <w:pStyle w:val="In-tableHeading"/>
              <w:jc w:val="center"/>
              <w:rPr>
                <w:b w:val="0"/>
                <w:bCs/>
              </w:rPr>
            </w:pPr>
            <w:r w:rsidRPr="003C3E0F">
              <w:rPr>
                <w:b w:val="0"/>
                <w:bCs/>
              </w:rPr>
              <w:t>143/428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BAE70A7" w14:textId="77777777" w:rsidR="00C425A0" w:rsidRPr="003C3E0F" w:rsidRDefault="00C425A0" w:rsidP="001608E9">
            <w:pPr>
              <w:pStyle w:val="In-tableHeading"/>
              <w:jc w:val="center"/>
              <w:rPr>
                <w:b w:val="0"/>
                <w:bCs/>
              </w:rPr>
            </w:pPr>
            <w:r w:rsidRPr="003C3E0F">
              <w:rPr>
                <w:b w:val="0"/>
                <w:bCs/>
              </w:rPr>
              <w:t>1.46 (1.23, 1.72)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0E2488A5" w14:textId="77777777" w:rsidR="00C425A0" w:rsidRPr="003C3E0F" w:rsidRDefault="00C425A0" w:rsidP="001608E9">
            <w:pPr>
              <w:pStyle w:val="In-tableHeading"/>
              <w:jc w:val="center"/>
              <w:rPr>
                <w:b w:val="0"/>
                <w:bCs/>
              </w:rPr>
            </w:pPr>
            <w:r w:rsidRPr="003C3E0F">
              <w:rPr>
                <w:b w:val="0"/>
                <w:bCs/>
              </w:rPr>
              <w:t>48.</w:t>
            </w:r>
            <w:r>
              <w:rPr>
                <w:b w:val="0"/>
                <w:bCs/>
              </w:rPr>
              <w:t>8</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A9ACA7B" w14:textId="77777777" w:rsidR="00C425A0" w:rsidRPr="003C3E0F" w:rsidRDefault="00C425A0" w:rsidP="001608E9">
            <w:pPr>
              <w:pStyle w:val="In-tableHeading"/>
              <w:jc w:val="center"/>
              <w:rPr>
                <w:b w:val="0"/>
                <w:bCs/>
              </w:rPr>
            </w:pPr>
            <w:r w:rsidRPr="003C3E0F">
              <w:rPr>
                <w:b w:val="0"/>
                <w:bCs/>
              </w:rPr>
              <w:t>33.4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F568E6E" w14:textId="77777777" w:rsidR="00C425A0" w:rsidRDefault="00C425A0" w:rsidP="001608E9">
            <w:pPr>
              <w:pStyle w:val="In-tableHeading"/>
              <w:jc w:val="center"/>
              <w:rPr>
                <w:b w:val="0"/>
                <w:bCs/>
              </w:rPr>
            </w:pPr>
            <w:r w:rsidRPr="003C3E0F">
              <w:rPr>
                <w:b w:val="0"/>
                <w:bCs/>
              </w:rPr>
              <w:t>15.</w:t>
            </w:r>
            <w:r>
              <w:rPr>
                <w:b w:val="0"/>
                <w:bCs/>
              </w:rPr>
              <w:t>3</w:t>
            </w:r>
            <w:r w:rsidRPr="003C3E0F">
              <w:rPr>
                <w:b w:val="0"/>
                <w:bCs/>
              </w:rPr>
              <w:t xml:space="preserve">% </w:t>
            </w:r>
          </w:p>
          <w:p w14:paraId="06A2B8DA" w14:textId="77777777" w:rsidR="00C425A0" w:rsidRPr="003C3E0F" w:rsidRDefault="00C425A0" w:rsidP="001608E9">
            <w:pPr>
              <w:pStyle w:val="In-tableHeading"/>
              <w:jc w:val="center"/>
              <w:rPr>
                <w:b w:val="0"/>
                <w:bCs/>
              </w:rPr>
            </w:pPr>
            <w:r w:rsidRPr="003C3E0F">
              <w:rPr>
                <w:b w:val="0"/>
                <w:bCs/>
              </w:rPr>
              <w:t>(8.7%, 21.8%)</w:t>
            </w:r>
          </w:p>
        </w:tc>
      </w:tr>
      <w:tr w:rsidR="00C425A0" w:rsidRPr="0098262F" w14:paraId="70036FA5"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57BFC42E" w14:textId="77777777" w:rsidR="00C425A0" w:rsidRPr="003C3E0F" w:rsidRDefault="00C425A0" w:rsidP="001608E9">
            <w:pPr>
              <w:pStyle w:val="In-tableHeading"/>
              <w:rPr>
                <w:b w:val="0"/>
                <w:bCs/>
              </w:rPr>
            </w:pPr>
            <w:r w:rsidRPr="003C3E0F">
              <w:rPr>
                <w:b w:val="0"/>
                <w:bCs/>
              </w:rPr>
              <w:t>TEAEs leading to discontinuation</w:t>
            </w:r>
            <w:r>
              <w:rPr>
                <w:b w:val="0"/>
                <w:bCs/>
              </w:rPr>
              <w:t xml:space="preserve"> of any study treatment</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72D5F4B8" w14:textId="77777777" w:rsidR="00C425A0" w:rsidRPr="003C3E0F" w:rsidRDefault="00C425A0" w:rsidP="001608E9">
            <w:pPr>
              <w:pStyle w:val="In-tableHeading"/>
              <w:jc w:val="center"/>
              <w:rPr>
                <w:b w:val="0"/>
                <w:bCs/>
              </w:rPr>
            </w:pPr>
            <w:r w:rsidRPr="003C3E0F">
              <w:rPr>
                <w:b w:val="0"/>
                <w:bCs/>
              </w:rPr>
              <w:t>147/421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51A3926" w14:textId="77777777" w:rsidR="00C425A0" w:rsidRPr="003C3E0F" w:rsidRDefault="00C425A0" w:rsidP="001608E9">
            <w:pPr>
              <w:pStyle w:val="In-tableHeading"/>
              <w:jc w:val="center"/>
              <w:rPr>
                <w:b w:val="0"/>
                <w:bCs/>
              </w:rPr>
            </w:pPr>
            <w:r w:rsidRPr="003C3E0F">
              <w:rPr>
                <w:b w:val="0"/>
                <w:bCs/>
              </w:rPr>
              <w:t>58/428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A0F157D" w14:textId="77777777" w:rsidR="00C425A0" w:rsidRPr="003C3E0F" w:rsidRDefault="00C425A0" w:rsidP="001608E9">
            <w:pPr>
              <w:pStyle w:val="In-tableHeading"/>
              <w:jc w:val="center"/>
              <w:rPr>
                <w:b w:val="0"/>
                <w:bCs/>
              </w:rPr>
            </w:pPr>
            <w:r w:rsidRPr="003C3E0F">
              <w:rPr>
                <w:b w:val="0"/>
                <w:bCs/>
              </w:rPr>
              <w:t>2.58 (1.96, 3.38)</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B8161B" w14:textId="77777777" w:rsidR="00C425A0" w:rsidRPr="003C3E0F" w:rsidRDefault="00C425A0" w:rsidP="001608E9">
            <w:pPr>
              <w:pStyle w:val="In-tableHeading"/>
              <w:jc w:val="center"/>
              <w:rPr>
                <w:b w:val="0"/>
                <w:bCs/>
              </w:rPr>
            </w:pPr>
            <w:r w:rsidRPr="003C3E0F">
              <w:rPr>
                <w:b w:val="0"/>
                <w:bCs/>
              </w:rPr>
              <w:t>34.9</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434DE66" w14:textId="77777777" w:rsidR="00C425A0" w:rsidRPr="003C3E0F" w:rsidRDefault="00C425A0" w:rsidP="001608E9">
            <w:pPr>
              <w:pStyle w:val="In-tableHeading"/>
              <w:jc w:val="center"/>
              <w:rPr>
                <w:b w:val="0"/>
                <w:bCs/>
              </w:rPr>
            </w:pPr>
            <w:r w:rsidRPr="003C3E0F">
              <w:rPr>
                <w:b w:val="0"/>
                <w:bCs/>
              </w:rPr>
              <w:t>13.</w:t>
            </w:r>
            <w:r>
              <w:rPr>
                <w:b w:val="0"/>
                <w:bCs/>
              </w:rPr>
              <w:t>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B44F208" w14:textId="77777777" w:rsidR="00C425A0" w:rsidRDefault="00C425A0" w:rsidP="001608E9">
            <w:pPr>
              <w:pStyle w:val="In-tableHeading"/>
              <w:jc w:val="center"/>
              <w:rPr>
                <w:b w:val="0"/>
                <w:bCs/>
              </w:rPr>
            </w:pPr>
            <w:r w:rsidRPr="003C3E0F">
              <w:rPr>
                <w:b w:val="0"/>
                <w:bCs/>
              </w:rPr>
              <w:t>21.</w:t>
            </w:r>
            <w:r>
              <w:rPr>
                <w:b w:val="0"/>
                <w:bCs/>
              </w:rPr>
              <w:t>4</w:t>
            </w:r>
            <w:r w:rsidRPr="003C3E0F">
              <w:rPr>
                <w:b w:val="0"/>
                <w:bCs/>
              </w:rPr>
              <w:t xml:space="preserve">% </w:t>
            </w:r>
          </w:p>
          <w:p w14:paraId="0F05E3DE" w14:textId="77777777" w:rsidR="00C425A0" w:rsidRPr="003C3E0F" w:rsidRDefault="00C425A0" w:rsidP="001608E9">
            <w:pPr>
              <w:pStyle w:val="In-tableHeading"/>
              <w:jc w:val="center"/>
              <w:rPr>
                <w:b w:val="0"/>
                <w:bCs/>
              </w:rPr>
            </w:pPr>
            <w:r w:rsidRPr="003C3E0F">
              <w:rPr>
                <w:b w:val="0"/>
                <w:bCs/>
              </w:rPr>
              <w:t>(15.8%, 2</w:t>
            </w:r>
            <w:r>
              <w:rPr>
                <w:b w:val="0"/>
                <w:bCs/>
              </w:rPr>
              <w:t>7.0</w:t>
            </w:r>
            <w:r w:rsidRPr="003C3E0F">
              <w:rPr>
                <w:b w:val="0"/>
                <w:bCs/>
              </w:rPr>
              <w:t>%)</w:t>
            </w:r>
          </w:p>
        </w:tc>
      </w:tr>
      <w:tr w:rsidR="00C425A0" w:rsidRPr="0098262F" w14:paraId="5E5E524F" w14:textId="77777777" w:rsidTr="002925CE">
        <w:trPr>
          <w:trHeight w:val="23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EDF0F64" w14:textId="77777777" w:rsidR="00C425A0" w:rsidRPr="003C3E0F" w:rsidRDefault="00C425A0" w:rsidP="001608E9">
            <w:pPr>
              <w:pStyle w:val="In-tableHeading"/>
            </w:pPr>
            <w:r w:rsidRPr="003C3E0F">
              <w:t>Select TEAE</w:t>
            </w:r>
            <w:r>
              <w:t xml:space="preserve">’s with severity of </w:t>
            </w:r>
            <w:r w:rsidRPr="003C3E0F">
              <w:t>Grade ≥</w:t>
            </w:r>
            <w:r>
              <w:t xml:space="preserve"> </w:t>
            </w:r>
            <w:r w:rsidRPr="003C3E0F">
              <w:t>3</w:t>
            </w:r>
          </w:p>
        </w:tc>
      </w:tr>
      <w:tr w:rsidR="00C425A0" w:rsidRPr="0098262F" w14:paraId="6C77C87C"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63887883" w14:textId="77777777" w:rsidR="00C425A0" w:rsidRPr="003C3E0F" w:rsidRDefault="00C425A0" w:rsidP="001608E9">
            <w:pPr>
              <w:pStyle w:val="In-tableHeading"/>
              <w:rPr>
                <w:b w:val="0"/>
                <w:bCs/>
              </w:rPr>
            </w:pPr>
            <w:r w:rsidRPr="003C3E0F">
              <w:rPr>
                <w:b w:val="0"/>
                <w:bCs/>
              </w:rPr>
              <w:t>Infusion related reaction</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0584354D" w14:textId="77777777" w:rsidR="00C425A0" w:rsidRPr="003C3E0F" w:rsidRDefault="00C425A0" w:rsidP="001608E9">
            <w:pPr>
              <w:pStyle w:val="In-tableHeading"/>
              <w:jc w:val="center"/>
              <w:rPr>
                <w:b w:val="0"/>
                <w:bCs/>
              </w:rPr>
            </w:pPr>
            <w:r w:rsidRPr="003C3E0F">
              <w:rPr>
                <w:b w:val="0"/>
                <w:bCs/>
              </w:rPr>
              <w:t>27/421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BFD7A2E" w14:textId="77777777" w:rsidR="00C425A0" w:rsidRPr="003C3E0F" w:rsidRDefault="00C425A0" w:rsidP="001608E9">
            <w:pPr>
              <w:pStyle w:val="In-tableHeading"/>
              <w:jc w:val="center"/>
              <w:rPr>
                <w:b w:val="0"/>
                <w:bCs/>
              </w:rPr>
            </w:pPr>
            <w:r w:rsidRPr="003C3E0F">
              <w:rPr>
                <w:b w:val="0"/>
                <w:bCs/>
              </w:rPr>
              <w:t>0/428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0644FAD3" w14:textId="77777777" w:rsidR="00C425A0" w:rsidRPr="003C3E0F" w:rsidRDefault="00C425A0" w:rsidP="001608E9">
            <w:pPr>
              <w:pStyle w:val="In-tableHeading"/>
              <w:jc w:val="center"/>
              <w:rPr>
                <w:b w:val="0"/>
                <w:bCs/>
              </w:rPr>
            </w:pPr>
            <w:r w:rsidRPr="003C3E0F">
              <w:rPr>
                <w:b w:val="0"/>
                <w:bCs/>
              </w:rPr>
              <w:t>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572867" w14:textId="77777777" w:rsidR="00C425A0" w:rsidRPr="003C3E0F" w:rsidRDefault="00C425A0" w:rsidP="001608E9">
            <w:pPr>
              <w:pStyle w:val="In-tableHeading"/>
              <w:jc w:val="center"/>
              <w:rPr>
                <w:b w:val="0"/>
                <w:bCs/>
              </w:rPr>
            </w:pPr>
            <w:r w:rsidRPr="003C3E0F">
              <w:rPr>
                <w:b w:val="0"/>
                <w:bCs/>
              </w:rPr>
              <w:t>6.4</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B5B049" w14:textId="77777777" w:rsidR="00C425A0" w:rsidRPr="003C3E0F" w:rsidRDefault="00C425A0" w:rsidP="001608E9">
            <w:pPr>
              <w:pStyle w:val="In-tableHeading"/>
              <w:jc w:val="center"/>
              <w:rPr>
                <w:b w:val="0"/>
                <w:bCs/>
              </w:rPr>
            </w:pPr>
            <w:r w:rsidRPr="003C3E0F">
              <w:rPr>
                <w:b w:val="0"/>
                <w:bCs/>
              </w:rPr>
              <w:t>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E38DB8D" w14:textId="77777777" w:rsidR="00C425A0" w:rsidRDefault="00C425A0" w:rsidP="001608E9">
            <w:pPr>
              <w:pStyle w:val="In-tableHeading"/>
              <w:jc w:val="center"/>
              <w:rPr>
                <w:b w:val="0"/>
                <w:bCs/>
              </w:rPr>
            </w:pPr>
            <w:r w:rsidRPr="003C3E0F">
              <w:rPr>
                <w:b w:val="0"/>
                <w:bCs/>
              </w:rPr>
              <w:t xml:space="preserve">6.4% </w:t>
            </w:r>
          </w:p>
          <w:p w14:paraId="164B93F5" w14:textId="77777777" w:rsidR="00C425A0" w:rsidRPr="003C3E0F" w:rsidRDefault="00C425A0" w:rsidP="001608E9">
            <w:pPr>
              <w:pStyle w:val="In-tableHeading"/>
              <w:jc w:val="center"/>
              <w:rPr>
                <w:b w:val="0"/>
                <w:bCs/>
              </w:rPr>
            </w:pPr>
            <w:r w:rsidRPr="003C3E0F">
              <w:rPr>
                <w:b w:val="0"/>
                <w:bCs/>
              </w:rPr>
              <w:t>(4.</w:t>
            </w:r>
            <w:r>
              <w:rPr>
                <w:b w:val="0"/>
                <w:bCs/>
              </w:rPr>
              <w:t>1</w:t>
            </w:r>
            <w:r w:rsidRPr="003C3E0F">
              <w:rPr>
                <w:b w:val="0"/>
                <w:bCs/>
              </w:rPr>
              <w:t>%, 8.</w:t>
            </w:r>
            <w:r>
              <w:rPr>
                <w:b w:val="0"/>
                <w:bCs/>
              </w:rPr>
              <w:t>8</w:t>
            </w:r>
            <w:r w:rsidRPr="003C3E0F">
              <w:rPr>
                <w:b w:val="0"/>
                <w:bCs/>
              </w:rPr>
              <w:t>%)</w:t>
            </w:r>
          </w:p>
        </w:tc>
      </w:tr>
      <w:tr w:rsidR="00C425A0" w:rsidRPr="0098262F" w14:paraId="039B5780"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4A533CE0" w14:textId="77777777" w:rsidR="00C425A0" w:rsidRPr="003C3E0F" w:rsidRDefault="00C425A0" w:rsidP="001608E9">
            <w:pPr>
              <w:pStyle w:val="In-tableHeading"/>
              <w:rPr>
                <w:b w:val="0"/>
                <w:bCs/>
              </w:rPr>
            </w:pPr>
            <w:r w:rsidRPr="003C3E0F">
              <w:rPr>
                <w:b w:val="0"/>
                <w:bCs/>
              </w:rPr>
              <w:t>Paronychia</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765332B7" w14:textId="77777777" w:rsidR="00C425A0" w:rsidRPr="003C3E0F" w:rsidRDefault="00C425A0" w:rsidP="001608E9">
            <w:pPr>
              <w:pStyle w:val="In-tableHeading"/>
              <w:jc w:val="center"/>
              <w:rPr>
                <w:b w:val="0"/>
                <w:bCs/>
              </w:rPr>
            </w:pPr>
            <w:r w:rsidRPr="003C3E0F">
              <w:rPr>
                <w:b w:val="0"/>
                <w:bCs/>
              </w:rPr>
              <w:t>46/421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0CD9269" w14:textId="77777777" w:rsidR="00C425A0" w:rsidRPr="003C3E0F" w:rsidRDefault="00C425A0" w:rsidP="001608E9">
            <w:pPr>
              <w:pStyle w:val="In-tableHeading"/>
              <w:jc w:val="center"/>
              <w:rPr>
                <w:b w:val="0"/>
                <w:bCs/>
              </w:rPr>
            </w:pPr>
            <w:r w:rsidRPr="003C3E0F">
              <w:rPr>
                <w:b w:val="0"/>
                <w:bCs/>
              </w:rPr>
              <w:t>2/428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1976B0C5" w14:textId="77777777" w:rsidR="00C425A0" w:rsidRPr="003C3E0F" w:rsidRDefault="00C425A0" w:rsidP="001608E9">
            <w:pPr>
              <w:pStyle w:val="In-tableHeading"/>
              <w:jc w:val="center"/>
              <w:rPr>
                <w:b w:val="0"/>
                <w:bCs/>
              </w:rPr>
            </w:pPr>
            <w:r w:rsidRPr="003C3E0F">
              <w:rPr>
                <w:b w:val="0"/>
                <w:bCs/>
              </w:rPr>
              <w:t>23.38 (5.71, 95.71)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9683B52" w14:textId="77777777" w:rsidR="00C425A0" w:rsidRPr="003C3E0F" w:rsidRDefault="00C425A0" w:rsidP="001608E9">
            <w:pPr>
              <w:pStyle w:val="In-tableHeading"/>
              <w:jc w:val="center"/>
              <w:rPr>
                <w:b w:val="0"/>
                <w:bCs/>
              </w:rPr>
            </w:pPr>
            <w:r w:rsidRPr="003C3E0F">
              <w:rPr>
                <w:b w:val="0"/>
                <w:bCs/>
              </w:rPr>
              <w:t>10.9</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EB8BD1D" w14:textId="77777777" w:rsidR="00C425A0" w:rsidRPr="003C3E0F" w:rsidRDefault="00C425A0" w:rsidP="001608E9">
            <w:pPr>
              <w:pStyle w:val="In-tableHeading"/>
              <w:jc w:val="center"/>
              <w:rPr>
                <w:b w:val="0"/>
                <w:bCs/>
              </w:rPr>
            </w:pPr>
            <w:r w:rsidRPr="003C3E0F">
              <w:rPr>
                <w:b w:val="0"/>
                <w:bCs/>
              </w:rPr>
              <w:t>0.</w:t>
            </w:r>
            <w:r>
              <w:rPr>
                <w:b w:val="0"/>
                <w:bCs/>
              </w:rPr>
              <w:t>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03BD2FD" w14:textId="77777777" w:rsidR="00C425A0" w:rsidRDefault="00C425A0" w:rsidP="001608E9">
            <w:pPr>
              <w:pStyle w:val="In-tableHeading"/>
              <w:jc w:val="center"/>
              <w:rPr>
                <w:b w:val="0"/>
                <w:bCs/>
              </w:rPr>
            </w:pPr>
            <w:r w:rsidRPr="003C3E0F">
              <w:rPr>
                <w:b w:val="0"/>
                <w:bCs/>
              </w:rPr>
              <w:t>10.</w:t>
            </w:r>
            <w:r>
              <w:rPr>
                <w:b w:val="0"/>
                <w:bCs/>
              </w:rPr>
              <w:t>5</w:t>
            </w:r>
            <w:r w:rsidRPr="003C3E0F">
              <w:rPr>
                <w:b w:val="0"/>
                <w:bCs/>
              </w:rPr>
              <w:t xml:space="preserve">% </w:t>
            </w:r>
          </w:p>
          <w:p w14:paraId="1219D209" w14:textId="77777777" w:rsidR="00C425A0" w:rsidRPr="003C3E0F" w:rsidRDefault="00C425A0" w:rsidP="001608E9">
            <w:pPr>
              <w:pStyle w:val="In-tableHeading"/>
              <w:jc w:val="center"/>
              <w:rPr>
                <w:b w:val="0"/>
                <w:bCs/>
              </w:rPr>
            </w:pPr>
            <w:r w:rsidRPr="003C3E0F">
              <w:rPr>
                <w:b w:val="0"/>
                <w:bCs/>
              </w:rPr>
              <w:t>(7.4%, 13.5%)</w:t>
            </w:r>
          </w:p>
        </w:tc>
      </w:tr>
      <w:tr w:rsidR="00C425A0" w:rsidRPr="0098262F" w14:paraId="7CF60490"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79787C21" w14:textId="77777777" w:rsidR="00C425A0" w:rsidRPr="003C3E0F" w:rsidRDefault="00C425A0" w:rsidP="001608E9">
            <w:pPr>
              <w:pStyle w:val="In-tableHeading"/>
              <w:rPr>
                <w:b w:val="0"/>
                <w:bCs/>
              </w:rPr>
            </w:pPr>
            <w:r w:rsidRPr="003C3E0F">
              <w:rPr>
                <w:b w:val="0"/>
                <w:bCs/>
              </w:rPr>
              <w:t>Rash</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E3EFDF3" w14:textId="77777777" w:rsidR="00C425A0" w:rsidRPr="003C3E0F" w:rsidRDefault="00C425A0" w:rsidP="001608E9">
            <w:pPr>
              <w:pStyle w:val="In-tableHeading"/>
              <w:jc w:val="center"/>
              <w:rPr>
                <w:b w:val="0"/>
                <w:bCs/>
              </w:rPr>
            </w:pPr>
            <w:r w:rsidRPr="003C3E0F">
              <w:rPr>
                <w:b w:val="0"/>
                <w:bCs/>
              </w:rPr>
              <w:t>65/421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1A117FC" w14:textId="77777777" w:rsidR="00C425A0" w:rsidRPr="003C3E0F" w:rsidRDefault="00C425A0" w:rsidP="001608E9">
            <w:pPr>
              <w:pStyle w:val="In-tableHeading"/>
              <w:jc w:val="center"/>
              <w:rPr>
                <w:b w:val="0"/>
                <w:bCs/>
              </w:rPr>
            </w:pPr>
            <w:r w:rsidRPr="003C3E0F">
              <w:rPr>
                <w:b w:val="0"/>
                <w:bCs/>
              </w:rPr>
              <w:t>3/428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C220E0A" w14:textId="77777777" w:rsidR="00C425A0" w:rsidRPr="003C3E0F" w:rsidRDefault="00C425A0" w:rsidP="001608E9">
            <w:pPr>
              <w:pStyle w:val="In-tableHeading"/>
              <w:jc w:val="center"/>
              <w:rPr>
                <w:b w:val="0"/>
                <w:bCs/>
              </w:rPr>
            </w:pPr>
            <w:r w:rsidRPr="003C3E0F">
              <w:rPr>
                <w:b w:val="0"/>
                <w:bCs/>
              </w:rPr>
              <w:t>22.03 (6.98, 69.54)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1817A43" w14:textId="77777777" w:rsidR="00C425A0" w:rsidRPr="003C3E0F" w:rsidRDefault="00C425A0" w:rsidP="001608E9">
            <w:pPr>
              <w:pStyle w:val="In-tableHeading"/>
              <w:jc w:val="center"/>
              <w:rPr>
                <w:b w:val="0"/>
                <w:bCs/>
              </w:rPr>
            </w:pPr>
            <w:r w:rsidRPr="003C3E0F">
              <w:rPr>
                <w:b w:val="0"/>
                <w:bCs/>
              </w:rPr>
              <w:t>15.4</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F3C3401" w14:textId="77777777" w:rsidR="00C425A0" w:rsidRPr="003C3E0F" w:rsidRDefault="00C425A0" w:rsidP="001608E9">
            <w:pPr>
              <w:pStyle w:val="In-tableHeading"/>
              <w:jc w:val="center"/>
              <w:rPr>
                <w:b w:val="0"/>
                <w:bCs/>
              </w:rPr>
            </w:pPr>
            <w:r w:rsidRPr="003C3E0F">
              <w:rPr>
                <w:b w:val="0"/>
                <w:bCs/>
              </w:rPr>
              <w:t>0.7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73A3F821" w14:textId="77777777" w:rsidR="00C425A0" w:rsidRDefault="00C425A0" w:rsidP="001608E9">
            <w:pPr>
              <w:pStyle w:val="In-tableHeading"/>
              <w:jc w:val="center"/>
              <w:rPr>
                <w:b w:val="0"/>
                <w:bCs/>
              </w:rPr>
            </w:pPr>
            <w:r w:rsidRPr="003C3E0F">
              <w:rPr>
                <w:b w:val="0"/>
                <w:bCs/>
              </w:rPr>
              <w:t xml:space="preserve">14.7% </w:t>
            </w:r>
          </w:p>
          <w:p w14:paraId="74730E3C" w14:textId="77777777" w:rsidR="00C425A0" w:rsidRPr="003C3E0F" w:rsidRDefault="00C425A0" w:rsidP="001608E9">
            <w:pPr>
              <w:pStyle w:val="In-tableHeading"/>
              <w:jc w:val="center"/>
              <w:rPr>
                <w:b w:val="0"/>
                <w:bCs/>
              </w:rPr>
            </w:pPr>
            <w:r w:rsidRPr="003C3E0F">
              <w:rPr>
                <w:b w:val="0"/>
                <w:bCs/>
              </w:rPr>
              <w:t>(11.2%, 18.</w:t>
            </w:r>
            <w:r>
              <w:rPr>
                <w:b w:val="0"/>
                <w:bCs/>
              </w:rPr>
              <w:t>3</w:t>
            </w:r>
            <w:r w:rsidRPr="003C3E0F">
              <w:rPr>
                <w:b w:val="0"/>
                <w:bCs/>
              </w:rPr>
              <w:t>%)</w:t>
            </w:r>
          </w:p>
        </w:tc>
      </w:tr>
      <w:tr w:rsidR="00C425A0" w:rsidRPr="0098262F" w14:paraId="4510DB26"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tcPr>
          <w:p w14:paraId="0519F064" w14:textId="77777777" w:rsidR="00C425A0" w:rsidRPr="00D952B2" w:rsidRDefault="00C425A0" w:rsidP="001608E9">
            <w:pPr>
              <w:pStyle w:val="In-tableHeading"/>
              <w:rPr>
                <w:rFonts w:eastAsia="Calibri" w:cs="Calibri Light"/>
              </w:rPr>
            </w:pPr>
            <w:r>
              <w:rPr>
                <w:rFonts w:eastAsia="Calibri" w:cs="Calibri Light"/>
              </w:rPr>
              <w:t>Select TEAEs of any grade</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F27EB58" w14:textId="77777777" w:rsidR="00C425A0" w:rsidRPr="00D952B2" w:rsidRDefault="00C425A0" w:rsidP="001608E9">
            <w:pPr>
              <w:pStyle w:val="In-tableHeading"/>
              <w:rPr>
                <w:rFonts w:eastAsia="Calibri" w:cs="Calibri Light"/>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97C5F97" w14:textId="77777777" w:rsidR="00C425A0" w:rsidRPr="00D952B2" w:rsidRDefault="00C425A0" w:rsidP="001608E9">
            <w:pPr>
              <w:pStyle w:val="In-tableHeading"/>
              <w:rPr>
                <w:rFonts w:eastAsia="Calibri" w:cs="Calibri Light"/>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36C0EC7" w14:textId="77777777" w:rsidR="00C425A0" w:rsidRPr="003C3E0F" w:rsidRDefault="00C425A0" w:rsidP="001608E9">
            <w:pPr>
              <w:pStyle w:val="In-tableHeading"/>
              <w:rPr>
                <w:b w:val="0"/>
                <w:bC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7FC9DA" w14:textId="77777777" w:rsidR="00C425A0" w:rsidRPr="003C3E0F" w:rsidRDefault="00C425A0" w:rsidP="001608E9">
            <w:pPr>
              <w:pStyle w:val="In-tableHeading"/>
              <w:rPr>
                <w:b w:val="0"/>
                <w:bCs/>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86F76B3" w14:textId="77777777" w:rsidR="00C425A0" w:rsidRPr="003C3E0F" w:rsidRDefault="00C425A0" w:rsidP="001608E9">
            <w:pPr>
              <w:pStyle w:val="In-tableHeading"/>
              <w:rPr>
                <w:b w:val="0"/>
                <w:bCs/>
              </w:rPr>
            </w:pP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729AE4E" w14:textId="77777777" w:rsidR="00C425A0" w:rsidRPr="003C3E0F" w:rsidRDefault="00C425A0" w:rsidP="001608E9">
            <w:pPr>
              <w:pStyle w:val="In-tableHeading"/>
              <w:rPr>
                <w:b w:val="0"/>
                <w:bCs/>
              </w:rPr>
            </w:pPr>
          </w:p>
        </w:tc>
      </w:tr>
      <w:tr w:rsidR="00C425A0" w:rsidRPr="0098262F" w14:paraId="1D73D7B0"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B42177" w14:textId="77777777" w:rsidR="00C425A0" w:rsidRPr="00D275C9" w:rsidRDefault="00C425A0" w:rsidP="001608E9">
            <w:pPr>
              <w:pStyle w:val="In-tableHeading"/>
              <w:rPr>
                <w:b w:val="0"/>
                <w:bCs/>
              </w:rPr>
            </w:pPr>
            <w:r w:rsidRPr="00D275C9">
              <w:rPr>
                <w:rFonts w:eastAsia="Calibri" w:cs="Calibri Light"/>
                <w:b w:val="0"/>
                <w:bCs/>
              </w:rPr>
              <w:t>Deep vein thrombosis</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437491D8" w14:textId="77777777" w:rsidR="00C425A0" w:rsidRPr="009B5167" w:rsidRDefault="00C425A0" w:rsidP="001608E9">
            <w:pPr>
              <w:pStyle w:val="In-tableHeading"/>
              <w:jc w:val="center"/>
              <w:rPr>
                <w:b w:val="0"/>
                <w:bCs/>
              </w:rPr>
            </w:pPr>
            <w:r w:rsidRPr="009B5167">
              <w:rPr>
                <w:rFonts w:eastAsia="Calibri" w:cs="Calibri Light"/>
                <w:b w:val="0"/>
                <w:bCs/>
              </w:rPr>
              <w:t>61/421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6A0BED79" w14:textId="77777777" w:rsidR="00C425A0" w:rsidRPr="009B5167" w:rsidRDefault="00C425A0" w:rsidP="001608E9">
            <w:pPr>
              <w:pStyle w:val="In-tableHeading"/>
              <w:jc w:val="center"/>
              <w:rPr>
                <w:b w:val="0"/>
                <w:bCs/>
              </w:rPr>
            </w:pPr>
            <w:r w:rsidRPr="009B5167">
              <w:rPr>
                <w:rFonts w:eastAsia="Calibri" w:cs="Calibri Light"/>
                <w:b w:val="0"/>
                <w:bCs/>
              </w:rPr>
              <w:t>11/428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66A22B46" w14:textId="77777777" w:rsidR="00C425A0" w:rsidRPr="009B5167" w:rsidRDefault="00C425A0" w:rsidP="001608E9">
            <w:pPr>
              <w:pStyle w:val="In-tableHeading"/>
              <w:jc w:val="center"/>
              <w:rPr>
                <w:b w:val="0"/>
                <w:bCs/>
              </w:rPr>
            </w:pPr>
            <w:r w:rsidRPr="00C80EBD">
              <w:rPr>
                <w:b w:val="0"/>
                <w:bCs/>
              </w:rPr>
              <w:t>5.64 (3.01, 10.56)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66300FB" w14:textId="77777777" w:rsidR="00C425A0" w:rsidRPr="003C3E0F" w:rsidRDefault="00C425A0" w:rsidP="001608E9">
            <w:pPr>
              <w:pStyle w:val="In-tableHeading"/>
              <w:jc w:val="center"/>
              <w:rPr>
                <w:b w:val="0"/>
                <w:bCs/>
              </w:rPr>
            </w:pPr>
            <w:r>
              <w:rPr>
                <w:b w:val="0"/>
                <w:bCs/>
              </w:rPr>
              <w:t>14.5</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F29943E" w14:textId="77777777" w:rsidR="00C425A0" w:rsidRPr="003C3E0F" w:rsidRDefault="00C425A0" w:rsidP="001608E9">
            <w:pPr>
              <w:pStyle w:val="In-tableHeading"/>
              <w:jc w:val="center"/>
              <w:rPr>
                <w:b w:val="0"/>
                <w:bCs/>
              </w:rPr>
            </w:pPr>
            <w:r>
              <w:rPr>
                <w:b w:val="0"/>
                <w:bCs/>
              </w:rPr>
              <w:t>2.6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929007E" w14:textId="77777777" w:rsidR="00C425A0" w:rsidRDefault="00C425A0" w:rsidP="001608E9">
            <w:pPr>
              <w:pStyle w:val="In-tableHeading"/>
              <w:jc w:val="center"/>
              <w:rPr>
                <w:b w:val="0"/>
                <w:bCs/>
              </w:rPr>
            </w:pPr>
            <w:r w:rsidRPr="00C80EBD">
              <w:rPr>
                <w:b w:val="0"/>
                <w:bCs/>
              </w:rPr>
              <w:t xml:space="preserve">11.9% </w:t>
            </w:r>
          </w:p>
          <w:p w14:paraId="05049FD1" w14:textId="77777777" w:rsidR="00C425A0" w:rsidRPr="003C3E0F" w:rsidRDefault="00C425A0" w:rsidP="001608E9">
            <w:pPr>
              <w:pStyle w:val="In-tableHeading"/>
              <w:jc w:val="center"/>
              <w:rPr>
                <w:b w:val="0"/>
                <w:bCs/>
              </w:rPr>
            </w:pPr>
            <w:r w:rsidRPr="00C80EBD">
              <w:rPr>
                <w:b w:val="0"/>
                <w:bCs/>
              </w:rPr>
              <w:t>(8.2%, 15.6%)</w:t>
            </w:r>
          </w:p>
        </w:tc>
      </w:tr>
      <w:tr w:rsidR="00C425A0" w:rsidRPr="0098262F" w14:paraId="11179D90"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00264EB6" w14:textId="77777777" w:rsidR="00C425A0" w:rsidRPr="00D275C9" w:rsidRDefault="00C425A0" w:rsidP="001608E9">
            <w:pPr>
              <w:pStyle w:val="In-tableHeading"/>
              <w:rPr>
                <w:rFonts w:eastAsia="Calibri" w:cs="Calibri Light"/>
                <w:b w:val="0"/>
                <w:bCs/>
              </w:rPr>
            </w:pPr>
            <w:r>
              <w:rPr>
                <w:rFonts w:eastAsia="Calibri" w:cs="Calibri Light"/>
                <w:b w:val="0"/>
                <w:bCs/>
              </w:rPr>
              <w:t>Pulmonary embolism</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8A65270" w14:textId="77777777" w:rsidR="00C425A0" w:rsidRPr="009B5167" w:rsidRDefault="00C425A0" w:rsidP="001608E9">
            <w:pPr>
              <w:pStyle w:val="In-tableHeading"/>
              <w:jc w:val="center"/>
              <w:rPr>
                <w:rFonts w:eastAsia="Calibri" w:cs="Calibri Light"/>
                <w:b w:val="0"/>
                <w:bCs/>
              </w:rPr>
            </w:pPr>
            <w:r>
              <w:rPr>
                <w:rFonts w:eastAsia="Calibri" w:cs="Calibri Light"/>
                <w:b w:val="0"/>
                <w:bCs/>
              </w:rPr>
              <w:t>73/421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FB586F9" w14:textId="77777777" w:rsidR="00C425A0" w:rsidRPr="009B5167" w:rsidRDefault="00C425A0" w:rsidP="001608E9">
            <w:pPr>
              <w:pStyle w:val="In-tableHeading"/>
              <w:jc w:val="center"/>
              <w:rPr>
                <w:rFonts w:eastAsia="Calibri" w:cs="Calibri Light"/>
                <w:b w:val="0"/>
                <w:bCs/>
              </w:rPr>
            </w:pPr>
            <w:r>
              <w:rPr>
                <w:rFonts w:eastAsia="Calibri" w:cs="Calibri Light"/>
                <w:b w:val="0"/>
                <w:bCs/>
              </w:rPr>
              <w:t>20/428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72080972" w14:textId="77777777" w:rsidR="00C425A0" w:rsidRPr="00C80EBD" w:rsidRDefault="00C425A0" w:rsidP="001608E9">
            <w:pPr>
              <w:pStyle w:val="In-tableHeading"/>
              <w:jc w:val="center"/>
              <w:rPr>
                <w:b w:val="0"/>
                <w:bCs/>
              </w:rPr>
            </w:pPr>
            <w:r>
              <w:rPr>
                <w:b w:val="0"/>
                <w:bCs/>
              </w:rPr>
              <w:t>3.71 (2.31, 5.97)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95F5885" w14:textId="77777777" w:rsidR="00C425A0" w:rsidRDefault="00C425A0" w:rsidP="001608E9">
            <w:pPr>
              <w:pStyle w:val="In-tableHeading"/>
              <w:jc w:val="center"/>
              <w:rPr>
                <w:b w:val="0"/>
                <w:bCs/>
              </w:rPr>
            </w:pPr>
            <w:r>
              <w:rPr>
                <w:b w:val="0"/>
                <w:bCs/>
              </w:rPr>
              <w:t>17.3</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D3B4C5" w14:textId="77777777" w:rsidR="00C425A0" w:rsidRDefault="00C425A0" w:rsidP="001608E9">
            <w:pPr>
              <w:pStyle w:val="In-tableHeading"/>
              <w:jc w:val="center"/>
              <w:rPr>
                <w:b w:val="0"/>
                <w:bCs/>
              </w:rPr>
            </w:pPr>
            <w:r>
              <w:rPr>
                <w:b w:val="0"/>
                <w:bCs/>
              </w:rPr>
              <w:t>4.7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9CAA3DC" w14:textId="77777777" w:rsidR="00C425A0" w:rsidRDefault="00C425A0" w:rsidP="001608E9">
            <w:pPr>
              <w:pStyle w:val="In-tableHeading"/>
              <w:jc w:val="center"/>
              <w:rPr>
                <w:b w:val="0"/>
                <w:bCs/>
              </w:rPr>
            </w:pPr>
            <w:r w:rsidRPr="00FE6B9B">
              <w:rPr>
                <w:b w:val="0"/>
                <w:bCs/>
              </w:rPr>
              <w:t xml:space="preserve">12.7% </w:t>
            </w:r>
          </w:p>
          <w:p w14:paraId="1DFD14E7" w14:textId="77777777" w:rsidR="00C425A0" w:rsidRPr="00C80EBD" w:rsidRDefault="00C425A0" w:rsidP="001608E9">
            <w:pPr>
              <w:pStyle w:val="In-tableHeading"/>
              <w:jc w:val="center"/>
              <w:rPr>
                <w:b w:val="0"/>
                <w:bCs/>
              </w:rPr>
            </w:pPr>
            <w:r w:rsidRPr="00FE6B9B">
              <w:rPr>
                <w:b w:val="0"/>
                <w:bCs/>
              </w:rPr>
              <w:t>(8.5%, 16.8%)</w:t>
            </w:r>
          </w:p>
        </w:tc>
      </w:tr>
      <w:tr w:rsidR="004D5EC0" w:rsidRPr="0098262F" w14:paraId="51783009"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44B46B17" w14:textId="43D64556" w:rsidR="004D5EC0" w:rsidRPr="004D5EC0" w:rsidRDefault="004D5EC0" w:rsidP="001608E9">
            <w:pPr>
              <w:pStyle w:val="In-tableHeading"/>
              <w:rPr>
                <w:rFonts w:eastAsia="Calibri" w:cs="Calibri Light"/>
              </w:rPr>
            </w:pPr>
            <w:r w:rsidRPr="004D5EC0">
              <w:rPr>
                <w:rFonts w:eastAsia="Calibri" w:cs="Calibri Light"/>
              </w:rPr>
              <w:t>VTE TEAEs</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87D32E9" w14:textId="77777777" w:rsidR="004D5EC0" w:rsidRDefault="004D5EC0" w:rsidP="001608E9">
            <w:pPr>
              <w:pStyle w:val="In-tableHeading"/>
              <w:jc w:val="center"/>
              <w:rPr>
                <w:rFonts w:eastAsia="Calibri" w:cs="Calibri Light"/>
                <w:b w:val="0"/>
                <w:bCs/>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56170184" w14:textId="77777777" w:rsidR="004D5EC0" w:rsidRDefault="004D5EC0" w:rsidP="001608E9">
            <w:pPr>
              <w:pStyle w:val="In-tableHeading"/>
              <w:jc w:val="center"/>
              <w:rPr>
                <w:rFonts w:eastAsia="Calibri" w:cs="Calibri Light"/>
                <w:b w:val="0"/>
                <w:bCs/>
              </w:rPr>
            </w:pP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4BA1FBDF" w14:textId="77777777" w:rsidR="004D5EC0" w:rsidRDefault="004D5EC0" w:rsidP="001608E9">
            <w:pPr>
              <w:pStyle w:val="In-tableHeading"/>
              <w:jc w:val="center"/>
              <w:rPr>
                <w:b w:val="0"/>
                <w:bCs/>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0486877" w14:textId="77777777" w:rsidR="004D5EC0" w:rsidRDefault="004D5EC0" w:rsidP="001608E9">
            <w:pPr>
              <w:pStyle w:val="In-tableHeading"/>
              <w:jc w:val="center"/>
              <w:rPr>
                <w:b w:val="0"/>
                <w:bCs/>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DC5787" w14:textId="77777777" w:rsidR="004D5EC0" w:rsidRDefault="004D5EC0" w:rsidP="001608E9">
            <w:pPr>
              <w:pStyle w:val="In-tableHeading"/>
              <w:jc w:val="center"/>
              <w:rPr>
                <w:b w:val="0"/>
                <w:bCs/>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41695A8" w14:textId="77777777" w:rsidR="004D5EC0" w:rsidRPr="00FE6B9B" w:rsidRDefault="004D5EC0" w:rsidP="001608E9">
            <w:pPr>
              <w:pStyle w:val="In-tableHeading"/>
              <w:jc w:val="center"/>
              <w:rPr>
                <w:b w:val="0"/>
                <w:bCs/>
              </w:rPr>
            </w:pPr>
          </w:p>
        </w:tc>
      </w:tr>
      <w:tr w:rsidR="004D5EC0" w:rsidRPr="0098262F" w14:paraId="5740C24F"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E595763" w14:textId="239A9685" w:rsidR="004D5EC0" w:rsidRDefault="004D5EC0" w:rsidP="001608E9">
            <w:pPr>
              <w:pStyle w:val="In-tableHeading"/>
              <w:rPr>
                <w:rFonts w:eastAsia="Calibri" w:cs="Calibri Light"/>
                <w:b w:val="0"/>
                <w:bCs/>
              </w:rPr>
            </w:pPr>
            <w:r w:rsidRPr="004D5EC0">
              <w:rPr>
                <w:rFonts w:eastAsia="Calibri" w:cs="Calibri Light"/>
                <w:b w:val="0"/>
                <w:bCs/>
              </w:rPr>
              <w:t>Subjects with 1 or more VTEs of any Grade</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647A318D" w14:textId="6990D175" w:rsidR="004D5EC0" w:rsidRDefault="004D5EC0" w:rsidP="001608E9">
            <w:pPr>
              <w:pStyle w:val="In-tableHeading"/>
              <w:jc w:val="center"/>
              <w:rPr>
                <w:rFonts w:eastAsia="Calibri" w:cs="Calibri Light"/>
                <w:b w:val="0"/>
                <w:bCs/>
              </w:rPr>
            </w:pPr>
            <w:r>
              <w:rPr>
                <w:rFonts w:eastAsia="Calibri" w:cs="Calibri Light"/>
                <w:b w:val="0"/>
                <w:bCs/>
              </w:rPr>
              <w:t>157/421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3ECBDE17" w14:textId="11FFA8EE" w:rsidR="004D5EC0" w:rsidRDefault="004D5EC0" w:rsidP="001608E9">
            <w:pPr>
              <w:pStyle w:val="In-tableHeading"/>
              <w:jc w:val="center"/>
              <w:rPr>
                <w:rFonts w:eastAsia="Calibri" w:cs="Calibri Light"/>
                <w:b w:val="0"/>
                <w:bCs/>
              </w:rPr>
            </w:pPr>
            <w:r>
              <w:rPr>
                <w:rFonts w:eastAsia="Calibri" w:cs="Calibri Light"/>
                <w:b w:val="0"/>
                <w:bCs/>
              </w:rPr>
              <w:t>39/428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E13F977" w14:textId="24FB51A6" w:rsidR="004D5EC0" w:rsidRDefault="00286E96" w:rsidP="001608E9">
            <w:pPr>
              <w:pStyle w:val="In-tableHeading"/>
              <w:jc w:val="center"/>
              <w:rPr>
                <w:b w:val="0"/>
                <w:bCs/>
              </w:rPr>
            </w:pPr>
            <w:r>
              <w:rPr>
                <w:b w:val="0"/>
                <w:bCs/>
              </w:rPr>
              <w:t>4.09 (2.96, 5.66)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F560D4A" w14:textId="4B24371C" w:rsidR="004D5EC0" w:rsidRDefault="00286E96" w:rsidP="001608E9">
            <w:pPr>
              <w:pStyle w:val="In-tableHeading"/>
              <w:jc w:val="center"/>
              <w:rPr>
                <w:b w:val="0"/>
                <w:bCs/>
              </w:rPr>
            </w:pPr>
            <w:r>
              <w:rPr>
                <w:b w:val="0"/>
                <w:bCs/>
              </w:rPr>
              <w:t>37.3</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348BF87" w14:textId="66C35F91" w:rsidR="004D5EC0" w:rsidRDefault="00286E96" w:rsidP="001608E9">
            <w:pPr>
              <w:pStyle w:val="In-tableHeading"/>
              <w:jc w:val="center"/>
              <w:rPr>
                <w:b w:val="0"/>
                <w:bCs/>
              </w:rPr>
            </w:pPr>
            <w:r>
              <w:rPr>
                <w:b w:val="0"/>
                <w:bCs/>
              </w:rPr>
              <w:t>9.1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574B817" w14:textId="77777777" w:rsidR="00B31234" w:rsidRDefault="00286E96" w:rsidP="001608E9">
            <w:pPr>
              <w:pStyle w:val="In-tableHeading"/>
              <w:jc w:val="center"/>
              <w:rPr>
                <w:b w:val="0"/>
                <w:bCs/>
              </w:rPr>
            </w:pPr>
            <w:r>
              <w:rPr>
                <w:b w:val="0"/>
                <w:bCs/>
              </w:rPr>
              <w:t xml:space="preserve">28.2% </w:t>
            </w:r>
          </w:p>
          <w:p w14:paraId="08E86A40" w14:textId="793BC801" w:rsidR="004D5EC0" w:rsidRPr="00FE6B9B" w:rsidRDefault="00286E96" w:rsidP="001608E9">
            <w:pPr>
              <w:pStyle w:val="In-tableHeading"/>
              <w:jc w:val="center"/>
              <w:rPr>
                <w:b w:val="0"/>
                <w:bCs/>
              </w:rPr>
            </w:pPr>
            <w:r>
              <w:rPr>
                <w:b w:val="0"/>
                <w:bCs/>
              </w:rPr>
              <w:t>(22.8%, 33.5%)</w:t>
            </w:r>
          </w:p>
        </w:tc>
      </w:tr>
      <w:tr w:rsidR="004D5EC0" w:rsidRPr="0098262F" w14:paraId="384648B3" w14:textId="77777777" w:rsidTr="002925CE">
        <w:trPr>
          <w:trHeight w:val="232"/>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551CED3A" w14:textId="27221D2C" w:rsidR="004D5EC0" w:rsidRDefault="004D5EC0" w:rsidP="001608E9">
            <w:pPr>
              <w:pStyle w:val="In-tableHeading"/>
              <w:rPr>
                <w:rFonts w:eastAsia="Calibri" w:cs="Calibri Light"/>
                <w:b w:val="0"/>
                <w:bCs/>
              </w:rPr>
            </w:pPr>
            <w:r>
              <w:rPr>
                <w:rFonts w:eastAsia="Calibri" w:cs="Calibri Light"/>
                <w:b w:val="0"/>
                <w:bCs/>
              </w:rPr>
              <w:t xml:space="preserve">Grade 3 VTE </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51C59B84" w14:textId="3FB7BCD5" w:rsidR="004D5EC0" w:rsidRDefault="004D5EC0" w:rsidP="001608E9">
            <w:pPr>
              <w:pStyle w:val="In-tableHeading"/>
              <w:jc w:val="center"/>
              <w:rPr>
                <w:rFonts w:eastAsia="Calibri" w:cs="Calibri Light"/>
                <w:b w:val="0"/>
                <w:bCs/>
              </w:rPr>
            </w:pPr>
            <w:r>
              <w:rPr>
                <w:rFonts w:eastAsia="Calibri" w:cs="Calibri Light"/>
                <w:b w:val="0"/>
                <w:bCs/>
              </w:rPr>
              <w:t>43/421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24EC01CE" w14:textId="2CFB4EDC" w:rsidR="004D5EC0" w:rsidRDefault="004D5EC0" w:rsidP="001608E9">
            <w:pPr>
              <w:pStyle w:val="In-tableHeading"/>
              <w:jc w:val="center"/>
              <w:rPr>
                <w:rFonts w:eastAsia="Calibri" w:cs="Calibri Light"/>
                <w:b w:val="0"/>
                <w:bCs/>
              </w:rPr>
            </w:pPr>
            <w:r>
              <w:rPr>
                <w:rFonts w:eastAsia="Calibri" w:cs="Calibri Light"/>
                <w:b w:val="0"/>
                <w:bCs/>
              </w:rPr>
              <w:t>12/428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14:paraId="0D0DF010" w14:textId="069A5DFF" w:rsidR="004D5EC0" w:rsidRDefault="00286E96" w:rsidP="001608E9">
            <w:pPr>
              <w:pStyle w:val="In-tableHeading"/>
              <w:jc w:val="center"/>
              <w:rPr>
                <w:b w:val="0"/>
                <w:bCs/>
              </w:rPr>
            </w:pPr>
            <w:r>
              <w:rPr>
                <w:b w:val="0"/>
                <w:bCs/>
              </w:rPr>
              <w:t>3.64 (1.95, 6.81)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ABF6070" w14:textId="35880DCB" w:rsidR="004D5EC0" w:rsidRDefault="00286E96" w:rsidP="001608E9">
            <w:pPr>
              <w:pStyle w:val="In-tableHeading"/>
              <w:jc w:val="center"/>
              <w:rPr>
                <w:b w:val="0"/>
                <w:bCs/>
              </w:rPr>
            </w:pPr>
            <w:r>
              <w:rPr>
                <w:b w:val="0"/>
                <w:bCs/>
              </w:rPr>
              <w:t>10.2</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AE3A598" w14:textId="0C58F4F9" w:rsidR="004D5EC0" w:rsidRDefault="00286E96" w:rsidP="001608E9">
            <w:pPr>
              <w:pStyle w:val="In-tableHeading"/>
              <w:jc w:val="center"/>
              <w:rPr>
                <w:b w:val="0"/>
                <w:bCs/>
              </w:rPr>
            </w:pPr>
            <w:r>
              <w:rPr>
                <w:b w:val="0"/>
                <w:bCs/>
              </w:rPr>
              <w:t>2.8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13B99265" w14:textId="77777777" w:rsidR="00B31234" w:rsidRDefault="00286E96" w:rsidP="001608E9">
            <w:pPr>
              <w:pStyle w:val="In-tableHeading"/>
              <w:jc w:val="center"/>
              <w:rPr>
                <w:b w:val="0"/>
                <w:bCs/>
              </w:rPr>
            </w:pPr>
            <w:r>
              <w:rPr>
                <w:b w:val="0"/>
                <w:bCs/>
              </w:rPr>
              <w:t xml:space="preserve">7.4% </w:t>
            </w:r>
          </w:p>
          <w:p w14:paraId="1A548A31" w14:textId="69C70938" w:rsidR="004D5EC0" w:rsidRPr="00FE6B9B" w:rsidRDefault="00286E96" w:rsidP="001608E9">
            <w:pPr>
              <w:pStyle w:val="In-tableHeading"/>
              <w:jc w:val="center"/>
              <w:rPr>
                <w:b w:val="0"/>
                <w:bCs/>
              </w:rPr>
            </w:pPr>
            <w:r>
              <w:rPr>
                <w:b w:val="0"/>
                <w:bCs/>
              </w:rPr>
              <w:t>(4.1%, 10.7%)</w:t>
            </w:r>
          </w:p>
        </w:tc>
      </w:tr>
    </w:tbl>
    <w:p w14:paraId="52046744" w14:textId="7314FF93" w:rsidR="00C425A0" w:rsidRDefault="00C425A0" w:rsidP="001608E9">
      <w:pPr>
        <w:pStyle w:val="TableFigureFooter"/>
        <w:keepNext/>
        <w:widowControl/>
      </w:pPr>
      <w:r w:rsidRPr="589E218A">
        <w:t>Source: Table 2.25 p 93, Table 2.28, p 100, Table 2.41, pp 120 – 121 and Table 2.43, p 126, of the submission.</w:t>
      </w:r>
      <w:r>
        <w:br/>
      </w:r>
      <w:r w:rsidRPr="589E218A">
        <w:t>AE = adverse event, A+L=amivantamab plus lazertinib, CCO = clinical cut-off, CI = confidence interval, HR = hazard ratio; NE = not estimable, OS = overall survival, PFS = progression free survival, RD = risk difference; RR = risk ratio, TEAE = treatment-emergent adverse event</w:t>
      </w:r>
      <w:r w:rsidR="00286E96" w:rsidRPr="589E218A">
        <w:t>, VTE = Venous thromboembolic event</w:t>
      </w:r>
      <w:r w:rsidRPr="589E218A">
        <w:t>.</w:t>
      </w:r>
      <w:r>
        <w:br/>
      </w:r>
      <w:r w:rsidRPr="589E218A">
        <w:rPr>
          <w:vertAlign w:val="superscript"/>
        </w:rPr>
        <w:t>a</w:t>
      </w:r>
      <w:r w:rsidRPr="589E218A">
        <w:t xml:space="preserve"> p-value is from a log-rank test stratified by mutation type (exon 19del or exon 21 L858R), race (Asian or Non-Asian), and history of brain metastasis (present or absent).</w:t>
      </w:r>
    </w:p>
    <w:p w14:paraId="0DFA8043" w14:textId="77777777" w:rsidR="00C425A0" w:rsidRDefault="00C425A0" w:rsidP="001608E9">
      <w:pPr>
        <w:pStyle w:val="TableFigureFooter"/>
        <w:keepNext/>
        <w:widowControl/>
      </w:pPr>
      <w:r w:rsidRPr="589E218A">
        <w:rPr>
          <w:vertAlign w:val="superscript"/>
        </w:rPr>
        <w:t>b</w:t>
      </w:r>
      <w:r w:rsidRPr="589E218A">
        <w:t xml:space="preserve"> Hazard ratio is from a stratified proportional hazards model. Hazard ratio &lt;1 favours amivantamab + lazertinib.</w:t>
      </w:r>
      <w:r>
        <w:br/>
      </w:r>
      <w:r w:rsidRPr="589E218A">
        <w:t>Patients are counted only once for any given event, regardless of the number of times they actually experienced the event.</w:t>
      </w:r>
    </w:p>
    <w:p w14:paraId="5E1734AC" w14:textId="77777777" w:rsidR="00C425A0" w:rsidRDefault="00C425A0" w:rsidP="007A7746">
      <w:pPr>
        <w:pStyle w:val="TableFigureFooter"/>
      </w:pPr>
      <w:r>
        <w:t>The event experienced with the worst toxicity is used.</w:t>
      </w:r>
    </w:p>
    <w:p w14:paraId="3B4C9C60" w14:textId="77777777" w:rsidR="00C425A0" w:rsidRPr="0098262F" w:rsidRDefault="00C425A0" w:rsidP="00311BFE">
      <w:pPr>
        <w:pStyle w:val="3-BodyText"/>
        <w:ind w:left="709" w:hanging="709"/>
      </w:pPr>
      <w:r w:rsidRPr="589E218A">
        <w:t>On the basis of direct evidence presented by the submission, for every 100 patients treated with A+L in comparison with osimertinib:</w:t>
      </w:r>
    </w:p>
    <w:p w14:paraId="0517EC51" w14:textId="77777777" w:rsidR="00C425A0" w:rsidRDefault="00C425A0" w:rsidP="009F3AE9">
      <w:pPr>
        <w:pStyle w:val="ListParagraph"/>
        <w:ind w:left="1276"/>
        <w:jc w:val="both"/>
      </w:pPr>
      <w:r w:rsidRPr="0098262F">
        <w:t xml:space="preserve">Approximately </w:t>
      </w:r>
      <w:r>
        <w:t>14 more patients would remain progression free at 24 months.</w:t>
      </w:r>
    </w:p>
    <w:p w14:paraId="01D17FF3" w14:textId="77777777" w:rsidR="00C425A0" w:rsidRDefault="00C425A0" w:rsidP="009F3AE9">
      <w:pPr>
        <w:pStyle w:val="ListParagraph"/>
        <w:ind w:left="1276"/>
        <w:jc w:val="both"/>
      </w:pPr>
      <w:r>
        <w:t>Approximately 5 more patients would remain alive at 24 months, and 8 more patients would remain alive at 36 months.</w:t>
      </w:r>
    </w:p>
    <w:p w14:paraId="5D263A4F" w14:textId="77777777" w:rsidR="00C425A0" w:rsidRPr="0098262F" w:rsidRDefault="00C425A0" w:rsidP="00311BFE">
      <w:pPr>
        <w:pStyle w:val="3-BodyText"/>
        <w:ind w:left="709" w:hanging="709"/>
      </w:pPr>
      <w:r w:rsidRPr="589E218A">
        <w:t>On the basis of direct evidence presented by the submission, for every 100 patients treated with A+L in comparison with osimertinib and followed over a duration of approximately 22.0 months:</w:t>
      </w:r>
    </w:p>
    <w:p w14:paraId="1E97C8E9" w14:textId="77777777" w:rsidR="00C425A0" w:rsidRDefault="00C425A0" w:rsidP="009F3AE9">
      <w:pPr>
        <w:pStyle w:val="ListParagraph"/>
        <w:ind w:left="1276"/>
        <w:jc w:val="both"/>
      </w:pPr>
      <w:r>
        <w:t>Approximately 15 more patients would experience a treatment emergent adverse event classified with a severity of ‘serious’.</w:t>
      </w:r>
    </w:p>
    <w:p w14:paraId="400365D1" w14:textId="77777777" w:rsidR="00C425A0" w:rsidRDefault="00C425A0" w:rsidP="009F3AE9">
      <w:pPr>
        <w:pStyle w:val="ListParagraph"/>
        <w:ind w:left="1276"/>
        <w:jc w:val="both"/>
      </w:pPr>
      <w:r>
        <w:t>Approximately 21 more patients would experience a treatment emergent adverse event leading to discontinuation of a study treatment.</w:t>
      </w:r>
    </w:p>
    <w:p w14:paraId="5D65CE3A" w14:textId="77777777" w:rsidR="00C425A0" w:rsidRDefault="00C425A0" w:rsidP="009F3AE9">
      <w:pPr>
        <w:pStyle w:val="ListParagraph"/>
        <w:ind w:left="1276"/>
        <w:jc w:val="both"/>
      </w:pPr>
      <w:r>
        <w:t xml:space="preserve">Approximately 6 more patients would experience a Grade 3 or higher reaction related to the infusion of A+L. </w:t>
      </w:r>
    </w:p>
    <w:p w14:paraId="25A575F7" w14:textId="77777777" w:rsidR="00C425A0" w:rsidRDefault="00C425A0" w:rsidP="009F3AE9">
      <w:pPr>
        <w:pStyle w:val="ListParagraph"/>
        <w:ind w:left="1276"/>
        <w:jc w:val="both"/>
      </w:pPr>
      <w:r>
        <w:t>Approximately 11 more patients would experience Grade 3 or higher paronychia (nail infection).</w:t>
      </w:r>
    </w:p>
    <w:p w14:paraId="57AB57FA" w14:textId="77777777" w:rsidR="00C425A0" w:rsidRDefault="00C425A0" w:rsidP="009F3AE9">
      <w:pPr>
        <w:pStyle w:val="ListParagraph"/>
        <w:ind w:left="1276"/>
        <w:jc w:val="both"/>
      </w:pPr>
      <w:r>
        <w:t>Approximately 15 more patients would experience Grade 3 or higher rash.</w:t>
      </w:r>
    </w:p>
    <w:p w14:paraId="635AE417" w14:textId="77777777" w:rsidR="00C425A0" w:rsidRDefault="00C425A0" w:rsidP="009F3AE9">
      <w:pPr>
        <w:pStyle w:val="ListParagraph"/>
        <w:ind w:left="1276"/>
        <w:jc w:val="both"/>
      </w:pPr>
      <w:r>
        <w:t>Approximately 12 more patients would experience deep vein thrombosis (blood clot that forms in a vein) of any grade.</w:t>
      </w:r>
    </w:p>
    <w:p w14:paraId="30ED3121" w14:textId="77777777" w:rsidR="00C425A0" w:rsidRDefault="00C425A0" w:rsidP="009F3AE9">
      <w:pPr>
        <w:pStyle w:val="ListParagraph"/>
        <w:ind w:left="1276"/>
        <w:jc w:val="both"/>
      </w:pPr>
      <w:r>
        <w:t>Approximately 13 more patients would experience a pulmonary embolism (</w:t>
      </w:r>
      <w:r w:rsidRPr="00CC0D82">
        <w:t>blood clot</w:t>
      </w:r>
      <w:r>
        <w:t xml:space="preserve"> that forms in an artery in the lungs) of any grade.</w:t>
      </w:r>
    </w:p>
    <w:p w14:paraId="2AF6D812" w14:textId="7380E74E" w:rsidR="00286E96" w:rsidRDefault="00286E96" w:rsidP="009F3AE9">
      <w:pPr>
        <w:pStyle w:val="ListParagraph"/>
        <w:ind w:left="1276"/>
        <w:jc w:val="both"/>
      </w:pPr>
      <w:r>
        <w:t>Approximately 28 more patients would experience 1 or more venous thrombolytic event of any grade.</w:t>
      </w:r>
    </w:p>
    <w:p w14:paraId="47E38856" w14:textId="543A330F" w:rsidR="00286E96" w:rsidRDefault="00286E96" w:rsidP="009F3AE9">
      <w:pPr>
        <w:pStyle w:val="ListParagraph"/>
        <w:ind w:left="1276"/>
        <w:jc w:val="both"/>
      </w:pPr>
      <w:r>
        <w:t>Approximately 7 more patients would experience Grade 3 venous thrombolytic event.</w:t>
      </w:r>
    </w:p>
    <w:p w14:paraId="5946F094" w14:textId="77777777" w:rsidR="00754A1B" w:rsidRPr="0098262F" w:rsidRDefault="00754A1B" w:rsidP="00754A1B">
      <w:pPr>
        <w:pStyle w:val="4-SubsectionHeading"/>
      </w:pPr>
      <w:bookmarkStart w:id="75" w:name="_Toc22897644"/>
      <w:bookmarkStart w:id="76" w:name="_Toc107927630"/>
      <w:bookmarkStart w:id="77" w:name="_Toc188452574"/>
      <w:r w:rsidRPr="0098262F">
        <w:t>Clinical claim</w:t>
      </w:r>
      <w:bookmarkEnd w:id="75"/>
      <w:bookmarkEnd w:id="76"/>
      <w:bookmarkEnd w:id="77"/>
    </w:p>
    <w:p w14:paraId="479E6F87" w14:textId="3E9C1523" w:rsidR="0014558B" w:rsidRPr="007E3B9C" w:rsidRDefault="00754A1B" w:rsidP="001C78D1">
      <w:pPr>
        <w:pStyle w:val="3-BodyText"/>
        <w:ind w:left="709" w:hanging="709"/>
      </w:pPr>
      <w:r w:rsidRPr="007E3B9C">
        <w:t>The submission claimed that treatment with A+L was superior in efficacy</w:t>
      </w:r>
      <w:r w:rsidR="00B942D9" w:rsidRPr="007E3B9C">
        <w:t xml:space="preserve">, in terms of </w:t>
      </w:r>
      <w:r w:rsidRPr="007E3B9C">
        <w:t xml:space="preserve">PFS </w:t>
      </w:r>
      <w:r w:rsidR="00B942D9" w:rsidRPr="007E3B9C">
        <w:t>and</w:t>
      </w:r>
      <w:r w:rsidRPr="007E3B9C">
        <w:t xml:space="preserve"> OS</w:t>
      </w:r>
      <w:r w:rsidR="00B942D9" w:rsidRPr="007E3B9C">
        <w:t>,</w:t>
      </w:r>
      <w:r w:rsidR="00EA1DEE" w:rsidRPr="007E3B9C">
        <w:t xml:space="preserve"> and inferior </w:t>
      </w:r>
      <w:r w:rsidR="003F1A08" w:rsidRPr="007E3B9C">
        <w:t>but manageable in safety</w:t>
      </w:r>
      <w:r w:rsidRPr="007E3B9C">
        <w:t xml:space="preserve"> compared to osimertinib.</w:t>
      </w:r>
      <w:r w:rsidR="00D4634D" w:rsidRPr="007E3B9C">
        <w:t xml:space="preserve"> </w:t>
      </w:r>
    </w:p>
    <w:p w14:paraId="1B59FD75" w14:textId="52E3AD3C" w:rsidR="0014558B" w:rsidRDefault="00567480" w:rsidP="007E3B9C">
      <w:pPr>
        <w:pStyle w:val="3-BodyText"/>
        <w:keepNext/>
        <w:numPr>
          <w:ilvl w:val="0"/>
          <w:numId w:val="0"/>
        </w:numPr>
      </w:pPr>
      <w:r>
        <w:rPr>
          <w:b/>
          <w:bCs/>
        </w:rPr>
        <w:t>Effectiveness for l</w:t>
      </w:r>
      <w:r w:rsidR="0014558B" w:rsidRPr="00596FAC">
        <w:rPr>
          <w:b/>
          <w:bCs/>
        </w:rPr>
        <w:t>ocally advanced or metastatic population</w:t>
      </w:r>
      <w:r w:rsidR="0014558B">
        <w:rPr>
          <w:b/>
          <w:bCs/>
        </w:rPr>
        <w:t xml:space="preserve"> diagnosed </w:t>
      </w:r>
      <w:r w:rsidR="0014558B" w:rsidRPr="00BD65C0">
        <w:rPr>
          <w:b/>
          <w:bCs/>
          <w:i/>
          <w:iCs/>
        </w:rPr>
        <w:t>de novo</w:t>
      </w:r>
    </w:p>
    <w:p w14:paraId="5B557FE6" w14:textId="3EC66565" w:rsidR="009E0019" w:rsidRPr="009E0019" w:rsidRDefault="00754A1B" w:rsidP="001C78D1">
      <w:pPr>
        <w:pStyle w:val="3-BodyText"/>
        <w:ind w:left="709" w:hanging="709"/>
      </w:pPr>
      <w:r w:rsidRPr="589E218A">
        <w:t xml:space="preserve">The clinical efficacy claim was </w:t>
      </w:r>
      <w:r w:rsidRPr="000978E5">
        <w:t>supported by statistically significant and clinically meaningful observed improvement</w:t>
      </w:r>
      <w:r w:rsidR="0095513C" w:rsidRPr="000978E5">
        <w:t>s</w:t>
      </w:r>
      <w:r w:rsidRPr="000978E5">
        <w:t xml:space="preserve"> in PFS</w:t>
      </w:r>
      <w:r w:rsidR="000978E5" w:rsidRPr="000978E5">
        <w:t xml:space="preserve"> </w:t>
      </w:r>
      <w:r w:rsidR="000978E5" w:rsidRPr="000978E5">
        <w:rPr>
          <w:snapToGrid w:val="0"/>
          <w:szCs w:val="20"/>
        </w:rPr>
        <w:t>(</w:t>
      </w:r>
      <w:r w:rsidR="000978E5" w:rsidRPr="000978E5">
        <w:rPr>
          <w:rStyle w:val="3-BodyTextChar"/>
        </w:rPr>
        <w:t>HR=0.70 [95% CI: 0.58, 0.85], p=0.0002</w:t>
      </w:r>
      <w:r w:rsidR="000978E5" w:rsidRPr="000978E5">
        <w:rPr>
          <w:snapToGrid w:val="0"/>
          <w:szCs w:val="20"/>
        </w:rPr>
        <w:t>)</w:t>
      </w:r>
      <w:r w:rsidR="00224901" w:rsidRPr="000978E5">
        <w:t xml:space="preserve"> and</w:t>
      </w:r>
      <w:r w:rsidRPr="000978E5">
        <w:t xml:space="preserve"> OS</w:t>
      </w:r>
      <w:r w:rsidR="000978E5" w:rsidRPr="000978E5">
        <w:t xml:space="preserve"> </w:t>
      </w:r>
      <w:r w:rsidR="000978E5" w:rsidRPr="000978E5">
        <w:rPr>
          <w:snapToGrid w:val="0"/>
          <w:szCs w:val="20"/>
        </w:rPr>
        <w:t>(</w:t>
      </w:r>
      <w:r w:rsidR="000978E5" w:rsidRPr="000978E5">
        <w:rPr>
          <w:rStyle w:val="3-BodyTextChar"/>
        </w:rPr>
        <w:t>HR=0.77 [95% CI: 0.61, 0.96], p=0.02</w:t>
      </w:r>
      <w:r w:rsidR="000978E5" w:rsidRPr="000978E5">
        <w:rPr>
          <w:snapToGrid w:val="0"/>
          <w:szCs w:val="20"/>
        </w:rPr>
        <w:t>)</w:t>
      </w:r>
      <w:r w:rsidRPr="000978E5">
        <w:t xml:space="preserve"> </w:t>
      </w:r>
      <w:r w:rsidR="00E74F2A" w:rsidRPr="000978E5">
        <w:t>for</w:t>
      </w:r>
      <w:r w:rsidR="00E74F2A">
        <w:t xml:space="preserve"> </w:t>
      </w:r>
      <w:r w:rsidRPr="589E218A">
        <w:t>A+L</w:t>
      </w:r>
      <w:r w:rsidR="00E74F2A">
        <w:t xml:space="preserve"> patients</w:t>
      </w:r>
      <w:r w:rsidRPr="589E218A">
        <w:t xml:space="preserve"> compared to osimertinib</w:t>
      </w:r>
      <w:r w:rsidR="00114B4C" w:rsidRPr="589E218A">
        <w:t>;</w:t>
      </w:r>
      <w:r w:rsidRPr="589E218A">
        <w:t xml:space="preserve"> </w:t>
      </w:r>
      <w:r w:rsidR="00114B4C" w:rsidRPr="589E218A">
        <w:t>h</w:t>
      </w:r>
      <w:r w:rsidRPr="589E218A">
        <w:t>owever,</w:t>
      </w:r>
      <w:r w:rsidR="00C10CF4" w:rsidRPr="589E218A">
        <w:t xml:space="preserve"> </w:t>
      </w:r>
      <w:r w:rsidR="00C10CF4" w:rsidRPr="00F46BA2">
        <w:t>the ESC agreed with the evaluation that</w:t>
      </w:r>
      <w:r w:rsidRPr="00F46BA2">
        <w:t xml:space="preserve"> </w:t>
      </w:r>
      <w:r w:rsidRPr="589E218A">
        <w:t>the magnitude of the OS benefit remains uncertain given</w:t>
      </w:r>
      <w:r w:rsidR="00C33C16" w:rsidRPr="589E218A">
        <w:t xml:space="preserve"> that</w:t>
      </w:r>
      <w:r w:rsidR="009E0019" w:rsidRPr="589E218A">
        <w:t>:</w:t>
      </w:r>
    </w:p>
    <w:p w14:paraId="59C71FA9" w14:textId="09BE7DF7" w:rsidR="00F34019" w:rsidRPr="00294526" w:rsidRDefault="00CB5FE6" w:rsidP="009F3AE9">
      <w:pPr>
        <w:pStyle w:val="ListParagraph"/>
        <w:ind w:left="1276"/>
        <w:jc w:val="both"/>
        <w:rPr>
          <w:iCs/>
        </w:rPr>
      </w:pPr>
      <w:r w:rsidRPr="009F3AE9">
        <w:t>T</w:t>
      </w:r>
      <w:r w:rsidR="00754A1B" w:rsidRPr="009F3AE9">
        <w:t>he</w:t>
      </w:r>
      <w:r w:rsidR="00754A1B" w:rsidRPr="002464B3">
        <w:rPr>
          <w:iCs/>
        </w:rPr>
        <w:t xml:space="preserve"> OS data provided</w:t>
      </w:r>
      <w:r w:rsidR="00B834E6">
        <w:rPr>
          <w:iCs/>
        </w:rPr>
        <w:t xml:space="preserve"> was immature</w:t>
      </w:r>
      <w:r w:rsidR="00754A1B" w:rsidRPr="002464B3">
        <w:rPr>
          <w:iCs/>
        </w:rPr>
        <w:t xml:space="preserve">, with the median OS not yet reached for the A+L </w:t>
      </w:r>
      <w:r w:rsidR="00754A1B" w:rsidRPr="00ED6C98">
        <w:rPr>
          <w:iCs/>
        </w:rPr>
        <w:t>arm</w:t>
      </w:r>
      <w:r w:rsidR="00F767C4" w:rsidRPr="00ED6C98">
        <w:rPr>
          <w:iCs/>
        </w:rPr>
        <w:t xml:space="preserve"> (paragraph </w:t>
      </w:r>
      <w:r w:rsidR="00BC2DD4" w:rsidRPr="00ED6C98">
        <w:rPr>
          <w:iCs/>
        </w:rPr>
        <w:fldChar w:fldCharType="begin"/>
      </w:r>
      <w:r w:rsidR="00BC2DD4" w:rsidRPr="00ED6C98">
        <w:rPr>
          <w:iCs/>
        </w:rPr>
        <w:instrText xml:space="preserve"> REF _Ref190334333 \r \h </w:instrText>
      </w:r>
      <w:r w:rsidR="00ED6C98">
        <w:rPr>
          <w:iCs/>
        </w:rPr>
        <w:instrText xml:space="preserve"> \* MERGEFORMAT </w:instrText>
      </w:r>
      <w:r w:rsidR="00BC2DD4" w:rsidRPr="00ED6C98">
        <w:rPr>
          <w:iCs/>
        </w:rPr>
      </w:r>
      <w:r w:rsidR="00BC2DD4" w:rsidRPr="00ED6C98">
        <w:rPr>
          <w:iCs/>
        </w:rPr>
        <w:fldChar w:fldCharType="separate"/>
      </w:r>
      <w:r w:rsidR="00184F9A">
        <w:rPr>
          <w:iCs/>
        </w:rPr>
        <w:t>6.18</w:t>
      </w:r>
      <w:r w:rsidR="00BC2DD4" w:rsidRPr="00ED6C98">
        <w:rPr>
          <w:iCs/>
        </w:rPr>
        <w:fldChar w:fldCharType="end"/>
      </w:r>
      <w:r w:rsidR="0004309F" w:rsidRPr="00ED6C98">
        <w:rPr>
          <w:iCs/>
        </w:rPr>
        <w:t>)</w:t>
      </w:r>
      <w:r w:rsidR="00754A1B" w:rsidRPr="00ED6C98">
        <w:rPr>
          <w:iCs/>
        </w:rPr>
        <w:t>.</w:t>
      </w:r>
      <w:r w:rsidR="00754A1B" w:rsidRPr="00294526">
        <w:rPr>
          <w:iCs/>
        </w:rPr>
        <w:t xml:space="preserve"> </w:t>
      </w:r>
    </w:p>
    <w:p w14:paraId="394369C9" w14:textId="1F5F0F4B" w:rsidR="00F34019" w:rsidRPr="00675ECB" w:rsidRDefault="006D57F6" w:rsidP="009F3AE9">
      <w:pPr>
        <w:pStyle w:val="ListParagraph"/>
        <w:ind w:left="1276"/>
        <w:jc w:val="both"/>
        <w:rPr>
          <w:iCs/>
        </w:rPr>
      </w:pPr>
      <w:r>
        <w:rPr>
          <w:iCs/>
        </w:rPr>
        <w:t>T</w:t>
      </w:r>
      <w:r w:rsidR="00754A1B" w:rsidRPr="00294526">
        <w:rPr>
          <w:iCs/>
        </w:rPr>
        <w:t xml:space="preserve">he proportional </w:t>
      </w:r>
      <w:r w:rsidR="00754A1B" w:rsidRPr="00E85024">
        <w:rPr>
          <w:iCs/>
        </w:rPr>
        <w:t>hazard’s assumption</w:t>
      </w:r>
      <w:r w:rsidR="007E0A92" w:rsidRPr="00E85024">
        <w:rPr>
          <w:iCs/>
        </w:rPr>
        <w:t xml:space="preserve"> was violated for PFS and OS</w:t>
      </w:r>
      <w:r w:rsidR="0004309F" w:rsidRPr="00E85024">
        <w:rPr>
          <w:iCs/>
        </w:rPr>
        <w:t xml:space="preserve"> (</w:t>
      </w:r>
      <w:r w:rsidR="0024588D" w:rsidRPr="00E85024">
        <w:rPr>
          <w:iCs/>
        </w:rPr>
        <w:t>paragraph</w:t>
      </w:r>
      <w:r w:rsidR="00950FDB" w:rsidRPr="00E85024">
        <w:rPr>
          <w:iCs/>
        </w:rPr>
        <w:t xml:space="preserve">s </w:t>
      </w:r>
      <w:r w:rsidR="00950FDB" w:rsidRPr="00E85024">
        <w:rPr>
          <w:iCs/>
        </w:rPr>
        <w:fldChar w:fldCharType="begin"/>
      </w:r>
      <w:r w:rsidR="00950FDB" w:rsidRPr="00E85024">
        <w:rPr>
          <w:iCs/>
        </w:rPr>
        <w:instrText xml:space="preserve"> REF _Ref190334487 \r \h  \* MERGEFORMAT </w:instrText>
      </w:r>
      <w:r w:rsidR="00950FDB" w:rsidRPr="00E85024">
        <w:rPr>
          <w:iCs/>
        </w:rPr>
      </w:r>
      <w:r w:rsidR="00950FDB" w:rsidRPr="00E85024">
        <w:rPr>
          <w:iCs/>
        </w:rPr>
        <w:fldChar w:fldCharType="separate"/>
      </w:r>
      <w:r w:rsidR="00184F9A">
        <w:rPr>
          <w:iCs/>
        </w:rPr>
        <w:t>6.16</w:t>
      </w:r>
      <w:r w:rsidR="00950FDB" w:rsidRPr="00E85024">
        <w:rPr>
          <w:iCs/>
        </w:rPr>
        <w:fldChar w:fldCharType="end"/>
      </w:r>
      <w:r w:rsidR="00950FDB" w:rsidRPr="00E85024">
        <w:rPr>
          <w:iCs/>
        </w:rPr>
        <w:t xml:space="preserve"> and </w:t>
      </w:r>
      <w:r w:rsidR="00950FDB" w:rsidRPr="00E85024">
        <w:rPr>
          <w:iCs/>
        </w:rPr>
        <w:fldChar w:fldCharType="begin"/>
      </w:r>
      <w:r w:rsidR="00950FDB" w:rsidRPr="00E85024">
        <w:rPr>
          <w:iCs/>
        </w:rPr>
        <w:instrText xml:space="preserve"> REF _Ref190334503 \r \h  \* MERGEFORMAT </w:instrText>
      </w:r>
      <w:r w:rsidR="00950FDB" w:rsidRPr="00E85024">
        <w:rPr>
          <w:iCs/>
        </w:rPr>
      </w:r>
      <w:r w:rsidR="00950FDB" w:rsidRPr="00E85024">
        <w:rPr>
          <w:iCs/>
        </w:rPr>
        <w:fldChar w:fldCharType="separate"/>
      </w:r>
      <w:r w:rsidR="00184F9A">
        <w:rPr>
          <w:iCs/>
        </w:rPr>
        <w:t>6.21</w:t>
      </w:r>
      <w:r w:rsidR="00950FDB" w:rsidRPr="00E85024">
        <w:rPr>
          <w:iCs/>
        </w:rPr>
        <w:fldChar w:fldCharType="end"/>
      </w:r>
      <w:r w:rsidR="0004309F" w:rsidRPr="00E85024">
        <w:rPr>
          <w:iCs/>
        </w:rPr>
        <w:t>)</w:t>
      </w:r>
      <w:r w:rsidR="004014F9" w:rsidRPr="00E85024">
        <w:rPr>
          <w:iCs/>
        </w:rPr>
        <w:t xml:space="preserve">; </w:t>
      </w:r>
      <w:r w:rsidR="004014F9" w:rsidRPr="00E85024">
        <w:t>the</w:t>
      </w:r>
      <w:r w:rsidR="004014F9" w:rsidRPr="00675ECB">
        <w:t xml:space="preserve"> OS curves do not appear to separate until month 15</w:t>
      </w:r>
      <w:r w:rsidR="00754A1B" w:rsidRPr="00675ECB">
        <w:rPr>
          <w:iCs/>
        </w:rPr>
        <w:t xml:space="preserve">. </w:t>
      </w:r>
    </w:p>
    <w:p w14:paraId="609045D4" w14:textId="6CCEDDF9" w:rsidR="00C2612C" w:rsidRPr="00000654" w:rsidRDefault="00B91C34" w:rsidP="00204FDD">
      <w:pPr>
        <w:pStyle w:val="ListParagraph"/>
        <w:ind w:left="1276"/>
        <w:jc w:val="both"/>
        <w:rPr>
          <w:iCs/>
        </w:rPr>
      </w:pPr>
      <w:r w:rsidRPr="00294526">
        <w:rPr>
          <w:iCs/>
        </w:rPr>
        <w:t>T</w:t>
      </w:r>
      <w:r w:rsidR="00754A1B" w:rsidRPr="00294526">
        <w:rPr>
          <w:iCs/>
        </w:rPr>
        <w:t xml:space="preserve">he </w:t>
      </w:r>
      <w:r w:rsidR="004D7E85" w:rsidRPr="00294526">
        <w:rPr>
          <w:iCs/>
        </w:rPr>
        <w:t xml:space="preserve">observed </w:t>
      </w:r>
      <w:r w:rsidR="00754A1B" w:rsidRPr="00294526">
        <w:rPr>
          <w:iCs/>
        </w:rPr>
        <w:t>OS benefit may not be realised in Australian clinical practice</w:t>
      </w:r>
      <w:r w:rsidR="004D7E85" w:rsidRPr="00294526">
        <w:rPr>
          <w:iCs/>
        </w:rPr>
        <w:t>,</w:t>
      </w:r>
      <w:r w:rsidR="00754A1B" w:rsidRPr="00294526">
        <w:rPr>
          <w:iCs/>
        </w:rPr>
        <w:t xml:space="preserve"> given that patients in MARIPOSA could continue treatment beyond progression if clinical benefit was </w:t>
      </w:r>
      <w:r w:rsidR="00754A1B" w:rsidRPr="00362157">
        <w:rPr>
          <w:iCs/>
        </w:rPr>
        <w:t>observed</w:t>
      </w:r>
      <w:r w:rsidR="005C55D2" w:rsidRPr="00362157">
        <w:rPr>
          <w:iCs/>
        </w:rPr>
        <w:t xml:space="preserve"> (paragraph </w:t>
      </w:r>
      <w:r w:rsidR="002614C8" w:rsidRPr="00362157">
        <w:rPr>
          <w:iCs/>
        </w:rPr>
        <w:fldChar w:fldCharType="begin"/>
      </w:r>
      <w:r w:rsidR="002614C8" w:rsidRPr="00362157">
        <w:rPr>
          <w:iCs/>
        </w:rPr>
        <w:instrText xml:space="preserve"> REF _Ref190334604 \r \h  \* MERGEFORMAT </w:instrText>
      </w:r>
      <w:r w:rsidR="002614C8" w:rsidRPr="00362157">
        <w:rPr>
          <w:iCs/>
        </w:rPr>
      </w:r>
      <w:r w:rsidR="002614C8" w:rsidRPr="00362157">
        <w:rPr>
          <w:iCs/>
        </w:rPr>
        <w:fldChar w:fldCharType="separate"/>
      </w:r>
      <w:r w:rsidR="00184F9A">
        <w:rPr>
          <w:iCs/>
        </w:rPr>
        <w:t>6.19</w:t>
      </w:r>
      <w:r w:rsidR="002614C8" w:rsidRPr="00362157">
        <w:rPr>
          <w:iCs/>
        </w:rPr>
        <w:fldChar w:fldCharType="end"/>
      </w:r>
      <w:r w:rsidR="005C55D2" w:rsidRPr="00362157">
        <w:rPr>
          <w:iCs/>
        </w:rPr>
        <w:t>)</w:t>
      </w:r>
      <w:r w:rsidR="001E3503" w:rsidRPr="00362157">
        <w:rPr>
          <w:iCs/>
        </w:rPr>
        <w:t xml:space="preserve"> and</w:t>
      </w:r>
      <w:r w:rsidR="001E3503">
        <w:rPr>
          <w:iCs/>
        </w:rPr>
        <w:t xml:space="preserve"> patients </w:t>
      </w:r>
      <w:r w:rsidR="00E91700">
        <w:rPr>
          <w:iCs/>
        </w:rPr>
        <w:t xml:space="preserve">in MARIPOSA </w:t>
      </w:r>
      <w:r w:rsidR="00375728">
        <w:rPr>
          <w:iCs/>
        </w:rPr>
        <w:t>would likely</w:t>
      </w:r>
      <w:r w:rsidR="00E91700">
        <w:rPr>
          <w:iCs/>
        </w:rPr>
        <w:t xml:space="preserve"> have a </w:t>
      </w:r>
      <w:r w:rsidR="00375728">
        <w:rPr>
          <w:iCs/>
        </w:rPr>
        <w:t>better performance status</w:t>
      </w:r>
      <w:r w:rsidR="00F9734C">
        <w:rPr>
          <w:iCs/>
        </w:rPr>
        <w:t xml:space="preserve"> (</w:t>
      </w:r>
      <w:r w:rsidR="00F9734C" w:rsidRPr="001819AF">
        <w:rPr>
          <w14:ligatures w14:val="standardContextual"/>
        </w:rPr>
        <w:t xml:space="preserve">ECOG </w:t>
      </w:r>
      <w:r w:rsidR="00F9734C" w:rsidRPr="00000654">
        <w:rPr>
          <w14:ligatures w14:val="standardContextual"/>
        </w:rPr>
        <w:t>status of 0 or 1) than Australian patients (</w:t>
      </w:r>
      <w:r w:rsidR="00FD596B" w:rsidRPr="00000654">
        <w:rPr>
          <w14:ligatures w14:val="standardContextual"/>
        </w:rPr>
        <w:t>ECOG status of 0, 1 or 2 requested in the PBS restriction)</w:t>
      </w:r>
      <w:r w:rsidR="00D101A9" w:rsidRPr="00000654">
        <w:rPr>
          <w14:ligatures w14:val="standardContextual"/>
        </w:rPr>
        <w:t xml:space="preserve"> (paragraph </w:t>
      </w:r>
      <w:r w:rsidR="0051334D" w:rsidRPr="00000654">
        <w:rPr>
          <w14:ligatures w14:val="standardContextual"/>
        </w:rPr>
        <w:fldChar w:fldCharType="begin"/>
      </w:r>
      <w:r w:rsidR="0051334D" w:rsidRPr="00000654">
        <w:rPr>
          <w14:ligatures w14:val="standardContextual"/>
        </w:rPr>
        <w:instrText xml:space="preserve"> REF _Ref195108557 \r \h  \* MERGEFORMAT </w:instrText>
      </w:r>
      <w:r w:rsidR="0051334D" w:rsidRPr="00000654">
        <w:rPr>
          <w14:ligatures w14:val="standardContextual"/>
        </w:rPr>
      </w:r>
      <w:r w:rsidR="0051334D" w:rsidRPr="00000654">
        <w:rPr>
          <w14:ligatures w14:val="standardContextual"/>
        </w:rPr>
        <w:fldChar w:fldCharType="separate"/>
      </w:r>
      <w:r w:rsidR="00184F9A">
        <w:rPr>
          <w14:ligatures w14:val="standardContextual"/>
        </w:rPr>
        <w:t>3.10</w:t>
      </w:r>
      <w:r w:rsidR="0051334D" w:rsidRPr="00000654">
        <w:rPr>
          <w14:ligatures w14:val="standardContextual"/>
        </w:rPr>
        <w:fldChar w:fldCharType="end"/>
      </w:r>
      <w:r w:rsidR="00D101A9" w:rsidRPr="00000654">
        <w:rPr>
          <w14:ligatures w14:val="standardContextual"/>
        </w:rPr>
        <w:t>)</w:t>
      </w:r>
      <w:r w:rsidR="00754A1B" w:rsidRPr="00000654">
        <w:rPr>
          <w:iCs/>
        </w:rPr>
        <w:t xml:space="preserve">. </w:t>
      </w:r>
    </w:p>
    <w:p w14:paraId="525F7955" w14:textId="4268EE9A" w:rsidR="0059445B" w:rsidRDefault="00C43609" w:rsidP="001C78D1">
      <w:pPr>
        <w:pStyle w:val="3-BodyText"/>
        <w:ind w:left="709" w:hanging="709"/>
      </w:pPr>
      <w:r>
        <w:t>The evaluation noted that p</w:t>
      </w:r>
      <w:r w:rsidR="00754A1B" w:rsidRPr="589E218A">
        <w:t>atients in the A+L arm reported</w:t>
      </w:r>
      <w:r w:rsidR="00E5347C">
        <w:t xml:space="preserve"> statistically</w:t>
      </w:r>
      <w:r w:rsidR="00754A1B" w:rsidRPr="589E218A">
        <w:t xml:space="preserve"> worse </w:t>
      </w:r>
      <w:r w:rsidR="00C30EE2" w:rsidRPr="589E218A">
        <w:t xml:space="preserve">quality of life </w:t>
      </w:r>
      <w:r w:rsidR="00754A1B" w:rsidRPr="589E218A">
        <w:t>outcomes than those in the osimertinib arm, using the EQ-5D-5L, noting that the differences were</w:t>
      </w:r>
      <w:r w:rsidR="00673DDE" w:rsidRPr="589E218A">
        <w:t xml:space="preserve"> on average</w:t>
      </w:r>
      <w:r w:rsidR="00754A1B" w:rsidRPr="589E218A">
        <w:t xml:space="preserve"> not </w:t>
      </w:r>
      <w:r w:rsidR="00404D3A" w:rsidRPr="589E218A">
        <w:t>clinically meaningful</w:t>
      </w:r>
      <w:r w:rsidR="008D338B" w:rsidRPr="589E218A">
        <w:t>.</w:t>
      </w:r>
      <w:r w:rsidR="00404D3A" w:rsidRPr="589E218A">
        <w:t xml:space="preserve"> The observed differences were likely attributable to the higher frequency of more severe adverse events in the A+L arm than the osimertinib arm</w:t>
      </w:r>
      <w:r w:rsidR="00754A1B" w:rsidRPr="589E218A">
        <w:t xml:space="preserve">. </w:t>
      </w:r>
    </w:p>
    <w:p w14:paraId="0914CBFA" w14:textId="725F823D" w:rsidR="00C36FD5" w:rsidRPr="006D5F36" w:rsidRDefault="00C36FD5" w:rsidP="00C36FD5">
      <w:pPr>
        <w:widowControl w:val="0"/>
        <w:numPr>
          <w:ilvl w:val="1"/>
          <w:numId w:val="5"/>
        </w:numPr>
        <w:spacing w:after="120"/>
        <w:ind w:left="709" w:hanging="709"/>
        <w:rPr>
          <w:rFonts w:asciiTheme="minorHAnsi" w:hAnsiTheme="minorHAnsi"/>
          <w:snapToGrid w:val="0"/>
          <w:szCs w:val="20"/>
        </w:rPr>
      </w:pPr>
      <w:r w:rsidRPr="006D5F36">
        <w:rPr>
          <w:rFonts w:asciiTheme="minorHAnsi" w:hAnsiTheme="minorHAnsi"/>
          <w:iCs/>
          <w:snapToGrid w:val="0"/>
        </w:rPr>
        <w:t>The</w:t>
      </w:r>
      <w:r w:rsidRPr="006D5F36">
        <w:rPr>
          <w:rFonts w:asciiTheme="minorHAnsi" w:hAnsiTheme="minorHAnsi"/>
          <w:snapToGrid w:val="0"/>
          <w:szCs w:val="20"/>
        </w:rPr>
        <w:t xml:space="preserve"> PBAC </w:t>
      </w:r>
      <w:r w:rsidR="00861B0A" w:rsidRPr="006D5F36">
        <w:rPr>
          <w:rFonts w:asciiTheme="minorHAnsi" w:hAnsiTheme="minorHAnsi"/>
          <w:snapToGrid w:val="0"/>
          <w:szCs w:val="20"/>
        </w:rPr>
        <w:t xml:space="preserve">acknowledged the moderate </w:t>
      </w:r>
      <w:r w:rsidR="000E0D6E" w:rsidRPr="006D5F36">
        <w:rPr>
          <w:rFonts w:asciiTheme="minorHAnsi" w:hAnsiTheme="minorHAnsi"/>
          <w:snapToGrid w:val="0"/>
          <w:szCs w:val="20"/>
        </w:rPr>
        <w:t>improvement in PFS</w:t>
      </w:r>
      <w:r w:rsidR="002E0C8A" w:rsidRPr="006D5F36">
        <w:rPr>
          <w:rFonts w:asciiTheme="minorHAnsi" w:hAnsiTheme="minorHAnsi"/>
          <w:snapToGrid w:val="0"/>
          <w:szCs w:val="20"/>
        </w:rPr>
        <w:t xml:space="preserve"> and </w:t>
      </w:r>
      <w:r w:rsidR="009E2B5F">
        <w:rPr>
          <w:rFonts w:asciiTheme="minorHAnsi" w:hAnsiTheme="minorHAnsi"/>
          <w:snapToGrid w:val="0"/>
          <w:szCs w:val="20"/>
        </w:rPr>
        <w:t xml:space="preserve">small improvement in </w:t>
      </w:r>
      <w:r w:rsidR="002E0C8A" w:rsidRPr="006D5F36">
        <w:rPr>
          <w:rFonts w:asciiTheme="minorHAnsi" w:hAnsiTheme="minorHAnsi"/>
          <w:snapToGrid w:val="0"/>
          <w:szCs w:val="20"/>
        </w:rPr>
        <w:t>OS</w:t>
      </w:r>
      <w:r w:rsidR="00056BAB">
        <w:rPr>
          <w:rFonts w:asciiTheme="minorHAnsi" w:hAnsiTheme="minorHAnsi"/>
          <w:snapToGrid w:val="0"/>
          <w:szCs w:val="20"/>
        </w:rPr>
        <w:t xml:space="preserve"> </w:t>
      </w:r>
      <w:r w:rsidR="00DA1947">
        <w:rPr>
          <w:rFonts w:asciiTheme="minorHAnsi" w:hAnsiTheme="minorHAnsi"/>
          <w:snapToGrid w:val="0"/>
          <w:szCs w:val="20"/>
        </w:rPr>
        <w:t>of</w:t>
      </w:r>
      <w:r w:rsidR="00056BAB">
        <w:rPr>
          <w:rFonts w:asciiTheme="minorHAnsi" w:hAnsiTheme="minorHAnsi"/>
          <w:snapToGrid w:val="0"/>
          <w:szCs w:val="20"/>
        </w:rPr>
        <w:t xml:space="preserve"> A+L</w:t>
      </w:r>
      <w:r w:rsidR="00DA1947">
        <w:rPr>
          <w:rFonts w:asciiTheme="minorHAnsi" w:hAnsiTheme="minorHAnsi"/>
          <w:snapToGrid w:val="0"/>
          <w:szCs w:val="20"/>
        </w:rPr>
        <w:t xml:space="preserve"> over osimertinib</w:t>
      </w:r>
      <w:r w:rsidR="002958FF" w:rsidRPr="006D5F36">
        <w:rPr>
          <w:rFonts w:asciiTheme="minorHAnsi" w:hAnsiTheme="minorHAnsi"/>
          <w:snapToGrid w:val="0"/>
          <w:szCs w:val="20"/>
        </w:rPr>
        <w:t xml:space="preserve"> for the locally advanced or metastatic population diagnosed </w:t>
      </w:r>
      <w:r w:rsidR="002958FF" w:rsidRPr="006D5F36">
        <w:rPr>
          <w:rFonts w:asciiTheme="minorHAnsi" w:hAnsiTheme="minorHAnsi"/>
          <w:i/>
          <w:iCs/>
          <w:snapToGrid w:val="0"/>
          <w:szCs w:val="20"/>
        </w:rPr>
        <w:t>de novo</w:t>
      </w:r>
      <w:r w:rsidRPr="006D5F36">
        <w:rPr>
          <w:rFonts w:asciiTheme="minorHAnsi" w:hAnsiTheme="minorHAnsi"/>
          <w:snapToGrid w:val="0"/>
          <w:szCs w:val="20"/>
        </w:rPr>
        <w:t>.</w:t>
      </w:r>
      <w:r w:rsidR="003B0916" w:rsidRPr="006D5F36">
        <w:rPr>
          <w:rFonts w:asciiTheme="minorHAnsi" w:hAnsiTheme="minorHAnsi"/>
          <w:snapToGrid w:val="0"/>
          <w:szCs w:val="20"/>
        </w:rPr>
        <w:t xml:space="preserve"> However, it </w:t>
      </w:r>
      <w:r w:rsidR="00D035BA" w:rsidRPr="006D5F36">
        <w:rPr>
          <w:rFonts w:asciiTheme="minorHAnsi" w:hAnsiTheme="minorHAnsi"/>
          <w:snapToGrid w:val="0"/>
          <w:szCs w:val="20"/>
        </w:rPr>
        <w:t>agreed with the ESC and the evaluation</w:t>
      </w:r>
      <w:r w:rsidR="00CB443A" w:rsidRPr="006D5F36">
        <w:rPr>
          <w:rFonts w:asciiTheme="minorHAnsi" w:hAnsiTheme="minorHAnsi"/>
          <w:snapToGrid w:val="0"/>
          <w:szCs w:val="20"/>
        </w:rPr>
        <w:t>,</w:t>
      </w:r>
      <w:r w:rsidR="00D035BA" w:rsidRPr="006D5F36">
        <w:rPr>
          <w:rFonts w:asciiTheme="minorHAnsi" w:hAnsiTheme="minorHAnsi"/>
          <w:snapToGrid w:val="0"/>
          <w:szCs w:val="20"/>
        </w:rPr>
        <w:t xml:space="preserve"> that the magnitude of </w:t>
      </w:r>
      <w:r w:rsidR="00C20A99" w:rsidRPr="006D5F36">
        <w:rPr>
          <w:rFonts w:asciiTheme="minorHAnsi" w:hAnsiTheme="minorHAnsi"/>
          <w:snapToGrid w:val="0"/>
          <w:szCs w:val="20"/>
        </w:rPr>
        <w:t>the</w:t>
      </w:r>
      <w:r w:rsidR="00CB443A" w:rsidRPr="006D5F36">
        <w:rPr>
          <w:rFonts w:asciiTheme="minorHAnsi" w:hAnsiTheme="minorHAnsi"/>
          <w:snapToGrid w:val="0"/>
          <w:szCs w:val="20"/>
        </w:rPr>
        <w:t xml:space="preserve"> clinical</w:t>
      </w:r>
      <w:r w:rsidR="00C20A99" w:rsidRPr="006D5F36">
        <w:rPr>
          <w:rFonts w:asciiTheme="minorHAnsi" w:hAnsiTheme="minorHAnsi"/>
          <w:snapToGrid w:val="0"/>
          <w:szCs w:val="20"/>
        </w:rPr>
        <w:t xml:space="preserve"> </w:t>
      </w:r>
      <w:r w:rsidR="00D035BA" w:rsidRPr="006D5F36">
        <w:rPr>
          <w:rFonts w:asciiTheme="minorHAnsi" w:hAnsiTheme="minorHAnsi"/>
          <w:snapToGrid w:val="0"/>
          <w:szCs w:val="20"/>
        </w:rPr>
        <w:t xml:space="preserve">benefit </w:t>
      </w:r>
      <w:r w:rsidR="00931F7E" w:rsidRPr="006D5F36">
        <w:rPr>
          <w:rFonts w:asciiTheme="minorHAnsi" w:hAnsiTheme="minorHAnsi"/>
          <w:snapToGrid w:val="0"/>
          <w:szCs w:val="20"/>
        </w:rPr>
        <w:t>was uncertain</w:t>
      </w:r>
      <w:r w:rsidR="00C20A99" w:rsidRPr="006D5F36">
        <w:rPr>
          <w:rFonts w:asciiTheme="minorHAnsi" w:hAnsiTheme="minorHAnsi"/>
          <w:snapToGrid w:val="0"/>
          <w:szCs w:val="20"/>
        </w:rPr>
        <w:t xml:space="preserve"> due to the immaturity of the</w:t>
      </w:r>
      <w:r w:rsidR="00CB443A" w:rsidRPr="006D5F36">
        <w:rPr>
          <w:rFonts w:asciiTheme="minorHAnsi" w:hAnsiTheme="minorHAnsi"/>
          <w:snapToGrid w:val="0"/>
          <w:szCs w:val="20"/>
        </w:rPr>
        <w:t xml:space="preserve"> OS data</w:t>
      </w:r>
      <w:r w:rsidR="001F56CD">
        <w:rPr>
          <w:rFonts w:asciiTheme="minorHAnsi" w:hAnsiTheme="minorHAnsi"/>
          <w:snapToGrid w:val="0"/>
          <w:szCs w:val="20"/>
        </w:rPr>
        <w:t xml:space="preserve">, </w:t>
      </w:r>
      <w:r w:rsidR="00BA3C82">
        <w:rPr>
          <w:rFonts w:asciiTheme="minorHAnsi" w:hAnsiTheme="minorHAnsi"/>
          <w:snapToGrid w:val="0"/>
          <w:szCs w:val="20"/>
        </w:rPr>
        <w:t>t</w:t>
      </w:r>
      <w:r w:rsidR="001F56CD">
        <w:rPr>
          <w:rFonts w:asciiTheme="minorHAnsi" w:hAnsiTheme="minorHAnsi"/>
          <w:snapToGrid w:val="0"/>
          <w:szCs w:val="20"/>
        </w:rPr>
        <w:t>he violation of the proportional hazards assumption,</w:t>
      </w:r>
      <w:r w:rsidR="00CB443A" w:rsidRPr="006D5F36">
        <w:rPr>
          <w:rFonts w:asciiTheme="minorHAnsi" w:hAnsiTheme="minorHAnsi"/>
          <w:snapToGrid w:val="0"/>
          <w:szCs w:val="20"/>
        </w:rPr>
        <w:t xml:space="preserve"> </w:t>
      </w:r>
      <w:r w:rsidR="00AC790E" w:rsidRPr="006D5F36">
        <w:rPr>
          <w:rFonts w:asciiTheme="minorHAnsi" w:hAnsiTheme="minorHAnsi"/>
          <w:snapToGrid w:val="0"/>
          <w:szCs w:val="20"/>
        </w:rPr>
        <w:t>and quality of life</w:t>
      </w:r>
      <w:r w:rsidR="009715D8">
        <w:rPr>
          <w:rFonts w:asciiTheme="minorHAnsi" w:hAnsiTheme="minorHAnsi"/>
          <w:snapToGrid w:val="0"/>
          <w:szCs w:val="20"/>
        </w:rPr>
        <w:t xml:space="preserve"> favouring osimertinib</w:t>
      </w:r>
      <w:r w:rsidR="00AC790E" w:rsidRPr="006D5F36">
        <w:rPr>
          <w:rFonts w:asciiTheme="minorHAnsi" w:hAnsiTheme="minorHAnsi"/>
          <w:snapToGrid w:val="0"/>
          <w:szCs w:val="20"/>
        </w:rPr>
        <w:t>.</w:t>
      </w:r>
      <w:r w:rsidR="00C20A99" w:rsidRPr="006D5F36">
        <w:rPr>
          <w:rFonts w:asciiTheme="minorHAnsi" w:hAnsiTheme="minorHAnsi"/>
          <w:snapToGrid w:val="0"/>
          <w:szCs w:val="20"/>
        </w:rPr>
        <w:t xml:space="preserve"> </w:t>
      </w:r>
    </w:p>
    <w:p w14:paraId="47E6D51A" w14:textId="5D754499" w:rsidR="0008201C" w:rsidRPr="00C36FD5" w:rsidRDefault="00567480" w:rsidP="0008201C">
      <w:pPr>
        <w:widowControl w:val="0"/>
        <w:spacing w:after="120"/>
        <w:rPr>
          <w:rFonts w:asciiTheme="minorHAnsi" w:hAnsiTheme="minorHAnsi"/>
          <w:snapToGrid w:val="0"/>
          <w:szCs w:val="20"/>
        </w:rPr>
      </w:pPr>
      <w:r>
        <w:rPr>
          <w:b/>
          <w:bCs/>
        </w:rPr>
        <w:t xml:space="preserve">Effectiveness for </w:t>
      </w:r>
      <w:r w:rsidR="00635781">
        <w:rPr>
          <w:b/>
          <w:bCs/>
        </w:rPr>
        <w:t>l</w:t>
      </w:r>
      <w:r w:rsidR="0008201C" w:rsidRPr="00596FAC">
        <w:rPr>
          <w:b/>
          <w:bCs/>
        </w:rPr>
        <w:t>ocally advanced or metastatic population</w:t>
      </w:r>
      <w:r w:rsidR="0008201C">
        <w:rPr>
          <w:b/>
          <w:bCs/>
        </w:rPr>
        <w:t xml:space="preserve"> following prior adjuvant osimertinib</w:t>
      </w:r>
    </w:p>
    <w:p w14:paraId="323FE1AE" w14:textId="7B5E02B1" w:rsidR="00754A1B" w:rsidRDefault="00410CED" w:rsidP="00C36FD5">
      <w:pPr>
        <w:pStyle w:val="3-BodyText"/>
        <w:ind w:left="709" w:hanging="709"/>
      </w:pPr>
      <w:r w:rsidRPr="00294526">
        <w:t xml:space="preserve">The evaluation noted that the studies in the recurrent disease population (following adjuvant osimertinib) did not provide evidence of A+L with a </w:t>
      </w:r>
      <w:r w:rsidRPr="0052611A">
        <w:t xml:space="preserve">relevant comparator and the trial results for the CHRYSALIS-cohort E and PALOMA-3 trials (paragraph </w:t>
      </w:r>
      <w:r w:rsidRPr="0052611A">
        <w:fldChar w:fldCharType="begin"/>
      </w:r>
      <w:r w:rsidRPr="0052611A">
        <w:instrText xml:space="preserve"> REF _Ref191024339 \r \h  \* MERGEFORMAT </w:instrText>
      </w:r>
      <w:r w:rsidRPr="0052611A">
        <w:fldChar w:fldCharType="separate"/>
      </w:r>
      <w:r w:rsidR="00184F9A">
        <w:t>6.13</w:t>
      </w:r>
      <w:r w:rsidRPr="0052611A">
        <w:fldChar w:fldCharType="end"/>
      </w:r>
      <w:r w:rsidRPr="0052611A">
        <w:t>)</w:t>
      </w:r>
      <w:r w:rsidRPr="00294526">
        <w:t xml:space="preserve"> were not presented in the submission. Further, the inclusion of this population in the requested listing was not supported by the evidence from the pivotal trial, MARIPOSA (given that MARIPOSA excluded patients who had received any prior treatment with an EGFR TKI), nor was it accounted for in the economic evaluation. However, the ESC</w:t>
      </w:r>
      <w:r w:rsidR="0000421A">
        <w:t xml:space="preserve"> </w:t>
      </w:r>
      <w:r w:rsidRPr="00294526">
        <w:t xml:space="preserve">considered that it would be reasonable to include this </w:t>
      </w:r>
      <w:r w:rsidR="001A77B5">
        <w:t xml:space="preserve">small </w:t>
      </w:r>
      <w:r w:rsidRPr="00294526">
        <w:t>population in a potential listing, as the CHRYSALIS and PALOMA-3 trials demonstrated activity in this setting and there are few alternative options for these patients.</w:t>
      </w:r>
    </w:p>
    <w:p w14:paraId="1CB546B8" w14:textId="2B13AD24" w:rsidR="00635781" w:rsidRPr="0090745F" w:rsidRDefault="00635781" w:rsidP="00635781">
      <w:pPr>
        <w:pStyle w:val="3-BodyText"/>
        <w:numPr>
          <w:ilvl w:val="0"/>
          <w:numId w:val="0"/>
        </w:numPr>
        <w:rPr>
          <w:b/>
          <w:bCs/>
        </w:rPr>
      </w:pPr>
      <w:r w:rsidRPr="0090745F">
        <w:rPr>
          <w:b/>
          <w:bCs/>
        </w:rPr>
        <w:t xml:space="preserve">Safety for both </w:t>
      </w:r>
      <w:r w:rsidRPr="0090745F">
        <w:rPr>
          <w:b/>
          <w:bCs/>
          <w:i/>
          <w:iCs/>
        </w:rPr>
        <w:t>de novo</w:t>
      </w:r>
      <w:r w:rsidRPr="0090745F">
        <w:rPr>
          <w:b/>
          <w:bCs/>
        </w:rPr>
        <w:t xml:space="preserve"> and </w:t>
      </w:r>
      <w:r w:rsidR="0090745F" w:rsidRPr="0090745F">
        <w:rPr>
          <w:b/>
          <w:bCs/>
        </w:rPr>
        <w:t>recurrent disease populations</w:t>
      </w:r>
    </w:p>
    <w:p w14:paraId="390B2BE9" w14:textId="5A7A2F4A" w:rsidR="00EC61A5" w:rsidRPr="00EC61A5" w:rsidRDefault="00754A1B" w:rsidP="001C78D1">
      <w:pPr>
        <w:pStyle w:val="3-BodyText"/>
        <w:ind w:left="709" w:hanging="709"/>
      </w:pPr>
      <w:bookmarkStart w:id="78" w:name="_Ref191037431"/>
      <w:r w:rsidRPr="589E218A">
        <w:rPr>
          <w:rFonts w:eastAsia="Calibri"/>
        </w:rPr>
        <w:t>The submission described A+L as inferior but manageable in terms of safety compared to osimertinib. The</w:t>
      </w:r>
      <w:r w:rsidR="0080008C" w:rsidRPr="589E218A">
        <w:rPr>
          <w:rFonts w:eastAsia="Calibri"/>
        </w:rPr>
        <w:t xml:space="preserve"> evaluation </w:t>
      </w:r>
      <w:r w:rsidR="00C64AC4" w:rsidRPr="589E218A">
        <w:rPr>
          <w:rFonts w:eastAsia="Calibri"/>
        </w:rPr>
        <w:t>agreed with</w:t>
      </w:r>
      <w:r w:rsidR="0080008C" w:rsidRPr="589E218A">
        <w:rPr>
          <w:rFonts w:eastAsia="Calibri"/>
        </w:rPr>
        <w:t xml:space="preserve"> the</w:t>
      </w:r>
      <w:r w:rsidR="009D4945" w:rsidRPr="589E218A">
        <w:rPr>
          <w:rFonts w:eastAsia="Calibri"/>
        </w:rPr>
        <w:t xml:space="preserve"> submission’s</w:t>
      </w:r>
      <w:r w:rsidRPr="589E218A">
        <w:rPr>
          <w:rFonts w:eastAsia="Calibri"/>
        </w:rPr>
        <w:t xml:space="preserve"> claim of inferior safety, however </w:t>
      </w:r>
      <w:r w:rsidR="001974E9" w:rsidRPr="589E218A">
        <w:rPr>
          <w:rFonts w:eastAsia="Calibri"/>
        </w:rPr>
        <w:t>considered that</w:t>
      </w:r>
      <w:r w:rsidR="00DA3FC2" w:rsidRPr="589E218A">
        <w:rPr>
          <w:rFonts w:eastAsia="Calibri"/>
        </w:rPr>
        <w:t xml:space="preserve"> the</w:t>
      </w:r>
      <w:r w:rsidRPr="589E218A">
        <w:rPr>
          <w:rFonts w:eastAsia="Calibri"/>
        </w:rPr>
        <w:t xml:space="preserve"> safety profile</w:t>
      </w:r>
      <w:r w:rsidR="00DA3FC2" w:rsidRPr="589E218A">
        <w:rPr>
          <w:rFonts w:eastAsia="Calibri"/>
        </w:rPr>
        <w:t xml:space="preserve"> may not be</w:t>
      </w:r>
      <w:r w:rsidRPr="589E218A">
        <w:rPr>
          <w:rFonts w:eastAsia="Calibri"/>
        </w:rPr>
        <w:t xml:space="preserve"> ‘manageable’. </w:t>
      </w:r>
      <w:r w:rsidRPr="589E218A">
        <w:t xml:space="preserve">Whilst both arms were associated with a high rate of TEAE’s, the A+L arm was associated with more frequent Grade ≥3 TEAEs and more frequent severe </w:t>
      </w:r>
      <w:r w:rsidR="009C5664">
        <w:t>AEs</w:t>
      </w:r>
      <w:r w:rsidRPr="589E218A">
        <w:t xml:space="preserve"> when compared with osimertinib. The</w:t>
      </w:r>
      <w:r w:rsidR="001743C3" w:rsidRPr="589E218A">
        <w:t xml:space="preserve"> </w:t>
      </w:r>
      <w:r w:rsidR="001743C3" w:rsidRPr="00294526">
        <w:t>ESC noted the</w:t>
      </w:r>
      <w:r w:rsidRPr="589E218A">
        <w:t xml:space="preserve"> associated management of the severe </w:t>
      </w:r>
      <w:r w:rsidR="009C5664">
        <w:t>AEs</w:t>
      </w:r>
      <w:r w:rsidRPr="589E218A">
        <w:t xml:space="preserve"> seen in the A+L arm require</w:t>
      </w:r>
      <w:r w:rsidR="00DD1F25" w:rsidRPr="589E218A">
        <w:t>s</w:t>
      </w:r>
      <w:r w:rsidRPr="589E218A">
        <w:t xml:space="preserve"> an escalation of care with hospitalisation, and some patients may require high-dependency and/or intensive care during management of </w:t>
      </w:r>
      <w:r w:rsidR="00B245F9">
        <w:t>SAEs</w:t>
      </w:r>
      <w:r w:rsidRPr="589E218A">
        <w:t xml:space="preserve"> such as Grade ≥3 pulmonary embolism. Additionally, a large proportion of patients in the A+L arm compared to osimertinib needed to discontinue treatment due to AEs (34.9% vs 13.6%).</w:t>
      </w:r>
      <w:bookmarkEnd w:id="78"/>
      <w:r w:rsidR="00CD44A6">
        <w:t xml:space="preserve"> The pre-PBAC response stated that despite the </w:t>
      </w:r>
      <w:r w:rsidR="006A01C7">
        <w:t>inferior safety profile of A+L compared to osimertinib, the</w:t>
      </w:r>
      <w:r w:rsidR="006400F9">
        <w:t xml:space="preserve">re were no clinically meaningful </w:t>
      </w:r>
      <w:r w:rsidR="0031516B">
        <w:t xml:space="preserve">difference in </w:t>
      </w:r>
      <w:r w:rsidR="001E79AB">
        <w:t xml:space="preserve">quality of life </w:t>
      </w:r>
      <w:r w:rsidR="00985A29">
        <w:t xml:space="preserve">between </w:t>
      </w:r>
      <w:r w:rsidR="00453D28">
        <w:t>the 2 arms</w:t>
      </w:r>
      <w:r w:rsidR="00985A29">
        <w:t>.</w:t>
      </w:r>
    </w:p>
    <w:p w14:paraId="439265D5" w14:textId="21B8EE96" w:rsidR="00042AB9" w:rsidRPr="00294526" w:rsidRDefault="000161A0" w:rsidP="001C78D1">
      <w:pPr>
        <w:pStyle w:val="3-BodyText"/>
        <w:ind w:left="709" w:hanging="709"/>
      </w:pPr>
      <w:r w:rsidRPr="00294526">
        <w:rPr>
          <w:rFonts w:eastAsia="Calibri"/>
        </w:rPr>
        <w:t>T</w:t>
      </w:r>
      <w:r w:rsidR="00EC61A5" w:rsidRPr="00294526">
        <w:rPr>
          <w:rFonts w:eastAsia="Calibri"/>
        </w:rPr>
        <w:t xml:space="preserve">he PSCR </w:t>
      </w:r>
      <w:r w:rsidR="00EC61A5" w:rsidRPr="00294526">
        <w:t>provide</w:t>
      </w:r>
      <w:r w:rsidR="007C2498" w:rsidRPr="00294526">
        <w:t>d</w:t>
      </w:r>
      <w:r w:rsidR="00EC61A5" w:rsidRPr="00294526">
        <w:t xml:space="preserve"> details of management</w:t>
      </w:r>
      <w:r w:rsidRPr="00294526">
        <w:t xml:space="preserve"> such as</w:t>
      </w:r>
      <w:r w:rsidR="00EC61A5" w:rsidRPr="00294526">
        <w:t xml:space="preserve"> prophylactic and reactive rash management, pre- and post-infusion medications and supportive care for </w:t>
      </w:r>
      <w:r w:rsidR="00E52FAB" w:rsidRPr="00294526">
        <w:t>infusion</w:t>
      </w:r>
      <w:r w:rsidR="00EE4347" w:rsidRPr="00294526">
        <w:t>-</w:t>
      </w:r>
      <w:r w:rsidR="00E52FAB" w:rsidRPr="00294526">
        <w:t>related reaction</w:t>
      </w:r>
      <w:r w:rsidR="00EC61A5" w:rsidRPr="00294526">
        <w:t xml:space="preserve">s, and prophylactic and reactive anticoagulation therapy for VTEs. </w:t>
      </w:r>
      <w:r w:rsidR="007C2498" w:rsidRPr="00294526">
        <w:t>Notwithstanding, t</w:t>
      </w:r>
      <w:r w:rsidR="00D00AA4" w:rsidRPr="00294526">
        <w:t xml:space="preserve">he ESC considered that </w:t>
      </w:r>
      <w:r w:rsidR="00562AD4" w:rsidRPr="00294526">
        <w:t>A+L</w:t>
      </w:r>
      <w:r w:rsidR="00042AB9" w:rsidRPr="00294526">
        <w:t xml:space="preserve"> wa</w:t>
      </w:r>
      <w:r w:rsidR="009728AA" w:rsidRPr="00294526">
        <w:t>s more toxic than the comparator, osimertinib</w:t>
      </w:r>
      <w:r w:rsidR="00F83093" w:rsidRPr="00294526">
        <w:t xml:space="preserve">, and the degree to which safety </w:t>
      </w:r>
      <w:r w:rsidR="00FD7970" w:rsidRPr="00294526">
        <w:t>wa</w:t>
      </w:r>
      <w:r w:rsidR="00F83093" w:rsidRPr="00294526">
        <w:t xml:space="preserve">s manageable </w:t>
      </w:r>
      <w:r w:rsidR="00FD7970" w:rsidRPr="00294526">
        <w:t>had</w:t>
      </w:r>
      <w:r w:rsidR="006B6821" w:rsidRPr="00294526">
        <w:t xml:space="preserve"> not been demonstrated</w:t>
      </w:r>
      <w:r w:rsidR="009728AA" w:rsidRPr="00294526">
        <w:t>.</w:t>
      </w:r>
      <w:r w:rsidR="00042AB9" w:rsidRPr="00294526">
        <w:t xml:space="preserve"> </w:t>
      </w:r>
    </w:p>
    <w:p w14:paraId="39B54054" w14:textId="00C9A35D" w:rsidR="00150881" w:rsidRPr="00294526" w:rsidRDefault="00042AB9">
      <w:pPr>
        <w:pStyle w:val="3-BodyText"/>
        <w:ind w:left="709" w:hanging="709"/>
      </w:pPr>
      <w:bookmarkStart w:id="79" w:name="_Ref191037440"/>
      <w:r w:rsidRPr="00294526">
        <w:t>Overall, the ESC considered that the</w:t>
      </w:r>
      <w:r w:rsidR="00A56E1F" w:rsidRPr="00294526">
        <w:t xml:space="preserve"> observed</w:t>
      </w:r>
      <w:r w:rsidRPr="00294526">
        <w:t xml:space="preserve"> toxicity associated with A+L was an important clinical issue. </w:t>
      </w:r>
      <w:r w:rsidR="00ED4A07" w:rsidRPr="00294526">
        <w:t>Given that p</w:t>
      </w:r>
      <w:r w:rsidR="00A3370D" w:rsidRPr="00294526">
        <w:t xml:space="preserve">atients in real-world clinical practice may </w:t>
      </w:r>
      <w:r w:rsidR="00227FC5" w:rsidRPr="00294526">
        <w:t>have poorer baseline health</w:t>
      </w:r>
      <w:r w:rsidR="008A3430" w:rsidRPr="00294526">
        <w:t xml:space="preserve"> </w:t>
      </w:r>
      <w:r w:rsidR="005820BB" w:rsidRPr="00294526">
        <w:t xml:space="preserve">compared to the trial population, </w:t>
      </w:r>
      <w:r w:rsidR="00ED4A07" w:rsidRPr="00294526">
        <w:t xml:space="preserve">the incidence and severity of </w:t>
      </w:r>
      <w:r w:rsidR="006435E1" w:rsidRPr="00294526">
        <w:t>adverse</w:t>
      </w:r>
      <w:r w:rsidR="00ED4A07" w:rsidRPr="00294526">
        <w:t xml:space="preserve"> events may be higher. </w:t>
      </w:r>
      <w:r w:rsidR="006435E1" w:rsidRPr="00294526">
        <w:t xml:space="preserve">This may lead to increased rates of treatment discontinuation and mortality, </w:t>
      </w:r>
      <w:r w:rsidR="00B80C5B" w:rsidRPr="00294526">
        <w:t>and ultimately reduced therapeutic effect.</w:t>
      </w:r>
      <w:bookmarkEnd w:id="79"/>
      <w:r w:rsidR="001A3DEC">
        <w:t xml:space="preserve"> The PBAC agreed with the ESC that </w:t>
      </w:r>
      <w:r w:rsidR="00851D55">
        <w:t xml:space="preserve">the </w:t>
      </w:r>
      <w:r w:rsidR="00851D55" w:rsidRPr="007E3B9C">
        <w:t xml:space="preserve">claim of inferior </w:t>
      </w:r>
      <w:r w:rsidR="00202AA9" w:rsidRPr="007E3B9C">
        <w:t>but</w:t>
      </w:r>
      <w:r w:rsidR="00202AA9">
        <w:t xml:space="preserve"> manageable </w:t>
      </w:r>
      <w:r w:rsidR="00851D55">
        <w:t xml:space="preserve">safety </w:t>
      </w:r>
      <w:r w:rsidR="005813A5">
        <w:t>was not supported in terms of</w:t>
      </w:r>
      <w:r w:rsidR="00666B72">
        <w:t xml:space="preserve"> the management of AEs.</w:t>
      </w:r>
    </w:p>
    <w:p w14:paraId="6D3A9AB5" w14:textId="77777777" w:rsidR="0004729F" w:rsidRPr="004D75BF" w:rsidRDefault="0004729F" w:rsidP="0004729F">
      <w:pPr>
        <w:pStyle w:val="4-SubsectionHeading"/>
      </w:pPr>
      <w:bookmarkStart w:id="80" w:name="_Toc22897645"/>
      <w:bookmarkStart w:id="81" w:name="_Toc185940014"/>
      <w:bookmarkStart w:id="82" w:name="_Toc188452575"/>
      <w:bookmarkEnd w:id="39"/>
      <w:r w:rsidRPr="004D75BF">
        <w:t>Economic analysis</w:t>
      </w:r>
      <w:bookmarkEnd w:id="80"/>
      <w:bookmarkEnd w:id="81"/>
      <w:bookmarkEnd w:id="82"/>
      <w:r w:rsidRPr="004D75BF">
        <w:t xml:space="preserve"> </w:t>
      </w:r>
    </w:p>
    <w:p w14:paraId="7C4E0285" w14:textId="0BF330AE" w:rsidR="0004729F" w:rsidRPr="004D75BF" w:rsidRDefault="0004729F" w:rsidP="003576D0">
      <w:pPr>
        <w:pStyle w:val="3-BodyText"/>
        <w:ind w:left="709" w:hanging="709"/>
      </w:pPr>
      <w:r w:rsidRPr="589E218A">
        <w:t>The submission presented a stepped economic cost-effectiveness and cost-utility analysis</w:t>
      </w:r>
      <w:bookmarkStart w:id="83" w:name="_Hlk187053828"/>
      <w:r w:rsidRPr="589E218A">
        <w:t>, based on the direct randomised trial, MARIPOSA</w:t>
      </w:r>
      <w:bookmarkEnd w:id="83"/>
      <w:r w:rsidRPr="589E218A">
        <w:t xml:space="preserve">. A cost-utility analysis was appropriate given that the clinical claim of superior effectiveness was reasonable. The economic evaluation compared A+L with osimertinib for the first-line treatment of </w:t>
      </w:r>
      <w:r w:rsidR="00F12CB9" w:rsidRPr="589E218A">
        <w:t>patients</w:t>
      </w:r>
      <w:r w:rsidR="00F12CB9">
        <w:t xml:space="preserve"> </w:t>
      </w:r>
      <w:r w:rsidR="00F12CB9" w:rsidRPr="589E218A">
        <w:t xml:space="preserve">diagnosed </w:t>
      </w:r>
      <w:r w:rsidR="00F12CB9" w:rsidRPr="589E218A">
        <w:rPr>
          <w:i/>
          <w:iCs/>
        </w:rPr>
        <w:t>de novo</w:t>
      </w:r>
      <w:r w:rsidR="00F12CB9" w:rsidRPr="589E218A">
        <w:t xml:space="preserve"> </w:t>
      </w:r>
      <w:r w:rsidR="00F12CB9">
        <w:t xml:space="preserve">with </w:t>
      </w:r>
      <w:r w:rsidRPr="589E218A">
        <w:t xml:space="preserve">locally advanced/metastatic </w:t>
      </w:r>
      <w:r w:rsidR="00F639C0" w:rsidRPr="589E218A">
        <w:rPr>
          <w:i/>
          <w:iCs/>
        </w:rPr>
        <w:t>EGFR</w:t>
      </w:r>
      <w:r w:rsidRPr="589E218A">
        <w:t>m NSCLC.</w:t>
      </w:r>
      <w:r w:rsidR="00F12CB9">
        <w:t xml:space="preserve"> The economic model did not consider </w:t>
      </w:r>
      <w:r w:rsidR="00F12CB9" w:rsidRPr="007E3B9C">
        <w:t>stage IB-IIIA patients</w:t>
      </w:r>
      <w:r w:rsidR="00F12CB9" w:rsidRPr="589E218A">
        <w:t xml:space="preserve"> who progressed to locally advanced or metastatic disease </w:t>
      </w:r>
      <w:r w:rsidR="00F12CB9" w:rsidRPr="00F67DDA">
        <w:t xml:space="preserve">following earlier </w:t>
      </w:r>
      <w:r w:rsidR="00F12CB9" w:rsidRPr="589E218A">
        <w:t xml:space="preserve">adjuvant osimertinib therapy. </w:t>
      </w:r>
      <w:r w:rsidRPr="589E218A">
        <w:t xml:space="preserve">Key components of the economic evaluation are presented in </w:t>
      </w:r>
      <w:r>
        <w:fldChar w:fldCharType="begin"/>
      </w:r>
      <w:r>
        <w:instrText xml:space="preserve"> REF _Ref185927768 \h  \* MERGEFORMAT </w:instrText>
      </w:r>
      <w:r>
        <w:fldChar w:fldCharType="separate"/>
      </w:r>
      <w:r w:rsidR="00184F9A" w:rsidRPr="589E218A">
        <w:t xml:space="preserve">Table </w:t>
      </w:r>
      <w:r w:rsidR="00184F9A">
        <w:t>8</w:t>
      </w:r>
      <w:r>
        <w:fldChar w:fldCharType="end"/>
      </w:r>
      <w:r w:rsidRPr="589E218A">
        <w:t>.</w:t>
      </w:r>
    </w:p>
    <w:p w14:paraId="57C39064" w14:textId="08801BB1" w:rsidR="0004729F" w:rsidRPr="004D75BF" w:rsidRDefault="0004729F" w:rsidP="589E218A">
      <w:pPr>
        <w:pStyle w:val="Caption"/>
        <w:jc w:val="left"/>
        <w:rPr>
          <w:rStyle w:val="CommentReference"/>
          <w:b/>
        </w:rPr>
      </w:pPr>
      <w:bookmarkStart w:id="84" w:name="_Ref185927768"/>
      <w:r w:rsidRPr="589E218A">
        <w:t xml:space="preserve">Table </w:t>
      </w:r>
      <w:r w:rsidRPr="589E218A">
        <w:fldChar w:fldCharType="begin"/>
      </w:r>
      <w:r>
        <w:instrText xml:space="preserve"> SEQ Table \* ARABIC </w:instrText>
      </w:r>
      <w:r w:rsidRPr="589E218A">
        <w:fldChar w:fldCharType="separate"/>
      </w:r>
      <w:r w:rsidR="00184F9A">
        <w:rPr>
          <w:noProof/>
        </w:rPr>
        <w:t>8</w:t>
      </w:r>
      <w:r w:rsidRPr="589E218A">
        <w:rPr>
          <w:noProof/>
        </w:rPr>
        <w:fldChar w:fldCharType="end"/>
      </w:r>
      <w:bookmarkEnd w:id="84"/>
      <w:r w:rsidRPr="589E218A">
        <w:t>:</w:t>
      </w:r>
      <w:r w:rsidRPr="589E218A">
        <w:rPr>
          <w:rStyle w:val="CommentReference"/>
          <w:b/>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model structure, key inputs and rationale"/>
      </w:tblPr>
      <w:tblGrid>
        <w:gridCol w:w="2518"/>
        <w:gridCol w:w="6499"/>
      </w:tblGrid>
      <w:tr w:rsidR="0004729F" w:rsidRPr="004D75BF" w14:paraId="528FF6CC" w14:textId="77777777" w:rsidTr="589E218A">
        <w:trPr>
          <w:tblHeader/>
        </w:trPr>
        <w:tc>
          <w:tcPr>
            <w:tcW w:w="1396" w:type="pct"/>
            <w:shd w:val="clear" w:color="auto" w:fill="auto"/>
            <w:vAlign w:val="center"/>
          </w:tcPr>
          <w:p w14:paraId="048731B6" w14:textId="77777777" w:rsidR="0004729F" w:rsidRPr="004D75BF" w:rsidRDefault="0004729F">
            <w:pPr>
              <w:pStyle w:val="In-tableHeading"/>
              <w:jc w:val="center"/>
              <w:rPr>
                <w:lang w:val="en-AU"/>
              </w:rPr>
            </w:pPr>
            <w:r w:rsidRPr="004D75BF">
              <w:rPr>
                <w:lang w:val="en-AU"/>
              </w:rPr>
              <w:t>Component</w:t>
            </w:r>
          </w:p>
        </w:tc>
        <w:tc>
          <w:tcPr>
            <w:tcW w:w="3604" w:type="pct"/>
            <w:shd w:val="clear" w:color="auto" w:fill="auto"/>
            <w:vAlign w:val="center"/>
          </w:tcPr>
          <w:p w14:paraId="518ABD60" w14:textId="77777777" w:rsidR="0004729F" w:rsidRPr="004D75BF" w:rsidRDefault="0004729F">
            <w:pPr>
              <w:pStyle w:val="In-tableHeading"/>
              <w:jc w:val="center"/>
              <w:rPr>
                <w:lang w:val="en-AU"/>
              </w:rPr>
            </w:pPr>
            <w:r w:rsidRPr="004D75BF">
              <w:rPr>
                <w:lang w:val="en-AU"/>
              </w:rPr>
              <w:t>Summary</w:t>
            </w:r>
          </w:p>
        </w:tc>
      </w:tr>
      <w:tr w:rsidR="0004729F" w:rsidRPr="004D75BF" w14:paraId="38401E7B" w14:textId="77777777" w:rsidTr="589E218A">
        <w:tc>
          <w:tcPr>
            <w:tcW w:w="1396" w:type="pct"/>
            <w:shd w:val="clear" w:color="auto" w:fill="auto"/>
            <w:vAlign w:val="center"/>
          </w:tcPr>
          <w:p w14:paraId="77FBD1AA" w14:textId="77777777" w:rsidR="0004729F" w:rsidRPr="004D75BF" w:rsidRDefault="0004729F">
            <w:pPr>
              <w:pStyle w:val="TableText0"/>
            </w:pPr>
            <w:r w:rsidRPr="004D75BF">
              <w:t>Treatments</w:t>
            </w:r>
          </w:p>
        </w:tc>
        <w:tc>
          <w:tcPr>
            <w:tcW w:w="3604" w:type="pct"/>
            <w:shd w:val="clear" w:color="auto" w:fill="auto"/>
            <w:vAlign w:val="center"/>
          </w:tcPr>
          <w:p w14:paraId="12A753A2" w14:textId="77777777" w:rsidR="0004729F" w:rsidRPr="004D75BF" w:rsidRDefault="0004729F" w:rsidP="589E218A">
            <w:pPr>
              <w:pStyle w:val="TableText0"/>
            </w:pPr>
            <w:r w:rsidRPr="589E218A">
              <w:t>A+L vs osimertinib</w:t>
            </w:r>
          </w:p>
        </w:tc>
      </w:tr>
      <w:tr w:rsidR="0004729F" w:rsidRPr="004D75BF" w14:paraId="745F9A88" w14:textId="77777777" w:rsidTr="589E218A">
        <w:tc>
          <w:tcPr>
            <w:tcW w:w="1396" w:type="pct"/>
            <w:shd w:val="clear" w:color="auto" w:fill="auto"/>
            <w:vAlign w:val="center"/>
          </w:tcPr>
          <w:p w14:paraId="0EDE2A1B" w14:textId="77777777" w:rsidR="0004729F" w:rsidRPr="004D75BF" w:rsidRDefault="0004729F">
            <w:pPr>
              <w:pStyle w:val="TableText0"/>
            </w:pPr>
            <w:r w:rsidRPr="004D75BF">
              <w:t>Time horizon</w:t>
            </w:r>
          </w:p>
        </w:tc>
        <w:tc>
          <w:tcPr>
            <w:tcW w:w="3604" w:type="pct"/>
            <w:shd w:val="clear" w:color="auto" w:fill="auto"/>
            <w:vAlign w:val="center"/>
          </w:tcPr>
          <w:p w14:paraId="7C0203FA" w14:textId="463B9BFC" w:rsidR="0004729F" w:rsidRPr="004D75BF" w:rsidRDefault="0004729F">
            <w:pPr>
              <w:pStyle w:val="TableText0"/>
            </w:pPr>
            <w:r w:rsidRPr="004D75BF">
              <w:t>15 years in the model base case versus 22 months in the MARIPOSA trial in the August 2023 CCO and 3</w:t>
            </w:r>
            <w:r w:rsidR="002F5A3C">
              <w:t>1</w:t>
            </w:r>
            <w:r w:rsidRPr="004D75BF">
              <w:t>.1 months in the May 2024 CCO</w:t>
            </w:r>
          </w:p>
        </w:tc>
      </w:tr>
      <w:tr w:rsidR="0004729F" w:rsidRPr="004D75BF" w14:paraId="1D49B73C" w14:textId="77777777" w:rsidTr="589E218A">
        <w:tc>
          <w:tcPr>
            <w:tcW w:w="1396" w:type="pct"/>
            <w:shd w:val="clear" w:color="auto" w:fill="auto"/>
            <w:vAlign w:val="center"/>
          </w:tcPr>
          <w:p w14:paraId="12B85868" w14:textId="77777777" w:rsidR="0004729F" w:rsidRPr="004D75BF" w:rsidRDefault="0004729F">
            <w:pPr>
              <w:pStyle w:val="TableText0"/>
            </w:pPr>
            <w:r w:rsidRPr="004D75BF">
              <w:t>Outcomes</w:t>
            </w:r>
          </w:p>
        </w:tc>
        <w:tc>
          <w:tcPr>
            <w:tcW w:w="3604" w:type="pct"/>
            <w:shd w:val="clear" w:color="auto" w:fill="auto"/>
            <w:vAlign w:val="center"/>
          </w:tcPr>
          <w:p w14:paraId="45245124" w14:textId="77777777" w:rsidR="0004729F" w:rsidRPr="004D75BF" w:rsidRDefault="0004729F">
            <w:pPr>
              <w:pStyle w:val="TableText0"/>
            </w:pPr>
            <w:r w:rsidRPr="004D75BF">
              <w:t>LYG and QALY gained</w:t>
            </w:r>
          </w:p>
        </w:tc>
      </w:tr>
      <w:tr w:rsidR="0004729F" w:rsidRPr="004D75BF" w14:paraId="1FA17DCF" w14:textId="77777777" w:rsidTr="589E218A">
        <w:tc>
          <w:tcPr>
            <w:tcW w:w="1396" w:type="pct"/>
            <w:shd w:val="clear" w:color="auto" w:fill="auto"/>
            <w:vAlign w:val="center"/>
          </w:tcPr>
          <w:p w14:paraId="30073484" w14:textId="77777777" w:rsidR="0004729F" w:rsidRPr="004D75BF" w:rsidRDefault="0004729F">
            <w:pPr>
              <w:pStyle w:val="TableText0"/>
            </w:pPr>
            <w:r w:rsidRPr="004D75BF">
              <w:t>Methods used to generate results</w:t>
            </w:r>
          </w:p>
        </w:tc>
        <w:tc>
          <w:tcPr>
            <w:tcW w:w="3604" w:type="pct"/>
            <w:shd w:val="clear" w:color="auto" w:fill="auto"/>
            <w:vAlign w:val="center"/>
          </w:tcPr>
          <w:p w14:paraId="1F767CE1" w14:textId="77777777" w:rsidR="0004729F" w:rsidRPr="004D75BF" w:rsidRDefault="0004729F">
            <w:pPr>
              <w:pStyle w:val="TableText0"/>
            </w:pPr>
            <w:r w:rsidRPr="004D75BF">
              <w:t>Partitioned-survival model</w:t>
            </w:r>
          </w:p>
        </w:tc>
      </w:tr>
      <w:tr w:rsidR="0004729F" w:rsidRPr="004D75BF" w14:paraId="12081985" w14:textId="77777777" w:rsidTr="589E218A">
        <w:tc>
          <w:tcPr>
            <w:tcW w:w="1396" w:type="pct"/>
            <w:shd w:val="clear" w:color="auto" w:fill="auto"/>
            <w:vAlign w:val="center"/>
          </w:tcPr>
          <w:p w14:paraId="11643F46" w14:textId="77777777" w:rsidR="0004729F" w:rsidRPr="004D75BF" w:rsidRDefault="0004729F">
            <w:pPr>
              <w:pStyle w:val="TableText0"/>
            </w:pPr>
            <w:r w:rsidRPr="004D75BF">
              <w:t>Health states</w:t>
            </w:r>
          </w:p>
        </w:tc>
        <w:tc>
          <w:tcPr>
            <w:tcW w:w="3604" w:type="pct"/>
            <w:shd w:val="clear" w:color="auto" w:fill="auto"/>
            <w:vAlign w:val="center"/>
          </w:tcPr>
          <w:p w14:paraId="4DDC286F" w14:textId="77777777" w:rsidR="0004729F" w:rsidRPr="004D75BF" w:rsidRDefault="0004729F">
            <w:pPr>
              <w:pStyle w:val="TableText0"/>
            </w:pPr>
            <w:r w:rsidRPr="004D75BF">
              <w:t>PFS, PD, and dead</w:t>
            </w:r>
          </w:p>
        </w:tc>
      </w:tr>
      <w:tr w:rsidR="0004729F" w:rsidRPr="004D75BF" w14:paraId="06296A36" w14:textId="77777777" w:rsidTr="589E218A">
        <w:tc>
          <w:tcPr>
            <w:tcW w:w="1396" w:type="pct"/>
            <w:shd w:val="clear" w:color="auto" w:fill="auto"/>
            <w:vAlign w:val="center"/>
          </w:tcPr>
          <w:p w14:paraId="5BC7CC12" w14:textId="77777777" w:rsidR="0004729F" w:rsidRPr="004D75BF" w:rsidRDefault="0004729F">
            <w:pPr>
              <w:pStyle w:val="TableText0"/>
            </w:pPr>
            <w:r w:rsidRPr="004D75BF">
              <w:t>Cycle length</w:t>
            </w:r>
          </w:p>
        </w:tc>
        <w:tc>
          <w:tcPr>
            <w:tcW w:w="3604" w:type="pct"/>
            <w:shd w:val="clear" w:color="auto" w:fill="auto"/>
            <w:vAlign w:val="center"/>
          </w:tcPr>
          <w:p w14:paraId="1AECB6B1" w14:textId="77777777" w:rsidR="0004729F" w:rsidRPr="004D75BF" w:rsidRDefault="0004729F">
            <w:pPr>
              <w:pStyle w:val="TableText0"/>
            </w:pPr>
            <w:r w:rsidRPr="004D75BF">
              <w:t>1 week</w:t>
            </w:r>
          </w:p>
        </w:tc>
      </w:tr>
      <w:tr w:rsidR="0004729F" w:rsidRPr="004D75BF" w14:paraId="19E97C72" w14:textId="77777777" w:rsidTr="589E218A">
        <w:tc>
          <w:tcPr>
            <w:tcW w:w="1396" w:type="pct"/>
            <w:shd w:val="clear" w:color="auto" w:fill="auto"/>
            <w:vAlign w:val="center"/>
          </w:tcPr>
          <w:p w14:paraId="7DDC5F26" w14:textId="77777777" w:rsidR="0004729F" w:rsidRPr="004D75BF" w:rsidRDefault="0004729F">
            <w:pPr>
              <w:pStyle w:val="TableText0"/>
            </w:pPr>
            <w:r w:rsidRPr="004D75BF">
              <w:t>Allocation to health states</w:t>
            </w:r>
          </w:p>
        </w:tc>
        <w:tc>
          <w:tcPr>
            <w:tcW w:w="3604" w:type="pct"/>
            <w:shd w:val="clear" w:color="auto" w:fill="auto"/>
            <w:vAlign w:val="center"/>
          </w:tcPr>
          <w:p w14:paraId="0A3B243A" w14:textId="77777777" w:rsidR="0004729F" w:rsidRPr="004D75BF" w:rsidRDefault="0004729F">
            <w:pPr>
              <w:pStyle w:val="TableText0"/>
            </w:pPr>
            <w:r w:rsidRPr="004D75BF">
              <w:t>OS and PFS curves from the MARIPOSA trial</w:t>
            </w:r>
          </w:p>
        </w:tc>
      </w:tr>
      <w:tr w:rsidR="0004729F" w:rsidRPr="004D75BF" w14:paraId="01376338" w14:textId="77777777" w:rsidTr="589E218A">
        <w:tc>
          <w:tcPr>
            <w:tcW w:w="1396" w:type="pct"/>
            <w:shd w:val="clear" w:color="auto" w:fill="auto"/>
            <w:vAlign w:val="center"/>
          </w:tcPr>
          <w:p w14:paraId="2D57DDCF" w14:textId="77777777" w:rsidR="0004729F" w:rsidRPr="004D75BF" w:rsidRDefault="0004729F">
            <w:pPr>
              <w:pStyle w:val="TableText0"/>
            </w:pPr>
            <w:r w:rsidRPr="004D75BF">
              <w:t>Extrapolation method</w:t>
            </w:r>
          </w:p>
        </w:tc>
        <w:tc>
          <w:tcPr>
            <w:tcW w:w="3604" w:type="pct"/>
            <w:shd w:val="clear" w:color="auto" w:fill="auto"/>
            <w:vAlign w:val="center"/>
          </w:tcPr>
          <w:p w14:paraId="1EE5111D" w14:textId="77777777" w:rsidR="0004729F" w:rsidRPr="004D75BF" w:rsidRDefault="0004729F">
            <w:pPr>
              <w:pStyle w:val="TableText0"/>
            </w:pPr>
            <w:r w:rsidRPr="004D75BF">
              <w:t xml:space="preserve">Parametric models fitted to each treatment arm for PFS and OS KM estimates from the MARIPOSA trial extrapolated after the time point when &lt; 20% of at-risk patients remained. Extrapolation functions were chosen based on goodness of fit statistics and visual inspection. Proportional hazards were not assumed. </w:t>
            </w:r>
          </w:p>
          <w:p w14:paraId="54CE40E1" w14:textId="77777777" w:rsidR="0004729F" w:rsidRPr="004D75BF" w:rsidRDefault="0004729F">
            <w:pPr>
              <w:pStyle w:val="TableText0"/>
            </w:pPr>
          </w:p>
          <w:p w14:paraId="079BCC30" w14:textId="77777777" w:rsidR="0004729F" w:rsidRPr="004D75BF" w:rsidRDefault="0004729F">
            <w:pPr>
              <w:pStyle w:val="TableText0"/>
            </w:pPr>
            <w:r w:rsidRPr="004D75BF">
              <w:t>A+L</w:t>
            </w:r>
          </w:p>
          <w:p w14:paraId="7EF4F5BF" w14:textId="77777777" w:rsidR="0004729F" w:rsidRPr="004D75BF" w:rsidRDefault="0004729F" w:rsidP="00387550">
            <w:pPr>
              <w:pStyle w:val="TableText0"/>
              <w:numPr>
                <w:ilvl w:val="0"/>
                <w:numId w:val="11"/>
              </w:numPr>
            </w:pPr>
            <w:r w:rsidRPr="004D75BF">
              <w:t>OS = Weibull</w:t>
            </w:r>
          </w:p>
          <w:p w14:paraId="168495F4" w14:textId="77777777" w:rsidR="0004729F" w:rsidRPr="004D75BF" w:rsidRDefault="0004729F" w:rsidP="00387550">
            <w:pPr>
              <w:pStyle w:val="TableText0"/>
              <w:numPr>
                <w:ilvl w:val="0"/>
                <w:numId w:val="11"/>
              </w:numPr>
            </w:pPr>
            <w:r w:rsidRPr="004D75BF">
              <w:t>PFS = gamma</w:t>
            </w:r>
          </w:p>
          <w:p w14:paraId="777964F7" w14:textId="77777777" w:rsidR="0004729F" w:rsidRPr="004D75BF" w:rsidRDefault="0004729F" w:rsidP="00387550">
            <w:pPr>
              <w:pStyle w:val="TableText0"/>
              <w:numPr>
                <w:ilvl w:val="0"/>
                <w:numId w:val="11"/>
              </w:numPr>
            </w:pPr>
            <w:r w:rsidRPr="004D75BF">
              <w:t>TTTD = generalised gamma</w:t>
            </w:r>
          </w:p>
          <w:p w14:paraId="072341D5" w14:textId="6050574B" w:rsidR="0004729F" w:rsidRPr="007E3B9C" w:rsidRDefault="0004729F">
            <w:pPr>
              <w:pStyle w:val="TableText0"/>
            </w:pPr>
            <w:r w:rsidRPr="007E3B9C">
              <w:t>6</w:t>
            </w:r>
            <w:r w:rsidR="003B025C" w:rsidRPr="007E3B9C">
              <w:t>3</w:t>
            </w:r>
            <w:r w:rsidRPr="007E3B9C">
              <w:t xml:space="preserve">% of QALYs and </w:t>
            </w:r>
            <w:r w:rsidR="003B025C" w:rsidRPr="007E3B9C">
              <w:t>47</w:t>
            </w:r>
            <w:r w:rsidRPr="007E3B9C">
              <w:t>% of costs occur in the extrapolated period</w:t>
            </w:r>
          </w:p>
          <w:p w14:paraId="6EA143A5" w14:textId="77777777" w:rsidR="0004729F" w:rsidRPr="007E3B9C" w:rsidRDefault="0004729F">
            <w:pPr>
              <w:pStyle w:val="TableText0"/>
            </w:pPr>
          </w:p>
          <w:p w14:paraId="3BAD04C8" w14:textId="77777777" w:rsidR="0004729F" w:rsidRPr="007E3B9C" w:rsidRDefault="0004729F">
            <w:pPr>
              <w:pStyle w:val="TableText0"/>
            </w:pPr>
            <w:r w:rsidRPr="007E3B9C">
              <w:t>Osimertinib</w:t>
            </w:r>
          </w:p>
          <w:p w14:paraId="779D3F99" w14:textId="77777777" w:rsidR="0004729F" w:rsidRPr="007E3B9C" w:rsidRDefault="0004729F" w:rsidP="00387550">
            <w:pPr>
              <w:pStyle w:val="TableText0"/>
              <w:numPr>
                <w:ilvl w:val="0"/>
                <w:numId w:val="11"/>
              </w:numPr>
            </w:pPr>
            <w:r w:rsidRPr="007E3B9C">
              <w:t>OS = generalised gamma</w:t>
            </w:r>
          </w:p>
          <w:p w14:paraId="669DD3B4" w14:textId="77777777" w:rsidR="0004729F" w:rsidRPr="007E3B9C" w:rsidRDefault="0004729F" w:rsidP="00387550">
            <w:pPr>
              <w:pStyle w:val="TableText0"/>
              <w:numPr>
                <w:ilvl w:val="0"/>
                <w:numId w:val="11"/>
              </w:numPr>
            </w:pPr>
            <w:r w:rsidRPr="007E3B9C">
              <w:t>PFS = gamma</w:t>
            </w:r>
          </w:p>
          <w:p w14:paraId="4FCF9BCC" w14:textId="77777777" w:rsidR="0004729F" w:rsidRPr="007E3B9C" w:rsidRDefault="0004729F" w:rsidP="00387550">
            <w:pPr>
              <w:pStyle w:val="TableText0"/>
              <w:numPr>
                <w:ilvl w:val="0"/>
                <w:numId w:val="11"/>
              </w:numPr>
            </w:pPr>
            <w:r w:rsidRPr="007E3B9C">
              <w:t>TTTD = exponential</w:t>
            </w:r>
          </w:p>
          <w:p w14:paraId="6A98C12A" w14:textId="4D008719" w:rsidR="0004729F" w:rsidRPr="004D75BF" w:rsidRDefault="0004729F">
            <w:pPr>
              <w:pStyle w:val="TableText0"/>
            </w:pPr>
            <w:r w:rsidRPr="007E3B9C">
              <w:t>4</w:t>
            </w:r>
            <w:r w:rsidR="003B025C" w:rsidRPr="007E3B9C">
              <w:t>6</w:t>
            </w:r>
            <w:r w:rsidRPr="007E3B9C">
              <w:t xml:space="preserve">% of QALYs and </w:t>
            </w:r>
            <w:r w:rsidR="003B025C" w:rsidRPr="007E3B9C">
              <w:t>43</w:t>
            </w:r>
            <w:r w:rsidRPr="007E3B9C">
              <w:t>% of costs occur in the extrapolated period</w:t>
            </w:r>
          </w:p>
        </w:tc>
      </w:tr>
      <w:tr w:rsidR="0004729F" w:rsidRPr="004D75BF" w14:paraId="1D9277CC" w14:textId="77777777" w:rsidTr="589E218A">
        <w:tc>
          <w:tcPr>
            <w:tcW w:w="1396" w:type="pct"/>
            <w:shd w:val="clear" w:color="auto" w:fill="auto"/>
            <w:vAlign w:val="center"/>
          </w:tcPr>
          <w:p w14:paraId="44E61198" w14:textId="77777777" w:rsidR="0004729F" w:rsidRPr="004D75BF" w:rsidRDefault="0004729F">
            <w:pPr>
              <w:pStyle w:val="TableText0"/>
            </w:pPr>
            <w:r w:rsidRPr="004D75BF">
              <w:t>Health-related quality of life</w:t>
            </w:r>
          </w:p>
        </w:tc>
        <w:tc>
          <w:tcPr>
            <w:tcW w:w="3604" w:type="pct"/>
            <w:shd w:val="clear" w:color="auto" w:fill="auto"/>
            <w:vAlign w:val="center"/>
          </w:tcPr>
          <w:p w14:paraId="493DBB2D" w14:textId="77777777" w:rsidR="0004729F" w:rsidRPr="00934A70" w:rsidRDefault="0004729F">
            <w:pPr>
              <w:pStyle w:val="TableText0"/>
              <w:rPr>
                <w:lang w:val="it-IT"/>
              </w:rPr>
            </w:pPr>
            <w:r w:rsidRPr="004D75BF">
              <w:t xml:space="preserve">Based on the MARIPOSA trial EQ-5D-5L using an Australian algorithm (Norman et al. </w:t>
            </w:r>
            <w:r w:rsidRPr="00934A70">
              <w:rPr>
                <w:lang w:val="it-IT"/>
              </w:rPr>
              <w:t>(2023))</w:t>
            </w:r>
          </w:p>
          <w:p w14:paraId="6042932C" w14:textId="77777777" w:rsidR="0004729F" w:rsidRPr="00934A70" w:rsidRDefault="0004729F">
            <w:pPr>
              <w:pStyle w:val="TableText0"/>
              <w:rPr>
                <w:lang w:val="it-IT"/>
              </w:rPr>
            </w:pPr>
            <w:r w:rsidRPr="00934A70">
              <w:rPr>
                <w:lang w:val="it-IT"/>
              </w:rPr>
              <w:t xml:space="preserve"> </w:t>
            </w:r>
          </w:p>
          <w:p w14:paraId="7514F96A" w14:textId="21059171" w:rsidR="0004729F" w:rsidRPr="00934A70" w:rsidRDefault="0004729F">
            <w:pPr>
              <w:pStyle w:val="TableText0"/>
              <w:rPr>
                <w:lang w:val="it-IT"/>
              </w:rPr>
            </w:pPr>
            <w:r w:rsidRPr="00934A70">
              <w:rPr>
                <w:lang w:val="it-IT"/>
              </w:rPr>
              <w:t>PFS: pooled = 0.913; A+L = 0.900; osimertinib = 0.927</w:t>
            </w:r>
          </w:p>
          <w:p w14:paraId="40B15011" w14:textId="77777777" w:rsidR="0004729F" w:rsidRPr="00934A70" w:rsidRDefault="0004729F">
            <w:pPr>
              <w:pStyle w:val="TableText0"/>
              <w:rPr>
                <w:lang w:val="it-IT"/>
              </w:rPr>
            </w:pPr>
            <w:r w:rsidRPr="00934A70">
              <w:rPr>
                <w:lang w:val="it-IT"/>
              </w:rPr>
              <w:t>PD: pooled = 0.862; A+L = 0.860; osimertinib = 0.863</w:t>
            </w:r>
          </w:p>
          <w:p w14:paraId="6D59800E" w14:textId="77777777" w:rsidR="0004729F" w:rsidRPr="004D75BF" w:rsidRDefault="0004729F">
            <w:pPr>
              <w:pStyle w:val="TableText0"/>
            </w:pPr>
            <w:r w:rsidRPr="004D75BF">
              <w:t>Treatment-specific utilities were applied in the PFS health state and pooled utilities applied in the PD health state</w:t>
            </w:r>
          </w:p>
        </w:tc>
      </w:tr>
      <w:tr w:rsidR="0004729F" w:rsidRPr="004D75BF" w14:paraId="7F89FF68" w14:textId="77777777" w:rsidTr="589E218A">
        <w:tc>
          <w:tcPr>
            <w:tcW w:w="1396" w:type="pct"/>
            <w:shd w:val="clear" w:color="auto" w:fill="auto"/>
            <w:vAlign w:val="center"/>
          </w:tcPr>
          <w:p w14:paraId="170A975E" w14:textId="77777777" w:rsidR="0004729F" w:rsidRPr="004D75BF" w:rsidRDefault="0004729F">
            <w:pPr>
              <w:pStyle w:val="TableText0"/>
            </w:pPr>
            <w:r w:rsidRPr="004D75BF">
              <w:t xml:space="preserve">Costs </w:t>
            </w:r>
          </w:p>
        </w:tc>
        <w:tc>
          <w:tcPr>
            <w:tcW w:w="3604" w:type="pct"/>
            <w:shd w:val="clear" w:color="auto" w:fill="auto"/>
            <w:vAlign w:val="center"/>
          </w:tcPr>
          <w:p w14:paraId="0C5DA4DA" w14:textId="2525BE64" w:rsidR="0004729F" w:rsidRPr="004D75BF" w:rsidRDefault="0004729F">
            <w:pPr>
              <w:pStyle w:val="TableText0"/>
            </w:pPr>
            <w:r w:rsidRPr="004D75BF">
              <w:t>Treatment (based on TTTD curves), treatment administration, adverse event management (including rivaroxaban use to prevent pulmonary embolism)</w:t>
            </w:r>
            <w:r w:rsidR="00B73809">
              <w:t xml:space="preserve"> – applied </w:t>
            </w:r>
            <w:r w:rsidR="007D6181">
              <w:t>as a one-off cost at the start of the model</w:t>
            </w:r>
            <w:r w:rsidR="000445A7">
              <w:t xml:space="preserve"> only</w:t>
            </w:r>
            <w:r w:rsidRPr="004D75BF">
              <w:t>, post-progression therapy, and end-of-life costs</w:t>
            </w:r>
            <w:r w:rsidR="00291951">
              <w:t>.</w:t>
            </w:r>
          </w:p>
        </w:tc>
      </w:tr>
    </w:tbl>
    <w:p w14:paraId="6C182C2B" w14:textId="77777777" w:rsidR="0004729F" w:rsidRPr="004D75BF" w:rsidRDefault="0004729F" w:rsidP="0004729F">
      <w:pPr>
        <w:pStyle w:val="FooterTableFigure"/>
      </w:pPr>
      <w:r w:rsidRPr="004D75BF">
        <w:t>Source: Compiled from Section 3 of the submission.</w:t>
      </w:r>
    </w:p>
    <w:p w14:paraId="76636355" w14:textId="77777777" w:rsidR="0004729F" w:rsidRPr="004D75BF" w:rsidRDefault="0004729F" w:rsidP="0004729F">
      <w:pPr>
        <w:pStyle w:val="FooterTableFigure"/>
      </w:pPr>
      <w:r w:rsidRPr="589E218A">
        <w:t>A+L = amivantamab plus osimertinib, CCO = clinical cut-off, EQ-5D-5L = EuroQoL, 5 dimension, 5 level questionnaire, KM = Kaplan Meier, LYG = life-year gained, OS = overall survival, PD = progressed disease, PFS = progression-free survival, QALY = quality-adjusted life year, TTTD = time to treatment discontinuation.</w:t>
      </w:r>
    </w:p>
    <w:p w14:paraId="5DE69B81" w14:textId="1F3CDDD2" w:rsidR="0004729F" w:rsidRPr="00294526" w:rsidRDefault="0004729F" w:rsidP="003576D0">
      <w:pPr>
        <w:pStyle w:val="3-BodyText"/>
        <w:ind w:left="709" w:hanging="709"/>
        <w:rPr>
          <w:iCs/>
        </w:rPr>
      </w:pPr>
      <w:bookmarkStart w:id="85" w:name="_Ref190367183"/>
      <w:r w:rsidRPr="004D75BF">
        <w:t xml:space="preserve">The submission used a 15-year time horizon. </w:t>
      </w:r>
      <w:r w:rsidRPr="002670C2">
        <w:rPr>
          <w:iCs/>
        </w:rPr>
        <w:t>T</w:t>
      </w:r>
      <w:r w:rsidR="00287850" w:rsidRPr="002670C2">
        <w:rPr>
          <w:iCs/>
        </w:rPr>
        <w:t>he evaluation considered that</w:t>
      </w:r>
      <w:r w:rsidR="00287850">
        <w:rPr>
          <w:iCs/>
        </w:rPr>
        <w:t xml:space="preserve"> t</w:t>
      </w:r>
      <w:r w:rsidRPr="002464B3">
        <w:rPr>
          <w:iCs/>
        </w:rPr>
        <w:t xml:space="preserve">his was not reasonable and may overestimate A+L benefits. </w:t>
      </w:r>
      <w:r w:rsidRPr="004D75BF">
        <w:t>The MARIPOSA trial had a median follow-</w:t>
      </w:r>
      <w:r w:rsidRPr="004E5FF7">
        <w:t>up of</w:t>
      </w:r>
      <w:r w:rsidR="00CE16EE" w:rsidRPr="004E5FF7">
        <w:t xml:space="preserve"> </w:t>
      </w:r>
      <w:r w:rsidR="00CE16EE" w:rsidRPr="00294526">
        <w:rPr>
          <w:lang w:val="en-US"/>
        </w:rPr>
        <w:t>37.8 months</w:t>
      </w:r>
      <w:r w:rsidR="00A80475" w:rsidRPr="00294526">
        <w:rPr>
          <w:lang w:val="en-US"/>
        </w:rPr>
        <w:t xml:space="preserve"> in the Dec</w:t>
      </w:r>
      <w:r w:rsidR="00206E91">
        <w:rPr>
          <w:lang w:val="en-US"/>
        </w:rPr>
        <w:t>ember</w:t>
      </w:r>
      <w:r w:rsidR="00A80475" w:rsidRPr="00294526">
        <w:rPr>
          <w:lang w:val="en-US"/>
        </w:rPr>
        <w:t xml:space="preserve"> 2024 CCO (reported in the PSCR),</w:t>
      </w:r>
      <w:r w:rsidRPr="004D75BF">
        <w:t xml:space="preserve"> 31.1</w:t>
      </w:r>
      <w:r w:rsidR="00663387">
        <w:t> </w:t>
      </w:r>
      <w:r w:rsidRPr="004D75BF">
        <w:t>months in the May 2024 CCO, and 22.0 months in the August 2023 CCO</w:t>
      </w:r>
      <w:r w:rsidRPr="002464B3">
        <w:rPr>
          <w:iCs/>
        </w:rPr>
        <w:t xml:space="preserve">. </w:t>
      </w:r>
      <w:bookmarkStart w:id="86" w:name="_Hlk187054757"/>
      <w:r w:rsidRPr="004D75BF">
        <w:t xml:space="preserve">The PBAC previously considered that the use of a 7.5-year time horizon was clinically appropriate in its consideration of osimertinib for the same indication (in treatment-naive patients with locally advanced or metastatic common </w:t>
      </w:r>
      <w:r w:rsidR="00F639C0" w:rsidRPr="00F639C0">
        <w:rPr>
          <w:i/>
        </w:rPr>
        <w:t>EGFR</w:t>
      </w:r>
      <w:r w:rsidRPr="004D75BF">
        <w:t xml:space="preserve"> NSCLC) (para</w:t>
      </w:r>
      <w:r w:rsidR="000C0818">
        <w:t>gra</w:t>
      </w:r>
      <w:r w:rsidR="000C70B8">
        <w:t>ph</w:t>
      </w:r>
      <w:r w:rsidRPr="004D75BF">
        <w:t xml:space="preserve"> 7.11, osimertinib PSD, July 2019).</w:t>
      </w:r>
      <w:r w:rsidRPr="002464B3">
        <w:rPr>
          <w:iCs/>
        </w:rPr>
        <w:t xml:space="preserve"> </w:t>
      </w:r>
      <w:r w:rsidRPr="004D75BF">
        <w:t>The key trial for the osimertinib submission was the FLAURA trial with a median follow up of 36 months for osimertinib (para</w:t>
      </w:r>
      <w:r w:rsidR="000C70B8">
        <w:t>graph</w:t>
      </w:r>
      <w:r w:rsidRPr="004D75BF">
        <w:t xml:space="preserve"> 6.7, osimertinib PSD, July 2020)</w:t>
      </w:r>
      <w:r w:rsidRPr="002464B3">
        <w:rPr>
          <w:iCs/>
        </w:rPr>
        <w:t xml:space="preserve">. </w:t>
      </w:r>
      <w:r w:rsidRPr="004D75BF">
        <w:t xml:space="preserve">The submission </w:t>
      </w:r>
      <w:r w:rsidR="007E4173">
        <w:t>stated</w:t>
      </w:r>
      <w:r w:rsidR="007E4173" w:rsidRPr="004D75BF">
        <w:t xml:space="preserve"> </w:t>
      </w:r>
      <w:r w:rsidRPr="004D75BF">
        <w:t xml:space="preserve">that </w:t>
      </w:r>
      <w:r w:rsidR="00AA3F25">
        <w:t>in the context of</w:t>
      </w:r>
      <w:r w:rsidR="00AA3F25" w:rsidRPr="004D75BF">
        <w:t xml:space="preserve"> </w:t>
      </w:r>
      <w:r w:rsidRPr="004D75BF">
        <w:t>the previous PBAC consideration for osimertinib (July 2019 &amp; 2020 PBAC meetings)</w:t>
      </w:r>
      <w:r w:rsidR="00AA09A7">
        <w:t>,</w:t>
      </w:r>
      <w:r w:rsidRPr="004D75BF">
        <w:t xml:space="preserve"> a longer time horizon would be appropriate</w:t>
      </w:r>
      <w:r w:rsidR="00B96C37">
        <w:t xml:space="preserve"> for A+L</w:t>
      </w:r>
      <w:r w:rsidRPr="004D75BF">
        <w:t xml:space="preserve"> given the additional OS benefit of A+L over osimertinib</w:t>
      </w:r>
      <w:r w:rsidR="00EF5C94">
        <w:t xml:space="preserve">; </w:t>
      </w:r>
      <w:r w:rsidR="00EF5C94" w:rsidRPr="00294526">
        <w:t>the ESC questioned the plausibility of this argument</w:t>
      </w:r>
      <w:r w:rsidRPr="004D75BF">
        <w:t xml:space="preserve">. </w:t>
      </w:r>
      <w:r w:rsidRPr="002464B3">
        <w:rPr>
          <w:iCs/>
        </w:rPr>
        <w:t>The</w:t>
      </w:r>
      <w:r w:rsidR="000748AD">
        <w:rPr>
          <w:iCs/>
        </w:rPr>
        <w:t xml:space="preserve"> </w:t>
      </w:r>
      <w:r w:rsidR="000748AD" w:rsidRPr="00294526">
        <w:rPr>
          <w:iCs/>
        </w:rPr>
        <w:t>evaluation considered that the</w:t>
      </w:r>
      <w:r w:rsidRPr="002464B3">
        <w:rPr>
          <w:iCs/>
        </w:rPr>
        <w:t xml:space="preserve"> magnitude of the OS benefit of A+L over osimertinib was uncertain given the immaturity of the OS data in MARIPOSA. </w:t>
      </w:r>
      <w:bookmarkEnd w:id="86"/>
      <w:r w:rsidR="00BB662E" w:rsidRPr="00294526">
        <w:rPr>
          <w:iCs/>
        </w:rPr>
        <w:t>Conversely, t</w:t>
      </w:r>
      <w:r w:rsidR="00207245" w:rsidRPr="00294526">
        <w:rPr>
          <w:iCs/>
        </w:rPr>
        <w:t>he</w:t>
      </w:r>
      <w:r w:rsidR="001513AE" w:rsidRPr="00294526">
        <w:rPr>
          <w:iCs/>
        </w:rPr>
        <w:t xml:space="preserve"> PSCR</w:t>
      </w:r>
      <w:r w:rsidR="005E7DFA" w:rsidRPr="00294526">
        <w:rPr>
          <w:iCs/>
        </w:rPr>
        <w:t xml:space="preserve"> </w:t>
      </w:r>
      <w:r w:rsidR="001513AE" w:rsidRPr="00294526">
        <w:rPr>
          <w:iCs/>
        </w:rPr>
        <w:t>argued that a longer time horizon</w:t>
      </w:r>
      <w:r w:rsidR="00B723BE" w:rsidRPr="00294526">
        <w:rPr>
          <w:iCs/>
        </w:rPr>
        <w:t xml:space="preserve"> than that accepted for osimertinib</w:t>
      </w:r>
      <w:r w:rsidR="001513AE" w:rsidRPr="00294526">
        <w:rPr>
          <w:iCs/>
        </w:rPr>
        <w:t xml:space="preserve"> was supported </w:t>
      </w:r>
      <w:r w:rsidR="00B2642F" w:rsidRPr="00294526">
        <w:rPr>
          <w:iCs/>
        </w:rPr>
        <w:t xml:space="preserve">given the </w:t>
      </w:r>
      <w:r w:rsidR="005E7DFA" w:rsidRPr="00294526">
        <w:rPr>
          <w:iCs/>
        </w:rPr>
        <w:t>median OS</w:t>
      </w:r>
      <w:r w:rsidR="00031D4B">
        <w:rPr>
          <w:iCs/>
        </w:rPr>
        <w:t xml:space="preserve"> for the A+L arm</w:t>
      </w:r>
      <w:r w:rsidR="005E7DFA" w:rsidRPr="00294526">
        <w:rPr>
          <w:iCs/>
        </w:rPr>
        <w:t xml:space="preserve"> </w:t>
      </w:r>
      <w:r w:rsidR="00031D4B">
        <w:rPr>
          <w:iCs/>
        </w:rPr>
        <w:t>was not</w:t>
      </w:r>
      <w:r w:rsidR="00031D4B" w:rsidRPr="00294526">
        <w:rPr>
          <w:iCs/>
        </w:rPr>
        <w:t xml:space="preserve"> </w:t>
      </w:r>
      <w:r w:rsidR="005E7DFA" w:rsidRPr="00294526">
        <w:rPr>
          <w:iCs/>
        </w:rPr>
        <w:t>reached</w:t>
      </w:r>
      <w:r w:rsidR="00C51A36" w:rsidRPr="00294526">
        <w:rPr>
          <w:iCs/>
        </w:rPr>
        <w:t xml:space="preserve"> after more than 3 years of foll</w:t>
      </w:r>
      <w:r w:rsidR="00CD0463" w:rsidRPr="00294526">
        <w:rPr>
          <w:iCs/>
        </w:rPr>
        <w:t>ow-up</w:t>
      </w:r>
      <w:r w:rsidR="005E7DFA" w:rsidRPr="00294526">
        <w:rPr>
          <w:iCs/>
        </w:rPr>
        <w:t>.</w:t>
      </w:r>
      <w:bookmarkEnd w:id="85"/>
    </w:p>
    <w:p w14:paraId="72E885CB" w14:textId="7FB82E2D" w:rsidR="0004729F" w:rsidRPr="004D75BF" w:rsidRDefault="0004729F" w:rsidP="003576D0">
      <w:pPr>
        <w:pStyle w:val="3-BodyText"/>
        <w:ind w:left="709" w:hanging="709"/>
      </w:pPr>
      <w:r w:rsidRPr="589E218A">
        <w:t xml:space="preserve">The submission used OS and PFS KM curves from MARIPOSA to model transition probabilities, until there were fewer than 20% of </w:t>
      </w:r>
      <w:bookmarkStart w:id="87" w:name="_Hlk187054811"/>
      <w:r w:rsidRPr="589E218A">
        <w:t xml:space="preserve">patients remaining at risk, </w:t>
      </w:r>
      <w:bookmarkEnd w:id="87"/>
      <w:r w:rsidRPr="589E218A">
        <w:t>where curves become more uncertain. The submission also used TTTD curves to model the proportion of patients still on treatment. The submission did not validate the extrapolations using external data. The submission extrapolated KM curves using parametric survival analysis fitted to the observed data</w:t>
      </w:r>
      <w:r w:rsidR="00A22EB3" w:rsidRPr="589E218A">
        <w:t xml:space="preserve"> using</w:t>
      </w:r>
      <w:r w:rsidRPr="589E218A">
        <w:t xml:space="preserve"> exponential, Weibull, Gompertz, loglogistic, lognormal, gamma, and generalised gamma distributions</w:t>
      </w:r>
      <w:r w:rsidR="004F358A">
        <w:t xml:space="preserve"> (</w:t>
      </w:r>
      <w:r w:rsidR="004F358A">
        <w:fldChar w:fldCharType="begin"/>
      </w:r>
      <w:r w:rsidR="004F358A">
        <w:instrText xml:space="preserve"> REF _Ref185927768 \h </w:instrText>
      </w:r>
      <w:r w:rsidR="004F358A">
        <w:fldChar w:fldCharType="separate"/>
      </w:r>
      <w:r w:rsidR="00184F9A" w:rsidRPr="589E218A">
        <w:t xml:space="preserve">Table </w:t>
      </w:r>
      <w:r w:rsidR="00184F9A">
        <w:rPr>
          <w:noProof/>
        </w:rPr>
        <w:t>8</w:t>
      </w:r>
      <w:r w:rsidR="004F358A">
        <w:fldChar w:fldCharType="end"/>
      </w:r>
      <w:r w:rsidR="004F358A">
        <w:t>)</w:t>
      </w:r>
      <w:r w:rsidRPr="589E218A">
        <w:t xml:space="preserve">. </w:t>
      </w:r>
    </w:p>
    <w:p w14:paraId="5D61A618" w14:textId="039FA2D1" w:rsidR="0004729F" w:rsidRPr="004D75BF" w:rsidRDefault="0004729F" w:rsidP="003576D0">
      <w:pPr>
        <w:pStyle w:val="3-BodyText"/>
        <w:ind w:left="709" w:hanging="709"/>
      </w:pPr>
      <w:r w:rsidRPr="589E218A">
        <w:t>The OS extrapolation commenced at 34.0 months in the A+L arm and 33.4 months in the osimertinib arm, the point at which 20% of patients were at risk. The</w:t>
      </w:r>
      <w:r w:rsidR="00CE106D" w:rsidRPr="589E218A">
        <w:t xml:space="preserve"> </w:t>
      </w:r>
      <w:r w:rsidR="00CE106D" w:rsidRPr="00294526">
        <w:t>evaluation noted that</w:t>
      </w:r>
      <w:r w:rsidRPr="589E218A">
        <w:t xml:space="preserve"> extrapolations were uncertain given that the data presented by the submission had a censored data proportion of 66.9% in the A+L arm and 58.7% in the osimertinib arm in the May 2024 CCO. The long-term OS extrapolations for A+L and osimertinib are presented in </w:t>
      </w:r>
      <w:r>
        <w:fldChar w:fldCharType="begin"/>
      </w:r>
      <w:r>
        <w:instrText xml:space="preserve"> REF _Ref185930258 \h </w:instrText>
      </w:r>
      <w:r>
        <w:fldChar w:fldCharType="separate"/>
      </w:r>
      <w:r w:rsidR="00184F9A" w:rsidRPr="004D75BF">
        <w:t xml:space="preserve">Figure </w:t>
      </w:r>
      <w:r w:rsidR="00184F9A">
        <w:rPr>
          <w:noProof/>
        </w:rPr>
        <w:t>4</w:t>
      </w:r>
      <w:r>
        <w:fldChar w:fldCharType="end"/>
      </w:r>
      <w:r w:rsidRPr="589E218A">
        <w:t>.</w:t>
      </w:r>
    </w:p>
    <w:p w14:paraId="062DCF8C" w14:textId="7F09C4CB" w:rsidR="0004729F" w:rsidRPr="004D75BF" w:rsidRDefault="0004729F" w:rsidP="0004729F">
      <w:pPr>
        <w:pStyle w:val="TableFigureHeading"/>
      </w:pPr>
      <w:bookmarkStart w:id="88" w:name="_Ref185930258"/>
      <w:r w:rsidRPr="004D75BF">
        <w:t xml:space="preserve">Figure </w:t>
      </w:r>
      <w:r w:rsidR="001B4556">
        <w:fldChar w:fldCharType="begin"/>
      </w:r>
      <w:r w:rsidR="001B4556">
        <w:instrText xml:space="preserve"> SEQ Figure \* ARABIC </w:instrText>
      </w:r>
      <w:r w:rsidR="001B4556">
        <w:fldChar w:fldCharType="separate"/>
      </w:r>
      <w:r w:rsidR="00184F9A">
        <w:rPr>
          <w:noProof/>
        </w:rPr>
        <w:t>4</w:t>
      </w:r>
      <w:r w:rsidR="001B4556">
        <w:rPr>
          <w:noProof/>
        </w:rPr>
        <w:fldChar w:fldCharType="end"/>
      </w:r>
      <w:bookmarkEnd w:id="88"/>
      <w:r w:rsidRPr="004D75BF">
        <w:t>: Parametric extrapolations of OS</w:t>
      </w:r>
    </w:p>
    <w:p w14:paraId="267FE5C2" w14:textId="133FADCC" w:rsidR="0004729F" w:rsidRPr="004D75BF" w:rsidRDefault="00446F2A" w:rsidP="0004729F">
      <w:pPr>
        <w:pStyle w:val="TableFigureHeading"/>
      </w:pPr>
      <w:r>
        <w:rPr>
          <w:noProof/>
        </w:rPr>
        <w:drawing>
          <wp:inline distT="0" distB="0" distL="0" distR="0" wp14:anchorId="4A5E50F4" wp14:editId="358F2F04">
            <wp:extent cx="5732145" cy="2422525"/>
            <wp:effectExtent l="0" t="0" r="1905" b="0"/>
            <wp:docPr id="1635676520" name="Picture 1" descr="Figure 4: Parametric extrapolations of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76520" name="Picture 1" descr="Figure 4: Parametric extrapolations of 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2422525"/>
                    </a:xfrm>
                    <a:prstGeom prst="rect">
                      <a:avLst/>
                    </a:prstGeom>
                    <a:noFill/>
                    <a:ln>
                      <a:noFill/>
                    </a:ln>
                  </pic:spPr>
                </pic:pic>
              </a:graphicData>
            </a:graphic>
          </wp:inline>
        </w:drawing>
      </w:r>
    </w:p>
    <w:p w14:paraId="139E0A49" w14:textId="6DA6D96E" w:rsidR="0004729F" w:rsidRPr="004D75BF" w:rsidRDefault="0004729F" w:rsidP="007A7746">
      <w:pPr>
        <w:pStyle w:val="TableFigureFooter"/>
      </w:pPr>
      <w:r w:rsidRPr="004D75BF">
        <w:t xml:space="preserve">Source: </w:t>
      </w:r>
      <w:bookmarkStart w:id="89" w:name="_Hlk188276805"/>
      <w:r w:rsidRPr="004D75BF">
        <w:t xml:space="preserve">Compiled from ‘Attachment 3.1 MARIPOSA </w:t>
      </w:r>
      <w:r w:rsidR="00F639C0" w:rsidRPr="00F639C0">
        <w:rPr>
          <w:i/>
        </w:rPr>
        <w:t>EGFR</w:t>
      </w:r>
      <w:r w:rsidRPr="004D75BF">
        <w:t>m CEA’ of the submission.</w:t>
      </w:r>
      <w:bookmarkEnd w:id="89"/>
    </w:p>
    <w:p w14:paraId="30FD5EF3" w14:textId="77777777" w:rsidR="0004729F" w:rsidRPr="004D75BF" w:rsidRDefault="0004729F" w:rsidP="007A7746">
      <w:pPr>
        <w:pStyle w:val="TableFigureFooter"/>
      </w:pPr>
      <w:r w:rsidRPr="589E218A">
        <w:t>A+L = amivantamab plus lazertinib, KM = Kaplan Meier, Osi = osimertinib, OS = overall survival.</w:t>
      </w:r>
    </w:p>
    <w:p w14:paraId="03304E3F" w14:textId="77777777" w:rsidR="0004729F" w:rsidRPr="004D75BF" w:rsidRDefault="0004729F" w:rsidP="007A7746">
      <w:pPr>
        <w:pStyle w:val="TableFigureFooter"/>
      </w:pPr>
      <w:bookmarkStart w:id="90" w:name="_Hlk188362901"/>
      <w:r w:rsidRPr="589E218A">
        <w:t>Notes: The submission chose the Weibull function to extrapolate A+L OS and the generalised gamma function for osimertinib OS. The Gompertz function had better fit for both A+L and osimertinib. Base case and better fit curves are bolded.</w:t>
      </w:r>
    </w:p>
    <w:p w14:paraId="6F3682AD" w14:textId="5DB66E9E" w:rsidR="0004729F" w:rsidRPr="004D75BF" w:rsidRDefault="0004729F" w:rsidP="003576D0">
      <w:pPr>
        <w:pStyle w:val="3-BodyText"/>
        <w:ind w:left="709" w:hanging="709"/>
      </w:pPr>
      <w:bookmarkStart w:id="91" w:name="_Ref190367197"/>
      <w:bookmarkEnd w:id="90"/>
      <w:r w:rsidRPr="589E218A">
        <w:t xml:space="preserve">The submission chose the Weibull function to extrapolate A+L OS. The submission noted that the Gompertz function had better Akaike information criterion (AIC) and Bayesian information criterion (BIC), and that the Weibull function had the next-best statistical fit. The Weibull function had the third best statistical fit for the sum of AIC and BIC, whereas the exponential function was second. The submission argued that when comparing 10-year survival, the Gompertz curve estimated 1% survival, which was lower compared to all other projections (except for generalised gamma), projecting survival between 15% and 36%. </w:t>
      </w:r>
      <w:r w:rsidRPr="00294526">
        <w:t>T</w:t>
      </w:r>
      <w:r w:rsidR="00D87A16" w:rsidRPr="00294526">
        <w:t xml:space="preserve">he evaluation </w:t>
      </w:r>
      <w:r w:rsidR="00C30D95" w:rsidRPr="00294526">
        <w:t xml:space="preserve">and the ESC </w:t>
      </w:r>
      <w:r w:rsidR="00D87A16" w:rsidRPr="00294526">
        <w:t>noted that</w:t>
      </w:r>
      <w:r w:rsidR="00D87A16" w:rsidRPr="589E218A">
        <w:rPr>
          <w:i/>
          <w:iCs/>
        </w:rPr>
        <w:t xml:space="preserve"> </w:t>
      </w:r>
      <w:r w:rsidR="00D87A16" w:rsidRPr="589E218A">
        <w:t>t</w:t>
      </w:r>
      <w:r w:rsidRPr="589E218A">
        <w:t xml:space="preserve">his comparison was uncertain given the immaturity of the data </w:t>
      </w:r>
      <w:r w:rsidR="001A5E43" w:rsidRPr="00294526">
        <w:t>and considered that</w:t>
      </w:r>
      <w:r w:rsidR="001A5E43" w:rsidRPr="589E218A">
        <w:t xml:space="preserve"> u</w:t>
      </w:r>
      <w:r w:rsidRPr="589E218A">
        <w:t>sing the Weibull function likely overestimated A+L long-term OS</w:t>
      </w:r>
      <w:r w:rsidR="00027A9B" w:rsidRPr="589E218A">
        <w:t xml:space="preserve"> </w:t>
      </w:r>
      <w:r w:rsidR="00027A9B" w:rsidRPr="00294526">
        <w:t>compared to the Gompertz function</w:t>
      </w:r>
      <w:r w:rsidRPr="589E218A">
        <w:t>. The submission cited a review by a clinical expert advisory board that stated that curves above the Weibull were too optimistic and that Gompertz and generalised gamma were likely too conservative</w:t>
      </w:r>
      <w:r w:rsidR="00EE72D2">
        <w:t>,</w:t>
      </w:r>
      <w:r w:rsidR="00764A3F" w:rsidRPr="589E218A">
        <w:t xml:space="preserve"> but</w:t>
      </w:r>
      <w:r w:rsidRPr="589E218A">
        <w:t xml:space="preserve"> </w:t>
      </w:r>
      <w:r w:rsidR="0016568A" w:rsidRPr="589E218A">
        <w:t>t</w:t>
      </w:r>
      <w:r w:rsidRPr="589E218A">
        <w:t>he advisory board minutes were not provided by the submission. The</w:t>
      </w:r>
      <w:r w:rsidR="0016568A" w:rsidRPr="589E218A">
        <w:t xml:space="preserve"> </w:t>
      </w:r>
      <w:r w:rsidR="0016568A" w:rsidRPr="00294526">
        <w:t>evaluation noted that the</w:t>
      </w:r>
      <w:r w:rsidRPr="589E218A">
        <w:t xml:space="preserve"> model was sensitive to using the Gompertz function to model A+L OS. </w:t>
      </w:r>
      <w:r w:rsidR="00100C7C" w:rsidRPr="00294526">
        <w:t>The PSCR maintained</w:t>
      </w:r>
      <w:r w:rsidR="00A916E7" w:rsidRPr="00294526">
        <w:t xml:space="preserve"> </w:t>
      </w:r>
      <w:r w:rsidR="00100C7C" w:rsidRPr="00294526">
        <w:t xml:space="preserve">that the </w:t>
      </w:r>
      <w:r w:rsidR="009269CD" w:rsidRPr="00294526">
        <w:t>Weibull function was the</w:t>
      </w:r>
      <w:r w:rsidR="00E60DD0" w:rsidRPr="00294526">
        <w:t xml:space="preserve"> most appropriate choice of extrapolation</w:t>
      </w:r>
      <w:r w:rsidR="00BC37AD" w:rsidRPr="00294526">
        <w:t xml:space="preserve"> for the reasons described</w:t>
      </w:r>
      <w:r w:rsidR="00184D8C" w:rsidRPr="00294526">
        <w:t xml:space="preserve"> in the submission</w:t>
      </w:r>
      <w:r w:rsidR="0022534C" w:rsidRPr="00294526">
        <w:t xml:space="preserve"> and</w:t>
      </w:r>
      <w:r w:rsidR="006163F4" w:rsidRPr="00294526">
        <w:t xml:space="preserve"> is</w:t>
      </w:r>
      <w:r w:rsidR="0022534C" w:rsidRPr="00294526">
        <w:t xml:space="preserve"> </w:t>
      </w:r>
      <w:r w:rsidR="006163F4" w:rsidRPr="00294526">
        <w:t>further supported by</w:t>
      </w:r>
      <w:r w:rsidR="00D21495" w:rsidRPr="00294526">
        <w:t xml:space="preserve"> the </w:t>
      </w:r>
      <w:r w:rsidR="00A916E7" w:rsidRPr="00294526">
        <w:t xml:space="preserve">December 2024 CCO data for OS, </w:t>
      </w:r>
      <w:r w:rsidR="00FE5957" w:rsidRPr="00294526">
        <w:t>however the extrapolation was not</w:t>
      </w:r>
      <w:r w:rsidR="00CA222B" w:rsidRPr="00294526">
        <w:t xml:space="preserve"> re-estimate</w:t>
      </w:r>
      <w:r w:rsidR="00FE5957" w:rsidRPr="00294526">
        <w:t>d</w:t>
      </w:r>
      <w:r w:rsidR="00CA222B" w:rsidRPr="00294526">
        <w:t xml:space="preserve"> </w:t>
      </w:r>
      <w:r w:rsidR="005225C9" w:rsidRPr="00294526">
        <w:t>using this data in the PSCR.</w:t>
      </w:r>
      <w:r w:rsidR="00A916E7" w:rsidRPr="00294526">
        <w:t xml:space="preserve"> </w:t>
      </w:r>
      <w:r w:rsidR="00650EBD" w:rsidRPr="00294526">
        <w:t xml:space="preserve">The ESC noted that </w:t>
      </w:r>
      <w:r w:rsidR="00A334E0" w:rsidRPr="00294526">
        <w:t>the model was sensitive to using the Gompertz function</w:t>
      </w:r>
      <w:r w:rsidR="007F4FDA" w:rsidRPr="00294526">
        <w:t xml:space="preserve"> for A+L</w:t>
      </w:r>
      <w:r w:rsidR="00A334E0" w:rsidRPr="00294526">
        <w:t>, reducing the QALYs gained from 1.1 in the base case</w:t>
      </w:r>
      <w:r w:rsidR="00A2340B" w:rsidRPr="00294526">
        <w:t xml:space="preserve"> to 0.38</w:t>
      </w:r>
      <w:r w:rsidR="00A334E0" w:rsidRPr="00294526">
        <w:t xml:space="preserve"> (</w:t>
      </w:r>
      <w:r w:rsidR="00A2340B" w:rsidRPr="00294526">
        <w:t xml:space="preserve">a </w:t>
      </w:r>
      <w:r w:rsidR="00A334E0" w:rsidRPr="00294526">
        <w:t>65% reduction)</w:t>
      </w:r>
      <w:r w:rsidR="00214909" w:rsidRPr="00294526">
        <w:t xml:space="preserve"> (see </w:t>
      </w:r>
      <w:r w:rsidR="00F00305" w:rsidRPr="00294526">
        <w:fldChar w:fldCharType="begin"/>
      </w:r>
      <w:r w:rsidR="00F00305" w:rsidRPr="00294526">
        <w:instrText xml:space="preserve"> REF _Ref104804865 \h  \* MERGEFORMAT </w:instrText>
      </w:r>
      <w:r w:rsidR="00F00305" w:rsidRPr="00294526">
        <w:fldChar w:fldCharType="separate"/>
      </w:r>
      <w:r w:rsidR="00184F9A" w:rsidRPr="589E218A">
        <w:t xml:space="preserve">Table </w:t>
      </w:r>
      <w:r w:rsidR="00184F9A">
        <w:rPr>
          <w:noProof/>
        </w:rPr>
        <w:t>15</w:t>
      </w:r>
      <w:r w:rsidR="00F00305" w:rsidRPr="00294526">
        <w:fldChar w:fldCharType="end"/>
      </w:r>
      <w:r w:rsidR="00214909" w:rsidRPr="00294526">
        <w:t xml:space="preserve"> below)</w:t>
      </w:r>
      <w:r w:rsidR="00A334E0" w:rsidRPr="00294526">
        <w:t>.</w:t>
      </w:r>
      <w:bookmarkEnd w:id="91"/>
    </w:p>
    <w:p w14:paraId="1940251B" w14:textId="666B3CE2" w:rsidR="0004729F" w:rsidRPr="004363E2" w:rsidRDefault="0004729F" w:rsidP="003576D0">
      <w:pPr>
        <w:pStyle w:val="3-BodyText"/>
        <w:ind w:left="709" w:hanging="709"/>
      </w:pPr>
      <w:r w:rsidRPr="589E218A">
        <w:t xml:space="preserve">The submission used the generalised gamma function to extrapolate osimertinib OS. The submission noted that the Gompertz function had the best fit by AIC/BIC, followed by the Weibull and generalised gamma. However, the submission stated that upon closer inspection and considering the previously accepted 7.5-year time horizon for osimertinib in </w:t>
      </w:r>
      <w:r w:rsidR="00F639C0" w:rsidRPr="589E218A">
        <w:rPr>
          <w:i/>
          <w:iCs/>
        </w:rPr>
        <w:t>EGFR</w:t>
      </w:r>
      <w:r w:rsidRPr="589E218A">
        <w:t xml:space="preserve"> NSCLC, the Gompertz function was too pessimistic, whereas the Weibull function was too optimistic. </w:t>
      </w:r>
      <w:r w:rsidR="00E15D81" w:rsidRPr="589E218A">
        <w:t>The</w:t>
      </w:r>
      <w:r w:rsidR="002F4DFF" w:rsidRPr="589E218A">
        <w:t xml:space="preserve"> </w:t>
      </w:r>
      <w:r w:rsidR="002F4DFF" w:rsidRPr="00294526">
        <w:t>evaluation noted that the</w:t>
      </w:r>
      <w:r w:rsidR="00E15D81" w:rsidRPr="589E218A">
        <w:t xml:space="preserve"> submission did not </w:t>
      </w:r>
      <w:r w:rsidR="00ED616A" w:rsidRPr="589E218A">
        <w:t xml:space="preserve">incorporate convergence of the </w:t>
      </w:r>
      <w:r w:rsidR="00E15D81" w:rsidRPr="589E218A">
        <w:t>OS curves.</w:t>
      </w:r>
    </w:p>
    <w:p w14:paraId="305FA3D0" w14:textId="68A1541D" w:rsidR="004363E2" w:rsidRDefault="004363E2" w:rsidP="003576D0">
      <w:pPr>
        <w:pStyle w:val="3-BodyText"/>
        <w:ind w:left="709" w:hanging="709"/>
      </w:pPr>
      <w:r w:rsidRPr="589E218A">
        <w:t>The economic model used TTTD curves from the MARIPOSA</w:t>
      </w:r>
      <w:r w:rsidR="00A04469" w:rsidRPr="589E218A">
        <w:t xml:space="preserve"> </w:t>
      </w:r>
      <w:r w:rsidR="00A04469" w:rsidRPr="00294526">
        <w:t>trial</w:t>
      </w:r>
      <w:r w:rsidRPr="589E218A">
        <w:t xml:space="preserve"> to model medicines utilisation, which included treatment after progression. This was inconsistent with the proposed PBS restriction for continuing treatment </w:t>
      </w:r>
      <w:r w:rsidR="003370DB" w:rsidRPr="589E218A">
        <w:t>which</w:t>
      </w:r>
      <w:r w:rsidRPr="589E218A">
        <w:t xml:space="preserve"> </w:t>
      </w:r>
      <w:r w:rsidR="00DD5E95" w:rsidRPr="589E218A">
        <w:t>states</w:t>
      </w:r>
      <w:r w:rsidRPr="589E218A">
        <w:t xml:space="preserve"> that patients must not have developed disease progression while receiving treatment. However, the PBAC has noted </w:t>
      </w:r>
      <w:r w:rsidR="003370DB" w:rsidRPr="589E218A">
        <w:t xml:space="preserve">previously </w:t>
      </w:r>
      <w:r w:rsidRPr="589E218A">
        <w:t>that using TTTD was appropriate to model medicines utilisation (para</w:t>
      </w:r>
      <w:r w:rsidR="0099186B" w:rsidRPr="589E218A">
        <w:t>graph</w:t>
      </w:r>
      <w:r w:rsidRPr="589E218A">
        <w:t xml:space="preserve"> 7.13, osimertinib, PSD, July 2019). </w:t>
      </w:r>
      <w:r>
        <w:fldChar w:fldCharType="begin"/>
      </w:r>
      <w:r>
        <w:instrText xml:space="preserve"> REF _Ref188423797 \h </w:instrText>
      </w:r>
      <w:r>
        <w:fldChar w:fldCharType="separate"/>
      </w:r>
      <w:r w:rsidR="00184F9A">
        <w:t xml:space="preserve">Figure </w:t>
      </w:r>
      <w:r w:rsidR="00184F9A">
        <w:rPr>
          <w:noProof/>
        </w:rPr>
        <w:t>5</w:t>
      </w:r>
      <w:r>
        <w:fldChar w:fldCharType="end"/>
      </w:r>
      <w:r w:rsidRPr="589E218A">
        <w:t xml:space="preserve"> presents a comparison between TTTD and PFS curves used in the economic model.</w:t>
      </w:r>
    </w:p>
    <w:p w14:paraId="73F97895" w14:textId="238EF15F" w:rsidR="004363E2" w:rsidRDefault="004363E2" w:rsidP="004363E2">
      <w:pPr>
        <w:pStyle w:val="Caption"/>
      </w:pPr>
      <w:bookmarkStart w:id="92" w:name="_Ref188423797"/>
      <w:r>
        <w:t xml:space="preserve">Figure </w:t>
      </w:r>
      <w:r w:rsidR="001B4556">
        <w:fldChar w:fldCharType="begin"/>
      </w:r>
      <w:r w:rsidR="001B4556">
        <w:instrText xml:space="preserve"> SEQ Figure \* ARABIC </w:instrText>
      </w:r>
      <w:r w:rsidR="001B4556">
        <w:fldChar w:fldCharType="separate"/>
      </w:r>
      <w:r w:rsidR="00184F9A">
        <w:rPr>
          <w:noProof/>
        </w:rPr>
        <w:t>5</w:t>
      </w:r>
      <w:r w:rsidR="001B4556">
        <w:rPr>
          <w:noProof/>
        </w:rPr>
        <w:fldChar w:fldCharType="end"/>
      </w:r>
      <w:bookmarkEnd w:id="92"/>
      <w:r>
        <w:t>: Comparison between PFS and TTTD curves used in the economic model</w:t>
      </w:r>
    </w:p>
    <w:p w14:paraId="45B00125" w14:textId="5C5BEA59" w:rsidR="004363E2" w:rsidRDefault="004363E2" w:rsidP="004363E2">
      <w:r>
        <w:rPr>
          <w:noProof/>
        </w:rPr>
        <w:drawing>
          <wp:inline distT="0" distB="0" distL="0" distR="0" wp14:anchorId="4221D297" wp14:editId="2992646E">
            <wp:extent cx="5974715" cy="3780155"/>
            <wp:effectExtent l="0" t="0" r="6985" b="0"/>
            <wp:docPr id="58419719" name="Picture 1" descr="Figure 5: Comparison between PFS and TTTD curves used in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9719" name="Picture 1" descr="Figure 5: Comparison between PFS and TTTD curves used in the economic mod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4715" cy="3780155"/>
                    </a:xfrm>
                    <a:prstGeom prst="rect">
                      <a:avLst/>
                    </a:prstGeom>
                    <a:noFill/>
                  </pic:spPr>
                </pic:pic>
              </a:graphicData>
            </a:graphic>
          </wp:inline>
        </w:drawing>
      </w:r>
    </w:p>
    <w:p w14:paraId="53001D26" w14:textId="32557D6E" w:rsidR="004363E2" w:rsidRDefault="004363E2" w:rsidP="007A7746">
      <w:pPr>
        <w:pStyle w:val="TableFigureFooter"/>
      </w:pPr>
      <w:r>
        <w:t>Source: ‘</w:t>
      </w:r>
      <w:r w:rsidRPr="004363E2">
        <w:t xml:space="preserve">Attachment 3.1 MARIPOSA </w:t>
      </w:r>
      <w:r w:rsidR="00F639C0" w:rsidRPr="00F639C0">
        <w:rPr>
          <w:i/>
        </w:rPr>
        <w:t>EGFR</w:t>
      </w:r>
      <w:r w:rsidRPr="004363E2">
        <w:t>m CEA</w:t>
      </w:r>
      <w:r>
        <w:t>’ of the submission.</w:t>
      </w:r>
    </w:p>
    <w:p w14:paraId="6EB027CD" w14:textId="5FB8183D" w:rsidR="004363E2" w:rsidRPr="004363E2" w:rsidRDefault="004363E2" w:rsidP="007A7746">
      <w:pPr>
        <w:pStyle w:val="TableFigureFooter"/>
      </w:pPr>
      <w:r w:rsidRPr="589E218A">
        <w:t>1L = first line, A+L = amivantamab plus lazertinib, Laz = lazertinib, Osi = osimertinib, PFS = progression-free survival, TTTD = time to treatment discontinuation.</w:t>
      </w:r>
    </w:p>
    <w:p w14:paraId="4CDC49C2" w14:textId="6B1C83E4" w:rsidR="0004729F" w:rsidRPr="004D75BF" w:rsidRDefault="0004729F" w:rsidP="003576D0">
      <w:pPr>
        <w:pStyle w:val="3-BodyText"/>
        <w:ind w:left="709" w:hanging="709"/>
      </w:pPr>
      <w:r w:rsidRPr="589E218A">
        <w:t xml:space="preserve">The submission used EQ-5D-5L data from the MARIPOSA trial to estimate utilities using an Australian algorithm from Norman et al. (2023). </w:t>
      </w:r>
      <w:r w:rsidRPr="00BD3F1C">
        <w:t>T</w:t>
      </w:r>
      <w:r w:rsidR="005E1FFC" w:rsidRPr="00BD3F1C">
        <w:t>he evaluation considered that</w:t>
      </w:r>
      <w:r w:rsidR="005E1FFC" w:rsidRPr="589E218A">
        <w:t xml:space="preserve"> t</w:t>
      </w:r>
      <w:r w:rsidRPr="589E218A">
        <w:t>his was reasonable</w:t>
      </w:r>
      <w:r w:rsidR="00901465" w:rsidRPr="589E218A">
        <w:t xml:space="preserve">, </w:t>
      </w:r>
      <w:r w:rsidR="00901465" w:rsidRPr="00294526">
        <w:t>although noted that</w:t>
      </w:r>
      <w:r w:rsidRPr="589E218A">
        <w:t xml:space="preserve"> </w:t>
      </w:r>
      <w:r w:rsidR="009E7952" w:rsidRPr="589E218A">
        <w:t>t</w:t>
      </w:r>
      <w:r w:rsidRPr="589E218A">
        <w:t>he reliability of utilities derived from the MARIPOSA trial was uncertain, given that the mean utility value in the PFS health state</w:t>
      </w:r>
      <w:r w:rsidR="00E173AC" w:rsidRPr="589E218A">
        <w:t xml:space="preserve"> (</w:t>
      </w:r>
      <w:r w:rsidR="00F34419" w:rsidRPr="589E218A">
        <w:t>0.913</w:t>
      </w:r>
      <w:r w:rsidR="00E173AC" w:rsidRPr="589E218A">
        <w:t>)</w:t>
      </w:r>
      <w:r w:rsidRPr="589E218A">
        <w:t xml:space="preserve"> was higher than Australian population norms (0.86), and the applied utility value for the progressed disease (PD) health state</w:t>
      </w:r>
      <w:r w:rsidR="004842F2" w:rsidRPr="589E218A">
        <w:t xml:space="preserve"> (</w:t>
      </w:r>
      <w:r w:rsidR="004057E3" w:rsidRPr="589E218A">
        <w:t>0.862</w:t>
      </w:r>
      <w:r w:rsidR="004842F2" w:rsidRPr="589E218A">
        <w:t>)</w:t>
      </w:r>
      <w:r w:rsidRPr="589E218A">
        <w:t xml:space="preserve"> was similar to this value.</w:t>
      </w:r>
      <w:r w:rsidRPr="589E218A">
        <w:rPr>
          <w:rStyle w:val="FootnoteReference"/>
        </w:rPr>
        <w:footnoteReference w:id="17"/>
      </w:r>
      <w:r w:rsidRPr="589E218A">
        <w:t xml:space="preserve"> A systematic review by Jovanosky et al. (2023) studied NSCLC utilities and noted that stage III NSCLC utilities ranged from 0.27 to 0.83, lower than that reported either for PFS or PD sourced from the MARIPOSA trial.</w:t>
      </w:r>
      <w:r w:rsidRPr="589E218A">
        <w:rPr>
          <w:rStyle w:val="FootnoteReference"/>
        </w:rPr>
        <w:footnoteReference w:id="18"/>
      </w:r>
      <w:r w:rsidRPr="589E218A">
        <w:t xml:space="preserve"> The utility values were high compared to utilities previously accepted by the PBAC, including:</w:t>
      </w:r>
    </w:p>
    <w:p w14:paraId="3A068639" w14:textId="2374231A" w:rsidR="0004729F" w:rsidRPr="004D75BF" w:rsidRDefault="0004729F" w:rsidP="009F3AE9">
      <w:pPr>
        <w:pStyle w:val="ListParagraph"/>
        <w:ind w:left="1276"/>
        <w:jc w:val="both"/>
      </w:pPr>
      <w:r w:rsidRPr="589E218A">
        <w:t>osimertinib for the adjuvant treatment of stage IB to IIIA NSCLC: first-line distant metastatic utility = 0.794; second-line distant metastatic utility = 0.64 (Table 9, osimertinib PSD, November 2023).</w:t>
      </w:r>
    </w:p>
    <w:p w14:paraId="2757FE04" w14:textId="1BB63567" w:rsidR="0004729F" w:rsidRPr="004D75BF" w:rsidRDefault="0004729F" w:rsidP="009F3AE9">
      <w:pPr>
        <w:pStyle w:val="ListParagraph"/>
        <w:ind w:left="1276"/>
        <w:jc w:val="both"/>
      </w:pPr>
      <w:r w:rsidRPr="589E218A">
        <w:t xml:space="preserve">osimertinib for the first-line treatment stage IIIB or IV </w:t>
      </w:r>
      <w:r w:rsidR="00F639C0" w:rsidRPr="589E218A">
        <w:rPr>
          <w:i/>
          <w:iCs/>
        </w:rPr>
        <w:t>EGFR</w:t>
      </w:r>
      <w:r w:rsidRPr="589E218A">
        <w:t xml:space="preserve">m NSCLC PFS utility = 0.804, standard care (erlotinib/gefitinib) utility = 0.784, and PD utilities in patients with &lt;180 days to death = 0.590 (Table 9, osimertinib PSD, July 2020). </w:t>
      </w:r>
    </w:p>
    <w:p w14:paraId="75B8B9F7" w14:textId="382B7B1F" w:rsidR="0004729F" w:rsidRPr="004D75BF" w:rsidRDefault="0004729F" w:rsidP="009F3AE9">
      <w:pPr>
        <w:pStyle w:val="ListParagraph"/>
        <w:ind w:left="1276"/>
        <w:jc w:val="both"/>
      </w:pPr>
      <w:r w:rsidRPr="004D75BF">
        <w:t xml:space="preserve">selpercatinib for the treatment of advanced or metastatic rearranged during transfection (RET) fusion-positive NSCLC: pre-progression = 0.776; post-progression = 0.714 (Table 10, selpercatinib PSD, July 2024). </w:t>
      </w:r>
    </w:p>
    <w:p w14:paraId="4AC322C1" w14:textId="771F31C5" w:rsidR="0004729F" w:rsidRPr="004D75BF" w:rsidRDefault="0004729F" w:rsidP="009F3AE9">
      <w:pPr>
        <w:pStyle w:val="ListParagraph"/>
        <w:ind w:left="1276"/>
        <w:jc w:val="both"/>
      </w:pPr>
      <w:r w:rsidRPr="589E218A">
        <w:t xml:space="preserve">larotrectinib for the treatment of locally advanced or metastatic NSCLC or soft tissue sarcoma (STS) harbouring neurotrophic tropomyosin receptor kinase (NTRK) gene fusions: pre-progression = 0.713; post-progression = 0.688 (Table 12, larotrectinib PSD, March 2024). </w:t>
      </w:r>
    </w:p>
    <w:p w14:paraId="3B1920DA" w14:textId="208DEEBC" w:rsidR="0004729F" w:rsidRPr="00181D02" w:rsidRDefault="0004729F" w:rsidP="003576D0">
      <w:pPr>
        <w:pStyle w:val="3-BodyText"/>
        <w:ind w:left="709" w:hanging="709"/>
      </w:pPr>
      <w:r w:rsidRPr="589E218A">
        <w:t>The submission noted that the lower utilities for A+L were likely due to increased AE</w:t>
      </w:r>
      <w:r w:rsidR="00343E25" w:rsidRPr="589E218A">
        <w:t>s</w:t>
      </w:r>
      <w:r w:rsidRPr="589E218A">
        <w:t xml:space="preserve">. The difference in utilities between the A+L arm and the osimertinib arm was 0.027, which </w:t>
      </w:r>
      <w:r w:rsidR="005E0876">
        <w:t>appears</w:t>
      </w:r>
      <w:r w:rsidR="005E0876" w:rsidRPr="589E218A">
        <w:t xml:space="preserve"> </w:t>
      </w:r>
      <w:r w:rsidRPr="589E218A">
        <w:t xml:space="preserve">low considering that the incidence of grade </w:t>
      </w:r>
      <w:r w:rsidRPr="589E218A">
        <w:rPr>
          <w:rFonts w:cs="Calibri"/>
        </w:rPr>
        <w:t>≥</w:t>
      </w:r>
      <w:r w:rsidRPr="589E218A">
        <w:t xml:space="preserve">3 TEAE, SAE, and TEAE leading to discontinuation was higher in the A+L arm than the osimertinib arm in the </w:t>
      </w:r>
      <w:r w:rsidRPr="00181D02">
        <w:t>MARIPOSA trial (</w:t>
      </w:r>
      <w:r w:rsidR="00181D02" w:rsidRPr="00181D02">
        <w:rPr>
          <w:iCs/>
        </w:rPr>
        <w:fldChar w:fldCharType="begin"/>
      </w:r>
      <w:r w:rsidR="00181D02" w:rsidRPr="00181D02">
        <w:rPr>
          <w:iCs/>
        </w:rPr>
        <w:instrText xml:space="preserve"> REF _Ref186727447 \h </w:instrText>
      </w:r>
      <w:r w:rsidR="00181D02">
        <w:rPr>
          <w:iCs/>
        </w:rPr>
        <w:instrText xml:space="preserve"> \* MERGEFORMAT </w:instrText>
      </w:r>
      <w:r w:rsidR="00181D02" w:rsidRPr="00181D02">
        <w:rPr>
          <w:iCs/>
        </w:rPr>
      </w:r>
      <w:r w:rsidR="00181D02" w:rsidRPr="00181D02">
        <w:rPr>
          <w:iCs/>
        </w:rPr>
        <w:fldChar w:fldCharType="separate"/>
      </w:r>
      <w:r w:rsidR="00184F9A">
        <w:t xml:space="preserve">Table </w:t>
      </w:r>
      <w:r w:rsidR="00184F9A">
        <w:rPr>
          <w:noProof/>
        </w:rPr>
        <w:t>6</w:t>
      </w:r>
      <w:r w:rsidR="00181D02" w:rsidRPr="00181D02">
        <w:rPr>
          <w:iCs/>
        </w:rPr>
        <w:fldChar w:fldCharType="end"/>
      </w:r>
      <w:r w:rsidRPr="00181D02">
        <w:t xml:space="preserve">). Therefore, the magnitude of the </w:t>
      </w:r>
      <w:r w:rsidR="003F6255" w:rsidRPr="00181D02">
        <w:t>utility decrement for A+L compared w</w:t>
      </w:r>
      <w:r w:rsidR="000E15BE" w:rsidRPr="00181D02">
        <w:t>ith osimertinib</w:t>
      </w:r>
      <w:r w:rsidRPr="00181D02">
        <w:t xml:space="preserve"> was uncertain.</w:t>
      </w:r>
    </w:p>
    <w:p w14:paraId="4E0E23C3" w14:textId="62A74220" w:rsidR="0004729F" w:rsidRPr="004D75BF" w:rsidRDefault="0004729F" w:rsidP="003576D0">
      <w:pPr>
        <w:pStyle w:val="3-BodyText"/>
        <w:ind w:left="709" w:hanging="709"/>
      </w:pPr>
      <w:r w:rsidRPr="589E218A">
        <w:t>The submission included direct treatment costs (including administration and co</w:t>
      </w:r>
      <w:r w:rsidR="009E50FB" w:rsidRPr="589E218A">
        <w:t>-</w:t>
      </w:r>
      <w:r w:rsidRPr="589E218A">
        <w:t xml:space="preserve">medications), AE management, subsequent therapies and end-of-life costs. The submission did not include disease management and monitoring costs as no differences would be expected in these costs between arms. Given A+L was expected to delay progression and mortality, not including disease management and monitoring costs would favour A+L, underestimating costs. </w:t>
      </w:r>
    </w:p>
    <w:p w14:paraId="0F7EBE25" w14:textId="783809F3" w:rsidR="0004729F" w:rsidRPr="004D75BF" w:rsidRDefault="0004729F" w:rsidP="003576D0">
      <w:pPr>
        <w:pStyle w:val="3-BodyText"/>
        <w:ind w:left="709" w:hanging="709"/>
      </w:pPr>
      <w:r w:rsidRPr="589E218A">
        <w:t xml:space="preserve">The economic model included treatment for grade 3 or 4 TEAEs that occurred in </w:t>
      </w:r>
      <w:r w:rsidRPr="589E218A">
        <w:rPr>
          <w:rFonts w:cs="Calibri"/>
        </w:rPr>
        <w:t>≥</w:t>
      </w:r>
      <w:r w:rsidRPr="589E218A">
        <w:t xml:space="preserve">5% of patients in either treatment arm, and AEs of special interest from MARIPOSA. </w:t>
      </w:r>
      <w:r w:rsidRPr="00294526">
        <w:t>T</w:t>
      </w:r>
      <w:r w:rsidR="00CC1B6C" w:rsidRPr="00294526">
        <w:t>he evaluation considered that</w:t>
      </w:r>
      <w:r w:rsidR="00CC1B6C" w:rsidRPr="589E218A">
        <w:t xml:space="preserve"> t</w:t>
      </w:r>
      <w:r w:rsidRPr="589E218A">
        <w:t xml:space="preserve">his was reasonable. </w:t>
      </w:r>
      <w:r w:rsidR="0048032E" w:rsidRPr="008C595B">
        <w:t>However</w:t>
      </w:r>
      <w:r w:rsidR="0048032E" w:rsidRPr="589E218A">
        <w:t xml:space="preserve">, </w:t>
      </w:r>
      <w:r w:rsidR="00244807">
        <w:t xml:space="preserve">the evaluation noted that </w:t>
      </w:r>
      <w:r w:rsidRPr="589E218A">
        <w:t>AE costs were applied as a one-off cost for each first-line treatment in the first cycle (not subject to discounting)</w:t>
      </w:r>
      <w:r w:rsidR="0048032E" w:rsidRPr="589E218A">
        <w:t>;</w:t>
      </w:r>
      <w:r w:rsidRPr="589E218A">
        <w:t xml:space="preserve"> </w:t>
      </w:r>
      <w:r w:rsidR="00673894" w:rsidRPr="589E218A">
        <w:t>a</w:t>
      </w:r>
      <w:r w:rsidRPr="589E218A">
        <w:t>pplying AE management costs as a one-off likely underestimated costs as AE rates would be expected to increase the longer patients are followed-up.</w:t>
      </w:r>
    </w:p>
    <w:p w14:paraId="0C513DCD" w14:textId="3A938000" w:rsidR="0004729F" w:rsidRPr="004D75BF" w:rsidRDefault="0004729F" w:rsidP="003576D0">
      <w:pPr>
        <w:pStyle w:val="3-BodyText"/>
        <w:ind w:left="709" w:hanging="709"/>
      </w:pPr>
      <w:r w:rsidRPr="589E218A">
        <w:t>The model incorrectly applied Section 100 EFC program markups to the lazertinib</w:t>
      </w:r>
      <w:r w:rsidR="00F774A9">
        <w:t xml:space="preserve"> </w:t>
      </w:r>
      <w:r w:rsidR="00351539">
        <w:t>proposed</w:t>
      </w:r>
      <w:r w:rsidR="00F774A9">
        <w:t xml:space="preserve"> ex-manufacturer price</w:t>
      </w:r>
      <w:r w:rsidRPr="589E218A">
        <w:t xml:space="preserve"> </w:t>
      </w:r>
      <w:r w:rsidR="00F774A9">
        <w:t>(</w:t>
      </w:r>
      <w:r w:rsidRPr="589E218A">
        <w:t>EMP</w:t>
      </w:r>
      <w:r w:rsidR="00F774A9">
        <w:t>)</w:t>
      </w:r>
      <w:r w:rsidRPr="589E218A">
        <w:t xml:space="preserve">. Application of the correct (Section 85) markups increased the ICER by 12.6%. </w:t>
      </w:r>
      <w:r w:rsidR="00541976" w:rsidRPr="589E218A">
        <w:t>R</w:t>
      </w:r>
      <w:r w:rsidRPr="589E218A">
        <w:t>esults of the economic model are presented with the correct markups.</w:t>
      </w:r>
    </w:p>
    <w:p w14:paraId="23BCA955" w14:textId="0E8B424D" w:rsidR="0004729F" w:rsidRPr="004D75BF" w:rsidRDefault="0004729F" w:rsidP="003576D0">
      <w:pPr>
        <w:pStyle w:val="3-BodyText"/>
        <w:ind w:left="709" w:hanging="709"/>
      </w:pPr>
      <w:bookmarkStart w:id="93" w:name="_Hlk185933656"/>
      <w:bookmarkStart w:id="94" w:name="_Ref185946651"/>
      <w:r w:rsidRPr="589E218A">
        <w:t xml:space="preserve">The submission estimated compliance for each drug by multiplying the </w:t>
      </w:r>
      <w:r w:rsidR="00D4662C" w:rsidRPr="589E218A">
        <w:t xml:space="preserve">percentage </w:t>
      </w:r>
      <w:r w:rsidRPr="589E218A">
        <w:t>of doses not skipped with the dose reduction (</w:t>
      </w:r>
      <w:r w:rsidR="00C93B41" w:rsidRPr="589E218A">
        <w:t>percentage</w:t>
      </w:r>
      <w:r w:rsidRPr="589E218A">
        <w:t xml:space="preserve"> of non-skipped doses received) from the MARIPOSA trial</w:t>
      </w:r>
      <w:bookmarkEnd w:id="93"/>
      <w:r w:rsidRPr="589E218A">
        <w:t xml:space="preserve"> </w:t>
      </w:r>
      <w:r w:rsidR="00EE53B9" w:rsidRPr="589E218A">
        <w:t>(</w:t>
      </w:r>
      <w:r>
        <w:fldChar w:fldCharType="begin"/>
      </w:r>
      <w:r>
        <w:instrText xml:space="preserve"> REF _Ref185933804 \h </w:instrText>
      </w:r>
      <w:r>
        <w:fldChar w:fldCharType="separate"/>
      </w:r>
      <w:r w:rsidR="00184F9A" w:rsidRPr="004D75BF">
        <w:t xml:space="preserve">Table </w:t>
      </w:r>
      <w:r w:rsidR="00184F9A">
        <w:rPr>
          <w:noProof/>
        </w:rPr>
        <w:t>9</w:t>
      </w:r>
      <w:r>
        <w:fldChar w:fldCharType="end"/>
      </w:r>
      <w:r w:rsidR="00EE53B9" w:rsidRPr="589E218A">
        <w:t>)</w:t>
      </w:r>
      <w:r w:rsidRPr="589E218A">
        <w:t xml:space="preserve">. The </w:t>
      </w:r>
      <w:r w:rsidR="00C93B41" w:rsidRPr="589E218A">
        <w:t>percentage</w:t>
      </w:r>
      <w:r w:rsidRPr="589E218A">
        <w:t xml:space="preserve"> of doses not skipped (1</w:t>
      </w:r>
      <w:r w:rsidR="000B50AD">
        <w:t xml:space="preserve"> minus</w:t>
      </w:r>
      <w:r w:rsidRPr="589E218A">
        <w:t xml:space="preserve"> </w:t>
      </w:r>
      <w:r w:rsidR="00C93B41" w:rsidRPr="589E218A">
        <w:t>[</w:t>
      </w:r>
      <w:r w:rsidRPr="589E218A">
        <w:t>number of doses given/number of doses expected</w:t>
      </w:r>
      <w:r w:rsidR="00C93B41" w:rsidRPr="589E218A">
        <w:t>]</w:t>
      </w:r>
      <w:r w:rsidRPr="589E218A">
        <w:t>) and the dose reduction (cumulative dose/cumulative expected dose) were calculated by the submission, however the submission did not reference where the original data were sourced, and the data were unable to be verified from the Clinical Study Report (CSR). The submission also reported relative dose intensity, defined as the ratio of actual versus prescribed doses (prescribed doses included planned interruptions). Compliance estimated by the submission and relative dose intensity</w:t>
      </w:r>
      <w:r w:rsidR="005424B5">
        <w:t xml:space="preserve"> (RDI)</w:t>
      </w:r>
      <w:r w:rsidRPr="589E218A">
        <w:t xml:space="preserve"> presented in the CSR for A+L and osimertinib are presented in </w:t>
      </w:r>
      <w:r>
        <w:fldChar w:fldCharType="begin"/>
      </w:r>
      <w:r>
        <w:instrText xml:space="preserve"> REF _Ref185933804 \h </w:instrText>
      </w:r>
      <w:r>
        <w:fldChar w:fldCharType="separate"/>
      </w:r>
      <w:r w:rsidR="00184F9A" w:rsidRPr="004D75BF">
        <w:t xml:space="preserve">Table </w:t>
      </w:r>
      <w:r w:rsidR="00184F9A">
        <w:rPr>
          <w:noProof/>
        </w:rPr>
        <w:t>9</w:t>
      </w:r>
      <w:r>
        <w:fldChar w:fldCharType="end"/>
      </w:r>
      <w:r w:rsidRPr="589E218A">
        <w:t>.</w:t>
      </w:r>
      <w:bookmarkEnd w:id="94"/>
    </w:p>
    <w:p w14:paraId="17B8DCC6" w14:textId="47C8EA4F" w:rsidR="0004729F" w:rsidRPr="004D75BF" w:rsidRDefault="0004729F" w:rsidP="0004729F">
      <w:pPr>
        <w:pStyle w:val="TableFigureHeading"/>
      </w:pPr>
      <w:bookmarkStart w:id="95" w:name="_Ref185933804"/>
      <w:r w:rsidRPr="004D75BF">
        <w:t xml:space="preserve">Table </w:t>
      </w:r>
      <w:r w:rsidR="001B4556">
        <w:fldChar w:fldCharType="begin"/>
      </w:r>
      <w:r w:rsidR="001B4556">
        <w:instrText xml:space="preserve"> SEQ Table \* ARABIC </w:instrText>
      </w:r>
      <w:r w:rsidR="001B4556">
        <w:fldChar w:fldCharType="separate"/>
      </w:r>
      <w:r w:rsidR="00184F9A">
        <w:rPr>
          <w:noProof/>
        </w:rPr>
        <w:t>9</w:t>
      </w:r>
      <w:r w:rsidR="001B4556">
        <w:rPr>
          <w:noProof/>
        </w:rPr>
        <w:fldChar w:fldCharType="end"/>
      </w:r>
      <w:bookmarkEnd w:id="95"/>
      <w:r w:rsidRPr="004D75BF">
        <w:t>: Compliance estimated by the submission</w:t>
      </w:r>
    </w:p>
    <w:tbl>
      <w:tblPr>
        <w:tblStyle w:val="TableGrid"/>
        <w:tblW w:w="5000" w:type="pct"/>
        <w:tblLook w:val="04A0" w:firstRow="1" w:lastRow="0" w:firstColumn="1" w:lastColumn="0" w:noHBand="0" w:noVBand="1"/>
        <w:tblCaption w:val="Table 9: Compliance estimated by the submission"/>
      </w:tblPr>
      <w:tblGrid>
        <w:gridCol w:w="3538"/>
        <w:gridCol w:w="1026"/>
        <w:gridCol w:w="1156"/>
        <w:gridCol w:w="1082"/>
        <w:gridCol w:w="1086"/>
        <w:gridCol w:w="1129"/>
      </w:tblGrid>
      <w:tr w:rsidR="0004729F" w:rsidRPr="004D75BF" w14:paraId="1F871D6D" w14:textId="77777777" w:rsidTr="00165117">
        <w:tc>
          <w:tcPr>
            <w:tcW w:w="1962" w:type="pct"/>
            <w:vMerge w:val="restart"/>
            <w:vAlign w:val="center"/>
          </w:tcPr>
          <w:p w14:paraId="29FA68EE" w14:textId="77777777" w:rsidR="0004729F" w:rsidRPr="004D75BF" w:rsidRDefault="0004729F">
            <w:pPr>
              <w:keepNext/>
              <w:jc w:val="center"/>
              <w:rPr>
                <w:rFonts w:ascii="Arial Narrow" w:hAnsi="Arial Narrow"/>
              </w:rPr>
            </w:pPr>
          </w:p>
        </w:tc>
        <w:tc>
          <w:tcPr>
            <w:tcW w:w="2412" w:type="pct"/>
            <w:gridSpan w:val="4"/>
            <w:vAlign w:val="center"/>
          </w:tcPr>
          <w:p w14:paraId="06983381" w14:textId="77777777" w:rsidR="0004729F" w:rsidRPr="004D75BF" w:rsidRDefault="0004729F">
            <w:pPr>
              <w:pStyle w:val="In-tableHeading"/>
              <w:jc w:val="center"/>
              <w:rPr>
                <w:lang w:val="en-AU"/>
              </w:rPr>
            </w:pPr>
            <w:r w:rsidRPr="004D75BF">
              <w:rPr>
                <w:lang w:val="en-AU"/>
              </w:rPr>
              <w:t>A+L</w:t>
            </w:r>
          </w:p>
          <w:p w14:paraId="17FC8274" w14:textId="77777777" w:rsidR="0004729F" w:rsidRPr="004D75BF" w:rsidRDefault="0004729F">
            <w:pPr>
              <w:pStyle w:val="In-tableHeading"/>
              <w:jc w:val="center"/>
              <w:rPr>
                <w:lang w:val="en-AU"/>
              </w:rPr>
            </w:pPr>
            <w:r w:rsidRPr="004D75BF">
              <w:rPr>
                <w:lang w:val="en-AU"/>
              </w:rPr>
              <w:t>(N=429)</w:t>
            </w:r>
          </w:p>
        </w:tc>
        <w:tc>
          <w:tcPr>
            <w:tcW w:w="626" w:type="pct"/>
            <w:vMerge w:val="restart"/>
            <w:vAlign w:val="center"/>
          </w:tcPr>
          <w:p w14:paraId="4D256485" w14:textId="77777777" w:rsidR="0004729F" w:rsidRPr="004D75BF" w:rsidRDefault="0004729F">
            <w:pPr>
              <w:pStyle w:val="In-tableHeading"/>
              <w:jc w:val="center"/>
              <w:rPr>
                <w:lang w:val="en-AU"/>
              </w:rPr>
            </w:pPr>
            <w:r w:rsidRPr="004D75BF">
              <w:rPr>
                <w:lang w:val="en-AU"/>
              </w:rPr>
              <w:t>Osimertinib</w:t>
            </w:r>
          </w:p>
          <w:p w14:paraId="2E8E2DFD" w14:textId="77777777" w:rsidR="0004729F" w:rsidRPr="004D75BF" w:rsidRDefault="0004729F">
            <w:pPr>
              <w:pStyle w:val="In-tableHeading"/>
              <w:jc w:val="center"/>
              <w:rPr>
                <w:lang w:val="en-AU"/>
              </w:rPr>
            </w:pPr>
            <w:r w:rsidRPr="004D75BF">
              <w:rPr>
                <w:lang w:val="en-AU"/>
              </w:rPr>
              <w:t>(N=429)</w:t>
            </w:r>
          </w:p>
        </w:tc>
      </w:tr>
      <w:tr w:rsidR="0004729F" w:rsidRPr="004D75BF" w14:paraId="1CA9CCC9" w14:textId="77777777" w:rsidTr="00165117">
        <w:tc>
          <w:tcPr>
            <w:tcW w:w="1962" w:type="pct"/>
            <w:vMerge/>
          </w:tcPr>
          <w:p w14:paraId="1D80A243" w14:textId="77777777" w:rsidR="0004729F" w:rsidRPr="004D75BF" w:rsidRDefault="0004729F">
            <w:pPr>
              <w:keepNext/>
              <w:rPr>
                <w:rFonts w:ascii="Arial Narrow" w:hAnsi="Arial Narrow"/>
              </w:rPr>
            </w:pPr>
          </w:p>
        </w:tc>
        <w:tc>
          <w:tcPr>
            <w:tcW w:w="1810" w:type="pct"/>
            <w:gridSpan w:val="3"/>
            <w:vAlign w:val="center"/>
          </w:tcPr>
          <w:p w14:paraId="6ADD98A3" w14:textId="77777777" w:rsidR="0004729F" w:rsidRPr="004D75BF" w:rsidRDefault="0004729F">
            <w:pPr>
              <w:pStyle w:val="In-tableHeading"/>
              <w:jc w:val="center"/>
              <w:rPr>
                <w:lang w:val="en-AU"/>
              </w:rPr>
            </w:pPr>
            <w:r w:rsidRPr="004D75BF">
              <w:rPr>
                <w:lang w:val="en-AU"/>
              </w:rPr>
              <w:t>Amivantamab</w:t>
            </w:r>
          </w:p>
        </w:tc>
        <w:tc>
          <w:tcPr>
            <w:tcW w:w="601" w:type="pct"/>
            <w:vMerge w:val="restart"/>
            <w:vAlign w:val="center"/>
          </w:tcPr>
          <w:p w14:paraId="52359D2D" w14:textId="77777777" w:rsidR="0004729F" w:rsidRPr="004D75BF" w:rsidRDefault="0004729F">
            <w:pPr>
              <w:pStyle w:val="In-tableHeading"/>
              <w:jc w:val="center"/>
              <w:rPr>
                <w:lang w:val="en-AU"/>
              </w:rPr>
            </w:pPr>
            <w:r w:rsidRPr="004D75BF">
              <w:rPr>
                <w:lang w:val="en-AU"/>
              </w:rPr>
              <w:t>Lazertinib</w:t>
            </w:r>
          </w:p>
        </w:tc>
        <w:tc>
          <w:tcPr>
            <w:tcW w:w="626" w:type="pct"/>
            <w:vMerge/>
            <w:vAlign w:val="center"/>
          </w:tcPr>
          <w:p w14:paraId="6DDB99D7" w14:textId="77777777" w:rsidR="0004729F" w:rsidRPr="004D75BF" w:rsidRDefault="0004729F">
            <w:pPr>
              <w:pStyle w:val="In-tableHeading"/>
              <w:rPr>
                <w:lang w:val="en-AU"/>
              </w:rPr>
            </w:pPr>
          </w:p>
        </w:tc>
      </w:tr>
      <w:tr w:rsidR="0004729F" w:rsidRPr="004D75BF" w14:paraId="00FC4287" w14:textId="77777777" w:rsidTr="00165117">
        <w:tc>
          <w:tcPr>
            <w:tcW w:w="1962" w:type="pct"/>
            <w:vMerge/>
          </w:tcPr>
          <w:p w14:paraId="39220247" w14:textId="77777777" w:rsidR="0004729F" w:rsidRPr="004D75BF" w:rsidRDefault="0004729F">
            <w:pPr>
              <w:keepNext/>
              <w:rPr>
                <w:rFonts w:ascii="Arial Narrow" w:hAnsi="Arial Narrow"/>
              </w:rPr>
            </w:pPr>
          </w:p>
        </w:tc>
        <w:tc>
          <w:tcPr>
            <w:tcW w:w="569" w:type="pct"/>
            <w:vAlign w:val="center"/>
          </w:tcPr>
          <w:p w14:paraId="68BE2DAA" w14:textId="77777777" w:rsidR="0004729F" w:rsidRPr="004D75BF" w:rsidRDefault="0004729F">
            <w:pPr>
              <w:pStyle w:val="In-tableHeading"/>
              <w:jc w:val="center"/>
              <w:rPr>
                <w:lang w:val="en-AU"/>
              </w:rPr>
            </w:pPr>
            <w:r w:rsidRPr="004D75BF">
              <w:rPr>
                <w:lang w:val="en-AU"/>
              </w:rPr>
              <w:t>Total</w:t>
            </w:r>
          </w:p>
        </w:tc>
        <w:tc>
          <w:tcPr>
            <w:tcW w:w="641" w:type="pct"/>
            <w:vAlign w:val="center"/>
          </w:tcPr>
          <w:p w14:paraId="62EAC4B9" w14:textId="77777777" w:rsidR="0004729F" w:rsidRPr="004D75BF" w:rsidRDefault="0004729F">
            <w:pPr>
              <w:pStyle w:val="In-tableHeading"/>
              <w:jc w:val="center"/>
              <w:rPr>
                <w:lang w:val="en-AU"/>
              </w:rPr>
            </w:pPr>
            <w:r w:rsidRPr="004D75BF">
              <w:rPr>
                <w:lang w:val="en-AU"/>
              </w:rPr>
              <w:t>Weight</w:t>
            </w:r>
          </w:p>
          <w:p w14:paraId="6389D19C" w14:textId="77777777" w:rsidR="0004729F" w:rsidRPr="004D75BF" w:rsidRDefault="0004729F">
            <w:pPr>
              <w:pStyle w:val="In-tableHeading"/>
              <w:jc w:val="center"/>
              <w:rPr>
                <w:lang w:val="en-AU"/>
              </w:rPr>
            </w:pPr>
            <w:r w:rsidRPr="004D75BF">
              <w:rPr>
                <w:lang w:val="en-AU"/>
              </w:rPr>
              <w:t>&lt;80 kg</w:t>
            </w:r>
          </w:p>
        </w:tc>
        <w:tc>
          <w:tcPr>
            <w:tcW w:w="600" w:type="pct"/>
            <w:vAlign w:val="center"/>
          </w:tcPr>
          <w:p w14:paraId="393B36CC" w14:textId="77777777" w:rsidR="0004729F" w:rsidRPr="004D75BF" w:rsidRDefault="0004729F">
            <w:pPr>
              <w:pStyle w:val="In-tableHeading"/>
              <w:jc w:val="center"/>
              <w:rPr>
                <w:lang w:val="en-AU"/>
              </w:rPr>
            </w:pPr>
            <w:r w:rsidRPr="004D75BF">
              <w:rPr>
                <w:lang w:val="en-AU"/>
              </w:rPr>
              <w:t>Weight ≥80 kg</w:t>
            </w:r>
          </w:p>
        </w:tc>
        <w:tc>
          <w:tcPr>
            <w:tcW w:w="601" w:type="pct"/>
            <w:vMerge/>
            <w:vAlign w:val="center"/>
          </w:tcPr>
          <w:p w14:paraId="2FB203E1" w14:textId="77777777" w:rsidR="0004729F" w:rsidRPr="004D75BF" w:rsidRDefault="0004729F">
            <w:pPr>
              <w:pStyle w:val="In-tableHeading"/>
              <w:rPr>
                <w:lang w:val="en-AU"/>
              </w:rPr>
            </w:pPr>
          </w:p>
        </w:tc>
        <w:tc>
          <w:tcPr>
            <w:tcW w:w="626" w:type="pct"/>
            <w:vMerge/>
            <w:vAlign w:val="center"/>
          </w:tcPr>
          <w:p w14:paraId="5B4BAB6C" w14:textId="77777777" w:rsidR="0004729F" w:rsidRPr="004D75BF" w:rsidRDefault="0004729F">
            <w:pPr>
              <w:pStyle w:val="In-tableHeading"/>
              <w:rPr>
                <w:lang w:val="en-AU"/>
              </w:rPr>
            </w:pPr>
          </w:p>
        </w:tc>
      </w:tr>
      <w:tr w:rsidR="0004729F" w:rsidRPr="004D75BF" w14:paraId="4A3B7D47" w14:textId="77777777" w:rsidTr="00165117">
        <w:tc>
          <w:tcPr>
            <w:tcW w:w="1962" w:type="pct"/>
            <w:vAlign w:val="center"/>
          </w:tcPr>
          <w:p w14:paraId="6890E4EC" w14:textId="33EA47BD" w:rsidR="0004729F" w:rsidRPr="004D75BF" w:rsidRDefault="00D4662C">
            <w:pPr>
              <w:pStyle w:val="TableText0"/>
              <w:rPr>
                <w:vertAlign w:val="superscript"/>
              </w:rPr>
            </w:pPr>
            <w:r>
              <w:t>Percentage</w:t>
            </w:r>
            <w:r w:rsidR="0004729F" w:rsidRPr="004D75BF">
              <w:t xml:space="preserve"> of non-skipped doses </w:t>
            </w:r>
            <w:r w:rsidR="0004729F" w:rsidRPr="004D75BF">
              <w:rPr>
                <w:vertAlign w:val="superscript"/>
              </w:rPr>
              <w:t>a</w:t>
            </w:r>
          </w:p>
        </w:tc>
        <w:tc>
          <w:tcPr>
            <w:tcW w:w="569" w:type="pct"/>
            <w:vAlign w:val="center"/>
          </w:tcPr>
          <w:p w14:paraId="19AB0E33" w14:textId="77777777" w:rsidR="0004729F" w:rsidRPr="004D75BF" w:rsidRDefault="0004729F">
            <w:pPr>
              <w:pStyle w:val="TableText0"/>
              <w:jc w:val="center"/>
            </w:pPr>
            <w:r w:rsidRPr="004D75BF">
              <w:t>81.6%</w:t>
            </w:r>
          </w:p>
        </w:tc>
        <w:tc>
          <w:tcPr>
            <w:tcW w:w="641" w:type="pct"/>
            <w:vAlign w:val="center"/>
          </w:tcPr>
          <w:p w14:paraId="524C7F03" w14:textId="77777777" w:rsidR="0004729F" w:rsidRPr="004D75BF" w:rsidRDefault="0004729F">
            <w:pPr>
              <w:pStyle w:val="TableText0"/>
              <w:jc w:val="center"/>
            </w:pPr>
            <w:r w:rsidRPr="004D75BF">
              <w:t>81.4%</w:t>
            </w:r>
          </w:p>
        </w:tc>
        <w:tc>
          <w:tcPr>
            <w:tcW w:w="600" w:type="pct"/>
            <w:vAlign w:val="center"/>
          </w:tcPr>
          <w:p w14:paraId="5BB170AD" w14:textId="77777777" w:rsidR="0004729F" w:rsidRPr="004D75BF" w:rsidRDefault="0004729F">
            <w:pPr>
              <w:pStyle w:val="TableText0"/>
              <w:jc w:val="center"/>
            </w:pPr>
            <w:r w:rsidRPr="004D75BF">
              <w:t>82.5%</w:t>
            </w:r>
          </w:p>
        </w:tc>
        <w:tc>
          <w:tcPr>
            <w:tcW w:w="601" w:type="pct"/>
            <w:vAlign w:val="center"/>
          </w:tcPr>
          <w:p w14:paraId="413C8DD7" w14:textId="77777777" w:rsidR="0004729F" w:rsidRPr="004D75BF" w:rsidRDefault="0004729F">
            <w:pPr>
              <w:pStyle w:val="TableText0"/>
              <w:jc w:val="center"/>
            </w:pPr>
            <w:r w:rsidRPr="004D75BF">
              <w:t>93.3%</w:t>
            </w:r>
          </w:p>
        </w:tc>
        <w:tc>
          <w:tcPr>
            <w:tcW w:w="626" w:type="pct"/>
            <w:vAlign w:val="center"/>
          </w:tcPr>
          <w:p w14:paraId="4B1A47A6" w14:textId="77777777" w:rsidR="0004729F" w:rsidRPr="004D75BF" w:rsidRDefault="0004729F">
            <w:pPr>
              <w:pStyle w:val="TableText0"/>
              <w:jc w:val="center"/>
            </w:pPr>
            <w:r w:rsidRPr="004D75BF">
              <w:t>97.7%</w:t>
            </w:r>
          </w:p>
        </w:tc>
      </w:tr>
      <w:tr w:rsidR="0004729F" w:rsidRPr="004D75BF" w14:paraId="04FA9785" w14:textId="77777777" w:rsidTr="00165117">
        <w:tc>
          <w:tcPr>
            <w:tcW w:w="1962" w:type="pct"/>
            <w:vAlign w:val="center"/>
          </w:tcPr>
          <w:p w14:paraId="6741DBB1" w14:textId="54D29BC2" w:rsidR="0004729F" w:rsidRPr="004D75BF" w:rsidRDefault="00D4662C">
            <w:pPr>
              <w:pStyle w:val="TableText0"/>
              <w:rPr>
                <w:b/>
                <w:vertAlign w:val="subscript"/>
              </w:rPr>
            </w:pPr>
            <w:r>
              <w:t>Percentage</w:t>
            </w:r>
            <w:r w:rsidRPr="004D75BF">
              <w:t xml:space="preserve"> </w:t>
            </w:r>
            <w:r w:rsidR="0004729F" w:rsidRPr="004D75BF">
              <w:t xml:space="preserve">of non-skipped doses received </w:t>
            </w:r>
            <w:r w:rsidR="0004729F" w:rsidRPr="004D75BF">
              <w:rPr>
                <w:b/>
                <w:vertAlign w:val="superscript"/>
              </w:rPr>
              <w:t>b</w:t>
            </w:r>
          </w:p>
        </w:tc>
        <w:tc>
          <w:tcPr>
            <w:tcW w:w="569" w:type="pct"/>
            <w:vAlign w:val="center"/>
          </w:tcPr>
          <w:p w14:paraId="6495F967" w14:textId="77777777" w:rsidR="0004729F" w:rsidRPr="004D75BF" w:rsidRDefault="0004729F">
            <w:pPr>
              <w:pStyle w:val="TableText0"/>
              <w:jc w:val="center"/>
            </w:pPr>
            <w:r w:rsidRPr="004D75BF">
              <w:t>79.4%</w:t>
            </w:r>
          </w:p>
        </w:tc>
        <w:tc>
          <w:tcPr>
            <w:tcW w:w="641" w:type="pct"/>
            <w:vAlign w:val="center"/>
          </w:tcPr>
          <w:p w14:paraId="688DD808" w14:textId="77777777" w:rsidR="0004729F" w:rsidRPr="004D75BF" w:rsidRDefault="0004729F">
            <w:pPr>
              <w:pStyle w:val="TableText0"/>
              <w:jc w:val="center"/>
            </w:pPr>
            <w:r w:rsidRPr="004D75BF">
              <w:t>79.6%</w:t>
            </w:r>
          </w:p>
        </w:tc>
        <w:tc>
          <w:tcPr>
            <w:tcW w:w="600" w:type="pct"/>
            <w:vAlign w:val="center"/>
          </w:tcPr>
          <w:p w14:paraId="24A58F2A" w14:textId="77777777" w:rsidR="0004729F" w:rsidRPr="004D75BF" w:rsidRDefault="0004729F">
            <w:pPr>
              <w:pStyle w:val="TableText0"/>
              <w:jc w:val="center"/>
            </w:pPr>
            <w:r w:rsidRPr="004D75BF">
              <w:t>78.2%</w:t>
            </w:r>
          </w:p>
        </w:tc>
        <w:tc>
          <w:tcPr>
            <w:tcW w:w="601" w:type="pct"/>
            <w:vAlign w:val="center"/>
          </w:tcPr>
          <w:p w14:paraId="7E71F314" w14:textId="77777777" w:rsidR="0004729F" w:rsidRPr="004D75BF" w:rsidRDefault="0004729F">
            <w:pPr>
              <w:pStyle w:val="TableText0"/>
              <w:jc w:val="center"/>
            </w:pPr>
            <w:r w:rsidRPr="004D75BF">
              <w:t>87.6%</w:t>
            </w:r>
          </w:p>
        </w:tc>
        <w:tc>
          <w:tcPr>
            <w:tcW w:w="626" w:type="pct"/>
            <w:vAlign w:val="center"/>
          </w:tcPr>
          <w:p w14:paraId="748748A3" w14:textId="77777777" w:rsidR="0004729F" w:rsidRPr="004D75BF" w:rsidRDefault="0004729F">
            <w:pPr>
              <w:pStyle w:val="TableText0"/>
              <w:jc w:val="center"/>
            </w:pPr>
            <w:r w:rsidRPr="004D75BF">
              <w:t>98.1%</w:t>
            </w:r>
          </w:p>
        </w:tc>
      </w:tr>
      <w:tr w:rsidR="0004729F" w:rsidRPr="004D75BF" w14:paraId="1FE61E30" w14:textId="77777777" w:rsidTr="00165117">
        <w:tc>
          <w:tcPr>
            <w:tcW w:w="1962" w:type="pct"/>
            <w:vAlign w:val="center"/>
          </w:tcPr>
          <w:p w14:paraId="1C937800" w14:textId="77777777" w:rsidR="0004729F" w:rsidRPr="004D75BF" w:rsidRDefault="0004729F">
            <w:pPr>
              <w:pStyle w:val="TableText0"/>
            </w:pPr>
            <w:r w:rsidRPr="004D75BF">
              <w:t xml:space="preserve">Study drug compliance </w:t>
            </w:r>
            <w:r w:rsidRPr="004D75BF">
              <w:rPr>
                <w:vertAlign w:val="superscript"/>
              </w:rPr>
              <w:t>c</w:t>
            </w:r>
          </w:p>
        </w:tc>
        <w:tc>
          <w:tcPr>
            <w:tcW w:w="569" w:type="pct"/>
            <w:vAlign w:val="center"/>
          </w:tcPr>
          <w:p w14:paraId="606F51B1" w14:textId="77777777" w:rsidR="0004729F" w:rsidRPr="004D75BF" w:rsidRDefault="0004729F">
            <w:pPr>
              <w:pStyle w:val="TableText0"/>
              <w:jc w:val="center"/>
            </w:pPr>
            <w:r w:rsidRPr="004D75BF">
              <w:t>64.8%</w:t>
            </w:r>
          </w:p>
        </w:tc>
        <w:tc>
          <w:tcPr>
            <w:tcW w:w="641" w:type="pct"/>
            <w:vAlign w:val="center"/>
          </w:tcPr>
          <w:p w14:paraId="299DEE43" w14:textId="77777777" w:rsidR="0004729F" w:rsidRPr="004D75BF" w:rsidRDefault="0004729F">
            <w:pPr>
              <w:pStyle w:val="TableText0"/>
              <w:jc w:val="center"/>
            </w:pPr>
            <w:r w:rsidRPr="004D75BF">
              <w:t>65.1%</w:t>
            </w:r>
          </w:p>
        </w:tc>
        <w:tc>
          <w:tcPr>
            <w:tcW w:w="600" w:type="pct"/>
            <w:vAlign w:val="center"/>
          </w:tcPr>
          <w:p w14:paraId="2ACA3697" w14:textId="77777777" w:rsidR="0004729F" w:rsidRPr="004D75BF" w:rsidRDefault="0004729F">
            <w:pPr>
              <w:pStyle w:val="TableText0"/>
              <w:jc w:val="center"/>
            </w:pPr>
            <w:r w:rsidRPr="004D75BF">
              <w:t>64.4%</w:t>
            </w:r>
          </w:p>
        </w:tc>
        <w:tc>
          <w:tcPr>
            <w:tcW w:w="601" w:type="pct"/>
            <w:vAlign w:val="center"/>
          </w:tcPr>
          <w:p w14:paraId="2A9D05D0" w14:textId="77777777" w:rsidR="0004729F" w:rsidRPr="004D75BF" w:rsidRDefault="0004729F">
            <w:pPr>
              <w:pStyle w:val="TableText0"/>
              <w:jc w:val="center"/>
            </w:pPr>
            <w:r w:rsidRPr="004D75BF">
              <w:t>82.1%</w:t>
            </w:r>
          </w:p>
        </w:tc>
        <w:tc>
          <w:tcPr>
            <w:tcW w:w="626" w:type="pct"/>
            <w:vAlign w:val="center"/>
          </w:tcPr>
          <w:p w14:paraId="64F4D6ED" w14:textId="77777777" w:rsidR="0004729F" w:rsidRPr="004D75BF" w:rsidRDefault="0004729F">
            <w:pPr>
              <w:pStyle w:val="TableText0"/>
              <w:jc w:val="center"/>
            </w:pPr>
            <w:r w:rsidRPr="004D75BF">
              <w:t>95.7%</w:t>
            </w:r>
          </w:p>
        </w:tc>
      </w:tr>
      <w:tr w:rsidR="0004729F" w:rsidRPr="004D75BF" w14:paraId="2E45CBCA" w14:textId="77777777" w:rsidTr="00165117">
        <w:tc>
          <w:tcPr>
            <w:tcW w:w="1962" w:type="pct"/>
            <w:vAlign w:val="center"/>
          </w:tcPr>
          <w:p w14:paraId="5A20D3FA" w14:textId="77777777" w:rsidR="0004729F" w:rsidRPr="004D75BF" w:rsidRDefault="0004729F">
            <w:pPr>
              <w:pStyle w:val="TableText0"/>
            </w:pPr>
            <w:r w:rsidRPr="004D75BF">
              <w:t>Relative dose intensity per CSR</w:t>
            </w:r>
          </w:p>
        </w:tc>
        <w:tc>
          <w:tcPr>
            <w:tcW w:w="569" w:type="pct"/>
          </w:tcPr>
          <w:p w14:paraId="38711508" w14:textId="77777777" w:rsidR="0004729F" w:rsidRPr="004D75BF" w:rsidRDefault="0004729F">
            <w:pPr>
              <w:pStyle w:val="TableText0"/>
              <w:jc w:val="center"/>
            </w:pPr>
            <w:r w:rsidRPr="004D75BF">
              <w:t>96.7%</w:t>
            </w:r>
          </w:p>
        </w:tc>
        <w:tc>
          <w:tcPr>
            <w:tcW w:w="641" w:type="pct"/>
          </w:tcPr>
          <w:p w14:paraId="6540AD5E" w14:textId="77777777" w:rsidR="0004729F" w:rsidRPr="004D75BF" w:rsidRDefault="0004729F">
            <w:pPr>
              <w:pStyle w:val="TableText0"/>
              <w:jc w:val="center"/>
            </w:pPr>
            <w:r w:rsidRPr="004D75BF">
              <w:t>NR</w:t>
            </w:r>
          </w:p>
        </w:tc>
        <w:tc>
          <w:tcPr>
            <w:tcW w:w="600" w:type="pct"/>
          </w:tcPr>
          <w:p w14:paraId="7D47EAB4" w14:textId="77777777" w:rsidR="0004729F" w:rsidRPr="004D75BF" w:rsidRDefault="0004729F">
            <w:pPr>
              <w:pStyle w:val="TableText0"/>
              <w:jc w:val="center"/>
            </w:pPr>
            <w:r w:rsidRPr="004D75BF">
              <w:t>NR</w:t>
            </w:r>
          </w:p>
        </w:tc>
        <w:tc>
          <w:tcPr>
            <w:tcW w:w="601" w:type="pct"/>
          </w:tcPr>
          <w:p w14:paraId="4B03E963" w14:textId="77777777" w:rsidR="0004729F" w:rsidRPr="004D75BF" w:rsidRDefault="0004729F">
            <w:pPr>
              <w:pStyle w:val="TableText0"/>
              <w:jc w:val="center"/>
            </w:pPr>
            <w:r w:rsidRPr="004D75BF">
              <w:t xml:space="preserve">93.3% </w:t>
            </w:r>
          </w:p>
        </w:tc>
        <w:tc>
          <w:tcPr>
            <w:tcW w:w="626" w:type="pct"/>
          </w:tcPr>
          <w:p w14:paraId="701D4750" w14:textId="77777777" w:rsidR="0004729F" w:rsidRPr="004D75BF" w:rsidRDefault="0004729F">
            <w:pPr>
              <w:pStyle w:val="TableText0"/>
              <w:jc w:val="center"/>
            </w:pPr>
            <w:r w:rsidRPr="004D75BF">
              <w:t xml:space="preserve">98.0% </w:t>
            </w:r>
          </w:p>
        </w:tc>
      </w:tr>
    </w:tbl>
    <w:p w14:paraId="46A7C472" w14:textId="77777777" w:rsidR="0004729F" w:rsidRPr="004D75BF" w:rsidRDefault="0004729F" w:rsidP="0004729F">
      <w:pPr>
        <w:contextualSpacing/>
        <w:rPr>
          <w:rFonts w:ascii="Arial Narrow" w:hAnsi="Arial Narrow"/>
          <w:sz w:val="18"/>
          <w:szCs w:val="18"/>
        </w:rPr>
      </w:pPr>
      <w:r w:rsidRPr="004D75BF">
        <w:rPr>
          <w:rFonts w:ascii="Arial Narrow" w:hAnsi="Arial Narrow"/>
          <w:sz w:val="18"/>
          <w:szCs w:val="18"/>
        </w:rPr>
        <w:t>Source: Tables 2.17 &amp; 2.18, pp77 &amp; 78 of the submission</w:t>
      </w:r>
    </w:p>
    <w:p w14:paraId="2D282EDE" w14:textId="77777777" w:rsidR="0004729F" w:rsidRPr="004D75BF" w:rsidRDefault="0004729F" w:rsidP="589E218A">
      <w:pPr>
        <w:contextualSpacing/>
        <w:rPr>
          <w:rFonts w:ascii="Arial Narrow" w:hAnsi="Arial Narrow"/>
          <w:sz w:val="18"/>
          <w:szCs w:val="18"/>
        </w:rPr>
      </w:pPr>
      <w:r w:rsidRPr="589E218A">
        <w:rPr>
          <w:rFonts w:ascii="Arial Narrow" w:hAnsi="Arial Narrow"/>
          <w:sz w:val="18"/>
          <w:szCs w:val="18"/>
        </w:rPr>
        <w:t>A+L=</w:t>
      </w:r>
      <w:r w:rsidRPr="589E218A">
        <w:rPr>
          <w:sz w:val="18"/>
          <w:szCs w:val="18"/>
        </w:rPr>
        <w:t xml:space="preserve"> </w:t>
      </w:r>
      <w:r w:rsidRPr="589E218A">
        <w:rPr>
          <w:rFonts w:ascii="Arial Narrow" w:hAnsi="Arial Narrow"/>
          <w:sz w:val="18"/>
          <w:szCs w:val="18"/>
        </w:rPr>
        <w:t xml:space="preserve">amivantamab plus lazertinib, CSR = clinical study report, NR = not reported. </w:t>
      </w:r>
    </w:p>
    <w:p w14:paraId="799AD23D" w14:textId="77777777" w:rsidR="0004729F" w:rsidRPr="004D75BF" w:rsidRDefault="0004729F" w:rsidP="0004729F">
      <w:pPr>
        <w:contextualSpacing/>
        <w:rPr>
          <w:rFonts w:ascii="Arial Narrow" w:hAnsi="Arial Narrow"/>
          <w:sz w:val="18"/>
          <w:szCs w:val="18"/>
        </w:rPr>
      </w:pPr>
      <w:r w:rsidRPr="004D75BF">
        <w:rPr>
          <w:rFonts w:ascii="Arial Narrow" w:hAnsi="Arial Narrow"/>
          <w:sz w:val="18"/>
          <w:szCs w:val="18"/>
          <w:vertAlign w:val="superscript"/>
        </w:rPr>
        <w:t>a</w:t>
      </w:r>
      <w:r w:rsidRPr="004D75BF">
        <w:rPr>
          <w:rFonts w:ascii="Arial Narrow" w:hAnsi="Arial Narrow"/>
          <w:sz w:val="18"/>
          <w:szCs w:val="18"/>
        </w:rPr>
        <w:t xml:space="preserve"> calculated by the submission based on doses given out of doses expected given treatment duration and planned dosing schedule.</w:t>
      </w:r>
    </w:p>
    <w:p w14:paraId="438054F6" w14:textId="77777777" w:rsidR="0004729F" w:rsidRPr="004D75BF" w:rsidRDefault="0004729F" w:rsidP="0004729F">
      <w:pPr>
        <w:contextualSpacing/>
        <w:rPr>
          <w:rFonts w:ascii="Arial Narrow" w:hAnsi="Arial Narrow"/>
          <w:sz w:val="18"/>
          <w:szCs w:val="18"/>
        </w:rPr>
      </w:pPr>
      <w:r w:rsidRPr="004D75BF">
        <w:rPr>
          <w:rFonts w:ascii="Arial Narrow" w:hAnsi="Arial Narrow"/>
          <w:sz w:val="18"/>
          <w:szCs w:val="18"/>
          <w:vertAlign w:val="superscript"/>
        </w:rPr>
        <w:t>b</w:t>
      </w:r>
      <w:r w:rsidRPr="004D75BF">
        <w:rPr>
          <w:rFonts w:ascii="Arial Narrow" w:hAnsi="Arial Narrow"/>
          <w:sz w:val="18"/>
          <w:szCs w:val="18"/>
        </w:rPr>
        <w:t xml:space="preserve"> calculated by the submission based on total cumulative dose divided by expected total cumulative dose, whereby expected cumulative dose for each patient was calculated from the actual administrations (i.e., non-skipped doses) and planned dosing.</w:t>
      </w:r>
    </w:p>
    <w:p w14:paraId="2D48434D" w14:textId="77777777" w:rsidR="0004729F" w:rsidRPr="004D75BF" w:rsidRDefault="0004729F" w:rsidP="0004729F">
      <w:pPr>
        <w:contextualSpacing/>
        <w:rPr>
          <w:rFonts w:ascii="Arial Narrow" w:hAnsi="Arial Narrow"/>
          <w:sz w:val="18"/>
          <w:szCs w:val="18"/>
        </w:rPr>
      </w:pPr>
      <w:r w:rsidRPr="004D75BF">
        <w:rPr>
          <w:rFonts w:ascii="Arial Narrow" w:hAnsi="Arial Narrow"/>
          <w:sz w:val="18"/>
          <w:szCs w:val="18"/>
          <w:vertAlign w:val="superscript"/>
        </w:rPr>
        <w:t>c</w:t>
      </w:r>
      <w:r w:rsidRPr="004D75BF">
        <w:rPr>
          <w:rFonts w:ascii="Arial Narrow" w:hAnsi="Arial Narrow"/>
          <w:sz w:val="18"/>
          <w:szCs w:val="18"/>
        </w:rPr>
        <w:t xml:space="preserve"> calculated by the submission as proportion of non-missed doses x proportion of non-missed doses received.</w:t>
      </w:r>
    </w:p>
    <w:p w14:paraId="484AA3F5" w14:textId="1383A131" w:rsidR="0004729F" w:rsidRPr="00294526" w:rsidRDefault="0004729F" w:rsidP="003576D0">
      <w:pPr>
        <w:pStyle w:val="3-BodyText"/>
        <w:ind w:left="709" w:hanging="709"/>
      </w:pPr>
      <w:bookmarkStart w:id="96" w:name="_Ref185946656"/>
      <w:r w:rsidRPr="589E218A">
        <w:t xml:space="preserve">The submission argued that the study drug compliance shown in </w:t>
      </w:r>
      <w:r w:rsidRPr="004D75BF">
        <w:fldChar w:fldCharType="begin"/>
      </w:r>
      <w:r w:rsidRPr="004D75BF">
        <w:instrText xml:space="preserve"> REF _Ref185933804 \h </w:instrText>
      </w:r>
      <w:r w:rsidRPr="004D75BF">
        <w:fldChar w:fldCharType="separate"/>
      </w:r>
      <w:r w:rsidR="00184F9A" w:rsidRPr="004D75BF">
        <w:t xml:space="preserve">Table </w:t>
      </w:r>
      <w:r w:rsidR="00184F9A">
        <w:rPr>
          <w:noProof/>
        </w:rPr>
        <w:t>9</w:t>
      </w:r>
      <w:r w:rsidRPr="004D75BF">
        <w:fldChar w:fldCharType="end"/>
      </w:r>
      <w:r w:rsidRPr="589E218A">
        <w:t xml:space="preserve"> was a more appropriate assessment of dose intensity than the </w:t>
      </w:r>
      <w:r w:rsidR="005424B5">
        <w:t>RDI</w:t>
      </w:r>
      <w:r w:rsidRPr="589E218A">
        <w:t xml:space="preserve"> reported in the MARIPOSA trial. The submission argued that the </w:t>
      </w:r>
      <w:r w:rsidR="005424B5">
        <w:t>RDI</w:t>
      </w:r>
      <w:r w:rsidRPr="589E218A">
        <w:t xml:space="preserve"> reported in the CSR related to compliance with prescribed study treatment doses and therefore excludes drug interruptions, dose reductions and discontinuations. </w:t>
      </w:r>
      <w:r w:rsidR="002E4EA6">
        <w:t>The evaluation noted that i</w:t>
      </w:r>
      <w:r w:rsidRPr="589E218A">
        <w:t>t was not clear how the submission defined ‘expected doses’ used to calculate the proportion of non-skipped doses. However, there is the possibility that the methodology adopted by the submission inappropriately accounts for ‘skipped doses’ associated with patients who have discontinued treatment.</w:t>
      </w:r>
      <w:bookmarkEnd w:id="96"/>
      <w:r w:rsidR="00834825" w:rsidRPr="589E218A">
        <w:t xml:space="preserve"> </w:t>
      </w:r>
      <w:r w:rsidR="00834825" w:rsidRPr="00294526">
        <w:t xml:space="preserve">Further, the MARIPOSA </w:t>
      </w:r>
      <w:r w:rsidR="00AE7F93" w:rsidRPr="00294526">
        <w:t>clinical trial protocol</w:t>
      </w:r>
      <w:r w:rsidR="008E65FC" w:rsidRPr="00294526">
        <w:t xml:space="preserve"> describes </w:t>
      </w:r>
      <w:r w:rsidR="00C71FF7" w:rsidRPr="00294526">
        <w:t>how dose</w:t>
      </w:r>
      <w:r w:rsidR="00F450A1" w:rsidRPr="00294526">
        <w:t xml:space="preserve"> modifications were to be captured.</w:t>
      </w:r>
      <w:r w:rsidR="008B18C4" w:rsidRPr="00294526">
        <w:rPr>
          <w:rStyle w:val="FootnoteReference"/>
        </w:rPr>
        <w:footnoteReference w:id="19"/>
      </w:r>
    </w:p>
    <w:p w14:paraId="7280D6AD" w14:textId="324F089A" w:rsidR="0004729F" w:rsidRPr="004D75BF" w:rsidRDefault="0004729F" w:rsidP="003576D0">
      <w:pPr>
        <w:pStyle w:val="3-BodyText"/>
        <w:ind w:left="709" w:hanging="709"/>
        <w:rPr>
          <w:i/>
          <w:iCs/>
        </w:rPr>
      </w:pPr>
      <w:bookmarkStart w:id="97" w:name="_Ref190367207"/>
      <w:r w:rsidRPr="002464B3">
        <w:rPr>
          <w:iCs/>
        </w:rPr>
        <w:t>The CSR also reported ‘dose intensity’ which was calculated as the sum of total doses (mg) received divided by the number of treatment cycles. This measure of dose intensity was not referenced by the submission and should account for drug interruptions, dose reductions and discontinuations.</w:t>
      </w:r>
      <w:r w:rsidRPr="004D75BF">
        <w:t xml:space="preserve"> </w:t>
      </w:r>
      <w:r w:rsidRPr="002464B3">
        <w:rPr>
          <w:iCs/>
        </w:rPr>
        <w:t xml:space="preserve">The evaluation used these values reported in the CSR and the expected dose per cycle to calculate the estimated dose intensity percentage. </w:t>
      </w:r>
      <w:r w:rsidRPr="004D75BF">
        <w:rPr>
          <w:i/>
          <w:iCs/>
        </w:rPr>
        <w:fldChar w:fldCharType="begin"/>
      </w:r>
      <w:r w:rsidRPr="004D75BF">
        <w:rPr>
          <w:i/>
          <w:iCs/>
        </w:rPr>
        <w:instrText xml:space="preserve"> REF _Ref187666485 \h </w:instrText>
      </w:r>
      <w:r w:rsidRPr="004D75BF">
        <w:rPr>
          <w:i/>
          <w:iCs/>
        </w:rPr>
      </w:r>
      <w:r w:rsidRPr="004D75BF">
        <w:rPr>
          <w:i/>
          <w:iCs/>
        </w:rPr>
        <w:fldChar w:fldCharType="separate"/>
      </w:r>
      <w:r w:rsidR="00184F9A" w:rsidRPr="004D75BF">
        <w:t xml:space="preserve">Table </w:t>
      </w:r>
      <w:r w:rsidR="00184F9A">
        <w:rPr>
          <w:noProof/>
        </w:rPr>
        <w:t>10</w:t>
      </w:r>
      <w:r w:rsidRPr="004D75BF">
        <w:rPr>
          <w:i/>
          <w:iCs/>
        </w:rPr>
        <w:fldChar w:fldCharType="end"/>
      </w:r>
      <w:r w:rsidRPr="002464B3">
        <w:rPr>
          <w:iCs/>
        </w:rPr>
        <w:t xml:space="preserve"> </w:t>
      </w:r>
      <w:r w:rsidRPr="004D75BF">
        <w:t xml:space="preserve">reports the alternative dose intensity estimated in the evaluation. </w:t>
      </w:r>
      <w:r w:rsidR="00294F0D" w:rsidRPr="00294526">
        <w:t>The evaluation noted that</w:t>
      </w:r>
      <w:r w:rsidR="00294F0D">
        <w:t xml:space="preserve"> </w:t>
      </w:r>
      <w:r w:rsidR="00C028E6" w:rsidRPr="00C028E6">
        <w:t>t</w:t>
      </w:r>
      <w:r w:rsidRPr="00C028E6">
        <w:t xml:space="preserve">he model was sensitive to this assumption; applying the dose intensity calculated in </w:t>
      </w:r>
      <w:r w:rsidRPr="00C028E6">
        <w:fldChar w:fldCharType="begin"/>
      </w:r>
      <w:r w:rsidRPr="00C028E6">
        <w:instrText xml:space="preserve"> REF _Ref185934001 \h  \* MERGEFORMAT </w:instrText>
      </w:r>
      <w:r w:rsidRPr="00C028E6">
        <w:fldChar w:fldCharType="separate"/>
      </w:r>
      <w:r w:rsidR="00184F9A" w:rsidRPr="004D75BF">
        <w:t>Table</w:t>
      </w:r>
      <w:r w:rsidR="00184F9A" w:rsidRPr="004D75BF">
        <w:rPr>
          <w:noProof/>
        </w:rPr>
        <w:t xml:space="preserve"> </w:t>
      </w:r>
      <w:r w:rsidR="00184F9A">
        <w:rPr>
          <w:noProof/>
        </w:rPr>
        <w:t>10</w:t>
      </w:r>
      <w:r w:rsidRPr="00C028E6">
        <w:fldChar w:fldCharType="end"/>
      </w:r>
      <w:r w:rsidRPr="00C028E6">
        <w:t xml:space="preserve"> increased the ICER </w:t>
      </w:r>
      <w:r w:rsidR="00FF750D" w:rsidRPr="00C028E6">
        <w:t>by</w:t>
      </w:r>
      <w:r w:rsidRPr="00C028E6">
        <w:t xml:space="preserve"> </w:t>
      </w:r>
      <w:r w:rsidR="001F5524" w:rsidRPr="00184F9A">
        <w:rPr>
          <w:color w:val="000000"/>
          <w:w w:val="15"/>
          <w:shd w:val="solid" w:color="000000" w:fill="000000"/>
          <w:fitText w:val="-20" w:id="-679249408"/>
          <w14:textFill>
            <w14:solidFill>
              <w14:srgbClr w14:val="000000">
                <w14:alpha w14:val="100000"/>
              </w14:srgbClr>
            </w14:solidFill>
          </w14:textFill>
        </w:rPr>
        <w:t xml:space="preserve">|  </w:t>
      </w:r>
      <w:r w:rsidR="001F5524" w:rsidRPr="00184F9A">
        <w:rPr>
          <w:color w:val="000000"/>
          <w:spacing w:val="-69"/>
          <w:w w:val="15"/>
          <w:shd w:val="solid" w:color="000000" w:fill="000000"/>
          <w:fitText w:val="-20" w:id="-679249408"/>
          <w14:textFill>
            <w14:solidFill>
              <w14:srgbClr w14:val="000000">
                <w14:alpha w14:val="100000"/>
              </w14:srgbClr>
            </w14:solidFill>
          </w14:textFill>
        </w:rPr>
        <w:t>|</w:t>
      </w:r>
      <w:r w:rsidRPr="00C028E6">
        <w:t>%.</w:t>
      </w:r>
      <w:bookmarkEnd w:id="97"/>
    </w:p>
    <w:p w14:paraId="53B8A188" w14:textId="7A8B51AA" w:rsidR="0004729F" w:rsidRPr="004D75BF" w:rsidRDefault="0004729F" w:rsidP="0004729F">
      <w:pPr>
        <w:pStyle w:val="TableFigureHeading"/>
      </w:pPr>
      <w:bookmarkStart w:id="98" w:name="_Ref185934001"/>
      <w:bookmarkStart w:id="99" w:name="_Ref187666485"/>
      <w:r w:rsidRPr="004D75BF">
        <w:t xml:space="preserve">Table </w:t>
      </w:r>
      <w:r w:rsidR="001B4556">
        <w:fldChar w:fldCharType="begin"/>
      </w:r>
      <w:r w:rsidR="001B4556">
        <w:instrText xml:space="preserve"> SEQ Table \* ARABIC </w:instrText>
      </w:r>
      <w:r w:rsidR="001B4556">
        <w:fldChar w:fldCharType="separate"/>
      </w:r>
      <w:r w:rsidR="00184F9A">
        <w:rPr>
          <w:noProof/>
        </w:rPr>
        <w:t>10</w:t>
      </w:r>
      <w:r w:rsidR="001B4556">
        <w:rPr>
          <w:noProof/>
        </w:rPr>
        <w:fldChar w:fldCharType="end"/>
      </w:r>
      <w:bookmarkEnd w:id="98"/>
      <w:bookmarkEnd w:id="99"/>
      <w:r w:rsidRPr="004D75BF">
        <w:t>: Alternative dose intensity estimated in the evaluation</w:t>
      </w:r>
    </w:p>
    <w:tbl>
      <w:tblPr>
        <w:tblStyle w:val="TableGrid"/>
        <w:tblW w:w="5000" w:type="pct"/>
        <w:tblLook w:val="04A0" w:firstRow="1" w:lastRow="0" w:firstColumn="1" w:lastColumn="0" w:noHBand="0" w:noVBand="1"/>
        <w:tblCaption w:val="Table 10: Alternative dose intensity estimated in the evaluation"/>
      </w:tblPr>
      <w:tblGrid>
        <w:gridCol w:w="3681"/>
        <w:gridCol w:w="1134"/>
        <w:gridCol w:w="992"/>
        <w:gridCol w:w="995"/>
        <w:gridCol w:w="1086"/>
        <w:gridCol w:w="1129"/>
      </w:tblGrid>
      <w:tr w:rsidR="0004729F" w:rsidRPr="00E65EF7" w14:paraId="14E4994F" w14:textId="77777777" w:rsidTr="00191421">
        <w:trPr>
          <w:trHeight w:val="20"/>
        </w:trPr>
        <w:tc>
          <w:tcPr>
            <w:tcW w:w="2041" w:type="pct"/>
            <w:vMerge w:val="restart"/>
          </w:tcPr>
          <w:p w14:paraId="6D19D3D1" w14:textId="77777777" w:rsidR="0004729F" w:rsidRPr="00E65EF7" w:rsidRDefault="0004729F">
            <w:pPr>
              <w:pStyle w:val="In-tableHeading"/>
              <w:rPr>
                <w:szCs w:val="20"/>
                <w:lang w:val="en-AU"/>
              </w:rPr>
            </w:pPr>
          </w:p>
        </w:tc>
        <w:tc>
          <w:tcPr>
            <w:tcW w:w="2333" w:type="pct"/>
            <w:gridSpan w:val="4"/>
          </w:tcPr>
          <w:p w14:paraId="12DFEAF8" w14:textId="77777777" w:rsidR="0004729F" w:rsidRPr="00E65EF7" w:rsidRDefault="0004729F">
            <w:pPr>
              <w:pStyle w:val="In-tableHeading"/>
              <w:jc w:val="center"/>
              <w:rPr>
                <w:szCs w:val="20"/>
                <w:lang w:val="en-AU"/>
              </w:rPr>
            </w:pPr>
            <w:r w:rsidRPr="00E65EF7">
              <w:rPr>
                <w:szCs w:val="20"/>
                <w:lang w:val="en-AU"/>
              </w:rPr>
              <w:t>A+L</w:t>
            </w:r>
          </w:p>
          <w:p w14:paraId="3345F141" w14:textId="77777777" w:rsidR="0004729F" w:rsidRPr="00E65EF7" w:rsidRDefault="0004729F">
            <w:pPr>
              <w:pStyle w:val="In-tableHeading"/>
              <w:jc w:val="center"/>
              <w:rPr>
                <w:szCs w:val="20"/>
                <w:lang w:val="en-AU"/>
              </w:rPr>
            </w:pPr>
            <w:r w:rsidRPr="00E65EF7">
              <w:rPr>
                <w:szCs w:val="20"/>
                <w:lang w:val="en-AU"/>
              </w:rPr>
              <w:t>(N=429)</w:t>
            </w:r>
          </w:p>
        </w:tc>
        <w:tc>
          <w:tcPr>
            <w:tcW w:w="626" w:type="pct"/>
            <w:vMerge w:val="restart"/>
          </w:tcPr>
          <w:p w14:paraId="1D451731" w14:textId="77777777" w:rsidR="0004729F" w:rsidRPr="00E65EF7" w:rsidRDefault="0004729F">
            <w:pPr>
              <w:pStyle w:val="In-tableHeading"/>
              <w:jc w:val="center"/>
              <w:rPr>
                <w:szCs w:val="20"/>
                <w:lang w:val="en-AU"/>
              </w:rPr>
            </w:pPr>
            <w:r w:rsidRPr="00E65EF7">
              <w:rPr>
                <w:szCs w:val="20"/>
                <w:lang w:val="en-AU"/>
              </w:rPr>
              <w:t>Osimertinib</w:t>
            </w:r>
          </w:p>
          <w:p w14:paraId="7E977EB3" w14:textId="77777777" w:rsidR="0004729F" w:rsidRPr="00E65EF7" w:rsidRDefault="0004729F">
            <w:pPr>
              <w:pStyle w:val="In-tableHeading"/>
              <w:jc w:val="center"/>
              <w:rPr>
                <w:szCs w:val="20"/>
                <w:lang w:val="en-AU"/>
              </w:rPr>
            </w:pPr>
            <w:r w:rsidRPr="00E65EF7">
              <w:rPr>
                <w:szCs w:val="20"/>
                <w:lang w:val="en-AU"/>
              </w:rPr>
              <w:t>(N=429)</w:t>
            </w:r>
          </w:p>
        </w:tc>
      </w:tr>
      <w:tr w:rsidR="0004729F" w:rsidRPr="00E65EF7" w14:paraId="7F056787" w14:textId="77777777" w:rsidTr="00191421">
        <w:trPr>
          <w:trHeight w:val="20"/>
        </w:trPr>
        <w:tc>
          <w:tcPr>
            <w:tcW w:w="2041" w:type="pct"/>
            <w:vMerge/>
          </w:tcPr>
          <w:p w14:paraId="20DA1DFA" w14:textId="77777777" w:rsidR="0004729F" w:rsidRPr="00E65EF7" w:rsidRDefault="0004729F">
            <w:pPr>
              <w:keepNext/>
              <w:rPr>
                <w:rFonts w:ascii="Arial Narrow" w:hAnsi="Arial Narrow"/>
                <w:sz w:val="20"/>
                <w:szCs w:val="20"/>
              </w:rPr>
            </w:pPr>
          </w:p>
        </w:tc>
        <w:tc>
          <w:tcPr>
            <w:tcW w:w="1731" w:type="pct"/>
            <w:gridSpan w:val="3"/>
          </w:tcPr>
          <w:p w14:paraId="6ABCD516" w14:textId="77777777" w:rsidR="0004729F" w:rsidRPr="00E65EF7" w:rsidRDefault="0004729F">
            <w:pPr>
              <w:pStyle w:val="In-tableHeading"/>
              <w:jc w:val="center"/>
              <w:rPr>
                <w:szCs w:val="20"/>
                <w:lang w:val="en-AU"/>
              </w:rPr>
            </w:pPr>
            <w:r w:rsidRPr="00E65EF7">
              <w:rPr>
                <w:szCs w:val="20"/>
                <w:lang w:val="en-AU"/>
              </w:rPr>
              <w:t>Amivantamab</w:t>
            </w:r>
          </w:p>
        </w:tc>
        <w:tc>
          <w:tcPr>
            <w:tcW w:w="602" w:type="pct"/>
            <w:vMerge w:val="restart"/>
          </w:tcPr>
          <w:p w14:paraId="6947A1F4" w14:textId="77777777" w:rsidR="0004729F" w:rsidRPr="00E65EF7" w:rsidRDefault="0004729F">
            <w:pPr>
              <w:pStyle w:val="In-tableHeading"/>
              <w:jc w:val="center"/>
              <w:rPr>
                <w:szCs w:val="20"/>
                <w:lang w:val="en-AU"/>
              </w:rPr>
            </w:pPr>
            <w:r w:rsidRPr="00E65EF7">
              <w:rPr>
                <w:szCs w:val="20"/>
                <w:lang w:val="en-AU"/>
              </w:rPr>
              <w:t>Lazertinib</w:t>
            </w:r>
          </w:p>
        </w:tc>
        <w:tc>
          <w:tcPr>
            <w:tcW w:w="626" w:type="pct"/>
            <w:vMerge/>
          </w:tcPr>
          <w:p w14:paraId="7C1CFC3B" w14:textId="77777777" w:rsidR="0004729F" w:rsidRPr="00E65EF7" w:rsidRDefault="0004729F">
            <w:pPr>
              <w:pStyle w:val="In-tableHeading"/>
              <w:rPr>
                <w:szCs w:val="20"/>
                <w:lang w:val="en-AU"/>
              </w:rPr>
            </w:pPr>
          </w:p>
        </w:tc>
      </w:tr>
      <w:tr w:rsidR="0004729F" w:rsidRPr="00E65EF7" w14:paraId="71086485" w14:textId="77777777" w:rsidTr="00191421">
        <w:trPr>
          <w:trHeight w:val="20"/>
        </w:trPr>
        <w:tc>
          <w:tcPr>
            <w:tcW w:w="2041" w:type="pct"/>
            <w:vMerge/>
          </w:tcPr>
          <w:p w14:paraId="0D61AF3D" w14:textId="77777777" w:rsidR="0004729F" w:rsidRPr="00E65EF7" w:rsidRDefault="0004729F">
            <w:pPr>
              <w:keepNext/>
              <w:rPr>
                <w:rFonts w:ascii="Arial Narrow" w:hAnsi="Arial Narrow"/>
                <w:sz w:val="20"/>
                <w:szCs w:val="20"/>
              </w:rPr>
            </w:pPr>
          </w:p>
        </w:tc>
        <w:tc>
          <w:tcPr>
            <w:tcW w:w="629" w:type="pct"/>
          </w:tcPr>
          <w:p w14:paraId="778C811C" w14:textId="77777777" w:rsidR="0004729F" w:rsidRPr="00E65EF7" w:rsidRDefault="0004729F">
            <w:pPr>
              <w:pStyle w:val="In-tableHeading"/>
              <w:jc w:val="center"/>
              <w:rPr>
                <w:szCs w:val="20"/>
                <w:lang w:val="en-AU"/>
              </w:rPr>
            </w:pPr>
            <w:r w:rsidRPr="00E65EF7">
              <w:rPr>
                <w:szCs w:val="20"/>
                <w:lang w:val="en-AU"/>
              </w:rPr>
              <w:t>Total</w:t>
            </w:r>
          </w:p>
        </w:tc>
        <w:tc>
          <w:tcPr>
            <w:tcW w:w="550" w:type="pct"/>
          </w:tcPr>
          <w:p w14:paraId="64421A16" w14:textId="77777777" w:rsidR="0004729F" w:rsidRPr="00E65EF7" w:rsidRDefault="0004729F">
            <w:pPr>
              <w:pStyle w:val="In-tableHeading"/>
              <w:jc w:val="center"/>
              <w:rPr>
                <w:szCs w:val="20"/>
                <w:lang w:val="en-AU"/>
              </w:rPr>
            </w:pPr>
            <w:r w:rsidRPr="00E65EF7">
              <w:rPr>
                <w:szCs w:val="20"/>
                <w:lang w:val="en-AU"/>
              </w:rPr>
              <w:t>Weight</w:t>
            </w:r>
          </w:p>
          <w:p w14:paraId="56EFB534" w14:textId="77777777" w:rsidR="0004729F" w:rsidRPr="00E65EF7" w:rsidRDefault="0004729F">
            <w:pPr>
              <w:pStyle w:val="In-tableHeading"/>
              <w:jc w:val="center"/>
              <w:rPr>
                <w:szCs w:val="20"/>
                <w:lang w:val="en-AU"/>
              </w:rPr>
            </w:pPr>
            <w:r w:rsidRPr="00E65EF7">
              <w:rPr>
                <w:szCs w:val="20"/>
                <w:lang w:val="en-AU"/>
              </w:rPr>
              <w:t>&lt; 80 kg</w:t>
            </w:r>
          </w:p>
        </w:tc>
        <w:tc>
          <w:tcPr>
            <w:tcW w:w="552" w:type="pct"/>
          </w:tcPr>
          <w:p w14:paraId="4507655B" w14:textId="77777777" w:rsidR="0004729F" w:rsidRPr="00E65EF7" w:rsidRDefault="0004729F">
            <w:pPr>
              <w:pStyle w:val="In-tableHeading"/>
              <w:jc w:val="center"/>
              <w:rPr>
                <w:szCs w:val="20"/>
                <w:lang w:val="en-AU"/>
              </w:rPr>
            </w:pPr>
            <w:r w:rsidRPr="00E65EF7">
              <w:rPr>
                <w:szCs w:val="20"/>
                <w:lang w:val="en-AU"/>
              </w:rPr>
              <w:t>Weight</w:t>
            </w:r>
          </w:p>
          <w:p w14:paraId="47C82940" w14:textId="77777777" w:rsidR="0004729F" w:rsidRPr="00E65EF7" w:rsidRDefault="0004729F">
            <w:pPr>
              <w:pStyle w:val="In-tableHeading"/>
              <w:jc w:val="center"/>
              <w:rPr>
                <w:szCs w:val="20"/>
                <w:lang w:val="en-AU"/>
              </w:rPr>
            </w:pPr>
            <w:r w:rsidRPr="00E65EF7">
              <w:rPr>
                <w:szCs w:val="20"/>
                <w:lang w:val="en-AU"/>
              </w:rPr>
              <w:t>≥ 80 kg</w:t>
            </w:r>
          </w:p>
        </w:tc>
        <w:tc>
          <w:tcPr>
            <w:tcW w:w="602" w:type="pct"/>
            <w:vMerge/>
          </w:tcPr>
          <w:p w14:paraId="64E36A3E" w14:textId="77777777" w:rsidR="0004729F" w:rsidRPr="00E65EF7" w:rsidRDefault="0004729F">
            <w:pPr>
              <w:pStyle w:val="In-tableHeading"/>
              <w:rPr>
                <w:szCs w:val="20"/>
                <w:lang w:val="en-AU"/>
              </w:rPr>
            </w:pPr>
          </w:p>
        </w:tc>
        <w:tc>
          <w:tcPr>
            <w:tcW w:w="626" w:type="pct"/>
            <w:vMerge/>
          </w:tcPr>
          <w:p w14:paraId="036FBF3E" w14:textId="77777777" w:rsidR="0004729F" w:rsidRPr="00E65EF7" w:rsidRDefault="0004729F">
            <w:pPr>
              <w:keepNext/>
              <w:jc w:val="center"/>
              <w:rPr>
                <w:rFonts w:ascii="Arial Narrow" w:hAnsi="Arial Narrow"/>
                <w:b/>
                <w:bCs/>
                <w:sz w:val="20"/>
                <w:szCs w:val="20"/>
              </w:rPr>
            </w:pPr>
          </w:p>
        </w:tc>
      </w:tr>
      <w:tr w:rsidR="0004729F" w:rsidRPr="00E65EF7" w14:paraId="45D624B3" w14:textId="77777777" w:rsidTr="00191421">
        <w:trPr>
          <w:trHeight w:val="20"/>
        </w:trPr>
        <w:tc>
          <w:tcPr>
            <w:tcW w:w="2041" w:type="pct"/>
          </w:tcPr>
          <w:p w14:paraId="6A052897" w14:textId="77777777" w:rsidR="0004729F" w:rsidRPr="00E65EF7" w:rsidRDefault="0004729F" w:rsidP="007A7746">
            <w:pPr>
              <w:pStyle w:val="TableFigureFooter"/>
              <w:rPr>
                <w:vertAlign w:val="superscript"/>
              </w:rPr>
            </w:pPr>
            <w:r w:rsidRPr="00E65EF7">
              <w:t xml:space="preserve">Dose intensity as per CSR </w:t>
            </w:r>
            <w:r w:rsidRPr="00E65EF7">
              <w:rPr>
                <w:vertAlign w:val="superscript"/>
              </w:rPr>
              <w:t>a</w:t>
            </w:r>
            <w:r w:rsidRPr="00E65EF7">
              <w:t xml:space="preserve"> (mg/28-day cycle)</w:t>
            </w:r>
          </w:p>
        </w:tc>
        <w:tc>
          <w:tcPr>
            <w:tcW w:w="629" w:type="pct"/>
          </w:tcPr>
          <w:p w14:paraId="62F326CF" w14:textId="77777777" w:rsidR="0004729F" w:rsidRPr="00E65EF7" w:rsidRDefault="0004729F" w:rsidP="007A7746">
            <w:pPr>
              <w:pStyle w:val="TableFigureFooter"/>
            </w:pPr>
            <w:r w:rsidRPr="00E65EF7">
              <w:t>1,725.5</w:t>
            </w:r>
          </w:p>
        </w:tc>
        <w:tc>
          <w:tcPr>
            <w:tcW w:w="550" w:type="pct"/>
          </w:tcPr>
          <w:p w14:paraId="2524BA01" w14:textId="77777777" w:rsidR="0004729F" w:rsidRPr="00E65EF7" w:rsidRDefault="0004729F" w:rsidP="007A7746">
            <w:pPr>
              <w:pStyle w:val="TableFigureFooter"/>
            </w:pPr>
            <w:r w:rsidRPr="00E65EF7">
              <w:t>NR</w:t>
            </w:r>
          </w:p>
        </w:tc>
        <w:tc>
          <w:tcPr>
            <w:tcW w:w="552" w:type="pct"/>
          </w:tcPr>
          <w:p w14:paraId="0D0073EF" w14:textId="77777777" w:rsidR="0004729F" w:rsidRPr="00E65EF7" w:rsidRDefault="0004729F" w:rsidP="007A7746">
            <w:pPr>
              <w:pStyle w:val="TableFigureFooter"/>
            </w:pPr>
            <w:r w:rsidRPr="00E65EF7">
              <w:t>NR</w:t>
            </w:r>
          </w:p>
        </w:tc>
        <w:tc>
          <w:tcPr>
            <w:tcW w:w="602" w:type="pct"/>
          </w:tcPr>
          <w:p w14:paraId="656C5ACF" w14:textId="77777777" w:rsidR="0004729F" w:rsidRPr="00E65EF7" w:rsidRDefault="0004729F" w:rsidP="007A7746">
            <w:pPr>
              <w:pStyle w:val="TableFigureFooter"/>
            </w:pPr>
            <w:r w:rsidRPr="00E65EF7">
              <w:t>5,552.4</w:t>
            </w:r>
          </w:p>
        </w:tc>
        <w:tc>
          <w:tcPr>
            <w:tcW w:w="626" w:type="pct"/>
          </w:tcPr>
          <w:p w14:paraId="08E49FE1" w14:textId="77777777" w:rsidR="0004729F" w:rsidRPr="00E65EF7" w:rsidRDefault="0004729F" w:rsidP="007A7746">
            <w:pPr>
              <w:pStyle w:val="TableFigureFooter"/>
            </w:pPr>
            <w:r w:rsidRPr="00E65EF7">
              <w:t>2,136.1</w:t>
            </w:r>
          </w:p>
        </w:tc>
      </w:tr>
      <w:tr w:rsidR="0004729F" w:rsidRPr="00E65EF7" w14:paraId="5A7E27AF" w14:textId="77777777" w:rsidTr="00191421">
        <w:trPr>
          <w:trHeight w:val="20"/>
        </w:trPr>
        <w:tc>
          <w:tcPr>
            <w:tcW w:w="2041" w:type="pct"/>
          </w:tcPr>
          <w:p w14:paraId="434AB614" w14:textId="77777777" w:rsidR="0004729F" w:rsidRPr="00E65EF7" w:rsidRDefault="0004729F" w:rsidP="007A7746">
            <w:pPr>
              <w:pStyle w:val="TableFigureFooter"/>
              <w:rPr>
                <w:b/>
                <w:vertAlign w:val="subscript"/>
              </w:rPr>
            </w:pPr>
            <w:r w:rsidRPr="00E65EF7">
              <w:t>Expected dose per 28-day cycle</w:t>
            </w:r>
          </w:p>
        </w:tc>
        <w:tc>
          <w:tcPr>
            <w:tcW w:w="629" w:type="pct"/>
          </w:tcPr>
          <w:p w14:paraId="2437E8F2" w14:textId="77777777" w:rsidR="0004729F" w:rsidRPr="00E65EF7" w:rsidRDefault="0004729F" w:rsidP="007A7746">
            <w:pPr>
              <w:pStyle w:val="TableFigureFooter"/>
            </w:pPr>
            <w:r w:rsidRPr="00E65EF7">
              <w:t xml:space="preserve">2,193 </w:t>
            </w:r>
            <w:r w:rsidRPr="00E65EF7">
              <w:rPr>
                <w:vertAlign w:val="superscript"/>
              </w:rPr>
              <w:t>b</w:t>
            </w:r>
          </w:p>
        </w:tc>
        <w:tc>
          <w:tcPr>
            <w:tcW w:w="550" w:type="pct"/>
          </w:tcPr>
          <w:p w14:paraId="0FF050ED" w14:textId="77777777" w:rsidR="0004729F" w:rsidRPr="00E65EF7" w:rsidRDefault="0004729F" w:rsidP="007A7746">
            <w:pPr>
              <w:pStyle w:val="TableFigureFooter"/>
            </w:pPr>
            <w:r w:rsidRPr="00E65EF7">
              <w:t>2,100</w:t>
            </w:r>
          </w:p>
        </w:tc>
        <w:tc>
          <w:tcPr>
            <w:tcW w:w="552" w:type="pct"/>
          </w:tcPr>
          <w:p w14:paraId="115D52BE" w14:textId="77777777" w:rsidR="0004729F" w:rsidRPr="00E65EF7" w:rsidRDefault="0004729F" w:rsidP="007A7746">
            <w:pPr>
              <w:pStyle w:val="TableFigureFooter"/>
            </w:pPr>
            <w:r w:rsidRPr="00E65EF7">
              <w:t>2,800</w:t>
            </w:r>
          </w:p>
        </w:tc>
        <w:tc>
          <w:tcPr>
            <w:tcW w:w="602" w:type="pct"/>
          </w:tcPr>
          <w:p w14:paraId="443BF0CE" w14:textId="77777777" w:rsidR="0004729F" w:rsidRPr="00E65EF7" w:rsidRDefault="0004729F" w:rsidP="007A7746">
            <w:pPr>
              <w:pStyle w:val="TableFigureFooter"/>
            </w:pPr>
            <w:r w:rsidRPr="00E65EF7">
              <w:t>6,720</w:t>
            </w:r>
          </w:p>
        </w:tc>
        <w:tc>
          <w:tcPr>
            <w:tcW w:w="626" w:type="pct"/>
          </w:tcPr>
          <w:p w14:paraId="4A91E800" w14:textId="77777777" w:rsidR="0004729F" w:rsidRPr="00E65EF7" w:rsidRDefault="0004729F" w:rsidP="007A7746">
            <w:pPr>
              <w:pStyle w:val="TableFigureFooter"/>
            </w:pPr>
            <w:r w:rsidRPr="00E65EF7">
              <w:t>2,240</w:t>
            </w:r>
          </w:p>
        </w:tc>
      </w:tr>
      <w:tr w:rsidR="0004729F" w:rsidRPr="00E65EF7" w14:paraId="6C00FD1E" w14:textId="77777777" w:rsidTr="00191421">
        <w:trPr>
          <w:trHeight w:val="108"/>
        </w:trPr>
        <w:tc>
          <w:tcPr>
            <w:tcW w:w="2041" w:type="pct"/>
          </w:tcPr>
          <w:p w14:paraId="34C53CB1" w14:textId="77777777" w:rsidR="0004729F" w:rsidRPr="00E65EF7" w:rsidRDefault="0004729F" w:rsidP="007A7746">
            <w:pPr>
              <w:pStyle w:val="TableFigureFooter"/>
            </w:pPr>
            <w:r w:rsidRPr="00E65EF7">
              <w:t>Dose intensity</w:t>
            </w:r>
            <w:r w:rsidRPr="00E65EF7">
              <w:rPr>
                <w:vertAlign w:val="superscript"/>
              </w:rPr>
              <w:t xml:space="preserve"> c</w:t>
            </w:r>
            <w:r w:rsidRPr="00E65EF7">
              <w:t xml:space="preserve"> (calculated by the evaluation)</w:t>
            </w:r>
          </w:p>
        </w:tc>
        <w:tc>
          <w:tcPr>
            <w:tcW w:w="629" w:type="pct"/>
          </w:tcPr>
          <w:p w14:paraId="0DB61D28" w14:textId="77777777" w:rsidR="0004729F" w:rsidRPr="00E65EF7" w:rsidRDefault="0004729F" w:rsidP="007A7746">
            <w:pPr>
              <w:pStyle w:val="TableFigureFooter"/>
            </w:pPr>
            <w:r w:rsidRPr="00E65EF7">
              <w:t>78.7%</w:t>
            </w:r>
          </w:p>
        </w:tc>
        <w:tc>
          <w:tcPr>
            <w:tcW w:w="550" w:type="pct"/>
          </w:tcPr>
          <w:p w14:paraId="1E894C9E" w14:textId="77777777" w:rsidR="0004729F" w:rsidRPr="00E65EF7" w:rsidRDefault="0004729F" w:rsidP="007A7746">
            <w:pPr>
              <w:pStyle w:val="TableFigureFooter"/>
            </w:pPr>
            <w:r w:rsidRPr="00E65EF7">
              <w:t>NR</w:t>
            </w:r>
          </w:p>
        </w:tc>
        <w:tc>
          <w:tcPr>
            <w:tcW w:w="552" w:type="pct"/>
          </w:tcPr>
          <w:p w14:paraId="144D0F03" w14:textId="77777777" w:rsidR="0004729F" w:rsidRPr="00E65EF7" w:rsidRDefault="0004729F" w:rsidP="007A7746">
            <w:pPr>
              <w:pStyle w:val="TableFigureFooter"/>
            </w:pPr>
            <w:r w:rsidRPr="00E65EF7">
              <w:t>NR</w:t>
            </w:r>
          </w:p>
        </w:tc>
        <w:tc>
          <w:tcPr>
            <w:tcW w:w="602" w:type="pct"/>
          </w:tcPr>
          <w:p w14:paraId="6B458FBF" w14:textId="77777777" w:rsidR="0004729F" w:rsidRPr="00E65EF7" w:rsidRDefault="0004729F" w:rsidP="007A7746">
            <w:pPr>
              <w:pStyle w:val="TableFigureFooter"/>
            </w:pPr>
            <w:r w:rsidRPr="00E65EF7">
              <w:t>82.6%</w:t>
            </w:r>
          </w:p>
        </w:tc>
        <w:tc>
          <w:tcPr>
            <w:tcW w:w="626" w:type="pct"/>
          </w:tcPr>
          <w:p w14:paraId="66A8924A" w14:textId="77777777" w:rsidR="0004729F" w:rsidRPr="00E65EF7" w:rsidRDefault="0004729F" w:rsidP="007A7746">
            <w:pPr>
              <w:pStyle w:val="TableFigureFooter"/>
            </w:pPr>
            <w:r w:rsidRPr="00E65EF7">
              <w:t>95.4%</w:t>
            </w:r>
          </w:p>
        </w:tc>
      </w:tr>
    </w:tbl>
    <w:p w14:paraId="7CFB58BD" w14:textId="77777777" w:rsidR="0004729F" w:rsidRPr="004D75BF" w:rsidRDefault="0004729F" w:rsidP="007A7746">
      <w:pPr>
        <w:pStyle w:val="TableFigureFooter"/>
      </w:pPr>
      <w:r w:rsidRPr="004D75BF">
        <w:t>Source, Table 11, pp57-58 of ‘Attachment 2.2 - MARIPOSA primary CSR-CCO Aug2023’ of the submission.</w:t>
      </w:r>
    </w:p>
    <w:p w14:paraId="518839C7" w14:textId="77777777" w:rsidR="0004729F" w:rsidRPr="004D75BF" w:rsidRDefault="0004729F" w:rsidP="007A7746">
      <w:pPr>
        <w:pStyle w:val="TableFigureFooter"/>
      </w:pPr>
      <w:r w:rsidRPr="589E218A">
        <w:t>A+L = amivantamab plus lazertinib, CSR = clinical study report</w:t>
      </w:r>
    </w:p>
    <w:p w14:paraId="721D6F84" w14:textId="77777777" w:rsidR="0004729F" w:rsidRPr="004D75BF" w:rsidRDefault="0004729F" w:rsidP="007A7746">
      <w:pPr>
        <w:pStyle w:val="TableFigureFooter"/>
      </w:pPr>
      <w:r w:rsidRPr="004D75BF">
        <w:rPr>
          <w:vertAlign w:val="superscript"/>
        </w:rPr>
        <w:t>a</w:t>
      </w:r>
      <w:r w:rsidRPr="004D75BF">
        <w:t xml:space="preserve"> Sum of total doses (mg) received divided by the number of treatment cycles</w:t>
      </w:r>
    </w:p>
    <w:p w14:paraId="6E4C0E31" w14:textId="77777777" w:rsidR="0004729F" w:rsidRPr="004D75BF" w:rsidRDefault="0004729F" w:rsidP="007A7746">
      <w:pPr>
        <w:pStyle w:val="TableFigureFooter"/>
      </w:pPr>
      <w:r w:rsidRPr="004D75BF">
        <w:rPr>
          <w:vertAlign w:val="superscript"/>
        </w:rPr>
        <w:t xml:space="preserve">b </w:t>
      </w:r>
      <w:r w:rsidRPr="004D75BF">
        <w:t>Weighted as per the proportion of weight of the MARIPOSA trial.</w:t>
      </w:r>
    </w:p>
    <w:p w14:paraId="76C955B9" w14:textId="633E5CEE" w:rsidR="0004729F" w:rsidRPr="004D75BF" w:rsidRDefault="0004729F" w:rsidP="007A7746">
      <w:pPr>
        <w:pStyle w:val="TableFigureFooter"/>
      </w:pPr>
      <w:r w:rsidRPr="004D75BF">
        <w:rPr>
          <w:vertAlign w:val="superscript"/>
        </w:rPr>
        <w:t xml:space="preserve">c </w:t>
      </w:r>
      <w:r w:rsidR="00841E95">
        <w:t>E</w:t>
      </w:r>
      <w:r w:rsidRPr="004D75BF">
        <w:t>stimated in the evaluation by dividing dose intensity as per CSR by the expected dose.</w:t>
      </w:r>
    </w:p>
    <w:p w14:paraId="0123D30E" w14:textId="276D17F2" w:rsidR="00D8793D" w:rsidRPr="00294526" w:rsidRDefault="00D8793D" w:rsidP="003576D0">
      <w:pPr>
        <w:pStyle w:val="3-BodyText"/>
        <w:ind w:left="709" w:hanging="709"/>
      </w:pPr>
      <w:r w:rsidRPr="00294526">
        <w:t>The PSCR maintained that the submission appropriately and accurately calculate</w:t>
      </w:r>
      <w:r w:rsidR="00823B32" w:rsidRPr="00294526">
        <w:t>d</w:t>
      </w:r>
      <w:r w:rsidRPr="00294526">
        <w:t xml:space="preserve"> and applie</w:t>
      </w:r>
      <w:r w:rsidR="00823B32" w:rsidRPr="00294526">
        <w:t>d</w:t>
      </w:r>
      <w:r w:rsidRPr="00294526">
        <w:t xml:space="preserve"> compliance to each drug in the economic model</w:t>
      </w:r>
      <w:r w:rsidR="003F0556" w:rsidRPr="00294526">
        <w:t xml:space="preserve">; however, the ESC noted that the </w:t>
      </w:r>
      <w:r w:rsidR="00EB0449" w:rsidRPr="00294526">
        <w:t xml:space="preserve">dose intensities used by the submission were presented in an unreferenced attachment, not in the May 2024 CCO report, </w:t>
      </w:r>
      <w:r w:rsidR="008B358B" w:rsidRPr="00294526">
        <w:t xml:space="preserve">and </w:t>
      </w:r>
      <w:r w:rsidR="00EB0449" w:rsidRPr="00294526">
        <w:t>therefore the source was uncertain.</w:t>
      </w:r>
      <w:r w:rsidR="000337F2" w:rsidRPr="00294526">
        <w:t xml:space="preserve"> </w:t>
      </w:r>
      <w:r w:rsidR="00684C66" w:rsidRPr="00294526">
        <w:t>T</w:t>
      </w:r>
      <w:r w:rsidR="000337F2" w:rsidRPr="00294526">
        <w:t xml:space="preserve">he PSCR stated </w:t>
      </w:r>
      <w:r w:rsidR="0000165C" w:rsidRPr="00294526">
        <w:t>that the</w:t>
      </w:r>
      <w:r w:rsidR="00546ACD" w:rsidRPr="00294526">
        <w:t xml:space="preserve"> </w:t>
      </w:r>
      <w:r w:rsidR="0000165C" w:rsidRPr="00294526">
        <w:t>e</w:t>
      </w:r>
      <w:r w:rsidR="00546ACD" w:rsidRPr="00294526">
        <w:t>valuation’s calculation of expected dose per 28-day cycle is overly simplistic as it does not account for the induction treatment cycle where doses are higher than in maintenance cycles</w:t>
      </w:r>
      <w:r w:rsidR="0000165C" w:rsidRPr="00294526">
        <w:t xml:space="preserve">; however, </w:t>
      </w:r>
      <w:r w:rsidR="00EF3BC9" w:rsidRPr="00294526">
        <w:t xml:space="preserve">not accounting for the induction treatment cycle means that 2 fewer doses of A+L are counted in the expected dose over 2 years, </w:t>
      </w:r>
      <w:r w:rsidR="008A49C3" w:rsidRPr="00294526">
        <w:t xml:space="preserve">and </w:t>
      </w:r>
      <w:r w:rsidR="00EF3BC9" w:rsidRPr="00294526">
        <w:t>this would lower the dose intensity by only a marginal amount in comparison to that calculated by the evaluation in Table 10.</w:t>
      </w:r>
      <w:r w:rsidR="00E361A3" w:rsidRPr="00294526">
        <w:t xml:space="preserve"> The PCSR also maintained that the rounding up of the 28-day cycle in the evaluation over</w:t>
      </w:r>
      <w:r w:rsidR="009B60C4" w:rsidRPr="00294526">
        <w:t>-</w:t>
      </w:r>
      <w:r w:rsidR="00E361A3" w:rsidRPr="00294526">
        <w:t xml:space="preserve">estimated the expected dose, </w:t>
      </w:r>
      <w:r w:rsidR="009B60C4" w:rsidRPr="00294526">
        <w:t xml:space="preserve">and argued that the submission estimates are based on </w:t>
      </w:r>
      <w:r w:rsidR="00433C08" w:rsidRPr="00294526">
        <w:t>‘</w:t>
      </w:r>
      <w:r w:rsidR="009B60C4" w:rsidRPr="00294526">
        <w:t>..the exact number of doses (to the day) that a patient was expected to receive treatment..</w:t>
      </w:r>
      <w:r w:rsidR="00433C08" w:rsidRPr="00294526">
        <w:t>’</w:t>
      </w:r>
      <w:r w:rsidR="00E2317D" w:rsidRPr="00294526">
        <w:t xml:space="preserve"> rather than the cycle</w:t>
      </w:r>
      <w:r w:rsidR="0092710A" w:rsidRPr="00294526">
        <w:t xml:space="preserve">. </w:t>
      </w:r>
      <w:r w:rsidR="00624001" w:rsidRPr="00294526">
        <w:t>The ESC noted that r</w:t>
      </w:r>
      <w:r w:rsidR="00E2317D" w:rsidRPr="00294526">
        <w:t xml:space="preserve">ounding up may overestimate the dose intensity of lazertinib and osimertinib (daily dose), however </w:t>
      </w:r>
      <w:r w:rsidR="0092710A" w:rsidRPr="00294526">
        <w:t xml:space="preserve">the </w:t>
      </w:r>
      <w:r w:rsidR="00E2317D" w:rsidRPr="00294526">
        <w:t xml:space="preserve">effect on the </w:t>
      </w:r>
      <w:r w:rsidR="0092710A" w:rsidRPr="00294526">
        <w:t xml:space="preserve">dose intensity for amivantamab </w:t>
      </w:r>
      <w:r w:rsidR="00E2317D" w:rsidRPr="00294526">
        <w:t xml:space="preserve">will </w:t>
      </w:r>
      <w:r w:rsidR="00624001" w:rsidRPr="00294526">
        <w:t xml:space="preserve">likely </w:t>
      </w:r>
      <w:r w:rsidR="00E2317D" w:rsidRPr="00294526">
        <w:t xml:space="preserve">be </w:t>
      </w:r>
      <w:r w:rsidR="0092710A" w:rsidRPr="00294526">
        <w:t xml:space="preserve">marginal </w:t>
      </w:r>
      <w:r w:rsidR="00E2317D" w:rsidRPr="00294526">
        <w:t xml:space="preserve">and </w:t>
      </w:r>
      <w:r w:rsidR="0092710A" w:rsidRPr="00294526">
        <w:t xml:space="preserve">associated with the induction treatment cycle. </w:t>
      </w:r>
    </w:p>
    <w:p w14:paraId="24EA9803" w14:textId="714D540F" w:rsidR="0004729F" w:rsidRPr="004D75BF" w:rsidRDefault="0004729F" w:rsidP="003576D0">
      <w:pPr>
        <w:pStyle w:val="3-BodyText"/>
        <w:ind w:left="709" w:hanging="709"/>
      </w:pPr>
      <w:r w:rsidRPr="589E218A">
        <w:t>The submission assumed 40.6% of A+L and 49.2% of osimertinib patients who progressed received subsequent therapy based on</w:t>
      </w:r>
      <w:r w:rsidR="004C4640" w:rsidRPr="589E218A">
        <w:t xml:space="preserve"> </w:t>
      </w:r>
      <w:r w:rsidR="004C4640" w:rsidRPr="001D0BE9">
        <w:t>data from the</w:t>
      </w:r>
      <w:r w:rsidRPr="001D0BE9">
        <w:t xml:space="preserve"> MARIPOSA</w:t>
      </w:r>
      <w:r w:rsidR="004C4640" w:rsidRPr="001D0BE9">
        <w:t xml:space="preserve"> trial</w:t>
      </w:r>
      <w:r w:rsidRPr="589E218A">
        <w:t xml:space="preserve">. The model was not sensitive to the percentage of patients using subsequent therapy. The submission noted that subsequent therapies’ effect on survival or HRQoL was not separately included in the model. </w:t>
      </w:r>
      <w:r w:rsidR="008E1B76" w:rsidRPr="001D0BE9">
        <w:t>The evaluation considered that</w:t>
      </w:r>
      <w:r w:rsidR="008E1B76" w:rsidRPr="589E218A">
        <w:t xml:space="preserve"> t</w:t>
      </w:r>
      <w:r w:rsidRPr="589E218A">
        <w:t>his was reasonable</w:t>
      </w:r>
      <w:r w:rsidR="00A7182D" w:rsidRPr="589E218A">
        <w:t>,</w:t>
      </w:r>
      <w:r w:rsidRPr="589E218A">
        <w:t xml:space="preserve"> as effects in HRQoL or survival would be already captured in PFS curves, OS curves, and utilities from MARIPOSA. Subsequent PBS utilisation data of treatments used in the second-line setting were used to inform the subsequent treatment mix. Based on these data, the submission assumed all patients receiving subsequent therapy received carboplatin + pemetrexed (CP) or ABCP.</w:t>
      </w:r>
    </w:p>
    <w:p w14:paraId="56D68407" w14:textId="2BB68420" w:rsidR="0004729F" w:rsidRPr="004D75BF" w:rsidRDefault="0004729F" w:rsidP="003576D0">
      <w:pPr>
        <w:pStyle w:val="3-BodyText"/>
        <w:ind w:left="709" w:hanging="709"/>
      </w:pPr>
      <w:r w:rsidRPr="589E218A">
        <w:t xml:space="preserve">The subsequent treatments observed in MARIPOSA included chemotherapy / immunotherapy / VEGFi based regimens, and </w:t>
      </w:r>
      <w:r w:rsidR="00F639C0" w:rsidRPr="589E218A">
        <w:rPr>
          <w:i/>
          <w:iCs/>
        </w:rPr>
        <w:t>EGFR</w:t>
      </w:r>
      <w:r w:rsidRPr="589E218A">
        <w:t xml:space="preserve"> TKI or </w:t>
      </w:r>
      <w:r w:rsidR="009C1092" w:rsidRPr="589E218A">
        <w:t>TKI-</w:t>
      </w:r>
      <w:r w:rsidRPr="589E218A">
        <w:t xml:space="preserve">based regimens. The submission stated that </w:t>
      </w:r>
      <w:r w:rsidR="00F639C0" w:rsidRPr="589E218A">
        <w:rPr>
          <w:i/>
          <w:iCs/>
        </w:rPr>
        <w:t>EGFR</w:t>
      </w:r>
      <w:r w:rsidRPr="589E218A">
        <w:t xml:space="preserve"> TKIs are not listed as second-line </w:t>
      </w:r>
      <w:r w:rsidR="00F639C0" w:rsidRPr="589E218A">
        <w:rPr>
          <w:i/>
          <w:iCs/>
        </w:rPr>
        <w:t>EGFR</w:t>
      </w:r>
      <w:r w:rsidRPr="589E218A">
        <w:t xml:space="preserve">m NSCLC on the PBS and patients would not receive osimertinib as a second-line treatment as no patients in MARIPOSA were reported to have a T790M mutation after A+L treatment, and patients cannot receive osimertinib if it has already been used in the Australian setting. Therefore, these treatments were excluded. </w:t>
      </w:r>
      <w:bookmarkStart w:id="100" w:name="_Hlk188358381"/>
      <w:bookmarkStart w:id="101" w:name="_Hlk188293880"/>
      <w:r w:rsidRPr="589E218A">
        <w:t>While this approach seems reasonable,</w:t>
      </w:r>
      <w:r w:rsidR="000602D1" w:rsidRPr="589E218A">
        <w:t xml:space="preserve"> </w:t>
      </w:r>
      <w:r w:rsidR="000602D1" w:rsidRPr="001D0BE9">
        <w:t>the evaluation noted that</w:t>
      </w:r>
      <w:r w:rsidRPr="589E218A">
        <w:t xml:space="preserve"> it creates a disconnect between the therapies used to inform costs in the model (CP or ABCP) and those used in MARIPOSA, and from which post-progression outcomes were derived (e.g., TKI based regimens and immunotherapy). Both TKIs and immunotherapy have been shown to be superior to CP and ABCP in the second-line setting</w:t>
      </w:r>
      <w:bookmarkEnd w:id="100"/>
      <w:r w:rsidRPr="589E218A">
        <w:rPr>
          <w:snapToGrid w:val="0"/>
        </w:rPr>
        <w:t xml:space="preserve">. </w:t>
      </w:r>
      <w:r w:rsidRPr="589E218A">
        <w:t>The submission estimated that from those patients receiving subsequent therapy, 42.5% of patients would use ABCP. T</w:t>
      </w:r>
      <w:r w:rsidR="00D47179">
        <w:t>he evaluation noted that t</w:t>
      </w:r>
      <w:r w:rsidRPr="589E218A">
        <w:t>his was inconsistent with the submission’s assertion that ABCP was rarely used in MARIPOSA and Australian practice. The model was not sensitive to removing ABCP as subsequent therapy.</w:t>
      </w:r>
      <w:bookmarkEnd w:id="101"/>
    </w:p>
    <w:p w14:paraId="7E93F1AE" w14:textId="54FD5BB0" w:rsidR="0004729F" w:rsidRPr="004D75BF" w:rsidRDefault="0004729F" w:rsidP="003576D0">
      <w:pPr>
        <w:pStyle w:val="3-BodyText"/>
        <w:ind w:left="709" w:hanging="709"/>
      </w:pPr>
      <w:r w:rsidRPr="004D75BF">
        <w:fldChar w:fldCharType="begin"/>
      </w:r>
      <w:r w:rsidRPr="004D75BF">
        <w:instrText xml:space="preserve"> REF _Ref104805122 \h </w:instrText>
      </w:r>
      <w:r w:rsidRPr="004D75BF">
        <w:fldChar w:fldCharType="separate"/>
      </w:r>
      <w:r w:rsidR="00184F9A" w:rsidRPr="004D75BF">
        <w:t xml:space="preserve">Table </w:t>
      </w:r>
      <w:r w:rsidR="00184F9A">
        <w:rPr>
          <w:noProof/>
        </w:rPr>
        <w:t>11</w:t>
      </w:r>
      <w:r w:rsidRPr="004D75BF">
        <w:fldChar w:fldCharType="end"/>
      </w:r>
      <w:r w:rsidRPr="004D75BF">
        <w:t xml:space="preserve"> presents the key model drivers.</w:t>
      </w:r>
    </w:p>
    <w:p w14:paraId="0CABAB0E" w14:textId="3C66A11E" w:rsidR="0004729F" w:rsidRPr="004D75BF" w:rsidRDefault="0004729F" w:rsidP="00B15FF2">
      <w:pPr>
        <w:pStyle w:val="Caption"/>
        <w:jc w:val="left"/>
        <w:rPr>
          <w:rStyle w:val="CommentReference"/>
          <w:b/>
          <w:szCs w:val="24"/>
        </w:rPr>
      </w:pPr>
      <w:bookmarkStart w:id="102" w:name="_Ref104805122"/>
      <w:r w:rsidRPr="004D75BF">
        <w:t xml:space="preserve">Table </w:t>
      </w:r>
      <w:r w:rsidR="001B4556">
        <w:fldChar w:fldCharType="begin"/>
      </w:r>
      <w:r w:rsidR="001B4556">
        <w:instrText xml:space="preserve"> SEQ Table \* ARABIC </w:instrText>
      </w:r>
      <w:r w:rsidR="001B4556">
        <w:fldChar w:fldCharType="separate"/>
      </w:r>
      <w:r w:rsidR="00184F9A">
        <w:rPr>
          <w:noProof/>
        </w:rPr>
        <w:t>11</w:t>
      </w:r>
      <w:r w:rsidR="001B4556">
        <w:rPr>
          <w:noProof/>
        </w:rPr>
        <w:fldChar w:fldCharType="end"/>
      </w:r>
      <w:bookmarkEnd w:id="102"/>
      <w:r w:rsidRPr="004D75BF">
        <w:t>:</w:t>
      </w:r>
      <w:r w:rsidRPr="004D75B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128"/>
        <w:gridCol w:w="3261"/>
        <w:gridCol w:w="4628"/>
      </w:tblGrid>
      <w:tr w:rsidR="0004729F" w:rsidRPr="004D75BF" w14:paraId="43734339" w14:textId="77777777" w:rsidTr="589E218A">
        <w:trPr>
          <w:tblHeader/>
        </w:trPr>
        <w:tc>
          <w:tcPr>
            <w:tcW w:w="626" w:type="pct"/>
            <w:shd w:val="clear" w:color="auto" w:fill="auto"/>
            <w:vAlign w:val="center"/>
          </w:tcPr>
          <w:p w14:paraId="30CE01E4" w14:textId="77777777" w:rsidR="0004729F" w:rsidRPr="004D75BF" w:rsidRDefault="0004729F" w:rsidP="00B15FF2">
            <w:pPr>
              <w:pStyle w:val="In-tableHeading"/>
              <w:jc w:val="center"/>
              <w:rPr>
                <w:lang w:val="en-AU"/>
              </w:rPr>
            </w:pPr>
            <w:r w:rsidRPr="004D75BF">
              <w:rPr>
                <w:lang w:val="en-AU"/>
              </w:rPr>
              <w:t>Description</w:t>
            </w:r>
          </w:p>
        </w:tc>
        <w:tc>
          <w:tcPr>
            <w:tcW w:w="1808" w:type="pct"/>
            <w:shd w:val="clear" w:color="auto" w:fill="auto"/>
            <w:vAlign w:val="center"/>
          </w:tcPr>
          <w:p w14:paraId="6A2B5E71" w14:textId="77777777" w:rsidR="0004729F" w:rsidRPr="004D75BF" w:rsidRDefault="0004729F" w:rsidP="00B15FF2">
            <w:pPr>
              <w:pStyle w:val="In-tableHeading"/>
              <w:jc w:val="center"/>
              <w:rPr>
                <w:lang w:val="en-AU"/>
              </w:rPr>
            </w:pPr>
            <w:r w:rsidRPr="004D75BF">
              <w:rPr>
                <w:lang w:val="en-AU"/>
              </w:rPr>
              <w:t>Method/Value</w:t>
            </w:r>
          </w:p>
        </w:tc>
        <w:tc>
          <w:tcPr>
            <w:tcW w:w="2566" w:type="pct"/>
            <w:shd w:val="clear" w:color="auto" w:fill="auto"/>
            <w:vAlign w:val="center"/>
          </w:tcPr>
          <w:p w14:paraId="1CD3145B" w14:textId="77777777" w:rsidR="0004729F" w:rsidRPr="004D75BF" w:rsidRDefault="0004729F" w:rsidP="00B15FF2">
            <w:pPr>
              <w:pStyle w:val="In-tableHeading"/>
              <w:jc w:val="center"/>
              <w:rPr>
                <w:rFonts w:cs="Arial"/>
                <w:szCs w:val="20"/>
                <w:lang w:val="en-AU"/>
              </w:rPr>
            </w:pPr>
            <w:r w:rsidRPr="004D75BF">
              <w:rPr>
                <w:lang w:val="en-AU"/>
              </w:rPr>
              <w:t>Impact</w:t>
            </w:r>
            <w:r w:rsidRPr="004D75BF">
              <w:rPr>
                <w:rFonts w:cs="Arial"/>
                <w:szCs w:val="20"/>
                <w:lang w:val="en-AU"/>
              </w:rPr>
              <w:t>:</w:t>
            </w:r>
          </w:p>
          <w:p w14:paraId="68C0B1D6" w14:textId="77777777" w:rsidR="0004729F" w:rsidRPr="004D75BF" w:rsidRDefault="0004729F" w:rsidP="00B15FF2">
            <w:pPr>
              <w:pStyle w:val="In-tableHeading"/>
              <w:jc w:val="center"/>
              <w:rPr>
                <w:lang w:val="en-AU"/>
              </w:rPr>
            </w:pPr>
            <w:r w:rsidRPr="004D75BF">
              <w:rPr>
                <w:lang w:val="en-AU"/>
              </w:rPr>
              <w:t>Base case: dominant</w:t>
            </w:r>
          </w:p>
        </w:tc>
      </w:tr>
      <w:tr w:rsidR="0004729F" w:rsidRPr="002464B3" w14:paraId="0F80E9BE" w14:textId="77777777" w:rsidTr="589E218A">
        <w:tc>
          <w:tcPr>
            <w:tcW w:w="626" w:type="pct"/>
            <w:shd w:val="clear" w:color="auto" w:fill="auto"/>
            <w:vAlign w:val="center"/>
          </w:tcPr>
          <w:p w14:paraId="37E6AB70" w14:textId="77777777" w:rsidR="0004729F" w:rsidRPr="002464B3" w:rsidRDefault="0004729F" w:rsidP="00B15FF2">
            <w:pPr>
              <w:pStyle w:val="TableText0"/>
            </w:pPr>
            <w:r w:rsidRPr="002464B3">
              <w:t>Extrapolation</w:t>
            </w:r>
          </w:p>
        </w:tc>
        <w:tc>
          <w:tcPr>
            <w:tcW w:w="1808" w:type="pct"/>
            <w:shd w:val="clear" w:color="auto" w:fill="auto"/>
            <w:vAlign w:val="center"/>
          </w:tcPr>
          <w:p w14:paraId="274BB757" w14:textId="77777777" w:rsidR="0004729F" w:rsidRPr="002464B3" w:rsidRDefault="0004729F" w:rsidP="00B15FF2">
            <w:pPr>
              <w:pStyle w:val="TableText0"/>
            </w:pPr>
            <w:r w:rsidRPr="002464B3">
              <w:t>The function chosen to extrapolate OS in the A+L arm was the Weibull function.</w:t>
            </w:r>
          </w:p>
        </w:tc>
        <w:tc>
          <w:tcPr>
            <w:tcW w:w="2566" w:type="pct"/>
            <w:shd w:val="clear" w:color="auto" w:fill="auto"/>
            <w:vAlign w:val="center"/>
          </w:tcPr>
          <w:p w14:paraId="1EC53B4E" w14:textId="26001DD7" w:rsidR="0004729F" w:rsidRPr="002464B3" w:rsidRDefault="0004729F" w:rsidP="00B15FF2">
            <w:pPr>
              <w:pStyle w:val="TableText0"/>
            </w:pPr>
            <w:r w:rsidRPr="589E218A">
              <w:t>High, favours A+L. The ICER remained dominant when the Gompertz function was applied. However, the absolute value increased, driven by a reduction in incremental QALYs.</w:t>
            </w:r>
          </w:p>
        </w:tc>
      </w:tr>
      <w:tr w:rsidR="0004729F" w:rsidRPr="002464B3" w14:paraId="4B93896C" w14:textId="77777777" w:rsidTr="589E218A">
        <w:tc>
          <w:tcPr>
            <w:tcW w:w="626" w:type="pct"/>
            <w:shd w:val="clear" w:color="auto" w:fill="auto"/>
            <w:vAlign w:val="center"/>
          </w:tcPr>
          <w:p w14:paraId="5F93DFA9" w14:textId="77777777" w:rsidR="0004729F" w:rsidRPr="002464B3" w:rsidRDefault="0004729F" w:rsidP="00B15FF2">
            <w:pPr>
              <w:pStyle w:val="TableText0"/>
            </w:pPr>
            <w:r w:rsidRPr="002464B3">
              <w:t>Time horizon</w:t>
            </w:r>
          </w:p>
        </w:tc>
        <w:tc>
          <w:tcPr>
            <w:tcW w:w="1808" w:type="pct"/>
            <w:shd w:val="clear" w:color="auto" w:fill="auto"/>
            <w:vAlign w:val="center"/>
          </w:tcPr>
          <w:p w14:paraId="46F834BB" w14:textId="77777777" w:rsidR="0004729F" w:rsidRPr="002464B3" w:rsidRDefault="0004729F" w:rsidP="00B15FF2">
            <w:pPr>
              <w:pStyle w:val="TableText0"/>
            </w:pPr>
            <w:r w:rsidRPr="002464B3">
              <w:t>15-year time horizon</w:t>
            </w:r>
          </w:p>
        </w:tc>
        <w:tc>
          <w:tcPr>
            <w:tcW w:w="2566" w:type="pct"/>
            <w:shd w:val="clear" w:color="auto" w:fill="auto"/>
            <w:vAlign w:val="center"/>
          </w:tcPr>
          <w:p w14:paraId="3B0BB7B6" w14:textId="77777777" w:rsidR="0004729F" w:rsidRPr="002464B3" w:rsidRDefault="0004729F" w:rsidP="00B15FF2">
            <w:pPr>
              <w:pStyle w:val="TableText0"/>
            </w:pPr>
            <w:r w:rsidRPr="002464B3">
              <w:t>High, favours A+L.</w:t>
            </w:r>
            <w:r w:rsidRPr="002464B3">
              <w:rPr>
                <w:color w:val="0070C0"/>
              </w:rPr>
              <w:t xml:space="preserve"> </w:t>
            </w:r>
            <w:r w:rsidRPr="002464B3">
              <w:t>The ICER remained dominant when a 7.5-year time horizon was applied. However, the absolute value increased, driven by a reduction in incremental QALYs.</w:t>
            </w:r>
          </w:p>
        </w:tc>
      </w:tr>
      <w:tr w:rsidR="0004729F" w:rsidRPr="002464B3" w14:paraId="794C673D" w14:textId="77777777" w:rsidTr="589E218A">
        <w:tc>
          <w:tcPr>
            <w:tcW w:w="626" w:type="pct"/>
            <w:shd w:val="clear" w:color="auto" w:fill="auto"/>
            <w:vAlign w:val="center"/>
          </w:tcPr>
          <w:p w14:paraId="760BD8EF" w14:textId="77777777" w:rsidR="0004729F" w:rsidRPr="002464B3" w:rsidRDefault="0004729F" w:rsidP="00B15FF2">
            <w:pPr>
              <w:pStyle w:val="TableText0"/>
            </w:pPr>
            <w:r w:rsidRPr="002464B3">
              <w:t>Compliance</w:t>
            </w:r>
          </w:p>
        </w:tc>
        <w:tc>
          <w:tcPr>
            <w:tcW w:w="1808" w:type="pct"/>
            <w:shd w:val="clear" w:color="auto" w:fill="auto"/>
            <w:vAlign w:val="center"/>
          </w:tcPr>
          <w:p w14:paraId="3F8E4DD3" w14:textId="0D9956EC" w:rsidR="0004729F" w:rsidRPr="002464B3" w:rsidRDefault="0004729F" w:rsidP="00B15FF2">
            <w:pPr>
              <w:pStyle w:val="TableText0"/>
            </w:pPr>
            <w:r w:rsidRPr="002464B3">
              <w:t xml:space="preserve">Using proportion of non-skipped doses and proportion of dose reductions per </w:t>
            </w:r>
            <w:r w:rsidRPr="002464B3">
              <w:fldChar w:fldCharType="begin"/>
            </w:r>
            <w:r w:rsidRPr="002464B3">
              <w:instrText xml:space="preserve"> REF _Ref185933804 \h </w:instrText>
            </w:r>
            <w:r w:rsidRPr="002464B3">
              <w:fldChar w:fldCharType="separate"/>
            </w:r>
            <w:r w:rsidR="00184F9A" w:rsidRPr="004D75BF">
              <w:t xml:space="preserve">Table </w:t>
            </w:r>
            <w:r w:rsidR="00184F9A">
              <w:rPr>
                <w:noProof/>
              </w:rPr>
              <w:t>9</w:t>
            </w:r>
            <w:r w:rsidRPr="002464B3">
              <w:fldChar w:fldCharType="end"/>
            </w:r>
          </w:p>
        </w:tc>
        <w:tc>
          <w:tcPr>
            <w:tcW w:w="2566" w:type="pct"/>
            <w:shd w:val="clear" w:color="auto" w:fill="auto"/>
            <w:vAlign w:val="center"/>
          </w:tcPr>
          <w:p w14:paraId="514C5B03" w14:textId="38EC2F97" w:rsidR="0004729F" w:rsidRPr="002464B3" w:rsidRDefault="0004729F" w:rsidP="00B15FF2">
            <w:pPr>
              <w:pStyle w:val="TableText0"/>
              <w:rPr>
                <w:vertAlign w:val="superscript"/>
              </w:rPr>
            </w:pPr>
            <w:r w:rsidRPr="002464B3">
              <w:t>High, favours A+L.</w:t>
            </w:r>
            <w:r w:rsidRPr="002464B3">
              <w:rPr>
                <w:color w:val="0070C0"/>
              </w:rPr>
              <w:t xml:space="preserve"> </w:t>
            </w:r>
            <w:r w:rsidRPr="002464B3">
              <w:t xml:space="preserve">Using estimates from </w:t>
            </w:r>
            <w:r w:rsidRPr="002464B3">
              <w:fldChar w:fldCharType="begin"/>
            </w:r>
            <w:r w:rsidRPr="002464B3">
              <w:instrText xml:space="preserve"> REF _Ref185934001 \h  \* MERGEFORMAT </w:instrText>
            </w:r>
            <w:r w:rsidRPr="002464B3">
              <w:fldChar w:fldCharType="separate"/>
            </w:r>
            <w:r w:rsidR="00184F9A" w:rsidRPr="004D75BF">
              <w:t xml:space="preserve">Table </w:t>
            </w:r>
            <w:r w:rsidR="00184F9A">
              <w:rPr>
                <w:noProof/>
              </w:rPr>
              <w:t>10</w:t>
            </w:r>
            <w:r w:rsidRPr="002464B3">
              <w:fldChar w:fldCharType="end"/>
            </w:r>
            <w:r w:rsidRPr="002464B3">
              <w:t xml:space="preserve"> increased the ICER from dominant to $</w:t>
            </w:r>
            <w:r w:rsidR="007A7746" w:rsidRPr="007A7746">
              <w:rPr>
                <w:color w:val="000000"/>
                <w:spacing w:val="50"/>
                <w:shd w:val="solid" w:color="000000" w:fill="000000"/>
                <w:fitText w:val="323" w:id="-693980160"/>
                <w14:textFill>
                  <w14:solidFill>
                    <w14:srgbClr w14:val="000000">
                      <w14:alpha w14:val="100000"/>
                    </w14:srgbClr>
                  </w14:solidFill>
                </w14:textFill>
              </w:rPr>
              <w:t>|||</w:t>
            </w:r>
            <w:r w:rsidR="007A7746" w:rsidRPr="007A7746">
              <w:rPr>
                <w:color w:val="000000"/>
                <w:spacing w:val="3"/>
                <w:shd w:val="solid" w:color="000000" w:fill="000000"/>
                <w:fitText w:val="323" w:id="-693980160"/>
                <w14:textFill>
                  <w14:solidFill>
                    <w14:srgbClr w14:val="000000">
                      <w14:alpha w14:val="100000"/>
                    </w14:srgbClr>
                  </w14:solidFill>
                </w14:textFill>
              </w:rPr>
              <w:t>|</w:t>
            </w:r>
            <w:r w:rsidR="00FA4E0C" w:rsidRPr="00FA4E0C">
              <w:rPr>
                <w:vertAlign w:val="superscript"/>
              </w:rPr>
              <w:t>1</w:t>
            </w:r>
            <w:r w:rsidRPr="002464B3">
              <w:t xml:space="preserve">/QALY gained </w:t>
            </w:r>
            <w:r w:rsidRPr="002464B3">
              <w:rPr>
                <w:vertAlign w:val="superscript"/>
              </w:rPr>
              <w:t>a</w:t>
            </w:r>
          </w:p>
        </w:tc>
      </w:tr>
    </w:tbl>
    <w:p w14:paraId="0321979C" w14:textId="3C591CCF" w:rsidR="0004729F" w:rsidRPr="004D75BF" w:rsidRDefault="0004729F" w:rsidP="00B15FF2">
      <w:pPr>
        <w:pStyle w:val="FooterTableFigure"/>
        <w:keepNext/>
        <w:keepLines/>
      </w:pPr>
      <w:r w:rsidRPr="004D75BF">
        <w:t xml:space="preserve">Source: Source: Table 3.40, pp199-202 of the submission; ‘Attachment 3.1 MARIPOSA </w:t>
      </w:r>
      <w:r w:rsidR="00F639C0" w:rsidRPr="00F639C0">
        <w:rPr>
          <w:i/>
        </w:rPr>
        <w:t>EGFR</w:t>
      </w:r>
      <w:r w:rsidRPr="004D75BF">
        <w:t>m CEA’ of the submission</w:t>
      </w:r>
    </w:p>
    <w:p w14:paraId="3AC1E64F" w14:textId="77777777" w:rsidR="0004729F" w:rsidRPr="004D75BF" w:rsidRDefault="0004729F" w:rsidP="00B15FF2">
      <w:pPr>
        <w:pStyle w:val="FooterTableFigure"/>
        <w:keepNext/>
        <w:keepLines/>
      </w:pPr>
      <w:r w:rsidRPr="589E218A">
        <w:t>A+L = amivantamab plus lazertinib, ICER = incremental cost-effectiveness ratio, OS = overall survival, QALY = quality-adjusted life year.</w:t>
      </w:r>
    </w:p>
    <w:p w14:paraId="3BAD25BD" w14:textId="095CF71B" w:rsidR="0004729F" w:rsidRDefault="0004729F" w:rsidP="00B15FF2">
      <w:pPr>
        <w:pStyle w:val="FooterTableFigure"/>
        <w:keepNext/>
        <w:keepLines/>
      </w:pPr>
      <w:r w:rsidRPr="004D75BF">
        <w:rPr>
          <w:vertAlign w:val="superscript"/>
        </w:rPr>
        <w:t>a</w:t>
      </w:r>
      <w:r w:rsidRPr="004D75BF">
        <w:t xml:space="preserve"> Changed cells K78:83 to 100% and cells N78:83 as per table 3.6.3 in tab ‘Treatment Costs’ of ‘Attachment 3.1 MARIPOSA </w:t>
      </w:r>
      <w:r w:rsidR="00F639C0" w:rsidRPr="00F639C0">
        <w:rPr>
          <w:i/>
        </w:rPr>
        <w:t>EGFR</w:t>
      </w:r>
      <w:r w:rsidRPr="004D75BF">
        <w:t>m CEA’ of the submission.</w:t>
      </w:r>
    </w:p>
    <w:p w14:paraId="6B2D5087" w14:textId="77777777" w:rsidR="00366B3C" w:rsidRPr="007A368B" w:rsidRDefault="00366B3C" w:rsidP="00366B3C">
      <w:pPr>
        <w:pStyle w:val="FooterTableFigure"/>
        <w:keepLines/>
        <w:rPr>
          <w:i/>
          <w:iCs/>
        </w:rPr>
      </w:pPr>
      <w:r w:rsidRPr="007A368B">
        <w:rPr>
          <w:i/>
          <w:iCs/>
        </w:rPr>
        <w:t>The redacted values correspond to the following ranges:</w:t>
      </w:r>
    </w:p>
    <w:p w14:paraId="15CBC728" w14:textId="317E3886" w:rsidR="001E3B7C" w:rsidRPr="007A368B" w:rsidRDefault="00366B3C" w:rsidP="00694ABB">
      <w:pPr>
        <w:pStyle w:val="FooterTableFigure"/>
        <w:keepLines/>
        <w:rPr>
          <w:i/>
          <w:iCs/>
        </w:rPr>
      </w:pPr>
      <w:r w:rsidRPr="007A368B">
        <w:rPr>
          <w:i/>
          <w:iCs/>
          <w:vertAlign w:val="superscript"/>
        </w:rPr>
        <w:t xml:space="preserve">1 </w:t>
      </w:r>
      <w:r w:rsidR="00FA4E0C" w:rsidRPr="007A368B">
        <w:rPr>
          <w:i/>
          <w:iCs/>
        </w:rPr>
        <w:t>$0 to &lt; $5,000</w:t>
      </w:r>
    </w:p>
    <w:p w14:paraId="7C8DA79C" w14:textId="261BC56E" w:rsidR="0004729F" w:rsidRPr="004D75BF" w:rsidRDefault="0004729F" w:rsidP="003576D0">
      <w:pPr>
        <w:pStyle w:val="3-BodyText"/>
        <w:ind w:left="709" w:hanging="709"/>
      </w:pPr>
      <w:r>
        <w:fldChar w:fldCharType="begin"/>
      </w:r>
      <w:r>
        <w:instrText xml:space="preserve"> REF _Ref104805160 \h </w:instrText>
      </w:r>
      <w:r>
        <w:fldChar w:fldCharType="separate"/>
      </w:r>
      <w:r w:rsidR="00184F9A" w:rsidRPr="589E218A">
        <w:t xml:space="preserve">Table </w:t>
      </w:r>
      <w:r w:rsidR="00184F9A">
        <w:rPr>
          <w:noProof/>
        </w:rPr>
        <w:t>12</w:t>
      </w:r>
      <w:r>
        <w:fldChar w:fldCharType="end"/>
      </w:r>
      <w:r w:rsidRPr="589E218A">
        <w:t xml:space="preserve"> presents the results of the stepped economic evaluation. These results were based on the published price of osimertinib. The</w:t>
      </w:r>
      <w:r w:rsidR="00D07B0F">
        <w:t xml:space="preserve"> PBAC relied on the</w:t>
      </w:r>
      <w:r w:rsidRPr="589E218A">
        <w:t xml:space="preserve"> results of the economic evaluation </w:t>
      </w:r>
      <w:r w:rsidR="00D07B0F">
        <w:t>incorporating</w:t>
      </w:r>
      <w:r w:rsidR="00D07B0F" w:rsidRPr="589E218A">
        <w:t xml:space="preserve"> </w:t>
      </w:r>
      <w:r w:rsidRPr="589E218A">
        <w:t>the effective price of osimertinib</w:t>
      </w:r>
      <w:r w:rsidR="003426CE">
        <w:t xml:space="preserve"> </w:t>
      </w:r>
      <w:r w:rsidR="006456A4">
        <w:t>in its assessment of the cost-effectiveness of A+L</w:t>
      </w:r>
      <w:r w:rsidR="0014700A">
        <w:t xml:space="preserve"> (data not shown)</w:t>
      </w:r>
      <w:r w:rsidRPr="589E218A">
        <w:t>.</w:t>
      </w:r>
    </w:p>
    <w:p w14:paraId="616417B6" w14:textId="4737858D" w:rsidR="0004729F" w:rsidRPr="004D75BF" w:rsidRDefault="0004729F" w:rsidP="589E218A">
      <w:pPr>
        <w:pStyle w:val="Caption"/>
        <w:rPr>
          <w:rStyle w:val="CommentReference"/>
          <w:b/>
        </w:rPr>
      </w:pPr>
      <w:bookmarkStart w:id="103" w:name="_Ref104805160"/>
      <w:r w:rsidRPr="589E218A">
        <w:t xml:space="preserve">Table </w:t>
      </w:r>
      <w:r w:rsidRPr="589E218A">
        <w:fldChar w:fldCharType="begin"/>
      </w:r>
      <w:r>
        <w:instrText xml:space="preserve"> SEQ Table \* ARABIC </w:instrText>
      </w:r>
      <w:r w:rsidRPr="589E218A">
        <w:fldChar w:fldCharType="separate"/>
      </w:r>
      <w:r w:rsidR="00184F9A">
        <w:rPr>
          <w:noProof/>
        </w:rPr>
        <w:t>12</w:t>
      </w:r>
      <w:r w:rsidRPr="589E218A">
        <w:rPr>
          <w:noProof/>
        </w:rPr>
        <w:fldChar w:fldCharType="end"/>
      </w:r>
      <w:bookmarkEnd w:id="103"/>
      <w:r w:rsidRPr="589E218A">
        <w:t>:</w:t>
      </w:r>
      <w:r w:rsidRPr="589E218A">
        <w:rPr>
          <w:rStyle w:val="CommentReference"/>
          <w:b/>
        </w:rPr>
        <w:t xml:space="preserve"> Results of the stepped economic evaluation, A+L effective price and osimertinib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A+L effective price and osimertinib published price"/>
      </w:tblPr>
      <w:tblGrid>
        <w:gridCol w:w="2757"/>
        <w:gridCol w:w="2451"/>
        <w:gridCol w:w="2298"/>
        <w:gridCol w:w="1511"/>
      </w:tblGrid>
      <w:tr w:rsidR="0004729F" w:rsidRPr="00134D37" w14:paraId="27B475D7" w14:textId="77777777">
        <w:trPr>
          <w:tblHeader/>
        </w:trPr>
        <w:tc>
          <w:tcPr>
            <w:tcW w:w="1529" w:type="pct"/>
            <w:vAlign w:val="center"/>
          </w:tcPr>
          <w:p w14:paraId="57EE8DB0" w14:textId="77777777" w:rsidR="0004729F" w:rsidRPr="00134D37" w:rsidRDefault="0004729F">
            <w:pPr>
              <w:pStyle w:val="In-tableHeading"/>
              <w:jc w:val="center"/>
              <w:rPr>
                <w:lang w:val="en-AU"/>
              </w:rPr>
            </w:pPr>
            <w:r w:rsidRPr="00134D37">
              <w:rPr>
                <w:lang w:val="en-AU"/>
              </w:rPr>
              <w:t>Step and component</w:t>
            </w:r>
          </w:p>
        </w:tc>
        <w:tc>
          <w:tcPr>
            <w:tcW w:w="1359" w:type="pct"/>
            <w:vAlign w:val="center"/>
          </w:tcPr>
          <w:p w14:paraId="75BE7A57" w14:textId="77777777" w:rsidR="0004729F" w:rsidRPr="00134D37" w:rsidRDefault="0004729F">
            <w:pPr>
              <w:pStyle w:val="In-tableHeading"/>
              <w:jc w:val="center"/>
              <w:rPr>
                <w:lang w:val="en-AU"/>
              </w:rPr>
            </w:pPr>
            <w:r w:rsidRPr="00134D37">
              <w:rPr>
                <w:lang w:val="en-AU"/>
              </w:rPr>
              <w:t>A+L</w:t>
            </w:r>
          </w:p>
        </w:tc>
        <w:tc>
          <w:tcPr>
            <w:tcW w:w="1274" w:type="pct"/>
            <w:vAlign w:val="center"/>
          </w:tcPr>
          <w:p w14:paraId="276860E8" w14:textId="77777777" w:rsidR="0004729F" w:rsidRPr="00134D37" w:rsidRDefault="0004729F">
            <w:pPr>
              <w:pStyle w:val="In-tableHeading"/>
              <w:jc w:val="center"/>
              <w:rPr>
                <w:lang w:val="en-AU"/>
              </w:rPr>
            </w:pPr>
            <w:r w:rsidRPr="00134D37">
              <w:rPr>
                <w:lang w:val="en-AU"/>
              </w:rPr>
              <w:t>Osimertinib</w:t>
            </w:r>
          </w:p>
        </w:tc>
        <w:tc>
          <w:tcPr>
            <w:tcW w:w="838" w:type="pct"/>
            <w:vAlign w:val="center"/>
          </w:tcPr>
          <w:p w14:paraId="6A5A5D26" w14:textId="77777777" w:rsidR="0004729F" w:rsidRPr="00134D37" w:rsidRDefault="0004729F">
            <w:pPr>
              <w:pStyle w:val="In-tableHeading"/>
              <w:jc w:val="center"/>
              <w:rPr>
                <w:lang w:val="en-AU"/>
              </w:rPr>
            </w:pPr>
            <w:r w:rsidRPr="00134D37">
              <w:rPr>
                <w:lang w:val="en-AU"/>
              </w:rPr>
              <w:t>Increment</w:t>
            </w:r>
          </w:p>
        </w:tc>
      </w:tr>
      <w:tr w:rsidR="0004729F" w:rsidRPr="00134D37" w14:paraId="58DD10FD" w14:textId="77777777">
        <w:tc>
          <w:tcPr>
            <w:tcW w:w="5000" w:type="pct"/>
            <w:gridSpan w:val="4"/>
            <w:vAlign w:val="center"/>
          </w:tcPr>
          <w:p w14:paraId="51197652" w14:textId="77777777" w:rsidR="0004729F" w:rsidRPr="00134D37" w:rsidRDefault="0004729F">
            <w:pPr>
              <w:pStyle w:val="TableText0"/>
              <w:rPr>
                <w:b/>
                <w:bCs w:val="0"/>
                <w:vertAlign w:val="superscript"/>
              </w:rPr>
            </w:pPr>
            <w:r w:rsidRPr="00134D37">
              <w:rPr>
                <w:b/>
                <w:bCs w:val="0"/>
              </w:rPr>
              <w:t xml:space="preserve">Step 1: trial-based costs and outcomes </w:t>
            </w:r>
            <w:r w:rsidRPr="00134D37">
              <w:rPr>
                <w:b/>
                <w:bCs w:val="0"/>
                <w:vertAlign w:val="superscript"/>
              </w:rPr>
              <w:t>a</w:t>
            </w:r>
          </w:p>
        </w:tc>
      </w:tr>
      <w:tr w:rsidR="0004729F" w:rsidRPr="00134D37" w14:paraId="0FEBC80E" w14:textId="77777777">
        <w:tc>
          <w:tcPr>
            <w:tcW w:w="1529" w:type="pct"/>
            <w:vAlign w:val="center"/>
          </w:tcPr>
          <w:p w14:paraId="33E194A6" w14:textId="77777777" w:rsidR="0004729F" w:rsidRPr="00134D37" w:rsidRDefault="0004729F">
            <w:pPr>
              <w:pStyle w:val="TableText0"/>
              <w:rPr>
                <w:rFonts w:ascii="Times" w:hAnsi="Times"/>
                <w:vertAlign w:val="superscript"/>
              </w:rPr>
            </w:pPr>
            <w:r w:rsidRPr="00134D37">
              <w:t xml:space="preserve">Costs </w:t>
            </w:r>
            <w:r w:rsidRPr="00134D37">
              <w:rPr>
                <w:vertAlign w:val="superscript"/>
              </w:rPr>
              <w:t>b</w:t>
            </w:r>
          </w:p>
        </w:tc>
        <w:tc>
          <w:tcPr>
            <w:tcW w:w="1359" w:type="pct"/>
            <w:vAlign w:val="center"/>
          </w:tcPr>
          <w:p w14:paraId="70107CDE" w14:textId="3BA9FB60"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p>
          <w:p w14:paraId="43934550" w14:textId="60867A2D"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r w:rsidRPr="00134D37">
              <w:t>)</w:t>
            </w:r>
          </w:p>
        </w:tc>
        <w:tc>
          <w:tcPr>
            <w:tcW w:w="1274" w:type="pct"/>
            <w:vAlign w:val="center"/>
          </w:tcPr>
          <w:p w14:paraId="03D6E0DD" w14:textId="7544E89A"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p>
        </w:tc>
        <w:tc>
          <w:tcPr>
            <w:tcW w:w="838" w:type="pct"/>
            <w:vAlign w:val="center"/>
          </w:tcPr>
          <w:p w14:paraId="657D26BF" w14:textId="4A7DD969"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p>
          <w:p w14:paraId="0D444A87" w14:textId="1A56CF2F"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r w:rsidRPr="00134D37">
              <w:t>)</w:t>
            </w:r>
          </w:p>
        </w:tc>
      </w:tr>
      <w:tr w:rsidR="0004729F" w:rsidRPr="00134D37" w14:paraId="52130393" w14:textId="77777777">
        <w:tc>
          <w:tcPr>
            <w:tcW w:w="1529" w:type="pct"/>
            <w:vAlign w:val="center"/>
          </w:tcPr>
          <w:p w14:paraId="63667E9A" w14:textId="77777777" w:rsidR="0004729F" w:rsidRPr="00134D37" w:rsidRDefault="0004729F">
            <w:pPr>
              <w:pStyle w:val="TableText0"/>
              <w:rPr>
                <w:rFonts w:ascii="Times" w:hAnsi="Times"/>
              </w:rPr>
            </w:pPr>
            <w:r w:rsidRPr="00134D37">
              <w:t>LYG</w:t>
            </w:r>
          </w:p>
        </w:tc>
        <w:tc>
          <w:tcPr>
            <w:tcW w:w="1359" w:type="pct"/>
            <w:vAlign w:val="center"/>
          </w:tcPr>
          <w:p w14:paraId="6E13B8A7" w14:textId="77777777" w:rsidR="0004729F" w:rsidRPr="00134D37" w:rsidRDefault="0004729F">
            <w:pPr>
              <w:pStyle w:val="TableText0"/>
              <w:jc w:val="center"/>
            </w:pPr>
            <w:r w:rsidRPr="00134D37">
              <w:t>1.6466</w:t>
            </w:r>
          </w:p>
        </w:tc>
        <w:tc>
          <w:tcPr>
            <w:tcW w:w="1274" w:type="pct"/>
            <w:vAlign w:val="center"/>
          </w:tcPr>
          <w:p w14:paraId="059FCF4A" w14:textId="77777777" w:rsidR="0004729F" w:rsidRPr="00134D37" w:rsidRDefault="0004729F">
            <w:pPr>
              <w:pStyle w:val="TableText0"/>
              <w:jc w:val="center"/>
            </w:pPr>
            <w:r w:rsidRPr="00134D37">
              <w:t>1.6321</w:t>
            </w:r>
          </w:p>
        </w:tc>
        <w:tc>
          <w:tcPr>
            <w:tcW w:w="838" w:type="pct"/>
            <w:vAlign w:val="center"/>
          </w:tcPr>
          <w:p w14:paraId="5EDFFDA8" w14:textId="77777777" w:rsidR="0004729F" w:rsidRPr="00134D37" w:rsidRDefault="0004729F">
            <w:pPr>
              <w:pStyle w:val="TableText0"/>
              <w:jc w:val="center"/>
            </w:pPr>
            <w:r w:rsidRPr="00134D37">
              <w:t>0.0145</w:t>
            </w:r>
          </w:p>
        </w:tc>
      </w:tr>
      <w:tr w:rsidR="0004729F" w:rsidRPr="00134D37" w14:paraId="48258848" w14:textId="77777777">
        <w:tc>
          <w:tcPr>
            <w:tcW w:w="4162" w:type="pct"/>
            <w:gridSpan w:val="3"/>
            <w:vAlign w:val="center"/>
          </w:tcPr>
          <w:p w14:paraId="3E7D0DAC" w14:textId="77777777" w:rsidR="0004729F" w:rsidRPr="00134D37" w:rsidRDefault="0004729F">
            <w:pPr>
              <w:pStyle w:val="TableText0"/>
              <w:rPr>
                <w:rFonts w:ascii="Times" w:hAnsi="Times"/>
              </w:rPr>
            </w:pPr>
            <w:r w:rsidRPr="00134D37">
              <w:t>Incremental cost/extra LYG gained</w:t>
            </w:r>
          </w:p>
        </w:tc>
        <w:tc>
          <w:tcPr>
            <w:tcW w:w="838" w:type="pct"/>
            <w:vAlign w:val="center"/>
          </w:tcPr>
          <w:p w14:paraId="5E824F35" w14:textId="77777777" w:rsidR="0004729F" w:rsidRPr="00134D37" w:rsidRDefault="0004729F">
            <w:pPr>
              <w:pStyle w:val="TableText0"/>
              <w:jc w:val="center"/>
              <w:rPr>
                <w:rFonts w:ascii="Times" w:hAnsi="Times"/>
              </w:rPr>
            </w:pPr>
            <w:r w:rsidRPr="00134D37">
              <w:t>Dominant</w:t>
            </w:r>
          </w:p>
        </w:tc>
      </w:tr>
      <w:tr w:rsidR="0004729F" w:rsidRPr="00134D37" w14:paraId="4AAC86D9" w14:textId="77777777">
        <w:tc>
          <w:tcPr>
            <w:tcW w:w="5000" w:type="pct"/>
            <w:gridSpan w:val="4"/>
            <w:vAlign w:val="center"/>
          </w:tcPr>
          <w:p w14:paraId="62EA1ECD" w14:textId="77777777" w:rsidR="0004729F" w:rsidRPr="00134D37" w:rsidRDefault="0004729F">
            <w:pPr>
              <w:pStyle w:val="In-tableHeading"/>
              <w:rPr>
                <w:lang w:val="en-AU"/>
              </w:rPr>
            </w:pPr>
            <w:r w:rsidRPr="00134D37">
              <w:rPr>
                <w:lang w:val="en-AU"/>
              </w:rPr>
              <w:t>Step 2: time horizon extended to 15 years, costs of 2L therapy and discounting</w:t>
            </w:r>
          </w:p>
        </w:tc>
      </w:tr>
      <w:tr w:rsidR="0004729F" w:rsidRPr="00134D37" w14:paraId="7B5E30F0" w14:textId="77777777">
        <w:tc>
          <w:tcPr>
            <w:tcW w:w="1529" w:type="pct"/>
            <w:vAlign w:val="center"/>
          </w:tcPr>
          <w:p w14:paraId="57BE0DA5" w14:textId="77777777" w:rsidR="0004729F" w:rsidRPr="00134D37" w:rsidRDefault="0004729F">
            <w:pPr>
              <w:pStyle w:val="TableText0"/>
              <w:rPr>
                <w:rFonts w:ascii="Times" w:hAnsi="Times"/>
              </w:rPr>
            </w:pPr>
            <w:r w:rsidRPr="00134D37">
              <w:t xml:space="preserve">Costs </w:t>
            </w:r>
            <w:r w:rsidRPr="00134D37">
              <w:rPr>
                <w:vertAlign w:val="superscript"/>
              </w:rPr>
              <w:t>b</w:t>
            </w:r>
          </w:p>
        </w:tc>
        <w:tc>
          <w:tcPr>
            <w:tcW w:w="1359" w:type="pct"/>
            <w:vAlign w:val="center"/>
          </w:tcPr>
          <w:p w14:paraId="311E527A" w14:textId="7C8E770C"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p>
          <w:p w14:paraId="734EDC7F" w14:textId="36CC4B09"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r w:rsidRPr="00134D37">
              <w:t>)</w:t>
            </w:r>
          </w:p>
        </w:tc>
        <w:tc>
          <w:tcPr>
            <w:tcW w:w="1274" w:type="pct"/>
            <w:vAlign w:val="center"/>
          </w:tcPr>
          <w:p w14:paraId="336DED99" w14:textId="0AE9E3F3"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p>
        </w:tc>
        <w:tc>
          <w:tcPr>
            <w:tcW w:w="838" w:type="pct"/>
            <w:vAlign w:val="center"/>
          </w:tcPr>
          <w:p w14:paraId="1B40CAFE" w14:textId="340DEA2E"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p>
          <w:p w14:paraId="1FB845E5" w14:textId="128FD555"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r w:rsidRPr="00134D37">
              <w:t>)</w:t>
            </w:r>
          </w:p>
        </w:tc>
      </w:tr>
      <w:tr w:rsidR="0004729F" w:rsidRPr="00134D37" w14:paraId="489F1A68" w14:textId="77777777">
        <w:tc>
          <w:tcPr>
            <w:tcW w:w="1529" w:type="pct"/>
            <w:vAlign w:val="center"/>
          </w:tcPr>
          <w:p w14:paraId="678863B7" w14:textId="77777777" w:rsidR="0004729F" w:rsidRPr="00134D37" w:rsidRDefault="0004729F">
            <w:pPr>
              <w:pStyle w:val="TableText0"/>
              <w:rPr>
                <w:rFonts w:ascii="Times" w:hAnsi="Times"/>
              </w:rPr>
            </w:pPr>
            <w:r w:rsidRPr="00134D37">
              <w:t>LYG</w:t>
            </w:r>
          </w:p>
        </w:tc>
        <w:tc>
          <w:tcPr>
            <w:tcW w:w="1359" w:type="pct"/>
            <w:vAlign w:val="center"/>
          </w:tcPr>
          <w:p w14:paraId="76665F7C" w14:textId="77777777" w:rsidR="0004729F" w:rsidRPr="00134D37" w:rsidRDefault="0004729F">
            <w:pPr>
              <w:pStyle w:val="TableText0"/>
              <w:jc w:val="center"/>
            </w:pPr>
            <w:r w:rsidRPr="00134D37">
              <w:t>4.4315</w:t>
            </w:r>
          </w:p>
        </w:tc>
        <w:tc>
          <w:tcPr>
            <w:tcW w:w="1274" w:type="pct"/>
            <w:vAlign w:val="center"/>
          </w:tcPr>
          <w:p w14:paraId="506A097D" w14:textId="77777777" w:rsidR="0004729F" w:rsidRPr="00134D37" w:rsidRDefault="0004729F">
            <w:pPr>
              <w:pStyle w:val="TableText0"/>
              <w:jc w:val="center"/>
            </w:pPr>
            <w:r w:rsidRPr="00134D37">
              <w:t>3.0371</w:t>
            </w:r>
          </w:p>
        </w:tc>
        <w:tc>
          <w:tcPr>
            <w:tcW w:w="838" w:type="pct"/>
            <w:vAlign w:val="center"/>
          </w:tcPr>
          <w:p w14:paraId="0EFADA8D" w14:textId="77777777" w:rsidR="0004729F" w:rsidRPr="00134D37" w:rsidRDefault="0004729F">
            <w:pPr>
              <w:pStyle w:val="TableText0"/>
              <w:jc w:val="center"/>
            </w:pPr>
            <w:r w:rsidRPr="00134D37">
              <w:t>1.3943</w:t>
            </w:r>
          </w:p>
        </w:tc>
      </w:tr>
      <w:tr w:rsidR="0004729F" w:rsidRPr="00134D37" w14:paraId="4B739A6C" w14:textId="77777777">
        <w:tc>
          <w:tcPr>
            <w:tcW w:w="4162" w:type="pct"/>
            <w:gridSpan w:val="3"/>
            <w:vAlign w:val="center"/>
          </w:tcPr>
          <w:p w14:paraId="1AC4D0B0" w14:textId="77777777" w:rsidR="0004729F" w:rsidRPr="00134D37" w:rsidRDefault="0004729F">
            <w:pPr>
              <w:pStyle w:val="TableText0"/>
              <w:rPr>
                <w:rFonts w:ascii="Times" w:hAnsi="Times"/>
              </w:rPr>
            </w:pPr>
            <w:r w:rsidRPr="00134D37">
              <w:t>Incremental cost/extra LYG gained</w:t>
            </w:r>
          </w:p>
        </w:tc>
        <w:tc>
          <w:tcPr>
            <w:tcW w:w="838" w:type="pct"/>
            <w:vAlign w:val="center"/>
          </w:tcPr>
          <w:p w14:paraId="0B86BFAA" w14:textId="77777777" w:rsidR="0004729F" w:rsidRPr="00134D37" w:rsidRDefault="0004729F">
            <w:pPr>
              <w:pStyle w:val="TableText0"/>
              <w:jc w:val="center"/>
              <w:rPr>
                <w:rFonts w:ascii="Times" w:hAnsi="Times"/>
              </w:rPr>
            </w:pPr>
            <w:r w:rsidRPr="00134D37">
              <w:t>Dominant</w:t>
            </w:r>
          </w:p>
        </w:tc>
      </w:tr>
      <w:tr w:rsidR="0004729F" w:rsidRPr="00134D37" w14:paraId="4339591D" w14:textId="77777777">
        <w:tc>
          <w:tcPr>
            <w:tcW w:w="5000" w:type="pct"/>
            <w:gridSpan w:val="4"/>
            <w:vAlign w:val="center"/>
          </w:tcPr>
          <w:p w14:paraId="2CF80DE2" w14:textId="77777777" w:rsidR="0004729F" w:rsidRPr="00134D37" w:rsidRDefault="0004729F">
            <w:pPr>
              <w:pStyle w:val="In-tableHeading"/>
              <w:rPr>
                <w:lang w:val="en-AU"/>
              </w:rPr>
            </w:pPr>
            <w:r w:rsidRPr="00134D37">
              <w:rPr>
                <w:lang w:val="en-AU"/>
              </w:rPr>
              <w:t>Step 3: application of utilities</w:t>
            </w:r>
          </w:p>
        </w:tc>
      </w:tr>
      <w:tr w:rsidR="0004729F" w:rsidRPr="00134D37" w14:paraId="6B8802A0" w14:textId="77777777">
        <w:tc>
          <w:tcPr>
            <w:tcW w:w="1529" w:type="pct"/>
            <w:vAlign w:val="center"/>
          </w:tcPr>
          <w:p w14:paraId="0A1C885A" w14:textId="77777777" w:rsidR="0004729F" w:rsidRPr="00134D37" w:rsidRDefault="0004729F">
            <w:pPr>
              <w:pStyle w:val="TableText0"/>
              <w:rPr>
                <w:rFonts w:ascii="Times" w:hAnsi="Times"/>
              </w:rPr>
            </w:pPr>
            <w:r w:rsidRPr="00134D37">
              <w:t xml:space="preserve">Costs </w:t>
            </w:r>
            <w:r w:rsidRPr="00134D37">
              <w:rPr>
                <w:vertAlign w:val="superscript"/>
              </w:rPr>
              <w:t>b</w:t>
            </w:r>
          </w:p>
        </w:tc>
        <w:tc>
          <w:tcPr>
            <w:tcW w:w="1359" w:type="pct"/>
            <w:vAlign w:val="center"/>
          </w:tcPr>
          <w:p w14:paraId="03A79DDF" w14:textId="77C5C8D3"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p>
          <w:p w14:paraId="506017D4" w14:textId="7187BA6A"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r w:rsidRPr="00134D37">
              <w:t>)</w:t>
            </w:r>
          </w:p>
        </w:tc>
        <w:tc>
          <w:tcPr>
            <w:tcW w:w="1274" w:type="pct"/>
            <w:vAlign w:val="center"/>
          </w:tcPr>
          <w:p w14:paraId="117EF31D" w14:textId="072634B5"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p>
        </w:tc>
        <w:tc>
          <w:tcPr>
            <w:tcW w:w="838" w:type="pct"/>
            <w:vAlign w:val="center"/>
          </w:tcPr>
          <w:p w14:paraId="4E4163DF" w14:textId="048A5761" w:rsidR="0004729F" w:rsidRPr="00134D37" w:rsidRDefault="0004729F">
            <w:pPr>
              <w:pStyle w:val="TableText0"/>
              <w:jc w:val="center"/>
            </w:pPr>
            <w:r w:rsidRPr="00134D37">
              <w:t>-$</w:t>
            </w:r>
            <w:r w:rsidR="007A7746" w:rsidRPr="007A7746">
              <w:rPr>
                <w:color w:val="000000"/>
                <w:shd w:val="solid" w:color="000000" w:fill="000000"/>
                <w14:textFill>
                  <w14:solidFill>
                    <w14:srgbClr w14:val="000000">
                      <w14:alpha w14:val="100000"/>
                    </w14:srgbClr>
                  </w14:solidFill>
                </w14:textFill>
              </w:rPr>
              <w:t>|</w:t>
            </w:r>
          </w:p>
          <w:p w14:paraId="3DA12EAA" w14:textId="7327C7AA" w:rsidR="0004729F" w:rsidRPr="00134D37" w:rsidRDefault="0004729F">
            <w:pPr>
              <w:pStyle w:val="TableText0"/>
              <w:jc w:val="center"/>
              <w:rPr>
                <w:rFonts w:ascii="Times" w:hAnsi="Times"/>
              </w:rPr>
            </w:pPr>
            <w:r w:rsidRPr="00134D37">
              <w:t>(-$</w:t>
            </w:r>
            <w:r w:rsidR="007A7746" w:rsidRPr="007A7746">
              <w:rPr>
                <w:color w:val="000000"/>
                <w:shd w:val="solid" w:color="000000" w:fill="000000"/>
                <w14:textFill>
                  <w14:solidFill>
                    <w14:srgbClr w14:val="000000">
                      <w14:alpha w14:val="100000"/>
                    </w14:srgbClr>
                  </w14:solidFill>
                </w14:textFill>
              </w:rPr>
              <w:t>|</w:t>
            </w:r>
            <w:r w:rsidRPr="00134D37">
              <w:t>)</w:t>
            </w:r>
          </w:p>
        </w:tc>
      </w:tr>
      <w:tr w:rsidR="0004729F" w:rsidRPr="00134D37" w14:paraId="667D358D" w14:textId="77777777">
        <w:tc>
          <w:tcPr>
            <w:tcW w:w="1529" w:type="pct"/>
            <w:vAlign w:val="center"/>
          </w:tcPr>
          <w:p w14:paraId="5BD9B048" w14:textId="77777777" w:rsidR="0004729F" w:rsidRPr="00134D37" w:rsidRDefault="0004729F">
            <w:pPr>
              <w:pStyle w:val="TableText0"/>
              <w:rPr>
                <w:rFonts w:ascii="Times" w:hAnsi="Times"/>
              </w:rPr>
            </w:pPr>
            <w:r w:rsidRPr="00134D37">
              <w:t>QALYs</w:t>
            </w:r>
          </w:p>
        </w:tc>
        <w:tc>
          <w:tcPr>
            <w:tcW w:w="1359" w:type="pct"/>
            <w:vAlign w:val="center"/>
          </w:tcPr>
          <w:p w14:paraId="494C933F" w14:textId="77777777" w:rsidR="0004729F" w:rsidRPr="00134D37" w:rsidRDefault="0004729F">
            <w:pPr>
              <w:pStyle w:val="TableText0"/>
              <w:jc w:val="center"/>
            </w:pPr>
            <w:r w:rsidRPr="00134D37">
              <w:t>3.8252</w:t>
            </w:r>
          </w:p>
        </w:tc>
        <w:tc>
          <w:tcPr>
            <w:tcW w:w="1274" w:type="pct"/>
            <w:vAlign w:val="center"/>
          </w:tcPr>
          <w:p w14:paraId="19B9B09B" w14:textId="77777777" w:rsidR="0004729F" w:rsidRPr="00134D37" w:rsidRDefault="0004729F">
            <w:pPr>
              <w:pStyle w:val="TableText0"/>
              <w:jc w:val="center"/>
            </w:pPr>
            <w:r w:rsidRPr="00134D37">
              <w:t>2.7312</w:t>
            </w:r>
          </w:p>
        </w:tc>
        <w:tc>
          <w:tcPr>
            <w:tcW w:w="838" w:type="pct"/>
            <w:vAlign w:val="center"/>
          </w:tcPr>
          <w:p w14:paraId="03B8E030" w14:textId="77777777" w:rsidR="0004729F" w:rsidRPr="00134D37" w:rsidRDefault="0004729F">
            <w:pPr>
              <w:pStyle w:val="TableText0"/>
              <w:jc w:val="center"/>
            </w:pPr>
            <w:r w:rsidRPr="00134D37">
              <w:t>1.0940</w:t>
            </w:r>
          </w:p>
        </w:tc>
      </w:tr>
      <w:tr w:rsidR="0004729F" w:rsidRPr="00134D37" w14:paraId="55382A9A" w14:textId="77777777">
        <w:tc>
          <w:tcPr>
            <w:tcW w:w="4162" w:type="pct"/>
            <w:gridSpan w:val="3"/>
            <w:vAlign w:val="center"/>
          </w:tcPr>
          <w:p w14:paraId="6C7C5130" w14:textId="77777777" w:rsidR="0004729F" w:rsidRPr="00134D37" w:rsidRDefault="0004729F">
            <w:pPr>
              <w:pStyle w:val="TableText0"/>
              <w:rPr>
                <w:rFonts w:ascii="Times" w:hAnsi="Times"/>
              </w:rPr>
            </w:pPr>
            <w:r w:rsidRPr="00134D37">
              <w:t>Incremental cost/extra QALY gained</w:t>
            </w:r>
          </w:p>
        </w:tc>
        <w:tc>
          <w:tcPr>
            <w:tcW w:w="838" w:type="pct"/>
            <w:vAlign w:val="center"/>
          </w:tcPr>
          <w:p w14:paraId="78439F03" w14:textId="77777777" w:rsidR="0004729F" w:rsidRPr="00134D37" w:rsidRDefault="0004729F">
            <w:pPr>
              <w:pStyle w:val="TableText0"/>
              <w:jc w:val="center"/>
              <w:rPr>
                <w:rFonts w:ascii="Times" w:hAnsi="Times"/>
              </w:rPr>
            </w:pPr>
            <w:r w:rsidRPr="00134D37">
              <w:t>Dominant</w:t>
            </w:r>
          </w:p>
        </w:tc>
      </w:tr>
    </w:tbl>
    <w:p w14:paraId="66C7412A" w14:textId="77777777" w:rsidR="0004729F" w:rsidRPr="004D75BF" w:rsidRDefault="0004729F" w:rsidP="0004729F">
      <w:pPr>
        <w:pStyle w:val="FooterTableFigure"/>
      </w:pPr>
      <w:r w:rsidRPr="004D75BF">
        <w:t>Source: Table 3.38, p194 of the submission.</w:t>
      </w:r>
    </w:p>
    <w:p w14:paraId="051BE5B1" w14:textId="77777777" w:rsidR="0004729F" w:rsidRPr="004D75BF" w:rsidRDefault="0004729F" w:rsidP="0004729F">
      <w:pPr>
        <w:pStyle w:val="FooterTableFigure"/>
      </w:pPr>
      <w:r w:rsidRPr="589E218A">
        <w:t>2L = second line, A+L = amivantamab plus lazertinib, LYG = life-year gained, QALY = quality-adjusted life year.</w:t>
      </w:r>
    </w:p>
    <w:p w14:paraId="1A476D54" w14:textId="77777777" w:rsidR="0004729F" w:rsidRPr="004D75BF" w:rsidRDefault="0004729F" w:rsidP="0004729F">
      <w:pPr>
        <w:pStyle w:val="FooterTableFigure"/>
      </w:pPr>
      <w:r w:rsidRPr="004D75BF">
        <w:rPr>
          <w:vertAlign w:val="superscript"/>
        </w:rPr>
        <w:t>a</w:t>
      </w:r>
      <w:r w:rsidRPr="004D75BF">
        <w:t xml:space="preserve"> Includes drug costs, administration costs, and adverse event treatment costs. Uses 22 months as time horizon consistent with the median follow-up of the MARIPOSA trial.</w:t>
      </w:r>
    </w:p>
    <w:p w14:paraId="330FD7EC" w14:textId="77777777" w:rsidR="00314650" w:rsidRDefault="0004729F" w:rsidP="0004729F">
      <w:pPr>
        <w:pStyle w:val="FooterTableFigure"/>
      </w:pPr>
      <w:r w:rsidRPr="589E218A">
        <w:rPr>
          <w:vertAlign w:val="superscript"/>
        </w:rPr>
        <w:t>b</w:t>
      </w:r>
      <w:r w:rsidRPr="589E218A">
        <w:rPr>
          <w:vertAlign w:val="subscript"/>
        </w:rPr>
        <w:t xml:space="preserve"> </w:t>
      </w:r>
      <w:r w:rsidRPr="589E218A">
        <w:t xml:space="preserve">Text in </w:t>
      </w:r>
      <w:r w:rsidR="003E18BA" w:rsidRPr="00787958">
        <w:t>brackets</w:t>
      </w:r>
      <w:r w:rsidR="003E18BA" w:rsidRPr="589E218A">
        <w:rPr>
          <w:i/>
          <w:iCs/>
        </w:rPr>
        <w:t xml:space="preserve"> </w:t>
      </w:r>
      <w:r w:rsidRPr="589E218A">
        <w:t>was estimated in the evaluation using Section 85 markups for lazertinib.</w:t>
      </w:r>
      <w:r w:rsidR="00404717" w:rsidRPr="589E218A">
        <w:t xml:space="preserve"> </w:t>
      </w:r>
    </w:p>
    <w:p w14:paraId="4139E191" w14:textId="501F42D9" w:rsidR="0004729F" w:rsidRPr="00787958" w:rsidRDefault="00314650" w:rsidP="0004729F">
      <w:pPr>
        <w:pStyle w:val="FooterTableFigure"/>
        <w:rPr>
          <w:rStyle w:val="CommentReference"/>
          <w:b w:val="0"/>
          <w:sz w:val="18"/>
          <w:szCs w:val="22"/>
        </w:rPr>
      </w:pPr>
      <w:r w:rsidRPr="00787958">
        <w:t xml:space="preserve">Notes: </w:t>
      </w:r>
      <w:r w:rsidR="005B4AD9" w:rsidRPr="00787958">
        <w:t>The PSCR noted the r</w:t>
      </w:r>
      <w:r w:rsidR="00404717" w:rsidRPr="00787958">
        <w:t>esults include</w:t>
      </w:r>
      <w:r w:rsidR="009249C8">
        <w:t>d</w:t>
      </w:r>
      <w:r w:rsidR="00404717" w:rsidRPr="00787958">
        <w:t xml:space="preserve"> a small error in the assumed weight distribution of patients &lt; 80kg (from 86.7% to 87.6%).</w:t>
      </w:r>
    </w:p>
    <w:p w14:paraId="648F5E67" w14:textId="71CBFCA6" w:rsidR="0004729F" w:rsidRPr="00B15FF2" w:rsidRDefault="0004729F" w:rsidP="003576D0">
      <w:pPr>
        <w:pStyle w:val="3-BodyText"/>
        <w:ind w:left="709" w:hanging="709"/>
      </w:pPr>
      <w:r>
        <w:fldChar w:fldCharType="begin"/>
      </w:r>
      <w:r>
        <w:instrText xml:space="preserve"> REF _Ref185940244 \h </w:instrText>
      </w:r>
      <w:r>
        <w:fldChar w:fldCharType="separate"/>
      </w:r>
      <w:r w:rsidR="00184F9A" w:rsidRPr="589E218A">
        <w:t xml:space="preserve">Table </w:t>
      </w:r>
      <w:r w:rsidR="00184F9A">
        <w:rPr>
          <w:noProof/>
        </w:rPr>
        <w:t>13</w:t>
      </w:r>
      <w:r>
        <w:fldChar w:fldCharType="end"/>
      </w:r>
      <w:r w:rsidRPr="589E218A">
        <w:t xml:space="preserve"> presents disaggregated costs from the economic model. The results were mostly driven by first-line treatment costs, </w:t>
      </w:r>
      <w:r w:rsidR="00327C89">
        <w:t xml:space="preserve">using </w:t>
      </w:r>
      <w:r w:rsidR="00040521">
        <w:t>the</w:t>
      </w:r>
      <w:r w:rsidRPr="589E218A">
        <w:t xml:space="preserve"> osimertinib published price, </w:t>
      </w:r>
      <w:r w:rsidR="00917EAE">
        <w:t xml:space="preserve">which </w:t>
      </w:r>
      <w:r w:rsidRPr="589E218A">
        <w:t>overestimat</w:t>
      </w:r>
      <w:r w:rsidR="00917EAE">
        <w:t>ed</w:t>
      </w:r>
      <w:r w:rsidRPr="589E218A">
        <w:t xml:space="preserve"> </w:t>
      </w:r>
      <w:r w:rsidR="00917EAE">
        <w:t xml:space="preserve">the </w:t>
      </w:r>
      <w:r w:rsidRPr="589E218A">
        <w:t xml:space="preserve">osimertinib treatment costs. </w:t>
      </w:r>
      <w:r w:rsidR="005E7D15" w:rsidRPr="00B15FF2">
        <w:t>The ESC noted</w:t>
      </w:r>
      <w:r w:rsidR="009912FF" w:rsidRPr="00B15FF2">
        <w:t xml:space="preserve"> the cost offset for </w:t>
      </w:r>
      <w:r w:rsidR="004E76CD" w:rsidRPr="00B15FF2">
        <w:t>end</w:t>
      </w:r>
      <w:r w:rsidR="00C935DA" w:rsidRPr="00B15FF2">
        <w:t>-</w:t>
      </w:r>
      <w:r w:rsidR="004E76CD" w:rsidRPr="00B15FF2">
        <w:t>of</w:t>
      </w:r>
      <w:r w:rsidR="00C935DA" w:rsidRPr="00B15FF2">
        <w:t>-</w:t>
      </w:r>
      <w:r w:rsidR="004E76CD" w:rsidRPr="00B15FF2">
        <w:t>life care</w:t>
      </w:r>
      <w:r w:rsidR="00F921BA" w:rsidRPr="00B15FF2">
        <w:t xml:space="preserve"> </w:t>
      </w:r>
      <w:r w:rsidR="002364A0" w:rsidRPr="00B15FF2">
        <w:t xml:space="preserve">appeared large </w:t>
      </w:r>
      <w:r w:rsidR="006B2024" w:rsidRPr="00B15FF2">
        <w:t>and likely reflected in part the difference in the proportion of patients alive at the end of the model time horizon</w:t>
      </w:r>
      <w:r w:rsidR="00CA5E3D" w:rsidRPr="00B15FF2">
        <w:t>.</w:t>
      </w:r>
      <w:r w:rsidR="00075BD3" w:rsidRPr="00B15FF2">
        <w:t xml:space="preserve"> The ESC noted that the costs associated with treating </w:t>
      </w:r>
      <w:r w:rsidR="005A1C0F">
        <w:t>AEs</w:t>
      </w:r>
      <w:r w:rsidR="00075BD3" w:rsidRPr="00B15FF2">
        <w:t xml:space="preserve"> </w:t>
      </w:r>
      <w:r w:rsidR="008619C5" w:rsidRPr="00B15FF2">
        <w:t xml:space="preserve">appeared </w:t>
      </w:r>
      <w:r w:rsidR="00F849FC" w:rsidRPr="00B15FF2">
        <w:t>substantially underestimated given the</w:t>
      </w:r>
      <w:r w:rsidR="00423B40" w:rsidRPr="00B15FF2">
        <w:t xml:space="preserve"> toxicity observed </w:t>
      </w:r>
      <w:r w:rsidR="0011083E" w:rsidRPr="00B15FF2">
        <w:t xml:space="preserve">with A+L </w:t>
      </w:r>
      <w:r w:rsidR="00423B40" w:rsidRPr="00B15FF2">
        <w:t>in the trial.</w:t>
      </w:r>
    </w:p>
    <w:p w14:paraId="6B257061" w14:textId="70C10E7A" w:rsidR="0004729F" w:rsidRPr="004D75BF" w:rsidRDefault="0004729F" w:rsidP="589E218A">
      <w:pPr>
        <w:pStyle w:val="Caption"/>
        <w:rPr>
          <w:rStyle w:val="CommentReference"/>
          <w:b/>
        </w:rPr>
      </w:pPr>
      <w:bookmarkStart w:id="104" w:name="_Ref185940244"/>
      <w:r w:rsidRPr="589E218A">
        <w:t xml:space="preserve">Table </w:t>
      </w:r>
      <w:r w:rsidRPr="589E218A">
        <w:fldChar w:fldCharType="begin"/>
      </w:r>
      <w:r>
        <w:instrText xml:space="preserve"> SEQ Table \* ARABIC </w:instrText>
      </w:r>
      <w:r w:rsidRPr="589E218A">
        <w:fldChar w:fldCharType="separate"/>
      </w:r>
      <w:r w:rsidR="00184F9A">
        <w:rPr>
          <w:noProof/>
        </w:rPr>
        <w:t>13</w:t>
      </w:r>
      <w:r w:rsidRPr="589E218A">
        <w:rPr>
          <w:noProof/>
        </w:rPr>
        <w:fldChar w:fldCharType="end"/>
      </w:r>
      <w:bookmarkEnd w:id="104"/>
      <w:r w:rsidRPr="589E218A">
        <w:t xml:space="preserve">: </w:t>
      </w:r>
      <w:r w:rsidRPr="589E218A">
        <w:rPr>
          <w:rStyle w:val="CommentReference"/>
          <w:b/>
        </w:rPr>
        <w:t>Health care resource items: disaggregated summary of cost impacts (discounted), A+L effective price and osimertinib published price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Health care resource items: disaggregated summary of cost impacts (discounted), A+L effective price and osimertinib published price"/>
      </w:tblPr>
      <w:tblGrid>
        <w:gridCol w:w="2194"/>
        <w:gridCol w:w="1790"/>
        <w:gridCol w:w="1677"/>
        <w:gridCol w:w="1678"/>
        <w:gridCol w:w="1678"/>
      </w:tblGrid>
      <w:tr w:rsidR="0004729F" w:rsidRPr="00E13CAA" w14:paraId="2F029F61" w14:textId="77777777" w:rsidTr="589E218A">
        <w:trPr>
          <w:tblHeader/>
        </w:trPr>
        <w:tc>
          <w:tcPr>
            <w:tcW w:w="2194" w:type="dxa"/>
            <w:vAlign w:val="center"/>
          </w:tcPr>
          <w:p w14:paraId="165526B6" w14:textId="77777777" w:rsidR="0004729F" w:rsidRPr="00E13CAA" w:rsidRDefault="0004729F">
            <w:pPr>
              <w:pStyle w:val="In-tableHeading"/>
              <w:jc w:val="center"/>
              <w:rPr>
                <w:lang w:val="en-AU"/>
              </w:rPr>
            </w:pPr>
            <w:r w:rsidRPr="00E13CAA">
              <w:rPr>
                <w:lang w:val="en-AU"/>
              </w:rPr>
              <w:t>Resource item</w:t>
            </w:r>
          </w:p>
        </w:tc>
        <w:tc>
          <w:tcPr>
            <w:tcW w:w="1790" w:type="dxa"/>
            <w:vAlign w:val="center"/>
          </w:tcPr>
          <w:p w14:paraId="5BBAD621" w14:textId="77777777" w:rsidR="0004729F" w:rsidRPr="00E13CAA" w:rsidRDefault="0004729F">
            <w:pPr>
              <w:pStyle w:val="In-tableHeading"/>
              <w:jc w:val="center"/>
              <w:rPr>
                <w:lang w:val="en-AU"/>
              </w:rPr>
            </w:pPr>
            <w:r w:rsidRPr="00E13CAA">
              <w:rPr>
                <w:lang w:val="en-AU"/>
              </w:rPr>
              <w:t>A+L cost</w:t>
            </w:r>
          </w:p>
        </w:tc>
        <w:tc>
          <w:tcPr>
            <w:tcW w:w="1677" w:type="dxa"/>
            <w:vAlign w:val="center"/>
          </w:tcPr>
          <w:p w14:paraId="29B58ACE" w14:textId="77777777" w:rsidR="0004729F" w:rsidRPr="00E13CAA" w:rsidRDefault="0004729F">
            <w:pPr>
              <w:pStyle w:val="In-tableHeading"/>
              <w:jc w:val="center"/>
              <w:rPr>
                <w:lang w:val="en-AU"/>
              </w:rPr>
            </w:pPr>
            <w:r w:rsidRPr="00E13CAA">
              <w:rPr>
                <w:lang w:val="en-AU"/>
              </w:rPr>
              <w:t>Osimertinib cost</w:t>
            </w:r>
          </w:p>
        </w:tc>
        <w:tc>
          <w:tcPr>
            <w:tcW w:w="1678" w:type="dxa"/>
            <w:vAlign w:val="center"/>
          </w:tcPr>
          <w:p w14:paraId="349ABA02" w14:textId="77777777" w:rsidR="0004729F" w:rsidRPr="00E13CAA" w:rsidRDefault="0004729F">
            <w:pPr>
              <w:pStyle w:val="In-tableHeading"/>
              <w:jc w:val="center"/>
              <w:rPr>
                <w:lang w:val="en-AU"/>
              </w:rPr>
            </w:pPr>
            <w:r w:rsidRPr="00E13CAA">
              <w:rPr>
                <w:lang w:val="en-AU"/>
              </w:rPr>
              <w:t>Incremental cost</w:t>
            </w:r>
          </w:p>
        </w:tc>
        <w:tc>
          <w:tcPr>
            <w:tcW w:w="1678" w:type="dxa"/>
            <w:vAlign w:val="center"/>
          </w:tcPr>
          <w:p w14:paraId="2EDEA8E8" w14:textId="77777777" w:rsidR="0004729F" w:rsidRPr="00E13CAA" w:rsidRDefault="0004729F">
            <w:pPr>
              <w:pStyle w:val="In-tableHeading"/>
              <w:jc w:val="center"/>
              <w:rPr>
                <w:vertAlign w:val="superscript"/>
                <w:lang w:val="en-AU"/>
              </w:rPr>
            </w:pPr>
            <w:r w:rsidRPr="00E13CAA">
              <w:rPr>
                <w:lang w:val="en-AU"/>
              </w:rPr>
              <w:t xml:space="preserve">% of total incremental cost </w:t>
            </w:r>
            <w:r w:rsidRPr="00E13CAA">
              <w:rPr>
                <w:vertAlign w:val="superscript"/>
                <w:lang w:val="en-AU"/>
              </w:rPr>
              <w:t>a</w:t>
            </w:r>
          </w:p>
        </w:tc>
      </w:tr>
      <w:tr w:rsidR="0004729F" w:rsidRPr="00E13CAA" w14:paraId="7AEDA40D" w14:textId="77777777" w:rsidTr="589E218A">
        <w:tc>
          <w:tcPr>
            <w:tcW w:w="9017" w:type="dxa"/>
            <w:gridSpan w:val="5"/>
            <w:vAlign w:val="center"/>
          </w:tcPr>
          <w:p w14:paraId="12A91093" w14:textId="77777777" w:rsidR="0004729F" w:rsidRPr="00E13CAA" w:rsidRDefault="0004729F">
            <w:pPr>
              <w:pStyle w:val="In-tableHeading"/>
              <w:rPr>
                <w:lang w:val="en-AU"/>
              </w:rPr>
            </w:pPr>
            <w:r w:rsidRPr="00E13CAA">
              <w:rPr>
                <w:lang w:val="en-AU"/>
              </w:rPr>
              <w:t>Pharmaceutical products</w:t>
            </w:r>
          </w:p>
        </w:tc>
      </w:tr>
      <w:tr w:rsidR="0004729F" w:rsidRPr="00E13CAA" w14:paraId="58AFAAC7" w14:textId="77777777" w:rsidTr="589E218A">
        <w:tc>
          <w:tcPr>
            <w:tcW w:w="2194" w:type="dxa"/>
            <w:vAlign w:val="center"/>
          </w:tcPr>
          <w:p w14:paraId="09BB7FF6" w14:textId="77777777" w:rsidR="0004729F" w:rsidRPr="00E13CAA" w:rsidRDefault="0004729F">
            <w:pPr>
              <w:pStyle w:val="TableText0"/>
              <w:rPr>
                <w:vertAlign w:val="superscript"/>
              </w:rPr>
            </w:pPr>
            <w:r w:rsidRPr="00E13CAA">
              <w:t xml:space="preserve">First-line treatment </w:t>
            </w:r>
            <w:r w:rsidRPr="00E13CAA">
              <w:rPr>
                <w:vertAlign w:val="superscript"/>
              </w:rPr>
              <w:t>b</w:t>
            </w:r>
          </w:p>
        </w:tc>
        <w:tc>
          <w:tcPr>
            <w:tcW w:w="1790" w:type="dxa"/>
            <w:vAlign w:val="center"/>
          </w:tcPr>
          <w:p w14:paraId="7928AFF2" w14:textId="49585D8E" w:rsidR="0004729F" w:rsidRPr="00E13CAA" w:rsidRDefault="0004729F">
            <w:pPr>
              <w:pStyle w:val="TableText0"/>
              <w:jc w:val="center"/>
            </w:pPr>
            <w:r w:rsidRPr="589E218A">
              <w:t>Amivantamab $</w:t>
            </w:r>
            <w:r w:rsidR="007A7746" w:rsidRPr="007A7746">
              <w:rPr>
                <w:color w:val="000000"/>
                <w:shd w:val="solid" w:color="000000" w:fill="000000"/>
                <w14:textFill>
                  <w14:solidFill>
                    <w14:srgbClr w14:val="000000">
                      <w14:alpha w14:val="100000"/>
                    </w14:srgbClr>
                  </w14:solidFill>
                </w14:textFill>
              </w:rPr>
              <w:t>|</w:t>
            </w:r>
          </w:p>
          <w:p w14:paraId="28F2BDDE" w14:textId="77777777" w:rsidR="0004729F" w:rsidRPr="00E13CAA" w:rsidRDefault="0004729F">
            <w:pPr>
              <w:pStyle w:val="TableText0"/>
              <w:jc w:val="center"/>
            </w:pPr>
            <w:r w:rsidRPr="00E13CAA">
              <w:t>Lazertinib</w:t>
            </w:r>
          </w:p>
          <w:p w14:paraId="036AB74F" w14:textId="7365EDD0"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p w14:paraId="3006F405" w14:textId="70E01201"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p w14:paraId="15CC1EA3" w14:textId="77777777" w:rsidR="0004729F" w:rsidRPr="00E13CAA" w:rsidRDefault="0004729F">
            <w:pPr>
              <w:pStyle w:val="TableText0"/>
              <w:jc w:val="center"/>
            </w:pPr>
            <w:r w:rsidRPr="00E13CAA">
              <w:t>A+L</w:t>
            </w:r>
          </w:p>
          <w:p w14:paraId="52C01D3E" w14:textId="6F0381CF"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p w14:paraId="2F2EBF0C" w14:textId="7AFFB5FD"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tc>
        <w:tc>
          <w:tcPr>
            <w:tcW w:w="1677" w:type="dxa"/>
            <w:vAlign w:val="center"/>
          </w:tcPr>
          <w:p w14:paraId="2F63FBF0" w14:textId="186B7194"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8" w:type="dxa"/>
            <w:vAlign w:val="center"/>
          </w:tcPr>
          <w:p w14:paraId="29C4F217" w14:textId="0FDDEEF9"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p w14:paraId="03883646" w14:textId="002A096C"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tc>
        <w:tc>
          <w:tcPr>
            <w:tcW w:w="1678" w:type="dxa"/>
            <w:vAlign w:val="center"/>
          </w:tcPr>
          <w:p w14:paraId="1B96CDB6" w14:textId="77777777" w:rsidR="0004729F" w:rsidRPr="00E13CAA" w:rsidRDefault="0004729F">
            <w:pPr>
              <w:pStyle w:val="TableText0"/>
              <w:jc w:val="center"/>
            </w:pPr>
            <w:r w:rsidRPr="00E13CAA">
              <w:t>95%</w:t>
            </w:r>
          </w:p>
          <w:p w14:paraId="035E6E07" w14:textId="77777777" w:rsidR="0004729F" w:rsidRPr="00E13CAA" w:rsidRDefault="0004729F">
            <w:pPr>
              <w:pStyle w:val="TableText0"/>
              <w:jc w:val="center"/>
            </w:pPr>
            <w:r w:rsidRPr="00E13CAA">
              <w:t>(94%)</w:t>
            </w:r>
          </w:p>
        </w:tc>
      </w:tr>
      <w:tr w:rsidR="0004729F" w:rsidRPr="00E13CAA" w14:paraId="346EF4C2" w14:textId="77777777" w:rsidTr="589E218A">
        <w:tc>
          <w:tcPr>
            <w:tcW w:w="2194" w:type="dxa"/>
            <w:vAlign w:val="center"/>
          </w:tcPr>
          <w:p w14:paraId="663782E3" w14:textId="77777777" w:rsidR="0004729F" w:rsidRPr="00E13CAA" w:rsidRDefault="0004729F">
            <w:pPr>
              <w:pStyle w:val="TableText0"/>
            </w:pPr>
            <w:r w:rsidRPr="00E13CAA">
              <w:t>Administration cost</w:t>
            </w:r>
          </w:p>
        </w:tc>
        <w:tc>
          <w:tcPr>
            <w:tcW w:w="1790" w:type="dxa"/>
            <w:vAlign w:val="center"/>
          </w:tcPr>
          <w:p w14:paraId="7AA51C32" w14:textId="77777777" w:rsidR="0004729F" w:rsidRPr="00E13CAA" w:rsidRDefault="0004729F">
            <w:pPr>
              <w:pStyle w:val="TableText0"/>
              <w:jc w:val="center"/>
            </w:pPr>
            <w:r w:rsidRPr="00E13CAA">
              <w:t>$4,952</w:t>
            </w:r>
          </w:p>
        </w:tc>
        <w:tc>
          <w:tcPr>
            <w:tcW w:w="1677" w:type="dxa"/>
            <w:vAlign w:val="center"/>
          </w:tcPr>
          <w:p w14:paraId="2B37B349" w14:textId="77777777" w:rsidR="0004729F" w:rsidRPr="00E13CAA" w:rsidRDefault="0004729F">
            <w:pPr>
              <w:pStyle w:val="TableText0"/>
              <w:jc w:val="center"/>
            </w:pPr>
            <w:r w:rsidRPr="00E13CAA">
              <w:t>$0</w:t>
            </w:r>
          </w:p>
        </w:tc>
        <w:tc>
          <w:tcPr>
            <w:tcW w:w="1678" w:type="dxa"/>
            <w:vAlign w:val="center"/>
          </w:tcPr>
          <w:p w14:paraId="12E5BA95" w14:textId="77777777" w:rsidR="0004729F" w:rsidRPr="00E13CAA" w:rsidRDefault="0004729F">
            <w:pPr>
              <w:pStyle w:val="TableText0"/>
              <w:jc w:val="center"/>
            </w:pPr>
            <w:r w:rsidRPr="00E13CAA">
              <w:t>$4,952</w:t>
            </w:r>
          </w:p>
        </w:tc>
        <w:tc>
          <w:tcPr>
            <w:tcW w:w="1678" w:type="dxa"/>
          </w:tcPr>
          <w:p w14:paraId="1233AF69" w14:textId="77777777" w:rsidR="0004729F" w:rsidRPr="00E13CAA" w:rsidRDefault="0004729F">
            <w:pPr>
              <w:pStyle w:val="TableText0"/>
              <w:jc w:val="center"/>
            </w:pPr>
            <w:r w:rsidRPr="00E13CAA">
              <w:t>-26%</w:t>
            </w:r>
          </w:p>
          <w:p w14:paraId="63DD1B58" w14:textId="77777777" w:rsidR="0004729F" w:rsidRPr="00E13CAA" w:rsidRDefault="0004729F">
            <w:pPr>
              <w:pStyle w:val="TableText0"/>
              <w:jc w:val="center"/>
            </w:pPr>
            <w:r w:rsidRPr="00E13CAA">
              <w:t>(-30%)</w:t>
            </w:r>
          </w:p>
        </w:tc>
      </w:tr>
      <w:tr w:rsidR="0004729F" w:rsidRPr="00E13CAA" w14:paraId="5F019932" w14:textId="77777777" w:rsidTr="589E218A">
        <w:tc>
          <w:tcPr>
            <w:tcW w:w="2194" w:type="dxa"/>
            <w:vAlign w:val="center"/>
          </w:tcPr>
          <w:p w14:paraId="1FB07EA3" w14:textId="77777777" w:rsidR="0004729F" w:rsidRPr="00E13CAA" w:rsidRDefault="0004729F">
            <w:pPr>
              <w:pStyle w:val="TableText0"/>
              <w:rPr>
                <w:vertAlign w:val="superscript"/>
              </w:rPr>
            </w:pPr>
            <w:r w:rsidRPr="00E13CAA">
              <w:t xml:space="preserve">Comedications </w:t>
            </w:r>
            <w:r w:rsidRPr="00E13CAA">
              <w:rPr>
                <w:vertAlign w:val="superscript"/>
              </w:rPr>
              <w:t>c</w:t>
            </w:r>
          </w:p>
        </w:tc>
        <w:tc>
          <w:tcPr>
            <w:tcW w:w="1790" w:type="dxa"/>
            <w:vAlign w:val="center"/>
          </w:tcPr>
          <w:p w14:paraId="50F6E39E" w14:textId="30D569C8"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p w14:paraId="2A870B47" w14:textId="58B6428F"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tc>
        <w:tc>
          <w:tcPr>
            <w:tcW w:w="1677" w:type="dxa"/>
            <w:vAlign w:val="center"/>
          </w:tcPr>
          <w:p w14:paraId="19C86555" w14:textId="77777777" w:rsidR="0004729F" w:rsidRPr="00E13CAA" w:rsidRDefault="0004729F">
            <w:pPr>
              <w:pStyle w:val="TableText0"/>
              <w:jc w:val="center"/>
            </w:pPr>
            <w:r w:rsidRPr="00E13CAA">
              <w:t>$0</w:t>
            </w:r>
          </w:p>
        </w:tc>
        <w:tc>
          <w:tcPr>
            <w:tcW w:w="1678" w:type="dxa"/>
            <w:vAlign w:val="center"/>
          </w:tcPr>
          <w:p w14:paraId="37E42CBF" w14:textId="1CFF9740"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p w14:paraId="47955E13" w14:textId="1EC7E222"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tc>
        <w:tc>
          <w:tcPr>
            <w:tcW w:w="1678" w:type="dxa"/>
          </w:tcPr>
          <w:p w14:paraId="4846CBB4" w14:textId="77777777" w:rsidR="0004729F" w:rsidRPr="00E13CAA" w:rsidRDefault="0004729F">
            <w:pPr>
              <w:pStyle w:val="TableText0"/>
              <w:jc w:val="center"/>
            </w:pPr>
            <w:r w:rsidRPr="00E13CAA">
              <w:t>-2%</w:t>
            </w:r>
          </w:p>
        </w:tc>
      </w:tr>
      <w:tr w:rsidR="0004729F" w:rsidRPr="00E13CAA" w14:paraId="76633317" w14:textId="77777777" w:rsidTr="589E218A">
        <w:tc>
          <w:tcPr>
            <w:tcW w:w="2194" w:type="dxa"/>
            <w:vAlign w:val="center"/>
          </w:tcPr>
          <w:p w14:paraId="5B5F0714" w14:textId="77777777" w:rsidR="0004729F" w:rsidRPr="00E13CAA" w:rsidRDefault="0004729F">
            <w:pPr>
              <w:pStyle w:val="TableText0"/>
            </w:pPr>
            <w:r w:rsidRPr="589E218A">
              <w:t>Subsequent treatments</w:t>
            </w:r>
          </w:p>
        </w:tc>
        <w:tc>
          <w:tcPr>
            <w:tcW w:w="1790" w:type="dxa"/>
            <w:vAlign w:val="center"/>
          </w:tcPr>
          <w:p w14:paraId="679F6407" w14:textId="18370A41"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7" w:type="dxa"/>
            <w:vAlign w:val="center"/>
          </w:tcPr>
          <w:p w14:paraId="68CD519C" w14:textId="4E4CAB06"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8" w:type="dxa"/>
            <w:vAlign w:val="center"/>
          </w:tcPr>
          <w:p w14:paraId="27C0AB2F" w14:textId="074108FC"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8" w:type="dxa"/>
          </w:tcPr>
          <w:p w14:paraId="2573F7ED" w14:textId="77777777" w:rsidR="0004729F" w:rsidRPr="00E13CAA" w:rsidRDefault="0004729F">
            <w:pPr>
              <w:pStyle w:val="TableText0"/>
              <w:jc w:val="center"/>
            </w:pPr>
            <w:r w:rsidRPr="00E13CAA">
              <w:t>6%</w:t>
            </w:r>
          </w:p>
          <w:p w14:paraId="6CFB0E5F" w14:textId="77777777" w:rsidR="0004729F" w:rsidRPr="00E13CAA" w:rsidRDefault="0004729F">
            <w:pPr>
              <w:pStyle w:val="TableText0"/>
              <w:jc w:val="center"/>
            </w:pPr>
            <w:r w:rsidRPr="00E13CAA">
              <w:t>(7%)</w:t>
            </w:r>
          </w:p>
        </w:tc>
      </w:tr>
      <w:tr w:rsidR="0004729F" w:rsidRPr="00E13CAA" w14:paraId="5706CED2" w14:textId="77777777" w:rsidTr="589E218A">
        <w:tc>
          <w:tcPr>
            <w:tcW w:w="2194" w:type="dxa"/>
            <w:vAlign w:val="center"/>
          </w:tcPr>
          <w:p w14:paraId="56ABFECD" w14:textId="77777777" w:rsidR="0004729F" w:rsidRPr="00E13CAA" w:rsidRDefault="0004729F">
            <w:pPr>
              <w:pStyle w:val="TableText0"/>
            </w:pPr>
            <w:r w:rsidRPr="00E13CAA">
              <w:t>Total</w:t>
            </w:r>
          </w:p>
        </w:tc>
        <w:tc>
          <w:tcPr>
            <w:tcW w:w="1790" w:type="dxa"/>
          </w:tcPr>
          <w:p w14:paraId="1F5AEBA5" w14:textId="0D80BDB7"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7" w:type="dxa"/>
          </w:tcPr>
          <w:p w14:paraId="7E0EE55D" w14:textId="0FB22228"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8" w:type="dxa"/>
          </w:tcPr>
          <w:p w14:paraId="1C822B7B" w14:textId="225F9A06" w:rsidR="0004729F" w:rsidRPr="00E13CAA" w:rsidRDefault="0004729F">
            <w:pPr>
              <w:pStyle w:val="TableText0"/>
              <w:jc w:val="center"/>
            </w:pPr>
            <w:r w:rsidRPr="00E13CAA">
              <w:t>-$</w:t>
            </w:r>
            <w:r w:rsidR="007A7746" w:rsidRPr="007A7746">
              <w:rPr>
                <w:color w:val="000000"/>
                <w:shd w:val="solid" w:color="000000" w:fill="000000"/>
                <w14:textFill>
                  <w14:solidFill>
                    <w14:srgbClr w14:val="000000">
                      <w14:alpha w14:val="100000"/>
                    </w14:srgbClr>
                  </w14:solidFill>
                </w14:textFill>
              </w:rPr>
              <w:t>|</w:t>
            </w:r>
          </w:p>
        </w:tc>
        <w:tc>
          <w:tcPr>
            <w:tcW w:w="1678" w:type="dxa"/>
            <w:vAlign w:val="center"/>
          </w:tcPr>
          <w:p w14:paraId="48CAC98D" w14:textId="25B0A4D4" w:rsidR="0004729F" w:rsidRPr="00E13CAA" w:rsidRDefault="0004729F">
            <w:pPr>
              <w:pStyle w:val="TableText0"/>
              <w:jc w:val="center"/>
            </w:pPr>
            <w:r w:rsidRPr="00E13CAA">
              <w:t>73%</w:t>
            </w:r>
          </w:p>
          <w:p w14:paraId="26A30515" w14:textId="77777777" w:rsidR="0004729F" w:rsidRPr="00E13CAA" w:rsidRDefault="0004729F">
            <w:pPr>
              <w:pStyle w:val="TableText0"/>
              <w:jc w:val="center"/>
            </w:pPr>
            <w:r w:rsidRPr="00E13CAA">
              <w:t>(69%)</w:t>
            </w:r>
          </w:p>
        </w:tc>
      </w:tr>
      <w:tr w:rsidR="0004729F" w:rsidRPr="00E13CAA" w14:paraId="1991B980" w14:textId="77777777" w:rsidTr="589E218A">
        <w:tc>
          <w:tcPr>
            <w:tcW w:w="9017" w:type="dxa"/>
            <w:gridSpan w:val="5"/>
            <w:vAlign w:val="center"/>
          </w:tcPr>
          <w:p w14:paraId="3B39201D" w14:textId="77777777" w:rsidR="0004729F" w:rsidRPr="00E13CAA" w:rsidRDefault="0004729F">
            <w:pPr>
              <w:pStyle w:val="In-tableHeading"/>
              <w:rPr>
                <w:lang w:val="en-AU"/>
              </w:rPr>
            </w:pPr>
            <w:r w:rsidRPr="00E13CAA">
              <w:rPr>
                <w:lang w:val="en-AU"/>
              </w:rPr>
              <w:t>Other costs</w:t>
            </w:r>
          </w:p>
        </w:tc>
      </w:tr>
      <w:tr w:rsidR="0004729F" w:rsidRPr="00E13CAA" w14:paraId="2A7DCCD0" w14:textId="77777777" w:rsidTr="589E218A">
        <w:tc>
          <w:tcPr>
            <w:tcW w:w="2194" w:type="dxa"/>
            <w:vAlign w:val="center"/>
          </w:tcPr>
          <w:p w14:paraId="0686297D" w14:textId="77777777" w:rsidR="0004729F" w:rsidRPr="00E13CAA" w:rsidRDefault="0004729F">
            <w:pPr>
              <w:pStyle w:val="TableText0"/>
            </w:pPr>
            <w:r w:rsidRPr="00E13CAA">
              <w:t>End-of-life cost</w:t>
            </w:r>
          </w:p>
        </w:tc>
        <w:tc>
          <w:tcPr>
            <w:tcW w:w="1790" w:type="dxa"/>
            <w:vAlign w:val="center"/>
          </w:tcPr>
          <w:p w14:paraId="63F2468C" w14:textId="77777777" w:rsidR="0004729F" w:rsidRPr="00E13CAA" w:rsidRDefault="0004729F">
            <w:pPr>
              <w:pStyle w:val="TableText0"/>
              <w:jc w:val="center"/>
            </w:pPr>
            <w:r w:rsidRPr="00E13CAA">
              <w:t>$47,042</w:t>
            </w:r>
          </w:p>
        </w:tc>
        <w:tc>
          <w:tcPr>
            <w:tcW w:w="1677" w:type="dxa"/>
            <w:vAlign w:val="center"/>
          </w:tcPr>
          <w:p w14:paraId="60895428" w14:textId="77777777" w:rsidR="0004729F" w:rsidRPr="00E13CAA" w:rsidRDefault="0004729F">
            <w:pPr>
              <w:pStyle w:val="TableText0"/>
              <w:jc w:val="center"/>
            </w:pPr>
            <w:r w:rsidRPr="00E13CAA">
              <w:t>$52,587</w:t>
            </w:r>
          </w:p>
        </w:tc>
        <w:tc>
          <w:tcPr>
            <w:tcW w:w="1678" w:type="dxa"/>
            <w:vAlign w:val="center"/>
          </w:tcPr>
          <w:p w14:paraId="0F6E6092" w14:textId="77777777" w:rsidR="0004729F" w:rsidRPr="00E13CAA" w:rsidRDefault="0004729F">
            <w:pPr>
              <w:pStyle w:val="TableText0"/>
              <w:jc w:val="center"/>
            </w:pPr>
            <w:r w:rsidRPr="007E7EE2">
              <w:t>-$5,545</w:t>
            </w:r>
          </w:p>
        </w:tc>
        <w:tc>
          <w:tcPr>
            <w:tcW w:w="1678" w:type="dxa"/>
            <w:vAlign w:val="center"/>
          </w:tcPr>
          <w:p w14:paraId="187B72F2" w14:textId="77777777" w:rsidR="0004729F" w:rsidRPr="00E13CAA" w:rsidRDefault="0004729F">
            <w:pPr>
              <w:pStyle w:val="TableText0"/>
              <w:jc w:val="center"/>
            </w:pPr>
            <w:r w:rsidRPr="00E13CAA">
              <w:t>30%</w:t>
            </w:r>
          </w:p>
          <w:p w14:paraId="52F56057" w14:textId="77777777" w:rsidR="0004729F" w:rsidRPr="00E13CAA" w:rsidRDefault="0004729F">
            <w:pPr>
              <w:pStyle w:val="TableText0"/>
              <w:jc w:val="center"/>
            </w:pPr>
            <w:r w:rsidRPr="00E13CAA">
              <w:t>(34%)</w:t>
            </w:r>
          </w:p>
        </w:tc>
      </w:tr>
      <w:tr w:rsidR="0004729F" w:rsidRPr="00E13CAA" w14:paraId="38CE6D1C" w14:textId="77777777" w:rsidTr="589E218A">
        <w:tc>
          <w:tcPr>
            <w:tcW w:w="2194" w:type="dxa"/>
            <w:vAlign w:val="center"/>
          </w:tcPr>
          <w:p w14:paraId="37270DEC" w14:textId="77777777" w:rsidR="0004729F" w:rsidRPr="00E13CAA" w:rsidRDefault="0004729F">
            <w:pPr>
              <w:pStyle w:val="TableText0"/>
            </w:pPr>
            <w:r w:rsidRPr="00E13CAA">
              <w:t>Management of adverse events</w:t>
            </w:r>
          </w:p>
        </w:tc>
        <w:tc>
          <w:tcPr>
            <w:tcW w:w="1790" w:type="dxa"/>
            <w:vAlign w:val="center"/>
          </w:tcPr>
          <w:p w14:paraId="704DDFB6" w14:textId="77777777" w:rsidR="0004729F" w:rsidRPr="00E13CAA" w:rsidRDefault="0004729F">
            <w:pPr>
              <w:pStyle w:val="TableText0"/>
              <w:jc w:val="center"/>
            </w:pPr>
            <w:r w:rsidRPr="00E13CAA">
              <w:t>$755</w:t>
            </w:r>
          </w:p>
        </w:tc>
        <w:tc>
          <w:tcPr>
            <w:tcW w:w="1677" w:type="dxa"/>
            <w:vAlign w:val="center"/>
          </w:tcPr>
          <w:p w14:paraId="768C462B" w14:textId="77777777" w:rsidR="0004729F" w:rsidRPr="00E13CAA" w:rsidRDefault="0004729F">
            <w:pPr>
              <w:pStyle w:val="TableText0"/>
              <w:jc w:val="center"/>
            </w:pPr>
            <w:r w:rsidRPr="00E13CAA">
              <w:t>$302</w:t>
            </w:r>
          </w:p>
        </w:tc>
        <w:tc>
          <w:tcPr>
            <w:tcW w:w="1678" w:type="dxa"/>
            <w:vAlign w:val="center"/>
          </w:tcPr>
          <w:p w14:paraId="7E6CE5F7" w14:textId="77777777" w:rsidR="0004729F" w:rsidRPr="00E13CAA" w:rsidRDefault="0004729F">
            <w:pPr>
              <w:pStyle w:val="TableText0"/>
              <w:jc w:val="center"/>
            </w:pPr>
            <w:r w:rsidRPr="00E13CAA">
              <w:t>$453</w:t>
            </w:r>
          </w:p>
        </w:tc>
        <w:tc>
          <w:tcPr>
            <w:tcW w:w="1678" w:type="dxa"/>
            <w:vAlign w:val="center"/>
          </w:tcPr>
          <w:p w14:paraId="32BF28CC" w14:textId="77777777" w:rsidR="0004729F" w:rsidRPr="00E13CAA" w:rsidRDefault="0004729F">
            <w:pPr>
              <w:pStyle w:val="TableText0"/>
              <w:jc w:val="center"/>
            </w:pPr>
            <w:r w:rsidRPr="00E13CAA">
              <w:t>-2%</w:t>
            </w:r>
          </w:p>
          <w:p w14:paraId="6A8CDB85" w14:textId="77777777" w:rsidR="0004729F" w:rsidRPr="00E13CAA" w:rsidRDefault="0004729F">
            <w:pPr>
              <w:pStyle w:val="TableText0"/>
              <w:jc w:val="center"/>
            </w:pPr>
            <w:r w:rsidRPr="00E13CAA">
              <w:t>(-3%)</w:t>
            </w:r>
          </w:p>
        </w:tc>
      </w:tr>
      <w:tr w:rsidR="0004729F" w:rsidRPr="00E13CAA" w14:paraId="14B39629" w14:textId="77777777" w:rsidTr="589E218A">
        <w:tc>
          <w:tcPr>
            <w:tcW w:w="2194" w:type="dxa"/>
            <w:vAlign w:val="center"/>
          </w:tcPr>
          <w:p w14:paraId="623CA54F" w14:textId="77777777" w:rsidR="0004729F" w:rsidRPr="00E13CAA" w:rsidRDefault="0004729F">
            <w:pPr>
              <w:pStyle w:val="TableText0"/>
            </w:pPr>
            <w:r w:rsidRPr="00E13CAA">
              <w:t>Total</w:t>
            </w:r>
          </w:p>
        </w:tc>
        <w:tc>
          <w:tcPr>
            <w:tcW w:w="1790" w:type="dxa"/>
            <w:vAlign w:val="center"/>
          </w:tcPr>
          <w:p w14:paraId="4B9EB53E" w14:textId="77777777" w:rsidR="0004729F" w:rsidRPr="00E13CAA" w:rsidRDefault="0004729F">
            <w:pPr>
              <w:pStyle w:val="TableText0"/>
              <w:jc w:val="center"/>
            </w:pPr>
            <w:r w:rsidRPr="00E13CAA">
              <w:t>$47,796</w:t>
            </w:r>
          </w:p>
        </w:tc>
        <w:tc>
          <w:tcPr>
            <w:tcW w:w="1677" w:type="dxa"/>
            <w:vAlign w:val="center"/>
          </w:tcPr>
          <w:p w14:paraId="229BFACB" w14:textId="77777777" w:rsidR="0004729F" w:rsidRPr="00E13CAA" w:rsidRDefault="0004729F">
            <w:pPr>
              <w:pStyle w:val="TableText0"/>
              <w:jc w:val="center"/>
            </w:pPr>
            <w:r w:rsidRPr="00E13CAA">
              <w:t>$52,889</w:t>
            </w:r>
          </w:p>
        </w:tc>
        <w:tc>
          <w:tcPr>
            <w:tcW w:w="1678" w:type="dxa"/>
            <w:vAlign w:val="center"/>
          </w:tcPr>
          <w:p w14:paraId="54F10D78" w14:textId="77777777" w:rsidR="0004729F" w:rsidRPr="00E13CAA" w:rsidRDefault="0004729F">
            <w:pPr>
              <w:pStyle w:val="TableText0"/>
              <w:jc w:val="center"/>
            </w:pPr>
            <w:r w:rsidRPr="00E13CAA">
              <w:t>-$5,093</w:t>
            </w:r>
          </w:p>
        </w:tc>
        <w:tc>
          <w:tcPr>
            <w:tcW w:w="1678" w:type="dxa"/>
            <w:vAlign w:val="center"/>
          </w:tcPr>
          <w:p w14:paraId="3E9E98A0" w14:textId="77777777" w:rsidR="0004729F" w:rsidRPr="00E13CAA" w:rsidRDefault="0004729F">
            <w:pPr>
              <w:pStyle w:val="TableText0"/>
              <w:jc w:val="center"/>
            </w:pPr>
            <w:r w:rsidRPr="00E13CAA">
              <w:t>27%</w:t>
            </w:r>
          </w:p>
          <w:p w14:paraId="6551F868" w14:textId="77777777" w:rsidR="0004729F" w:rsidRPr="00E13CAA" w:rsidRDefault="0004729F">
            <w:pPr>
              <w:pStyle w:val="TableText0"/>
              <w:jc w:val="center"/>
            </w:pPr>
            <w:r w:rsidRPr="00E13CAA">
              <w:t>(31%)</w:t>
            </w:r>
          </w:p>
        </w:tc>
      </w:tr>
      <w:tr w:rsidR="0004729F" w:rsidRPr="00E13CAA" w14:paraId="34DCDEB8" w14:textId="77777777" w:rsidTr="589E218A">
        <w:tc>
          <w:tcPr>
            <w:tcW w:w="2194" w:type="dxa"/>
            <w:vAlign w:val="center"/>
          </w:tcPr>
          <w:p w14:paraId="48945758" w14:textId="77777777" w:rsidR="0004729F" w:rsidRPr="00E13CAA" w:rsidRDefault="0004729F">
            <w:pPr>
              <w:pStyle w:val="TableText0"/>
              <w:rPr>
                <w:b/>
                <w:bCs w:val="0"/>
                <w:vertAlign w:val="superscript"/>
              </w:rPr>
            </w:pPr>
            <w:r w:rsidRPr="00E13CAA">
              <w:rPr>
                <w:b/>
                <w:bCs w:val="0"/>
              </w:rPr>
              <w:t xml:space="preserve">Overall total </w:t>
            </w:r>
            <w:r w:rsidRPr="00E13CAA">
              <w:rPr>
                <w:b/>
                <w:bCs w:val="0"/>
                <w:vertAlign w:val="superscript"/>
              </w:rPr>
              <w:t>b</w:t>
            </w:r>
          </w:p>
        </w:tc>
        <w:tc>
          <w:tcPr>
            <w:tcW w:w="1790" w:type="dxa"/>
          </w:tcPr>
          <w:p w14:paraId="7DE7AA80" w14:textId="46851FBF" w:rsidR="0004729F" w:rsidRPr="00E13CAA" w:rsidRDefault="0004729F">
            <w:pPr>
              <w:pStyle w:val="TableText0"/>
              <w:jc w:val="center"/>
              <w:rPr>
                <w:b/>
                <w:bCs w:val="0"/>
              </w:rPr>
            </w:pPr>
            <w:r w:rsidRPr="00E13CAA">
              <w:rPr>
                <w:b/>
                <w:bCs w:val="0"/>
              </w:rPr>
              <w:t>$</w:t>
            </w:r>
            <w:r w:rsidR="007A7746" w:rsidRPr="007A7746">
              <w:rPr>
                <w:b/>
                <w:bCs w:val="0"/>
                <w:color w:val="000000"/>
                <w:shd w:val="solid" w:color="000000" w:fill="000000"/>
                <w14:textFill>
                  <w14:solidFill>
                    <w14:srgbClr w14:val="000000">
                      <w14:alpha w14:val="100000"/>
                    </w14:srgbClr>
                  </w14:solidFill>
                </w14:textFill>
              </w:rPr>
              <w:t>|</w:t>
            </w:r>
          </w:p>
          <w:p w14:paraId="3B84E10B" w14:textId="76A61E08" w:rsidR="0004729F" w:rsidRPr="00E13CAA" w:rsidRDefault="0004729F">
            <w:pPr>
              <w:pStyle w:val="TableText0"/>
              <w:jc w:val="center"/>
              <w:rPr>
                <w:b/>
                <w:bCs w:val="0"/>
              </w:rP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tc>
        <w:tc>
          <w:tcPr>
            <w:tcW w:w="1677" w:type="dxa"/>
          </w:tcPr>
          <w:p w14:paraId="73BA363D" w14:textId="7A003608" w:rsidR="0004729F" w:rsidRPr="00E13CAA" w:rsidRDefault="0004729F">
            <w:pPr>
              <w:pStyle w:val="TableText0"/>
              <w:jc w:val="center"/>
              <w:rPr>
                <w:b/>
                <w:bCs w:val="0"/>
              </w:rPr>
            </w:pPr>
            <w:r w:rsidRPr="00E13CAA">
              <w:rPr>
                <w:b/>
                <w:bCs w:val="0"/>
              </w:rPr>
              <w:t>$</w:t>
            </w:r>
            <w:r w:rsidR="007A7746" w:rsidRPr="007A7746">
              <w:rPr>
                <w:b/>
                <w:bCs w:val="0"/>
                <w:color w:val="000000"/>
                <w:shd w:val="solid" w:color="000000" w:fill="000000"/>
                <w14:textFill>
                  <w14:solidFill>
                    <w14:srgbClr w14:val="000000">
                      <w14:alpha w14:val="100000"/>
                    </w14:srgbClr>
                  </w14:solidFill>
                </w14:textFill>
              </w:rPr>
              <w:t>|</w:t>
            </w:r>
          </w:p>
        </w:tc>
        <w:tc>
          <w:tcPr>
            <w:tcW w:w="1678" w:type="dxa"/>
          </w:tcPr>
          <w:p w14:paraId="49BFBACB" w14:textId="35B551B8" w:rsidR="0004729F" w:rsidRPr="00E13CAA" w:rsidRDefault="0004729F">
            <w:pPr>
              <w:pStyle w:val="TableText0"/>
              <w:jc w:val="center"/>
              <w:rPr>
                <w:b/>
                <w:bCs w:val="0"/>
              </w:rPr>
            </w:pPr>
            <w:r w:rsidRPr="00E13CAA">
              <w:rPr>
                <w:b/>
                <w:bCs w:val="0"/>
              </w:rPr>
              <w:t>-$</w:t>
            </w:r>
            <w:r w:rsidR="007A7746" w:rsidRPr="007A7746">
              <w:rPr>
                <w:b/>
                <w:bCs w:val="0"/>
                <w:color w:val="000000"/>
                <w:shd w:val="solid" w:color="000000" w:fill="000000"/>
                <w14:textFill>
                  <w14:solidFill>
                    <w14:srgbClr w14:val="000000">
                      <w14:alpha w14:val="100000"/>
                    </w14:srgbClr>
                  </w14:solidFill>
                </w14:textFill>
              </w:rPr>
              <w:t>|</w:t>
            </w:r>
          </w:p>
          <w:p w14:paraId="5B6DE8AB" w14:textId="7EF7EBA5" w:rsidR="0004729F" w:rsidRPr="00E13CAA" w:rsidRDefault="0004729F">
            <w:pPr>
              <w:pStyle w:val="TableText0"/>
              <w:jc w:val="center"/>
              <w:rPr>
                <w:b/>
                <w:bCs w:val="0"/>
              </w:rPr>
            </w:pPr>
            <w:r w:rsidRPr="00E13CAA">
              <w:t>(-$</w:t>
            </w:r>
            <w:r w:rsidR="007A7746" w:rsidRPr="007A7746">
              <w:rPr>
                <w:color w:val="000000"/>
                <w:shd w:val="solid" w:color="000000" w:fill="000000"/>
                <w14:textFill>
                  <w14:solidFill>
                    <w14:srgbClr w14:val="000000">
                      <w14:alpha w14:val="100000"/>
                    </w14:srgbClr>
                  </w14:solidFill>
                </w14:textFill>
              </w:rPr>
              <w:t>|</w:t>
            </w:r>
            <w:r w:rsidRPr="00E13CAA">
              <w:t>)</w:t>
            </w:r>
          </w:p>
        </w:tc>
        <w:tc>
          <w:tcPr>
            <w:tcW w:w="1678" w:type="dxa"/>
            <w:vAlign w:val="center"/>
          </w:tcPr>
          <w:p w14:paraId="2283C9AE" w14:textId="77777777" w:rsidR="0004729F" w:rsidRPr="00E13CAA" w:rsidRDefault="0004729F">
            <w:pPr>
              <w:pStyle w:val="TableText0"/>
              <w:jc w:val="center"/>
              <w:rPr>
                <w:b/>
                <w:bCs w:val="0"/>
              </w:rPr>
            </w:pPr>
            <w:r w:rsidRPr="00E13CAA">
              <w:rPr>
                <w:b/>
                <w:bCs w:val="0"/>
              </w:rPr>
              <w:t>100%</w:t>
            </w:r>
          </w:p>
        </w:tc>
      </w:tr>
    </w:tbl>
    <w:p w14:paraId="18590FC3" w14:textId="331C45F7" w:rsidR="0004729F" w:rsidRPr="004D75BF" w:rsidRDefault="0004729F" w:rsidP="007A7746">
      <w:pPr>
        <w:pStyle w:val="TableFigureFooter"/>
      </w:pPr>
      <w:r w:rsidRPr="004D75BF">
        <w:t xml:space="preserve">Source: Table 3.39, p196 of the submission; tab ‘Deterministic Results’ of ‘Attachment 3.1 MARIPOSA </w:t>
      </w:r>
      <w:r w:rsidR="00F639C0" w:rsidRPr="00F639C0">
        <w:rPr>
          <w:i/>
        </w:rPr>
        <w:t>EGFR</w:t>
      </w:r>
      <w:r w:rsidRPr="004D75BF">
        <w:t>m CEA’ of the submission.</w:t>
      </w:r>
    </w:p>
    <w:p w14:paraId="2BBE7A4B" w14:textId="77777777" w:rsidR="0004729F" w:rsidRPr="004D75BF" w:rsidRDefault="0004729F" w:rsidP="007A7746">
      <w:pPr>
        <w:pStyle w:val="TableFigureFooter"/>
      </w:pPr>
      <w:r w:rsidRPr="589E218A">
        <w:t>A+L = amivantamab plus lazertinib.</w:t>
      </w:r>
    </w:p>
    <w:p w14:paraId="4566498A" w14:textId="77777777" w:rsidR="0004729F" w:rsidRPr="004D75BF" w:rsidRDefault="0004729F" w:rsidP="007A7746">
      <w:pPr>
        <w:pStyle w:val="TableFigureFooter"/>
      </w:pPr>
      <w:r w:rsidRPr="589E218A">
        <w:rPr>
          <w:vertAlign w:val="superscript"/>
        </w:rPr>
        <w:t>a</w:t>
      </w:r>
      <w:r w:rsidRPr="589E218A">
        <w:t xml:space="preserve"> Estimated in the evaluation.</w:t>
      </w:r>
    </w:p>
    <w:p w14:paraId="0020191D" w14:textId="156741CF" w:rsidR="0004729F" w:rsidRPr="004D75BF" w:rsidRDefault="0004729F" w:rsidP="007A7746">
      <w:pPr>
        <w:pStyle w:val="TableFigureFooter"/>
        <w:rPr>
          <w:vertAlign w:val="superscript"/>
        </w:rPr>
      </w:pPr>
      <w:r w:rsidRPr="589E218A">
        <w:rPr>
          <w:vertAlign w:val="superscript"/>
        </w:rPr>
        <w:t>b</w:t>
      </w:r>
      <w:r w:rsidRPr="589E218A">
        <w:rPr>
          <w:vertAlign w:val="subscript"/>
        </w:rPr>
        <w:t xml:space="preserve"> </w:t>
      </w:r>
      <w:r w:rsidRPr="589E218A">
        <w:t xml:space="preserve">Text in </w:t>
      </w:r>
      <w:r w:rsidRPr="00560050">
        <w:t>brackets</w:t>
      </w:r>
      <w:r w:rsidRPr="589E218A">
        <w:t xml:space="preserve"> was estimated in the evaluation using Section 85 markups for lazertinib.</w:t>
      </w:r>
    </w:p>
    <w:p w14:paraId="6A70292D" w14:textId="5F2E1D54" w:rsidR="0004729F" w:rsidRPr="004D75BF" w:rsidRDefault="0004729F" w:rsidP="007A7746">
      <w:pPr>
        <w:pStyle w:val="TableFigureFooter"/>
      </w:pPr>
      <w:r w:rsidRPr="004D75BF">
        <w:rPr>
          <w:vertAlign w:val="superscript"/>
        </w:rPr>
        <w:t>c</w:t>
      </w:r>
      <w:r w:rsidRPr="004D75BF">
        <w:t xml:space="preserve"> Sourced from tab ‘Deterministic Results’ of ‘Attachment 3.1 MARIPOSA </w:t>
      </w:r>
      <w:r w:rsidR="00F639C0" w:rsidRPr="00F639C0">
        <w:rPr>
          <w:i/>
        </w:rPr>
        <w:t>EGFR</w:t>
      </w:r>
      <w:r w:rsidRPr="004D75BF">
        <w:t>m CEA’ of the submission.</w:t>
      </w:r>
    </w:p>
    <w:p w14:paraId="6BE893AA" w14:textId="733B252F" w:rsidR="0004729F" w:rsidRPr="00B15FF2" w:rsidRDefault="0004729F" w:rsidP="003576D0">
      <w:pPr>
        <w:pStyle w:val="3-BodyText"/>
        <w:ind w:left="709" w:hanging="709"/>
      </w:pPr>
      <w:r>
        <w:fldChar w:fldCharType="begin"/>
      </w:r>
      <w:r>
        <w:instrText xml:space="preserve"> REF _Ref185940347 \h </w:instrText>
      </w:r>
      <w:r>
        <w:fldChar w:fldCharType="separate"/>
      </w:r>
      <w:r w:rsidR="00184F9A" w:rsidRPr="004D75BF">
        <w:t xml:space="preserve">Table </w:t>
      </w:r>
      <w:r w:rsidR="00184F9A">
        <w:rPr>
          <w:noProof/>
        </w:rPr>
        <w:t>14</w:t>
      </w:r>
      <w:r>
        <w:fldChar w:fldCharType="end"/>
      </w:r>
      <w:r w:rsidRPr="589E218A">
        <w:t xml:space="preserve"> presents a summary of disaggregated health benefits from the economic model. The submission noted that health benefits were mostly driven by the PD health state. </w:t>
      </w:r>
      <w:bookmarkStart w:id="105" w:name="_Hlk188298970"/>
      <w:r w:rsidRPr="589E218A">
        <w:t>This highlights the importance of the extrapolation functions for OS.</w:t>
      </w:r>
      <w:bookmarkEnd w:id="105"/>
      <w:r w:rsidR="00B86EF7" w:rsidRPr="589E218A">
        <w:t xml:space="preserve"> </w:t>
      </w:r>
      <w:r w:rsidR="00B86EF7" w:rsidRPr="00B15FF2">
        <w:t xml:space="preserve">The ESC noted that the </w:t>
      </w:r>
      <w:r w:rsidR="00C66367" w:rsidRPr="00B15FF2">
        <w:t xml:space="preserve">majority of the life years were gained in </w:t>
      </w:r>
      <w:r w:rsidR="00BF2652" w:rsidRPr="00B15FF2">
        <w:t>PD</w:t>
      </w:r>
      <w:r w:rsidR="003A09D2">
        <w:t>,</w:t>
      </w:r>
      <w:r w:rsidR="002A14CD" w:rsidRPr="00B15FF2">
        <w:t xml:space="preserve"> which </w:t>
      </w:r>
      <w:r w:rsidR="008F4B0A" w:rsidRPr="00B15FF2">
        <w:t>was</w:t>
      </w:r>
      <w:r w:rsidR="00F46CB5" w:rsidRPr="00B15FF2">
        <w:t xml:space="preserve"> counterintuitive. </w:t>
      </w:r>
    </w:p>
    <w:p w14:paraId="5475D3B2" w14:textId="669D43BB" w:rsidR="0004729F" w:rsidRPr="004D75BF" w:rsidRDefault="0004729F" w:rsidP="0004729F">
      <w:pPr>
        <w:pStyle w:val="TableFigureHeading"/>
        <w:rPr>
          <w:rStyle w:val="CommentReference"/>
          <w:b/>
          <w:szCs w:val="24"/>
        </w:rPr>
      </w:pPr>
      <w:bookmarkStart w:id="106" w:name="_Ref185940347"/>
      <w:r w:rsidRPr="004D75BF">
        <w:t xml:space="preserve">Table </w:t>
      </w:r>
      <w:r w:rsidR="001B4556">
        <w:fldChar w:fldCharType="begin"/>
      </w:r>
      <w:r w:rsidR="001B4556">
        <w:instrText xml:space="preserve"> SEQ Table \* ARABIC </w:instrText>
      </w:r>
      <w:r w:rsidR="001B4556">
        <w:fldChar w:fldCharType="separate"/>
      </w:r>
      <w:r w:rsidR="00184F9A">
        <w:rPr>
          <w:noProof/>
        </w:rPr>
        <w:t>14</w:t>
      </w:r>
      <w:r w:rsidR="001B4556">
        <w:rPr>
          <w:noProof/>
        </w:rPr>
        <w:fldChar w:fldCharType="end"/>
      </w:r>
      <w:bookmarkEnd w:id="106"/>
      <w:r w:rsidRPr="004D75BF">
        <w:t xml:space="preserve">: </w:t>
      </w:r>
      <w:r w:rsidRPr="004D75BF">
        <w:rPr>
          <w:rStyle w:val="CommentReference"/>
          <w:b/>
          <w:szCs w:val="24"/>
        </w:rPr>
        <w:t>Disaggregated summary of health outcomes included in the economic evaluation (discounted)</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Disaggregated summary of health outcomes included in the economic evaluation (discounted)"/>
      </w:tblPr>
      <w:tblGrid>
        <w:gridCol w:w="1530"/>
        <w:gridCol w:w="1910"/>
        <w:gridCol w:w="1910"/>
        <w:gridCol w:w="1617"/>
        <w:gridCol w:w="2050"/>
      </w:tblGrid>
      <w:tr w:rsidR="0004729F" w:rsidRPr="004D75BF" w14:paraId="115F8ABF"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474614" w14:textId="77777777" w:rsidR="0004729F" w:rsidRPr="004D75BF" w:rsidRDefault="0004729F">
            <w:pPr>
              <w:pStyle w:val="In-tableHeading"/>
              <w:jc w:val="center"/>
              <w:rPr>
                <w:lang w:val="en-AU"/>
              </w:rPr>
            </w:pPr>
            <w:r w:rsidRPr="004D75BF">
              <w:rPr>
                <w:lang w:val="en-AU"/>
              </w:rPr>
              <w:t>Outcome</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58551F" w14:textId="77777777" w:rsidR="0004729F" w:rsidRPr="004D75BF" w:rsidRDefault="0004729F">
            <w:pPr>
              <w:pStyle w:val="In-tableHeading"/>
              <w:jc w:val="center"/>
              <w:rPr>
                <w:lang w:val="en-AU"/>
              </w:rPr>
            </w:pPr>
            <w:r w:rsidRPr="004D75BF">
              <w:rPr>
                <w:lang w:val="en-AU"/>
              </w:rPr>
              <w:t>Outcome for A+L</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C6304D" w14:textId="77777777" w:rsidR="0004729F" w:rsidRPr="004D75BF" w:rsidRDefault="0004729F">
            <w:pPr>
              <w:pStyle w:val="In-tableHeading"/>
              <w:jc w:val="center"/>
              <w:rPr>
                <w:lang w:val="en-AU"/>
              </w:rPr>
            </w:pPr>
            <w:r w:rsidRPr="004D75BF">
              <w:rPr>
                <w:lang w:val="en-AU"/>
              </w:rPr>
              <w:t>Outcome for osimertinib</w:t>
            </w:r>
          </w:p>
        </w:tc>
        <w:tc>
          <w:tcPr>
            <w:tcW w:w="1617" w:type="dxa"/>
            <w:tcBorders>
              <w:top w:val="single" w:sz="4" w:space="0" w:color="auto"/>
              <w:left w:val="single" w:sz="4" w:space="0" w:color="auto"/>
              <w:bottom w:val="single" w:sz="4" w:space="0" w:color="auto"/>
              <w:right w:val="single" w:sz="4" w:space="0" w:color="auto"/>
            </w:tcBorders>
            <w:vAlign w:val="center"/>
          </w:tcPr>
          <w:p w14:paraId="1D37A9A1" w14:textId="77777777" w:rsidR="0004729F" w:rsidRPr="004D75BF" w:rsidRDefault="0004729F">
            <w:pPr>
              <w:pStyle w:val="In-tableHeading"/>
              <w:jc w:val="center"/>
              <w:rPr>
                <w:lang w:val="en-AU"/>
              </w:rPr>
            </w:pPr>
            <w:r w:rsidRPr="004D75BF">
              <w:rPr>
                <w:lang w:val="en-AU"/>
              </w:rPr>
              <w:t>Incremental outcome</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734D0B" w14:textId="77777777" w:rsidR="0004729F" w:rsidRPr="004D75BF" w:rsidRDefault="0004729F">
            <w:pPr>
              <w:pStyle w:val="In-tableHeading"/>
              <w:jc w:val="center"/>
              <w:rPr>
                <w:lang w:val="en-AU"/>
              </w:rPr>
            </w:pPr>
            <w:r w:rsidRPr="004D75BF">
              <w:rPr>
                <w:lang w:val="en-AU"/>
              </w:rPr>
              <w:t>% of total incremental outcome</w:t>
            </w:r>
          </w:p>
        </w:tc>
      </w:tr>
      <w:tr w:rsidR="0004729F" w:rsidRPr="004D75BF" w14:paraId="3F6D0682" w14:textId="77777777">
        <w:trPr>
          <w:cantSplit/>
        </w:trPr>
        <w:tc>
          <w:tcPr>
            <w:tcW w:w="9017"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5A7CA8" w14:textId="77777777" w:rsidR="0004729F" w:rsidRPr="004D75BF" w:rsidRDefault="0004729F">
            <w:pPr>
              <w:pStyle w:val="In-tableHeading"/>
              <w:rPr>
                <w:lang w:val="en-AU"/>
              </w:rPr>
            </w:pPr>
            <w:r w:rsidRPr="004D75BF">
              <w:rPr>
                <w:lang w:val="en-AU"/>
              </w:rPr>
              <w:t>LYG</w:t>
            </w:r>
          </w:p>
        </w:tc>
      </w:tr>
      <w:tr w:rsidR="0004729F" w:rsidRPr="004D75BF" w14:paraId="2A4A368A"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9F7C05" w14:textId="77777777" w:rsidR="0004729F" w:rsidRPr="004D75BF" w:rsidRDefault="0004729F">
            <w:pPr>
              <w:pStyle w:val="TableText0"/>
            </w:pPr>
            <w:r w:rsidRPr="004D75BF">
              <w:t>PFS</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0565C102" w14:textId="77777777" w:rsidR="0004729F" w:rsidRPr="004D75BF" w:rsidRDefault="0004729F">
            <w:pPr>
              <w:pStyle w:val="TableText0"/>
              <w:jc w:val="center"/>
            </w:pPr>
            <w:r w:rsidRPr="004D75BF">
              <w:t>2.289</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2BAA2080" w14:textId="77777777" w:rsidR="0004729F" w:rsidRPr="004D75BF" w:rsidRDefault="0004729F">
            <w:pPr>
              <w:pStyle w:val="TableText0"/>
              <w:jc w:val="center"/>
            </w:pPr>
            <w:r w:rsidRPr="004D75BF">
              <w:t>1.742</w:t>
            </w:r>
          </w:p>
        </w:tc>
        <w:tc>
          <w:tcPr>
            <w:tcW w:w="1617" w:type="dxa"/>
            <w:tcBorders>
              <w:top w:val="single" w:sz="4" w:space="0" w:color="auto"/>
              <w:left w:val="single" w:sz="4" w:space="0" w:color="auto"/>
              <w:bottom w:val="single" w:sz="4" w:space="0" w:color="auto"/>
              <w:right w:val="single" w:sz="4" w:space="0" w:color="auto"/>
            </w:tcBorders>
          </w:tcPr>
          <w:p w14:paraId="38AD9FDF" w14:textId="77777777" w:rsidR="0004729F" w:rsidRPr="004D75BF" w:rsidRDefault="0004729F">
            <w:pPr>
              <w:pStyle w:val="TableText0"/>
              <w:jc w:val="center"/>
            </w:pPr>
            <w:r w:rsidRPr="004D75BF">
              <w:t>0.547</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DB11E3" w14:textId="77777777" w:rsidR="0004729F" w:rsidRPr="004D75BF" w:rsidRDefault="0004729F">
            <w:pPr>
              <w:pStyle w:val="TableText0"/>
              <w:jc w:val="center"/>
            </w:pPr>
            <w:r w:rsidRPr="004D75BF">
              <w:t>39%</w:t>
            </w:r>
          </w:p>
        </w:tc>
      </w:tr>
      <w:tr w:rsidR="0004729F" w:rsidRPr="004D75BF" w14:paraId="6E213C63"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B1662" w14:textId="77777777" w:rsidR="0004729F" w:rsidRPr="004D75BF" w:rsidRDefault="0004729F">
            <w:pPr>
              <w:pStyle w:val="TableText0"/>
            </w:pPr>
            <w:r w:rsidRPr="004D75BF">
              <w:t>PD</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3636AE08" w14:textId="77777777" w:rsidR="0004729F" w:rsidRPr="004D75BF" w:rsidRDefault="0004729F">
            <w:pPr>
              <w:pStyle w:val="TableText0"/>
              <w:jc w:val="center"/>
            </w:pPr>
            <w:r w:rsidRPr="004D75BF">
              <w:t>2.142</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6ABF2944" w14:textId="77777777" w:rsidR="0004729F" w:rsidRPr="004D75BF" w:rsidRDefault="0004729F">
            <w:pPr>
              <w:pStyle w:val="TableText0"/>
              <w:jc w:val="center"/>
            </w:pPr>
            <w:r w:rsidRPr="004D75BF">
              <w:t>1.295</w:t>
            </w:r>
          </w:p>
        </w:tc>
        <w:tc>
          <w:tcPr>
            <w:tcW w:w="1617" w:type="dxa"/>
            <w:tcBorders>
              <w:top w:val="single" w:sz="4" w:space="0" w:color="auto"/>
              <w:left w:val="single" w:sz="4" w:space="0" w:color="auto"/>
              <w:bottom w:val="single" w:sz="4" w:space="0" w:color="auto"/>
              <w:right w:val="single" w:sz="4" w:space="0" w:color="auto"/>
            </w:tcBorders>
          </w:tcPr>
          <w:p w14:paraId="429F1708" w14:textId="77777777" w:rsidR="0004729F" w:rsidRPr="004D75BF" w:rsidRDefault="0004729F">
            <w:pPr>
              <w:pStyle w:val="TableText0"/>
              <w:jc w:val="center"/>
            </w:pPr>
            <w:r w:rsidRPr="004D75BF">
              <w:t>0.847</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435503" w14:textId="77777777" w:rsidR="0004729F" w:rsidRPr="004D75BF" w:rsidRDefault="0004729F">
            <w:pPr>
              <w:pStyle w:val="TableText0"/>
              <w:jc w:val="center"/>
            </w:pPr>
            <w:r w:rsidRPr="004D75BF">
              <w:t>61%</w:t>
            </w:r>
          </w:p>
        </w:tc>
      </w:tr>
      <w:tr w:rsidR="0004729F" w:rsidRPr="004D75BF" w14:paraId="384D99AB"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169C2D" w14:textId="77777777" w:rsidR="0004729F" w:rsidRPr="004D75BF" w:rsidRDefault="0004729F">
            <w:pPr>
              <w:pStyle w:val="TableText0"/>
            </w:pPr>
            <w:r w:rsidRPr="004D75BF">
              <w:t>Total</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7227B6" w14:textId="77777777" w:rsidR="0004729F" w:rsidRPr="004D75BF" w:rsidRDefault="0004729F">
            <w:pPr>
              <w:pStyle w:val="TableText0"/>
              <w:jc w:val="center"/>
            </w:pPr>
            <w:r w:rsidRPr="004D75BF">
              <w:t>4.431</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6A6840" w14:textId="77777777" w:rsidR="0004729F" w:rsidRPr="004D75BF" w:rsidRDefault="0004729F">
            <w:pPr>
              <w:pStyle w:val="TableText0"/>
              <w:jc w:val="center"/>
            </w:pPr>
            <w:r w:rsidRPr="004D75BF">
              <w:t>3.037</w:t>
            </w:r>
          </w:p>
        </w:tc>
        <w:tc>
          <w:tcPr>
            <w:tcW w:w="1617" w:type="dxa"/>
            <w:tcBorders>
              <w:top w:val="single" w:sz="4" w:space="0" w:color="auto"/>
              <w:left w:val="single" w:sz="4" w:space="0" w:color="auto"/>
              <w:bottom w:val="single" w:sz="4" w:space="0" w:color="auto"/>
              <w:right w:val="single" w:sz="4" w:space="0" w:color="auto"/>
            </w:tcBorders>
            <w:vAlign w:val="center"/>
          </w:tcPr>
          <w:p w14:paraId="552E581C" w14:textId="77777777" w:rsidR="0004729F" w:rsidRPr="004D75BF" w:rsidRDefault="0004729F">
            <w:pPr>
              <w:pStyle w:val="TableText0"/>
              <w:jc w:val="center"/>
            </w:pPr>
            <w:r w:rsidRPr="004D75BF">
              <w:t>1.394</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F7037C" w14:textId="77777777" w:rsidR="0004729F" w:rsidRPr="004D75BF" w:rsidRDefault="0004729F">
            <w:pPr>
              <w:pStyle w:val="TableText0"/>
              <w:jc w:val="center"/>
            </w:pPr>
            <w:r w:rsidRPr="004D75BF">
              <w:t>100%</w:t>
            </w:r>
          </w:p>
        </w:tc>
      </w:tr>
      <w:tr w:rsidR="0004729F" w:rsidRPr="004D75BF" w14:paraId="5288561C" w14:textId="77777777">
        <w:trPr>
          <w:cantSplit/>
        </w:trPr>
        <w:tc>
          <w:tcPr>
            <w:tcW w:w="9017"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0D0513" w14:textId="77777777" w:rsidR="0004729F" w:rsidRPr="004D75BF" w:rsidRDefault="0004729F">
            <w:pPr>
              <w:pStyle w:val="TableText0"/>
            </w:pPr>
            <w:r w:rsidRPr="004D75BF">
              <w:rPr>
                <w:b/>
                <w:bCs w:val="0"/>
              </w:rPr>
              <w:t>QALYs</w:t>
            </w:r>
          </w:p>
        </w:tc>
      </w:tr>
      <w:tr w:rsidR="0004729F" w:rsidRPr="004D75BF" w14:paraId="338B27BD"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5C5074" w14:textId="77777777" w:rsidR="0004729F" w:rsidRPr="004D75BF" w:rsidRDefault="0004729F">
            <w:pPr>
              <w:pStyle w:val="TableText0"/>
            </w:pPr>
            <w:r w:rsidRPr="004D75BF">
              <w:t>PFS</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875BA4" w14:textId="77777777" w:rsidR="0004729F" w:rsidRPr="004D75BF" w:rsidRDefault="0004729F">
            <w:pPr>
              <w:pStyle w:val="TableText0"/>
              <w:jc w:val="center"/>
            </w:pPr>
            <w:r w:rsidRPr="004D75BF" w:rsidDel="00C36DD5">
              <w:t>2.019</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D372D4" w14:textId="77777777" w:rsidR="0004729F" w:rsidRPr="004D75BF" w:rsidRDefault="0004729F">
            <w:pPr>
              <w:pStyle w:val="TableText0"/>
              <w:jc w:val="center"/>
            </w:pPr>
            <w:r w:rsidRPr="004D75BF">
              <w:t>1.615</w:t>
            </w:r>
          </w:p>
        </w:tc>
        <w:tc>
          <w:tcPr>
            <w:tcW w:w="1617" w:type="dxa"/>
            <w:tcBorders>
              <w:top w:val="single" w:sz="4" w:space="0" w:color="auto"/>
              <w:left w:val="single" w:sz="4" w:space="0" w:color="auto"/>
              <w:bottom w:val="single" w:sz="4" w:space="0" w:color="auto"/>
              <w:right w:val="single" w:sz="4" w:space="0" w:color="auto"/>
            </w:tcBorders>
            <w:vAlign w:val="center"/>
          </w:tcPr>
          <w:p w14:paraId="50E8F719" w14:textId="77777777" w:rsidR="0004729F" w:rsidRPr="004D75BF" w:rsidRDefault="0004729F">
            <w:pPr>
              <w:pStyle w:val="TableText0"/>
              <w:jc w:val="center"/>
            </w:pPr>
            <w:r w:rsidRPr="004D75BF">
              <w:t>0.404</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5C49E2" w14:textId="77777777" w:rsidR="0004729F" w:rsidRPr="004D75BF" w:rsidRDefault="0004729F">
            <w:pPr>
              <w:pStyle w:val="TableText0"/>
              <w:jc w:val="center"/>
            </w:pPr>
            <w:r w:rsidRPr="004D75BF">
              <w:t>32%</w:t>
            </w:r>
          </w:p>
        </w:tc>
      </w:tr>
      <w:tr w:rsidR="0004729F" w:rsidRPr="004D75BF" w14:paraId="01CD0BFB"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803FD2" w14:textId="77777777" w:rsidR="0004729F" w:rsidRPr="004D75BF" w:rsidRDefault="0004729F">
            <w:pPr>
              <w:pStyle w:val="TableText0"/>
            </w:pPr>
            <w:r w:rsidRPr="004D75BF">
              <w:t>PD</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D440A" w14:textId="77777777" w:rsidR="0004729F" w:rsidRPr="004D75BF" w:rsidRDefault="0004729F">
            <w:pPr>
              <w:pStyle w:val="TableText0"/>
              <w:jc w:val="center"/>
            </w:pPr>
            <w:r w:rsidRPr="004D75BF" w:rsidDel="00C36DD5">
              <w:t>1.806</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C80B14" w14:textId="77777777" w:rsidR="0004729F" w:rsidRPr="004D75BF" w:rsidRDefault="0004729F">
            <w:pPr>
              <w:pStyle w:val="TableText0"/>
              <w:jc w:val="center"/>
            </w:pPr>
            <w:r w:rsidRPr="004D75BF">
              <w:t>1.116</w:t>
            </w:r>
          </w:p>
        </w:tc>
        <w:tc>
          <w:tcPr>
            <w:tcW w:w="1617" w:type="dxa"/>
            <w:tcBorders>
              <w:top w:val="single" w:sz="4" w:space="0" w:color="auto"/>
              <w:left w:val="single" w:sz="4" w:space="0" w:color="auto"/>
              <w:bottom w:val="single" w:sz="4" w:space="0" w:color="auto"/>
              <w:right w:val="single" w:sz="4" w:space="0" w:color="auto"/>
            </w:tcBorders>
            <w:vAlign w:val="center"/>
          </w:tcPr>
          <w:p w14:paraId="155DB0C5" w14:textId="77777777" w:rsidR="0004729F" w:rsidRPr="004D75BF" w:rsidRDefault="0004729F">
            <w:pPr>
              <w:pStyle w:val="TableText0"/>
              <w:jc w:val="center"/>
            </w:pPr>
            <w:r w:rsidRPr="004D75BF">
              <w:t>0.690</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533961" w14:textId="77777777" w:rsidR="0004729F" w:rsidRPr="004D75BF" w:rsidRDefault="0004729F">
            <w:pPr>
              <w:pStyle w:val="TableText0"/>
              <w:jc w:val="center"/>
            </w:pPr>
            <w:r w:rsidRPr="004D75BF">
              <w:t>68%</w:t>
            </w:r>
          </w:p>
        </w:tc>
      </w:tr>
      <w:tr w:rsidR="0004729F" w:rsidRPr="004D75BF" w14:paraId="07CEDFF2" w14:textId="77777777">
        <w:trPr>
          <w:cantSplit/>
        </w:trPr>
        <w:tc>
          <w:tcPr>
            <w:tcW w:w="15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14DCA" w14:textId="77777777" w:rsidR="0004729F" w:rsidRPr="004D75BF" w:rsidRDefault="0004729F">
            <w:pPr>
              <w:pStyle w:val="TableText0"/>
            </w:pPr>
            <w:r w:rsidRPr="004D75BF">
              <w:t>Total</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7421FB4D" w14:textId="77777777" w:rsidR="0004729F" w:rsidRPr="004D75BF" w:rsidRDefault="0004729F">
            <w:pPr>
              <w:pStyle w:val="TableText0"/>
              <w:jc w:val="center"/>
            </w:pPr>
            <w:r w:rsidRPr="004D75BF">
              <w:t>3.825</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56B29D4D" w14:textId="77777777" w:rsidR="0004729F" w:rsidRPr="004D75BF" w:rsidRDefault="0004729F">
            <w:pPr>
              <w:pStyle w:val="TableText0"/>
              <w:jc w:val="center"/>
            </w:pPr>
            <w:r w:rsidRPr="004D75BF">
              <w:t>2.731</w:t>
            </w:r>
          </w:p>
        </w:tc>
        <w:tc>
          <w:tcPr>
            <w:tcW w:w="1617" w:type="dxa"/>
            <w:tcBorders>
              <w:top w:val="single" w:sz="4" w:space="0" w:color="auto"/>
              <w:left w:val="single" w:sz="4" w:space="0" w:color="auto"/>
              <w:bottom w:val="single" w:sz="4" w:space="0" w:color="auto"/>
              <w:right w:val="single" w:sz="4" w:space="0" w:color="auto"/>
            </w:tcBorders>
          </w:tcPr>
          <w:p w14:paraId="1D497535" w14:textId="77777777" w:rsidR="0004729F" w:rsidRPr="004D75BF" w:rsidRDefault="0004729F">
            <w:pPr>
              <w:pStyle w:val="TableText0"/>
              <w:jc w:val="center"/>
            </w:pPr>
            <w:r w:rsidRPr="004D75BF">
              <w:t>1.094</w:t>
            </w:r>
          </w:p>
        </w:tc>
        <w:tc>
          <w:tcPr>
            <w:tcW w:w="20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222AC0" w14:textId="77777777" w:rsidR="0004729F" w:rsidRPr="004D75BF" w:rsidRDefault="0004729F">
            <w:pPr>
              <w:pStyle w:val="TableText0"/>
              <w:jc w:val="center"/>
            </w:pPr>
            <w:r w:rsidRPr="004D75BF">
              <w:t>100%</w:t>
            </w:r>
          </w:p>
        </w:tc>
      </w:tr>
    </w:tbl>
    <w:p w14:paraId="2671F260" w14:textId="26A9864C" w:rsidR="0004729F" w:rsidRPr="004D75BF" w:rsidRDefault="0004729F" w:rsidP="0004729F">
      <w:pPr>
        <w:pStyle w:val="FooterTableFigure"/>
      </w:pPr>
      <w:r w:rsidRPr="004D75BF">
        <w:t xml:space="preserve">Table 3.39, p196 of the submission; tab ‘Deterministic Results’ of ‘Attachment 3.1 MARIPOSA </w:t>
      </w:r>
      <w:r w:rsidR="00F639C0" w:rsidRPr="00F639C0">
        <w:rPr>
          <w:i/>
        </w:rPr>
        <w:t>EGFR</w:t>
      </w:r>
      <w:r w:rsidRPr="004D75BF">
        <w:t>m CEA’ of the submission.</w:t>
      </w:r>
    </w:p>
    <w:p w14:paraId="7C6C0DD6" w14:textId="77777777" w:rsidR="0004729F" w:rsidRPr="004D75BF" w:rsidRDefault="0004729F" w:rsidP="0004729F">
      <w:pPr>
        <w:pStyle w:val="FooterTableFigure"/>
      </w:pPr>
      <w:r w:rsidRPr="589E218A">
        <w:t>A+L = amivantamab plus lazertinib, LYG = life-year gained, PD = progressed diseases, PFS = progression-free survival, QALY = quality-adjusted life year.</w:t>
      </w:r>
    </w:p>
    <w:p w14:paraId="585BB716" w14:textId="4D5B4417" w:rsidR="0004729F" w:rsidRPr="004D75BF" w:rsidRDefault="0004729F" w:rsidP="003576D0">
      <w:pPr>
        <w:pStyle w:val="3-BodyText"/>
        <w:ind w:left="709" w:hanging="709"/>
      </w:pPr>
      <w:r w:rsidRPr="589E218A">
        <w:t xml:space="preserve">The results of key univariate / multivariate sensitivity analyses are summarised in </w:t>
      </w:r>
      <w:r>
        <w:fldChar w:fldCharType="begin"/>
      </w:r>
      <w:r>
        <w:instrText xml:space="preserve"> REF _Ref104804865 \h </w:instrText>
      </w:r>
      <w:r>
        <w:fldChar w:fldCharType="separate"/>
      </w:r>
      <w:r w:rsidR="00184F9A" w:rsidRPr="589E218A">
        <w:t xml:space="preserve">Table </w:t>
      </w:r>
      <w:r w:rsidR="00184F9A">
        <w:rPr>
          <w:noProof/>
        </w:rPr>
        <w:t>15</w:t>
      </w:r>
      <w:r>
        <w:fldChar w:fldCharType="end"/>
      </w:r>
      <w:r w:rsidRPr="589E218A">
        <w:t xml:space="preserve">. The submission noted that drivers for both incremental costs and QALYs were the discount rate, time horizon, osimertinib price and OS extrapolation. The model was also sensitive to using compliance estimated in the evaluation. </w:t>
      </w:r>
      <w:r w:rsidR="0062255D" w:rsidRPr="589E218A">
        <w:t>These results were based on the published price of osimertinib. The</w:t>
      </w:r>
      <w:r w:rsidR="0062255D">
        <w:t xml:space="preserve"> PBAC relied on the</w:t>
      </w:r>
      <w:r w:rsidR="0062255D" w:rsidRPr="589E218A">
        <w:t xml:space="preserve"> results of the economic evaluation </w:t>
      </w:r>
      <w:r w:rsidR="0062255D">
        <w:t>incorporating</w:t>
      </w:r>
      <w:r w:rsidR="0062255D" w:rsidRPr="589E218A">
        <w:t xml:space="preserve"> the effective price of osimertinib</w:t>
      </w:r>
      <w:r w:rsidR="0062255D">
        <w:t xml:space="preserve"> in its assessment of the cost-effectiveness of A+L (data not shown)</w:t>
      </w:r>
      <w:r w:rsidR="0062255D" w:rsidRPr="589E218A">
        <w:t>.</w:t>
      </w:r>
    </w:p>
    <w:p w14:paraId="518BBA02" w14:textId="0B2F94B3" w:rsidR="0004729F" w:rsidRPr="004D75BF" w:rsidRDefault="0004729F" w:rsidP="589E218A">
      <w:pPr>
        <w:pStyle w:val="Caption"/>
        <w:rPr>
          <w:rStyle w:val="CommentReference"/>
          <w:b/>
        </w:rPr>
      </w:pPr>
      <w:bookmarkStart w:id="107" w:name="_Ref104804865"/>
      <w:r w:rsidRPr="589E218A">
        <w:t xml:space="preserve">Table </w:t>
      </w:r>
      <w:r w:rsidRPr="589E218A">
        <w:fldChar w:fldCharType="begin"/>
      </w:r>
      <w:r>
        <w:instrText xml:space="preserve"> SEQ Table \* ARABIC </w:instrText>
      </w:r>
      <w:r w:rsidRPr="589E218A">
        <w:fldChar w:fldCharType="separate"/>
      </w:r>
      <w:r w:rsidR="00184F9A">
        <w:rPr>
          <w:noProof/>
        </w:rPr>
        <w:t>15</w:t>
      </w:r>
      <w:r w:rsidRPr="589E218A">
        <w:rPr>
          <w:noProof/>
        </w:rPr>
        <w:fldChar w:fldCharType="end"/>
      </w:r>
      <w:bookmarkEnd w:id="107"/>
      <w:r w:rsidRPr="589E218A">
        <w:t>:</w:t>
      </w:r>
      <w:r w:rsidRPr="589E218A">
        <w:rPr>
          <w:rStyle w:val="CommentReference"/>
          <w:b/>
        </w:rPr>
        <w:t xml:space="preserve"> Sensitivity analyses, A+L effective price and osimertinib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Sensitivity analyses, A+L effective price and osimertinib published price"/>
      </w:tblPr>
      <w:tblGrid>
        <w:gridCol w:w="3416"/>
        <w:gridCol w:w="1401"/>
        <w:gridCol w:w="1401"/>
        <w:gridCol w:w="1717"/>
        <w:gridCol w:w="1082"/>
      </w:tblGrid>
      <w:tr w:rsidR="0004729F" w:rsidRPr="008B6851" w14:paraId="6E545125" w14:textId="77777777" w:rsidTr="589E218A">
        <w:trPr>
          <w:cantSplit/>
          <w:trHeight w:val="20"/>
          <w:tblHeader/>
        </w:trPr>
        <w:tc>
          <w:tcPr>
            <w:tcW w:w="1894" w:type="pct"/>
          </w:tcPr>
          <w:p w14:paraId="786BB198" w14:textId="77777777" w:rsidR="0004729F" w:rsidRPr="008B6851" w:rsidRDefault="0004729F">
            <w:pPr>
              <w:pStyle w:val="In-tableHeading"/>
              <w:jc w:val="center"/>
              <w:rPr>
                <w:lang w:val="en-AU"/>
              </w:rPr>
            </w:pPr>
            <w:r w:rsidRPr="008B6851">
              <w:rPr>
                <w:lang w:val="en-AU"/>
              </w:rPr>
              <w:t>Analyses</w:t>
            </w:r>
          </w:p>
        </w:tc>
        <w:tc>
          <w:tcPr>
            <w:tcW w:w="777" w:type="pct"/>
          </w:tcPr>
          <w:p w14:paraId="56891060" w14:textId="77777777" w:rsidR="0004729F" w:rsidRPr="008B6851" w:rsidRDefault="0004729F">
            <w:pPr>
              <w:pStyle w:val="In-tableHeading"/>
              <w:jc w:val="center"/>
              <w:rPr>
                <w:lang w:val="en-AU"/>
              </w:rPr>
            </w:pPr>
            <w:r w:rsidRPr="008B6851">
              <w:rPr>
                <w:lang w:val="en-AU"/>
              </w:rPr>
              <w:t>Incremental cost</w:t>
            </w:r>
          </w:p>
        </w:tc>
        <w:tc>
          <w:tcPr>
            <w:tcW w:w="777" w:type="pct"/>
          </w:tcPr>
          <w:p w14:paraId="63460BF7" w14:textId="77777777" w:rsidR="0004729F" w:rsidRPr="008B6851" w:rsidRDefault="0004729F">
            <w:pPr>
              <w:pStyle w:val="In-tableHeading"/>
              <w:jc w:val="center"/>
              <w:rPr>
                <w:lang w:val="en-AU"/>
              </w:rPr>
            </w:pPr>
            <w:r w:rsidRPr="008B6851">
              <w:rPr>
                <w:lang w:val="en-AU"/>
              </w:rPr>
              <w:t>Incremental QALY</w:t>
            </w:r>
          </w:p>
        </w:tc>
        <w:tc>
          <w:tcPr>
            <w:tcW w:w="952" w:type="pct"/>
          </w:tcPr>
          <w:p w14:paraId="1145DB73" w14:textId="77777777" w:rsidR="0004729F" w:rsidRPr="008B6851" w:rsidRDefault="0004729F">
            <w:pPr>
              <w:pStyle w:val="In-tableHeading"/>
              <w:jc w:val="center"/>
              <w:rPr>
                <w:lang w:val="en-AU"/>
              </w:rPr>
            </w:pPr>
            <w:r w:rsidRPr="008B6851">
              <w:rPr>
                <w:lang w:val="en-AU"/>
              </w:rPr>
              <w:t>ICER</w:t>
            </w:r>
          </w:p>
        </w:tc>
        <w:tc>
          <w:tcPr>
            <w:tcW w:w="600" w:type="pct"/>
          </w:tcPr>
          <w:p w14:paraId="400080A7" w14:textId="43F0991B" w:rsidR="0004729F" w:rsidRPr="008B6851" w:rsidRDefault="0004729F">
            <w:pPr>
              <w:pStyle w:val="In-tableHeading"/>
              <w:jc w:val="center"/>
              <w:rPr>
                <w:lang w:val="en-AU"/>
              </w:rPr>
            </w:pPr>
            <w:r w:rsidRPr="008B6851">
              <w:rPr>
                <w:lang w:val="en-AU"/>
              </w:rPr>
              <w:t>% change to ICER</w:t>
            </w:r>
          </w:p>
        </w:tc>
      </w:tr>
      <w:tr w:rsidR="0004729F" w:rsidRPr="008B6851" w14:paraId="33070CA6" w14:textId="77777777" w:rsidTr="589E218A">
        <w:trPr>
          <w:cantSplit/>
          <w:trHeight w:val="20"/>
        </w:trPr>
        <w:tc>
          <w:tcPr>
            <w:tcW w:w="1894" w:type="pct"/>
          </w:tcPr>
          <w:p w14:paraId="33B9E769" w14:textId="77777777" w:rsidR="0004729F" w:rsidRPr="008B6851" w:rsidRDefault="0004729F">
            <w:pPr>
              <w:pStyle w:val="TableText0"/>
              <w:rPr>
                <w:b/>
              </w:rPr>
            </w:pPr>
            <w:r w:rsidRPr="008B6851">
              <w:rPr>
                <w:b/>
              </w:rPr>
              <w:t>Base case</w:t>
            </w:r>
          </w:p>
        </w:tc>
        <w:tc>
          <w:tcPr>
            <w:tcW w:w="777" w:type="pct"/>
          </w:tcPr>
          <w:p w14:paraId="7DEF816E" w14:textId="3A17AC4A" w:rsidR="0004729F" w:rsidRPr="008B6851" w:rsidRDefault="0004729F">
            <w:pPr>
              <w:pStyle w:val="TableText0"/>
              <w:jc w:val="center"/>
              <w:rPr>
                <w:b/>
                <w:highlight w:val="black"/>
              </w:rPr>
            </w:pPr>
            <w:r w:rsidRPr="008B6851">
              <w:t>-$</w:t>
            </w:r>
            <w:r w:rsidR="007A7746" w:rsidRPr="007A7746">
              <w:rPr>
                <w:rFonts w:hint="eastAsia"/>
                <w:color w:val="000000"/>
                <w:w w:val="15"/>
                <w:shd w:val="solid" w:color="000000" w:fill="000000"/>
                <w:fitText w:val="35" w:id="-693980159"/>
                <w14:textFill>
                  <w14:solidFill>
                    <w14:srgbClr w14:val="000000">
                      <w14:alpha w14:val="100000"/>
                    </w14:srgbClr>
                  </w14:solidFill>
                </w14:textFill>
              </w:rPr>
              <w:t xml:space="preserve">　</w:t>
            </w:r>
            <w:r w:rsidR="007A7746" w:rsidRPr="007A7746">
              <w:rPr>
                <w:color w:val="000000"/>
                <w:w w:val="15"/>
                <w:shd w:val="solid" w:color="000000" w:fill="000000"/>
                <w:fitText w:val="35" w:id="-693980159"/>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59"/>
                <w14:textFill>
                  <w14:solidFill>
                    <w14:srgbClr w14:val="000000">
                      <w14:alpha w14:val="100000"/>
                    </w14:srgbClr>
                  </w14:solidFill>
                </w14:textFill>
              </w:rPr>
              <w:t xml:space="preserve">　</w:t>
            </w:r>
          </w:p>
        </w:tc>
        <w:tc>
          <w:tcPr>
            <w:tcW w:w="777" w:type="pct"/>
          </w:tcPr>
          <w:p w14:paraId="68455471" w14:textId="77777777" w:rsidR="0004729F" w:rsidRPr="007E3B9C" w:rsidRDefault="0004729F">
            <w:pPr>
              <w:pStyle w:val="TableText0"/>
              <w:jc w:val="center"/>
              <w:rPr>
                <w:b/>
              </w:rPr>
            </w:pPr>
            <w:r w:rsidRPr="007E3B9C">
              <w:t>1.094</w:t>
            </w:r>
          </w:p>
        </w:tc>
        <w:tc>
          <w:tcPr>
            <w:tcW w:w="952" w:type="pct"/>
          </w:tcPr>
          <w:p w14:paraId="46C55A14" w14:textId="77777777" w:rsidR="0004729F" w:rsidRPr="008B6851" w:rsidRDefault="0004729F">
            <w:pPr>
              <w:pStyle w:val="TableText0"/>
              <w:jc w:val="center"/>
              <w:rPr>
                <w:b/>
                <w:highlight w:val="black"/>
              </w:rPr>
            </w:pPr>
            <w:r w:rsidRPr="008B6851">
              <w:t>A+L dominant</w:t>
            </w:r>
          </w:p>
        </w:tc>
        <w:tc>
          <w:tcPr>
            <w:tcW w:w="600" w:type="pct"/>
          </w:tcPr>
          <w:p w14:paraId="1C1D81BE" w14:textId="77777777" w:rsidR="0004729F" w:rsidRPr="008B6851" w:rsidRDefault="0004729F">
            <w:pPr>
              <w:pStyle w:val="TableText0"/>
              <w:jc w:val="center"/>
              <w:rPr>
                <w:rFonts w:eastAsia="Calibri"/>
                <w:b/>
                <w:szCs w:val="20"/>
              </w:rPr>
            </w:pPr>
            <w:r w:rsidRPr="008B6851">
              <w:t>NA</w:t>
            </w:r>
          </w:p>
        </w:tc>
      </w:tr>
      <w:tr w:rsidR="0004729F" w:rsidRPr="008B6851" w14:paraId="33C1939E" w14:textId="77777777" w:rsidTr="589E218A">
        <w:trPr>
          <w:cantSplit/>
          <w:trHeight w:val="20"/>
        </w:trPr>
        <w:tc>
          <w:tcPr>
            <w:tcW w:w="4400" w:type="pct"/>
            <w:gridSpan w:val="4"/>
          </w:tcPr>
          <w:p w14:paraId="307CFFBE" w14:textId="77777777" w:rsidR="0004729F" w:rsidRPr="007E3B9C" w:rsidRDefault="0004729F">
            <w:pPr>
              <w:pStyle w:val="TableText0"/>
              <w:rPr>
                <w:b/>
                <w:bCs w:val="0"/>
              </w:rPr>
            </w:pPr>
            <w:r w:rsidRPr="007E3B9C">
              <w:rPr>
                <w:b/>
                <w:bCs w:val="0"/>
              </w:rPr>
              <w:t>Time horizon (base case: 15 years)</w:t>
            </w:r>
          </w:p>
        </w:tc>
        <w:tc>
          <w:tcPr>
            <w:tcW w:w="600" w:type="pct"/>
          </w:tcPr>
          <w:p w14:paraId="466BE1C8" w14:textId="77777777" w:rsidR="0004729F" w:rsidRPr="008B6851" w:rsidRDefault="0004729F">
            <w:pPr>
              <w:pStyle w:val="TableText0"/>
            </w:pPr>
          </w:p>
        </w:tc>
      </w:tr>
      <w:tr w:rsidR="0004729F" w:rsidRPr="008B6851" w14:paraId="30C19288" w14:textId="77777777" w:rsidTr="589E218A">
        <w:trPr>
          <w:cantSplit/>
          <w:trHeight w:val="20"/>
        </w:trPr>
        <w:tc>
          <w:tcPr>
            <w:tcW w:w="1894" w:type="pct"/>
          </w:tcPr>
          <w:p w14:paraId="2448E5B3" w14:textId="77777777" w:rsidR="0004729F" w:rsidRPr="008B6851" w:rsidRDefault="0004729F">
            <w:pPr>
              <w:pStyle w:val="TableText0"/>
            </w:pPr>
            <w:r w:rsidRPr="008B6851">
              <w:t>5 years</w:t>
            </w:r>
          </w:p>
        </w:tc>
        <w:tc>
          <w:tcPr>
            <w:tcW w:w="777" w:type="pct"/>
          </w:tcPr>
          <w:p w14:paraId="1BA0BA94" w14:textId="067C73C3" w:rsidR="0004729F" w:rsidRPr="008B6851" w:rsidRDefault="0004729F">
            <w:pPr>
              <w:pStyle w:val="TableText0"/>
              <w:jc w:val="center"/>
              <w:rPr>
                <w:highlight w:val="black"/>
              </w:rPr>
            </w:pPr>
            <w:r w:rsidRPr="008B6851">
              <w:t>-$</w:t>
            </w:r>
            <w:r w:rsidR="007A7746" w:rsidRPr="007A7746">
              <w:rPr>
                <w:rFonts w:hint="eastAsia"/>
                <w:color w:val="000000"/>
                <w:w w:val="15"/>
                <w:shd w:val="solid" w:color="000000" w:fill="000000"/>
                <w:fitText w:val="35" w:id="-693980158"/>
                <w14:textFill>
                  <w14:solidFill>
                    <w14:srgbClr w14:val="000000">
                      <w14:alpha w14:val="100000"/>
                    </w14:srgbClr>
                  </w14:solidFill>
                </w14:textFill>
              </w:rPr>
              <w:t xml:space="preserve">　</w:t>
            </w:r>
            <w:r w:rsidR="007A7746" w:rsidRPr="007A7746">
              <w:rPr>
                <w:color w:val="000000"/>
                <w:w w:val="15"/>
                <w:shd w:val="solid" w:color="000000" w:fill="000000"/>
                <w:fitText w:val="35" w:id="-693980158"/>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58"/>
                <w14:textFill>
                  <w14:solidFill>
                    <w14:srgbClr w14:val="000000">
                      <w14:alpha w14:val="100000"/>
                    </w14:srgbClr>
                  </w14:solidFill>
                </w14:textFill>
              </w:rPr>
              <w:t xml:space="preserve">　</w:t>
            </w:r>
          </w:p>
        </w:tc>
        <w:tc>
          <w:tcPr>
            <w:tcW w:w="777" w:type="pct"/>
          </w:tcPr>
          <w:p w14:paraId="00227C3D" w14:textId="77777777" w:rsidR="0004729F" w:rsidRPr="007E3B9C" w:rsidRDefault="0004729F">
            <w:pPr>
              <w:pStyle w:val="TableText0"/>
              <w:jc w:val="center"/>
            </w:pPr>
            <w:r w:rsidRPr="007E3B9C">
              <w:t>0.2264</w:t>
            </w:r>
          </w:p>
        </w:tc>
        <w:tc>
          <w:tcPr>
            <w:tcW w:w="952" w:type="pct"/>
          </w:tcPr>
          <w:p w14:paraId="4604D3AD" w14:textId="77777777" w:rsidR="0004729F" w:rsidRPr="008B6851" w:rsidRDefault="0004729F">
            <w:pPr>
              <w:pStyle w:val="TableText0"/>
              <w:jc w:val="center"/>
              <w:rPr>
                <w:highlight w:val="black"/>
              </w:rPr>
            </w:pPr>
            <w:r w:rsidRPr="008B6851">
              <w:t>A+L dominant</w:t>
            </w:r>
          </w:p>
        </w:tc>
        <w:tc>
          <w:tcPr>
            <w:tcW w:w="600" w:type="pct"/>
          </w:tcPr>
          <w:p w14:paraId="4239716F" w14:textId="61CEFD2C" w:rsidR="0004729F" w:rsidRPr="008B6851" w:rsidRDefault="0004729F">
            <w:pPr>
              <w:pStyle w:val="TableText0"/>
              <w:jc w:val="center"/>
              <w:rPr>
                <w:rFonts w:eastAsia="Calibri"/>
                <w:szCs w:val="20"/>
              </w:rPr>
            </w:pPr>
            <w:r w:rsidRPr="008B6851">
              <w:t>-</w:t>
            </w:r>
            <w:r w:rsidR="007A7746" w:rsidRPr="007A7746">
              <w:rPr>
                <w:color w:val="000000"/>
                <w:spacing w:val="45"/>
                <w:shd w:val="solid" w:color="000000" w:fill="000000"/>
                <w:fitText w:val="219" w:id="-693980157"/>
                <w14:textFill>
                  <w14:solidFill>
                    <w14:srgbClr w14:val="000000">
                      <w14:alpha w14:val="100000"/>
                    </w14:srgbClr>
                  </w14:solidFill>
                </w14:textFill>
              </w:rPr>
              <w:t>||</w:t>
            </w:r>
            <w:r w:rsidR="007A7746" w:rsidRPr="007A7746">
              <w:rPr>
                <w:color w:val="000000"/>
                <w:spacing w:val="2"/>
                <w:shd w:val="solid" w:color="000000" w:fill="000000"/>
                <w:fitText w:val="219" w:id="-693980157"/>
                <w14:textFill>
                  <w14:solidFill>
                    <w14:srgbClr w14:val="000000">
                      <w14:alpha w14:val="100000"/>
                    </w14:srgbClr>
                  </w14:solidFill>
                </w14:textFill>
              </w:rPr>
              <w:t>|</w:t>
            </w:r>
            <w:r w:rsidRPr="008B6851">
              <w:t>%</w:t>
            </w:r>
          </w:p>
        </w:tc>
      </w:tr>
      <w:tr w:rsidR="0004729F" w:rsidRPr="008B6851" w14:paraId="03D89CCF" w14:textId="77777777" w:rsidTr="589E218A">
        <w:trPr>
          <w:cantSplit/>
          <w:trHeight w:val="20"/>
        </w:trPr>
        <w:tc>
          <w:tcPr>
            <w:tcW w:w="1894" w:type="pct"/>
          </w:tcPr>
          <w:p w14:paraId="0D1F31C4" w14:textId="77777777" w:rsidR="0004729F" w:rsidRPr="008B6851" w:rsidRDefault="0004729F">
            <w:pPr>
              <w:pStyle w:val="TableText0"/>
            </w:pPr>
            <w:r w:rsidRPr="008B6851">
              <w:t>7.5 years [1]</w:t>
            </w:r>
          </w:p>
        </w:tc>
        <w:tc>
          <w:tcPr>
            <w:tcW w:w="777" w:type="pct"/>
          </w:tcPr>
          <w:p w14:paraId="00C4F530" w14:textId="52031594" w:rsidR="0004729F" w:rsidRPr="008B6851" w:rsidRDefault="0004729F">
            <w:pPr>
              <w:pStyle w:val="TableText0"/>
              <w:jc w:val="center"/>
              <w:rPr>
                <w:highlight w:val="black"/>
              </w:rPr>
            </w:pPr>
            <w:r w:rsidRPr="008B6851">
              <w:t>-$</w:t>
            </w:r>
            <w:r w:rsidR="007A7746" w:rsidRPr="007A7746">
              <w:rPr>
                <w:rFonts w:hint="eastAsia"/>
                <w:color w:val="000000"/>
                <w:w w:val="15"/>
                <w:shd w:val="solid" w:color="000000" w:fill="000000"/>
                <w:fitText w:val="35" w:id="-693980156"/>
                <w14:textFill>
                  <w14:solidFill>
                    <w14:srgbClr w14:val="000000">
                      <w14:alpha w14:val="100000"/>
                    </w14:srgbClr>
                  </w14:solidFill>
                </w14:textFill>
              </w:rPr>
              <w:t xml:space="preserve">　</w:t>
            </w:r>
            <w:r w:rsidR="007A7746" w:rsidRPr="007A7746">
              <w:rPr>
                <w:color w:val="000000"/>
                <w:w w:val="15"/>
                <w:shd w:val="solid" w:color="000000" w:fill="000000"/>
                <w:fitText w:val="35" w:id="-693980156"/>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56"/>
                <w14:textFill>
                  <w14:solidFill>
                    <w14:srgbClr w14:val="000000">
                      <w14:alpha w14:val="100000"/>
                    </w14:srgbClr>
                  </w14:solidFill>
                </w14:textFill>
              </w:rPr>
              <w:t xml:space="preserve">　</w:t>
            </w:r>
          </w:p>
        </w:tc>
        <w:tc>
          <w:tcPr>
            <w:tcW w:w="777" w:type="pct"/>
          </w:tcPr>
          <w:p w14:paraId="1EFEE2C5" w14:textId="77777777" w:rsidR="0004729F" w:rsidRPr="007E3B9C" w:rsidRDefault="0004729F">
            <w:pPr>
              <w:pStyle w:val="TableText0"/>
              <w:jc w:val="center"/>
            </w:pPr>
            <w:r w:rsidRPr="007E3B9C">
              <w:t>0.6097</w:t>
            </w:r>
          </w:p>
        </w:tc>
        <w:tc>
          <w:tcPr>
            <w:tcW w:w="952" w:type="pct"/>
          </w:tcPr>
          <w:p w14:paraId="334E591D" w14:textId="77777777" w:rsidR="0004729F" w:rsidRPr="008B6851" w:rsidRDefault="0004729F">
            <w:pPr>
              <w:pStyle w:val="TableText0"/>
              <w:jc w:val="center"/>
              <w:rPr>
                <w:highlight w:val="black"/>
              </w:rPr>
            </w:pPr>
            <w:r w:rsidRPr="008B6851">
              <w:t>A+L dominant</w:t>
            </w:r>
          </w:p>
        </w:tc>
        <w:tc>
          <w:tcPr>
            <w:tcW w:w="600" w:type="pct"/>
          </w:tcPr>
          <w:p w14:paraId="5FBD7FB1" w14:textId="4E550DB6" w:rsidR="0004729F" w:rsidRPr="008B6851" w:rsidRDefault="0004729F">
            <w:pPr>
              <w:pStyle w:val="TableText0"/>
              <w:jc w:val="center"/>
              <w:rPr>
                <w:rFonts w:eastAsia="Calibri"/>
                <w:szCs w:val="20"/>
              </w:rPr>
            </w:pPr>
            <w:r w:rsidRPr="008B6851">
              <w:t>-</w:t>
            </w:r>
            <w:r w:rsidR="007A7746" w:rsidRPr="007A7746">
              <w:rPr>
                <w:color w:val="000000"/>
                <w:spacing w:val="45"/>
                <w:shd w:val="solid" w:color="000000" w:fill="000000"/>
                <w:fitText w:val="219" w:id="-693980155"/>
                <w14:textFill>
                  <w14:solidFill>
                    <w14:srgbClr w14:val="000000">
                      <w14:alpha w14:val="100000"/>
                    </w14:srgbClr>
                  </w14:solidFill>
                </w14:textFill>
              </w:rPr>
              <w:t>||</w:t>
            </w:r>
            <w:r w:rsidR="007A7746" w:rsidRPr="007A7746">
              <w:rPr>
                <w:color w:val="000000"/>
                <w:spacing w:val="2"/>
                <w:shd w:val="solid" w:color="000000" w:fill="000000"/>
                <w:fitText w:val="219" w:id="-693980155"/>
                <w14:textFill>
                  <w14:solidFill>
                    <w14:srgbClr w14:val="000000">
                      <w14:alpha w14:val="100000"/>
                    </w14:srgbClr>
                  </w14:solidFill>
                </w14:textFill>
              </w:rPr>
              <w:t>|</w:t>
            </w:r>
            <w:r w:rsidRPr="008B6851">
              <w:t>%</w:t>
            </w:r>
          </w:p>
        </w:tc>
      </w:tr>
      <w:tr w:rsidR="0004729F" w:rsidRPr="008B6851" w14:paraId="48B453C2" w14:textId="77777777" w:rsidTr="589E218A">
        <w:trPr>
          <w:cantSplit/>
          <w:trHeight w:val="20"/>
        </w:trPr>
        <w:tc>
          <w:tcPr>
            <w:tcW w:w="5000" w:type="pct"/>
            <w:gridSpan w:val="5"/>
          </w:tcPr>
          <w:p w14:paraId="2804516C" w14:textId="77777777" w:rsidR="0004729F" w:rsidRPr="007E3B9C" w:rsidRDefault="0004729F">
            <w:pPr>
              <w:pStyle w:val="TableText0"/>
              <w:rPr>
                <w:rFonts w:eastAsia="Calibri"/>
                <w:b/>
                <w:bCs w:val="0"/>
                <w:szCs w:val="20"/>
              </w:rPr>
            </w:pPr>
            <w:r w:rsidRPr="007E3B9C">
              <w:rPr>
                <w:b/>
                <w:bCs w:val="0"/>
              </w:rPr>
              <w:t>Discount rate (base case: 5%)</w:t>
            </w:r>
          </w:p>
        </w:tc>
      </w:tr>
      <w:tr w:rsidR="0004729F" w:rsidRPr="008B6851" w14:paraId="2E21395C" w14:textId="77777777" w:rsidTr="589E218A">
        <w:trPr>
          <w:cantSplit/>
          <w:trHeight w:val="20"/>
        </w:trPr>
        <w:tc>
          <w:tcPr>
            <w:tcW w:w="1894" w:type="pct"/>
          </w:tcPr>
          <w:p w14:paraId="48FE03CE" w14:textId="77777777" w:rsidR="0004729F" w:rsidRPr="008B6851" w:rsidRDefault="0004729F">
            <w:pPr>
              <w:pStyle w:val="TableText0"/>
            </w:pPr>
            <w:r w:rsidRPr="008B6851">
              <w:t>0%</w:t>
            </w:r>
          </w:p>
        </w:tc>
        <w:tc>
          <w:tcPr>
            <w:tcW w:w="777" w:type="pct"/>
          </w:tcPr>
          <w:p w14:paraId="53E4D6DE" w14:textId="4DE1BD1B" w:rsidR="0004729F" w:rsidRPr="008B6851" w:rsidRDefault="0004729F">
            <w:pPr>
              <w:pStyle w:val="TableText0"/>
              <w:jc w:val="center"/>
              <w:rPr>
                <w:rFonts w:eastAsia="Calibri"/>
                <w:szCs w:val="20"/>
              </w:rPr>
            </w:pPr>
            <w:r w:rsidRPr="008B6851">
              <w:t>-$</w:t>
            </w:r>
            <w:r w:rsidR="007A7746" w:rsidRPr="007A7746">
              <w:rPr>
                <w:rFonts w:hint="eastAsia"/>
                <w:color w:val="000000"/>
                <w:w w:val="15"/>
                <w:shd w:val="solid" w:color="000000" w:fill="000000"/>
                <w:fitText w:val="35" w:id="-693980154"/>
                <w14:textFill>
                  <w14:solidFill>
                    <w14:srgbClr w14:val="000000">
                      <w14:alpha w14:val="100000"/>
                    </w14:srgbClr>
                  </w14:solidFill>
                </w14:textFill>
              </w:rPr>
              <w:t xml:space="preserve">　</w:t>
            </w:r>
            <w:r w:rsidR="007A7746" w:rsidRPr="007A7746">
              <w:rPr>
                <w:color w:val="000000"/>
                <w:w w:val="15"/>
                <w:shd w:val="solid" w:color="000000" w:fill="000000"/>
                <w:fitText w:val="35" w:id="-693980154"/>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54"/>
                <w14:textFill>
                  <w14:solidFill>
                    <w14:srgbClr w14:val="000000">
                      <w14:alpha w14:val="100000"/>
                    </w14:srgbClr>
                  </w14:solidFill>
                </w14:textFill>
              </w:rPr>
              <w:t xml:space="preserve">　</w:t>
            </w:r>
          </w:p>
        </w:tc>
        <w:tc>
          <w:tcPr>
            <w:tcW w:w="777" w:type="pct"/>
          </w:tcPr>
          <w:p w14:paraId="0D13E51C" w14:textId="77777777" w:rsidR="0004729F" w:rsidRPr="007E3B9C" w:rsidRDefault="0004729F">
            <w:pPr>
              <w:pStyle w:val="TableText0"/>
              <w:jc w:val="center"/>
              <w:rPr>
                <w:rFonts w:eastAsia="Calibri"/>
                <w:szCs w:val="20"/>
              </w:rPr>
            </w:pPr>
            <w:r w:rsidRPr="007E3B9C">
              <w:t>1.6565</w:t>
            </w:r>
          </w:p>
        </w:tc>
        <w:tc>
          <w:tcPr>
            <w:tcW w:w="952" w:type="pct"/>
          </w:tcPr>
          <w:p w14:paraId="4F490A35" w14:textId="77777777" w:rsidR="0004729F" w:rsidRPr="008B6851" w:rsidRDefault="0004729F">
            <w:pPr>
              <w:pStyle w:val="TableText0"/>
              <w:jc w:val="center"/>
              <w:rPr>
                <w:rFonts w:eastAsia="Calibri"/>
                <w:szCs w:val="20"/>
              </w:rPr>
            </w:pPr>
            <w:r w:rsidRPr="008B6851">
              <w:t>A+L dominant</w:t>
            </w:r>
          </w:p>
        </w:tc>
        <w:tc>
          <w:tcPr>
            <w:tcW w:w="600" w:type="pct"/>
          </w:tcPr>
          <w:p w14:paraId="40198572" w14:textId="0C604751" w:rsidR="0004729F" w:rsidRPr="008B6851" w:rsidRDefault="007A7746">
            <w:pPr>
              <w:pStyle w:val="TableText0"/>
              <w:jc w:val="center"/>
              <w:rPr>
                <w:rFonts w:eastAsia="Calibri"/>
                <w:szCs w:val="20"/>
              </w:rPr>
            </w:pPr>
            <w:r w:rsidRPr="007A7746">
              <w:rPr>
                <w:color w:val="000000"/>
                <w:spacing w:val="98"/>
                <w:shd w:val="solid" w:color="000000" w:fill="000000"/>
                <w:fitText w:val="184" w:id="-693980153"/>
                <w14:textFill>
                  <w14:solidFill>
                    <w14:srgbClr w14:val="000000">
                      <w14:alpha w14:val="100000"/>
                    </w14:srgbClr>
                  </w14:solidFill>
                </w14:textFill>
              </w:rPr>
              <w:t>|</w:t>
            </w:r>
            <w:r w:rsidRPr="007A7746">
              <w:rPr>
                <w:color w:val="000000"/>
                <w:spacing w:val="1"/>
                <w:shd w:val="solid" w:color="000000" w:fill="000000"/>
                <w:fitText w:val="184" w:id="-693980153"/>
                <w14:textFill>
                  <w14:solidFill>
                    <w14:srgbClr w14:val="000000">
                      <w14:alpha w14:val="100000"/>
                    </w14:srgbClr>
                  </w14:solidFill>
                </w14:textFill>
              </w:rPr>
              <w:t>|</w:t>
            </w:r>
            <w:r w:rsidR="0004729F" w:rsidRPr="008B6851">
              <w:t>%</w:t>
            </w:r>
          </w:p>
        </w:tc>
      </w:tr>
      <w:tr w:rsidR="0004729F" w:rsidRPr="008B6851" w14:paraId="23971063" w14:textId="77777777" w:rsidTr="589E218A">
        <w:trPr>
          <w:cantSplit/>
          <w:trHeight w:val="20"/>
        </w:trPr>
        <w:tc>
          <w:tcPr>
            <w:tcW w:w="1894" w:type="pct"/>
          </w:tcPr>
          <w:p w14:paraId="4BA25B2F" w14:textId="77777777" w:rsidR="0004729F" w:rsidRPr="008B6851" w:rsidRDefault="0004729F">
            <w:pPr>
              <w:pStyle w:val="TableText0"/>
            </w:pPr>
            <w:r w:rsidRPr="008B6851">
              <w:t>3.5%</w:t>
            </w:r>
          </w:p>
        </w:tc>
        <w:tc>
          <w:tcPr>
            <w:tcW w:w="777" w:type="pct"/>
          </w:tcPr>
          <w:p w14:paraId="2E90EEF8" w14:textId="227C716A" w:rsidR="0004729F" w:rsidRPr="008B6851" w:rsidRDefault="0004729F">
            <w:pPr>
              <w:pStyle w:val="TableText0"/>
              <w:jc w:val="center"/>
              <w:rPr>
                <w:rFonts w:eastAsia="Calibri"/>
                <w:szCs w:val="20"/>
              </w:rPr>
            </w:pPr>
            <w:r w:rsidRPr="008B6851">
              <w:t>-$</w:t>
            </w:r>
            <w:r w:rsidR="007A7746" w:rsidRPr="007A7746">
              <w:rPr>
                <w:rFonts w:hint="eastAsia"/>
                <w:color w:val="000000"/>
                <w:w w:val="15"/>
                <w:shd w:val="solid" w:color="000000" w:fill="000000"/>
                <w:fitText w:val="35" w:id="-693980152"/>
                <w14:textFill>
                  <w14:solidFill>
                    <w14:srgbClr w14:val="000000">
                      <w14:alpha w14:val="100000"/>
                    </w14:srgbClr>
                  </w14:solidFill>
                </w14:textFill>
              </w:rPr>
              <w:t xml:space="preserve">　</w:t>
            </w:r>
            <w:r w:rsidR="007A7746" w:rsidRPr="007A7746">
              <w:rPr>
                <w:color w:val="000000"/>
                <w:w w:val="15"/>
                <w:shd w:val="solid" w:color="000000" w:fill="000000"/>
                <w:fitText w:val="35" w:id="-693980152"/>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52"/>
                <w14:textFill>
                  <w14:solidFill>
                    <w14:srgbClr w14:val="000000">
                      <w14:alpha w14:val="100000"/>
                    </w14:srgbClr>
                  </w14:solidFill>
                </w14:textFill>
              </w:rPr>
              <w:t xml:space="preserve">　</w:t>
            </w:r>
          </w:p>
        </w:tc>
        <w:tc>
          <w:tcPr>
            <w:tcW w:w="777" w:type="pct"/>
          </w:tcPr>
          <w:p w14:paraId="092C7238" w14:textId="77777777" w:rsidR="0004729F" w:rsidRPr="007E3B9C" w:rsidRDefault="0004729F">
            <w:pPr>
              <w:pStyle w:val="TableText0"/>
              <w:jc w:val="center"/>
              <w:rPr>
                <w:rFonts w:eastAsia="Calibri"/>
                <w:szCs w:val="20"/>
              </w:rPr>
            </w:pPr>
            <w:r w:rsidRPr="007E3B9C">
              <w:t>1.2375</w:t>
            </w:r>
          </w:p>
        </w:tc>
        <w:tc>
          <w:tcPr>
            <w:tcW w:w="952" w:type="pct"/>
          </w:tcPr>
          <w:p w14:paraId="092684D2" w14:textId="77777777" w:rsidR="0004729F" w:rsidRPr="008B6851" w:rsidRDefault="0004729F">
            <w:pPr>
              <w:pStyle w:val="TableText0"/>
              <w:jc w:val="center"/>
              <w:rPr>
                <w:rFonts w:eastAsia="Calibri"/>
                <w:szCs w:val="20"/>
              </w:rPr>
            </w:pPr>
            <w:r w:rsidRPr="008B6851">
              <w:t>A+L dominant</w:t>
            </w:r>
          </w:p>
        </w:tc>
        <w:tc>
          <w:tcPr>
            <w:tcW w:w="600" w:type="pct"/>
          </w:tcPr>
          <w:p w14:paraId="25C221CA" w14:textId="2432461A" w:rsidR="0004729F" w:rsidRPr="008B6851" w:rsidRDefault="007A7746">
            <w:pPr>
              <w:pStyle w:val="TableText0"/>
              <w:jc w:val="center"/>
              <w:rPr>
                <w:rFonts w:eastAsia="Calibri"/>
                <w:szCs w:val="20"/>
              </w:rPr>
            </w:pPr>
            <w:r w:rsidRPr="007A7746">
              <w:rPr>
                <w:color w:val="000000"/>
                <w:spacing w:val="98"/>
                <w:shd w:val="solid" w:color="000000" w:fill="000000"/>
                <w:fitText w:val="184" w:id="-693980151"/>
                <w14:textFill>
                  <w14:solidFill>
                    <w14:srgbClr w14:val="000000">
                      <w14:alpha w14:val="100000"/>
                    </w14:srgbClr>
                  </w14:solidFill>
                </w14:textFill>
              </w:rPr>
              <w:t>|</w:t>
            </w:r>
            <w:r w:rsidRPr="007A7746">
              <w:rPr>
                <w:color w:val="000000"/>
                <w:spacing w:val="1"/>
                <w:shd w:val="solid" w:color="000000" w:fill="000000"/>
                <w:fitText w:val="184" w:id="-693980151"/>
                <w14:textFill>
                  <w14:solidFill>
                    <w14:srgbClr w14:val="000000">
                      <w14:alpha w14:val="100000"/>
                    </w14:srgbClr>
                  </w14:solidFill>
                </w14:textFill>
              </w:rPr>
              <w:t>|</w:t>
            </w:r>
            <w:r w:rsidR="0004729F" w:rsidRPr="008B6851">
              <w:t>%</w:t>
            </w:r>
          </w:p>
        </w:tc>
      </w:tr>
      <w:tr w:rsidR="0004729F" w:rsidRPr="008B6851" w14:paraId="73616FE6" w14:textId="77777777" w:rsidTr="589E218A">
        <w:trPr>
          <w:cantSplit/>
          <w:trHeight w:val="20"/>
        </w:trPr>
        <w:tc>
          <w:tcPr>
            <w:tcW w:w="5000" w:type="pct"/>
            <w:gridSpan w:val="5"/>
          </w:tcPr>
          <w:p w14:paraId="755C5CCF" w14:textId="1D86FC47" w:rsidR="0004729F" w:rsidRPr="007E3B9C" w:rsidRDefault="0004729F">
            <w:pPr>
              <w:pStyle w:val="TableText0"/>
              <w:rPr>
                <w:b/>
                <w:bCs w:val="0"/>
              </w:rPr>
            </w:pPr>
            <w:r w:rsidRPr="007E3B9C">
              <w:rPr>
                <w:b/>
                <w:bCs w:val="0"/>
              </w:rPr>
              <w:t>Parametric function used for A+L OS (base case: Weibull)</w:t>
            </w:r>
          </w:p>
        </w:tc>
      </w:tr>
      <w:tr w:rsidR="0004729F" w:rsidRPr="008B6851" w14:paraId="4FB232C4" w14:textId="77777777" w:rsidTr="589E218A">
        <w:trPr>
          <w:cantSplit/>
          <w:trHeight w:val="20"/>
        </w:trPr>
        <w:tc>
          <w:tcPr>
            <w:tcW w:w="1894" w:type="pct"/>
          </w:tcPr>
          <w:p w14:paraId="7C0ED0BF" w14:textId="77777777" w:rsidR="0004729F" w:rsidRPr="008B6851" w:rsidRDefault="0004729F">
            <w:pPr>
              <w:pStyle w:val="TableText0"/>
            </w:pPr>
            <w:r w:rsidRPr="008B6851">
              <w:t>Gompertz [2]</w:t>
            </w:r>
          </w:p>
        </w:tc>
        <w:tc>
          <w:tcPr>
            <w:tcW w:w="777" w:type="pct"/>
          </w:tcPr>
          <w:p w14:paraId="5F6B3BE0" w14:textId="4FBC1E56" w:rsidR="0004729F" w:rsidRPr="008B6851" w:rsidRDefault="0004729F">
            <w:pPr>
              <w:pStyle w:val="TableText0"/>
              <w:jc w:val="center"/>
            </w:pPr>
            <w:r w:rsidRPr="008B6851">
              <w:t>-$</w:t>
            </w:r>
            <w:r w:rsidR="007A7746" w:rsidRPr="007A7746">
              <w:rPr>
                <w:rFonts w:hint="eastAsia"/>
                <w:color w:val="000000"/>
                <w:w w:val="15"/>
                <w:shd w:val="solid" w:color="000000" w:fill="000000"/>
                <w:fitText w:val="35" w:id="-693980150"/>
                <w14:textFill>
                  <w14:solidFill>
                    <w14:srgbClr w14:val="000000">
                      <w14:alpha w14:val="100000"/>
                    </w14:srgbClr>
                  </w14:solidFill>
                </w14:textFill>
              </w:rPr>
              <w:t xml:space="preserve">　</w:t>
            </w:r>
            <w:r w:rsidR="007A7746" w:rsidRPr="007A7746">
              <w:rPr>
                <w:color w:val="000000"/>
                <w:w w:val="15"/>
                <w:shd w:val="solid" w:color="000000" w:fill="000000"/>
                <w:fitText w:val="35" w:id="-693980150"/>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50"/>
                <w14:textFill>
                  <w14:solidFill>
                    <w14:srgbClr w14:val="000000">
                      <w14:alpha w14:val="100000"/>
                    </w14:srgbClr>
                  </w14:solidFill>
                </w14:textFill>
              </w:rPr>
              <w:t xml:space="preserve">　</w:t>
            </w:r>
          </w:p>
        </w:tc>
        <w:tc>
          <w:tcPr>
            <w:tcW w:w="777" w:type="pct"/>
          </w:tcPr>
          <w:p w14:paraId="2FE4F065" w14:textId="77777777" w:rsidR="0004729F" w:rsidRPr="007E3B9C" w:rsidRDefault="0004729F">
            <w:pPr>
              <w:pStyle w:val="TableText0"/>
              <w:jc w:val="center"/>
            </w:pPr>
            <w:r w:rsidRPr="007E3B9C">
              <w:t>0.3796</w:t>
            </w:r>
          </w:p>
        </w:tc>
        <w:tc>
          <w:tcPr>
            <w:tcW w:w="952" w:type="pct"/>
          </w:tcPr>
          <w:p w14:paraId="7CE71B5E" w14:textId="77777777" w:rsidR="0004729F" w:rsidRPr="008B6851" w:rsidRDefault="0004729F">
            <w:pPr>
              <w:pStyle w:val="TableText0"/>
              <w:jc w:val="center"/>
            </w:pPr>
            <w:r w:rsidRPr="008B6851">
              <w:t>A+L dominant</w:t>
            </w:r>
          </w:p>
        </w:tc>
        <w:tc>
          <w:tcPr>
            <w:tcW w:w="600" w:type="pct"/>
          </w:tcPr>
          <w:p w14:paraId="4911ECB2" w14:textId="7F7158DB" w:rsidR="0004729F" w:rsidRPr="008B6851" w:rsidRDefault="0004729F">
            <w:pPr>
              <w:pStyle w:val="TableText0"/>
              <w:jc w:val="center"/>
            </w:pPr>
            <w:r w:rsidRPr="008B6851">
              <w:t>-</w:t>
            </w:r>
            <w:r w:rsidR="007A7746" w:rsidRPr="007A7746">
              <w:rPr>
                <w:color w:val="000000"/>
                <w:spacing w:val="45"/>
                <w:shd w:val="solid" w:color="000000" w:fill="000000"/>
                <w:fitText w:val="219" w:id="-693980149"/>
                <w14:textFill>
                  <w14:solidFill>
                    <w14:srgbClr w14:val="000000">
                      <w14:alpha w14:val="100000"/>
                    </w14:srgbClr>
                  </w14:solidFill>
                </w14:textFill>
              </w:rPr>
              <w:t>||</w:t>
            </w:r>
            <w:r w:rsidR="007A7746" w:rsidRPr="007A7746">
              <w:rPr>
                <w:color w:val="000000"/>
                <w:spacing w:val="2"/>
                <w:shd w:val="solid" w:color="000000" w:fill="000000"/>
                <w:fitText w:val="219" w:id="-693980149"/>
                <w14:textFill>
                  <w14:solidFill>
                    <w14:srgbClr w14:val="000000">
                      <w14:alpha w14:val="100000"/>
                    </w14:srgbClr>
                  </w14:solidFill>
                </w14:textFill>
              </w:rPr>
              <w:t>|</w:t>
            </w:r>
            <w:r w:rsidRPr="008B6851">
              <w:t>%</w:t>
            </w:r>
          </w:p>
        </w:tc>
      </w:tr>
      <w:tr w:rsidR="0004729F" w:rsidRPr="008B6851" w14:paraId="3160241F" w14:textId="77777777" w:rsidTr="589E218A">
        <w:trPr>
          <w:cantSplit/>
          <w:trHeight w:val="20"/>
        </w:trPr>
        <w:tc>
          <w:tcPr>
            <w:tcW w:w="5000" w:type="pct"/>
            <w:gridSpan w:val="5"/>
          </w:tcPr>
          <w:p w14:paraId="02527BB3" w14:textId="77777777" w:rsidR="0004729F" w:rsidRPr="007E3B9C" w:rsidRDefault="0004729F" w:rsidP="589E218A">
            <w:pPr>
              <w:pStyle w:val="TableText0"/>
              <w:rPr>
                <w:b/>
              </w:rPr>
            </w:pPr>
            <w:r w:rsidRPr="007E3B9C">
              <w:rPr>
                <w:b/>
              </w:rPr>
              <w:t>Assumed discount from list price for osimertinib and atezolizumab (base case: no discount)</w:t>
            </w:r>
          </w:p>
        </w:tc>
      </w:tr>
      <w:tr w:rsidR="0004729F" w:rsidRPr="008B6851" w14:paraId="29CA344B" w14:textId="77777777" w:rsidTr="589E218A">
        <w:trPr>
          <w:cantSplit/>
          <w:trHeight w:val="20"/>
        </w:trPr>
        <w:tc>
          <w:tcPr>
            <w:tcW w:w="1894" w:type="pct"/>
          </w:tcPr>
          <w:p w14:paraId="5056858A" w14:textId="77777777" w:rsidR="0004729F" w:rsidRPr="008B6851" w:rsidRDefault="0004729F">
            <w:pPr>
              <w:pStyle w:val="TableText0"/>
            </w:pPr>
            <w:r w:rsidRPr="008B6851">
              <w:t>25% discount from list on both</w:t>
            </w:r>
          </w:p>
        </w:tc>
        <w:tc>
          <w:tcPr>
            <w:tcW w:w="777" w:type="pct"/>
          </w:tcPr>
          <w:p w14:paraId="224DEC88" w14:textId="31143EDC" w:rsidR="0004729F" w:rsidRPr="008B6851" w:rsidRDefault="0004729F">
            <w:pPr>
              <w:pStyle w:val="TableText0"/>
              <w:jc w:val="center"/>
            </w:pPr>
            <w:r w:rsidRPr="008B6851">
              <w:t>$</w:t>
            </w:r>
            <w:r w:rsidR="007A7746" w:rsidRPr="007A7746">
              <w:rPr>
                <w:color w:val="000000"/>
                <w:shd w:val="solid" w:color="000000" w:fill="000000"/>
                <w14:textFill>
                  <w14:solidFill>
                    <w14:srgbClr w14:val="000000">
                      <w14:alpha w14:val="100000"/>
                    </w14:srgbClr>
                  </w14:solidFill>
                </w14:textFill>
              </w:rPr>
              <w:t>|</w:t>
            </w:r>
          </w:p>
        </w:tc>
        <w:tc>
          <w:tcPr>
            <w:tcW w:w="777" w:type="pct"/>
          </w:tcPr>
          <w:p w14:paraId="2277D860" w14:textId="77777777" w:rsidR="0004729F" w:rsidRPr="007E3B9C" w:rsidRDefault="0004729F">
            <w:pPr>
              <w:pStyle w:val="TableText0"/>
              <w:jc w:val="center"/>
            </w:pPr>
            <w:r w:rsidRPr="007E3B9C">
              <w:t>1.094</w:t>
            </w:r>
          </w:p>
        </w:tc>
        <w:tc>
          <w:tcPr>
            <w:tcW w:w="952" w:type="pct"/>
          </w:tcPr>
          <w:p w14:paraId="6AB4B2D7" w14:textId="18F00681" w:rsidR="0004729F" w:rsidRPr="008B6851" w:rsidRDefault="0004729F">
            <w:pPr>
              <w:pStyle w:val="TableText0"/>
              <w:jc w:val="center"/>
            </w:pPr>
            <w:r w:rsidRPr="008B6851">
              <w:t>$</w:t>
            </w:r>
            <w:r w:rsidR="007A7746" w:rsidRPr="007A7746">
              <w:rPr>
                <w:color w:val="000000"/>
                <w:shd w:val="solid" w:color="000000" w:fill="000000"/>
                <w14:textFill>
                  <w14:solidFill>
                    <w14:srgbClr w14:val="000000">
                      <w14:alpha w14:val="100000"/>
                    </w14:srgbClr>
                  </w14:solidFill>
                </w14:textFill>
              </w:rPr>
              <w:t>|</w:t>
            </w:r>
            <w:r w:rsidR="00FE652C" w:rsidRPr="00FE652C">
              <w:rPr>
                <w:vertAlign w:val="superscript"/>
              </w:rPr>
              <w:t>1</w:t>
            </w:r>
          </w:p>
        </w:tc>
        <w:tc>
          <w:tcPr>
            <w:tcW w:w="600" w:type="pct"/>
          </w:tcPr>
          <w:p w14:paraId="313DC563" w14:textId="7D1E16B3" w:rsidR="0004729F" w:rsidRPr="008B6851" w:rsidRDefault="007A7746">
            <w:pPr>
              <w:pStyle w:val="TableText0"/>
              <w:jc w:val="center"/>
            </w:pPr>
            <w:r w:rsidRPr="007A7746">
              <w:rPr>
                <w:color w:val="000000"/>
                <w:spacing w:val="98"/>
                <w:shd w:val="solid" w:color="000000" w:fill="000000"/>
                <w:fitText w:val="184" w:id="-693980148"/>
                <w14:textFill>
                  <w14:solidFill>
                    <w14:srgbClr w14:val="000000">
                      <w14:alpha w14:val="100000"/>
                    </w14:srgbClr>
                  </w14:solidFill>
                </w14:textFill>
              </w:rPr>
              <w:t>|</w:t>
            </w:r>
            <w:r w:rsidRPr="007A7746">
              <w:rPr>
                <w:color w:val="000000"/>
                <w:spacing w:val="1"/>
                <w:shd w:val="solid" w:color="000000" w:fill="000000"/>
                <w:fitText w:val="184" w:id="-693980148"/>
                <w14:textFill>
                  <w14:solidFill>
                    <w14:srgbClr w14:val="000000">
                      <w14:alpha w14:val="100000"/>
                    </w14:srgbClr>
                  </w14:solidFill>
                </w14:textFill>
              </w:rPr>
              <w:t>|</w:t>
            </w:r>
            <w:r w:rsidR="0004729F" w:rsidRPr="008B6851">
              <w:t>%</w:t>
            </w:r>
          </w:p>
        </w:tc>
      </w:tr>
      <w:tr w:rsidR="0004729F" w:rsidRPr="008B6851" w14:paraId="1DB76292" w14:textId="77777777" w:rsidTr="589E218A">
        <w:trPr>
          <w:cantSplit/>
          <w:trHeight w:val="20"/>
        </w:trPr>
        <w:tc>
          <w:tcPr>
            <w:tcW w:w="1894" w:type="pct"/>
          </w:tcPr>
          <w:p w14:paraId="4D44E61B" w14:textId="77777777" w:rsidR="0004729F" w:rsidRPr="008B6851" w:rsidRDefault="0004729F">
            <w:pPr>
              <w:pStyle w:val="TableText0"/>
            </w:pPr>
            <w:r w:rsidRPr="008B6851">
              <w:t>50% discount from list on both</w:t>
            </w:r>
          </w:p>
        </w:tc>
        <w:tc>
          <w:tcPr>
            <w:tcW w:w="777" w:type="pct"/>
          </w:tcPr>
          <w:p w14:paraId="673C70E0" w14:textId="0D72C62B" w:rsidR="0004729F" w:rsidRPr="008B6851" w:rsidRDefault="0004729F">
            <w:pPr>
              <w:pStyle w:val="TableText0"/>
              <w:jc w:val="center"/>
            </w:pPr>
            <w:r w:rsidRPr="008B6851">
              <w:t>$</w:t>
            </w:r>
            <w:r w:rsidR="007A7746" w:rsidRPr="007A7746">
              <w:rPr>
                <w:color w:val="000000"/>
                <w:shd w:val="solid" w:color="000000" w:fill="000000"/>
                <w14:textFill>
                  <w14:solidFill>
                    <w14:srgbClr w14:val="000000">
                      <w14:alpha w14:val="100000"/>
                    </w14:srgbClr>
                  </w14:solidFill>
                </w14:textFill>
              </w:rPr>
              <w:t>|</w:t>
            </w:r>
          </w:p>
        </w:tc>
        <w:tc>
          <w:tcPr>
            <w:tcW w:w="777" w:type="pct"/>
          </w:tcPr>
          <w:p w14:paraId="14C31DC4" w14:textId="77777777" w:rsidR="0004729F" w:rsidRPr="007E3B9C" w:rsidRDefault="0004729F">
            <w:pPr>
              <w:pStyle w:val="TableText0"/>
              <w:jc w:val="center"/>
            </w:pPr>
            <w:r w:rsidRPr="007E3B9C">
              <w:t>1.094</w:t>
            </w:r>
          </w:p>
        </w:tc>
        <w:tc>
          <w:tcPr>
            <w:tcW w:w="952" w:type="pct"/>
          </w:tcPr>
          <w:p w14:paraId="1C599A42" w14:textId="3DAD3C6E" w:rsidR="0004729F" w:rsidRPr="008B6851" w:rsidRDefault="0004729F">
            <w:pPr>
              <w:pStyle w:val="TableText0"/>
              <w:jc w:val="center"/>
            </w:pPr>
            <w:r w:rsidRPr="008B6851">
              <w:t>$</w:t>
            </w:r>
            <w:r w:rsidR="007A7746" w:rsidRPr="007A7746">
              <w:rPr>
                <w:color w:val="000000"/>
                <w:shd w:val="solid" w:color="000000" w:fill="000000"/>
                <w14:textFill>
                  <w14:solidFill>
                    <w14:srgbClr w14:val="000000">
                      <w14:alpha w14:val="100000"/>
                    </w14:srgbClr>
                  </w14:solidFill>
                </w14:textFill>
              </w:rPr>
              <w:t>|</w:t>
            </w:r>
            <w:r w:rsidR="00FE652C" w:rsidRPr="00FE652C">
              <w:rPr>
                <w:vertAlign w:val="superscript"/>
              </w:rPr>
              <w:t>2</w:t>
            </w:r>
          </w:p>
        </w:tc>
        <w:tc>
          <w:tcPr>
            <w:tcW w:w="600" w:type="pct"/>
          </w:tcPr>
          <w:p w14:paraId="347F9657" w14:textId="1DD9F422" w:rsidR="0004729F" w:rsidRPr="008B6851" w:rsidRDefault="007A7746">
            <w:pPr>
              <w:pStyle w:val="TableText0"/>
              <w:jc w:val="center"/>
            </w:pPr>
            <w:r w:rsidRPr="007A7746">
              <w:rPr>
                <w:color w:val="000000"/>
                <w:spacing w:val="98"/>
                <w:shd w:val="solid" w:color="000000" w:fill="000000"/>
                <w:fitText w:val="184" w:id="-693980147"/>
                <w14:textFill>
                  <w14:solidFill>
                    <w14:srgbClr w14:val="000000">
                      <w14:alpha w14:val="100000"/>
                    </w14:srgbClr>
                  </w14:solidFill>
                </w14:textFill>
              </w:rPr>
              <w:t>|</w:t>
            </w:r>
            <w:r w:rsidRPr="007A7746">
              <w:rPr>
                <w:color w:val="000000"/>
                <w:spacing w:val="1"/>
                <w:shd w:val="solid" w:color="000000" w:fill="000000"/>
                <w:fitText w:val="184" w:id="-693980147"/>
                <w14:textFill>
                  <w14:solidFill>
                    <w14:srgbClr w14:val="000000">
                      <w14:alpha w14:val="100000"/>
                    </w14:srgbClr>
                  </w14:solidFill>
                </w14:textFill>
              </w:rPr>
              <w:t>|</w:t>
            </w:r>
            <w:r w:rsidR="0004729F" w:rsidRPr="008B6851">
              <w:t>%</w:t>
            </w:r>
          </w:p>
        </w:tc>
      </w:tr>
      <w:tr w:rsidR="0004729F" w:rsidRPr="008B6851" w14:paraId="71EF6DBD" w14:textId="77777777" w:rsidTr="589E218A">
        <w:trPr>
          <w:cantSplit/>
          <w:trHeight w:val="20"/>
        </w:trPr>
        <w:tc>
          <w:tcPr>
            <w:tcW w:w="5000" w:type="pct"/>
            <w:gridSpan w:val="5"/>
          </w:tcPr>
          <w:p w14:paraId="1F4D4226" w14:textId="5EE9636C" w:rsidR="0004729F" w:rsidRPr="007E3B9C" w:rsidRDefault="0004729F">
            <w:pPr>
              <w:pStyle w:val="TableText0"/>
              <w:rPr>
                <w:b/>
                <w:bCs w:val="0"/>
                <w:vertAlign w:val="superscript"/>
              </w:rPr>
            </w:pPr>
            <w:r w:rsidRPr="007E3B9C">
              <w:rPr>
                <w:b/>
                <w:bCs w:val="0"/>
              </w:rPr>
              <w:t xml:space="preserve">Compliance (base case: </w:t>
            </w:r>
            <w:r w:rsidRPr="007E3B9C">
              <w:rPr>
                <w:b/>
                <w:bCs w:val="0"/>
              </w:rPr>
              <w:fldChar w:fldCharType="begin"/>
            </w:r>
            <w:r w:rsidRPr="007E3B9C">
              <w:rPr>
                <w:b/>
                <w:bCs w:val="0"/>
              </w:rPr>
              <w:instrText xml:space="preserve"> REF _Ref185933804 \h  \* MERGEFORMAT </w:instrText>
            </w:r>
            <w:r w:rsidRPr="007E3B9C">
              <w:rPr>
                <w:b/>
                <w:bCs w:val="0"/>
              </w:rPr>
            </w:r>
            <w:r w:rsidRPr="007E3B9C">
              <w:rPr>
                <w:b/>
                <w:bCs w:val="0"/>
              </w:rPr>
              <w:fldChar w:fldCharType="separate"/>
            </w:r>
            <w:r w:rsidR="00184F9A" w:rsidRPr="00184F9A">
              <w:rPr>
                <w:b/>
                <w:bCs w:val="0"/>
              </w:rPr>
              <w:t xml:space="preserve">Table </w:t>
            </w:r>
            <w:r w:rsidR="00184F9A" w:rsidRPr="00184F9A">
              <w:rPr>
                <w:b/>
                <w:bCs w:val="0"/>
                <w:noProof/>
              </w:rPr>
              <w:t>9</w:t>
            </w:r>
            <w:r w:rsidRPr="007E3B9C">
              <w:rPr>
                <w:b/>
                <w:bCs w:val="0"/>
              </w:rPr>
              <w:fldChar w:fldCharType="end"/>
            </w:r>
            <w:r w:rsidRPr="007E3B9C">
              <w:rPr>
                <w:b/>
                <w:bCs w:val="0"/>
              </w:rPr>
              <w:t xml:space="preserve">) </w:t>
            </w:r>
            <w:r w:rsidRPr="007E3B9C">
              <w:rPr>
                <w:b/>
                <w:bCs w:val="0"/>
                <w:vertAlign w:val="superscript"/>
              </w:rPr>
              <w:t>a</w:t>
            </w:r>
          </w:p>
        </w:tc>
      </w:tr>
      <w:tr w:rsidR="0004729F" w:rsidRPr="008B6851" w14:paraId="7B4E6B53" w14:textId="77777777" w:rsidTr="589E218A">
        <w:trPr>
          <w:cantSplit/>
          <w:trHeight w:val="20"/>
        </w:trPr>
        <w:tc>
          <w:tcPr>
            <w:tcW w:w="1894" w:type="pct"/>
          </w:tcPr>
          <w:p w14:paraId="0951E5DF" w14:textId="25CA3429" w:rsidR="0004729F" w:rsidRPr="008B6851" w:rsidRDefault="0004729F">
            <w:pPr>
              <w:pStyle w:val="TableText0"/>
            </w:pPr>
            <w:r w:rsidRPr="008B6851">
              <w:t>Calculated by the evaluation (</w:t>
            </w:r>
            <w:r w:rsidRPr="008B6851">
              <w:fldChar w:fldCharType="begin"/>
            </w:r>
            <w:r w:rsidRPr="008B6851">
              <w:instrText xml:space="preserve"> REF _Ref185934001 \h </w:instrText>
            </w:r>
            <w:r w:rsidR="008B6851" w:rsidRPr="008B6851">
              <w:instrText xml:space="preserve"> \* MERGEFORMAT </w:instrText>
            </w:r>
            <w:r w:rsidRPr="008B6851">
              <w:fldChar w:fldCharType="separate"/>
            </w:r>
            <w:r w:rsidR="00184F9A" w:rsidRPr="004D75BF">
              <w:t xml:space="preserve">Table </w:t>
            </w:r>
            <w:r w:rsidR="00184F9A">
              <w:rPr>
                <w:noProof/>
              </w:rPr>
              <w:t>10</w:t>
            </w:r>
            <w:r w:rsidRPr="008B6851">
              <w:fldChar w:fldCharType="end"/>
            </w:r>
            <w:r w:rsidRPr="008B6851">
              <w:t>) [3]</w:t>
            </w:r>
          </w:p>
        </w:tc>
        <w:tc>
          <w:tcPr>
            <w:tcW w:w="777" w:type="pct"/>
          </w:tcPr>
          <w:p w14:paraId="25EC5961" w14:textId="4F566731" w:rsidR="0004729F" w:rsidRPr="008B6851" w:rsidRDefault="0004729F">
            <w:pPr>
              <w:pStyle w:val="TableText0"/>
              <w:jc w:val="center"/>
            </w:pPr>
            <w:r w:rsidRPr="008B6851">
              <w:t>$</w:t>
            </w:r>
            <w:r w:rsidR="007A7746" w:rsidRPr="007A7746">
              <w:rPr>
                <w:color w:val="000000"/>
                <w:shd w:val="solid" w:color="000000" w:fill="000000"/>
                <w14:textFill>
                  <w14:solidFill>
                    <w14:srgbClr w14:val="000000">
                      <w14:alpha w14:val="100000"/>
                    </w14:srgbClr>
                  </w14:solidFill>
                </w14:textFill>
              </w:rPr>
              <w:t>|</w:t>
            </w:r>
          </w:p>
        </w:tc>
        <w:tc>
          <w:tcPr>
            <w:tcW w:w="777" w:type="pct"/>
          </w:tcPr>
          <w:p w14:paraId="772DAF02" w14:textId="77777777" w:rsidR="0004729F" w:rsidRPr="007E3B9C" w:rsidRDefault="0004729F">
            <w:pPr>
              <w:pStyle w:val="TableText0"/>
              <w:jc w:val="center"/>
            </w:pPr>
            <w:r w:rsidRPr="007E3B9C">
              <w:t>1.0940</w:t>
            </w:r>
          </w:p>
        </w:tc>
        <w:tc>
          <w:tcPr>
            <w:tcW w:w="952" w:type="pct"/>
          </w:tcPr>
          <w:p w14:paraId="2E9FD896" w14:textId="7450116B" w:rsidR="0004729F" w:rsidRPr="008B6851" w:rsidRDefault="0004729F">
            <w:pPr>
              <w:pStyle w:val="TableText0"/>
              <w:jc w:val="center"/>
            </w:pPr>
            <w:r w:rsidRPr="008B6851">
              <w:t>$</w:t>
            </w:r>
            <w:r w:rsidR="007A7746" w:rsidRPr="007A7746">
              <w:rPr>
                <w:color w:val="000000"/>
                <w:shd w:val="solid" w:color="000000" w:fill="000000"/>
                <w14:textFill>
                  <w14:solidFill>
                    <w14:srgbClr w14:val="000000">
                      <w14:alpha w14:val="100000"/>
                    </w14:srgbClr>
                  </w14:solidFill>
                </w14:textFill>
              </w:rPr>
              <w:t>|</w:t>
            </w:r>
            <w:r w:rsidR="00AB3B70" w:rsidRPr="00AB3B70">
              <w:rPr>
                <w:vertAlign w:val="superscript"/>
              </w:rPr>
              <w:t>3</w:t>
            </w:r>
          </w:p>
        </w:tc>
        <w:tc>
          <w:tcPr>
            <w:tcW w:w="600" w:type="pct"/>
          </w:tcPr>
          <w:p w14:paraId="4544CBE2" w14:textId="4A9D9B4C" w:rsidR="0004729F" w:rsidRPr="008B6851" w:rsidRDefault="007A7746">
            <w:pPr>
              <w:pStyle w:val="TableText0"/>
              <w:jc w:val="center"/>
            </w:pPr>
            <w:r w:rsidRPr="007A7746">
              <w:rPr>
                <w:color w:val="000000"/>
                <w:spacing w:val="98"/>
                <w:shd w:val="solid" w:color="000000" w:fill="000000"/>
                <w:fitText w:val="184" w:id="-693980146"/>
                <w14:textFill>
                  <w14:solidFill>
                    <w14:srgbClr w14:val="000000">
                      <w14:alpha w14:val="100000"/>
                    </w14:srgbClr>
                  </w14:solidFill>
                </w14:textFill>
              </w:rPr>
              <w:t>|</w:t>
            </w:r>
            <w:r w:rsidRPr="007A7746">
              <w:rPr>
                <w:color w:val="000000"/>
                <w:spacing w:val="1"/>
                <w:shd w:val="solid" w:color="000000" w:fill="000000"/>
                <w:fitText w:val="184" w:id="-693980146"/>
                <w14:textFill>
                  <w14:solidFill>
                    <w14:srgbClr w14:val="000000">
                      <w14:alpha w14:val="100000"/>
                    </w14:srgbClr>
                  </w14:solidFill>
                </w14:textFill>
              </w:rPr>
              <w:t>|</w:t>
            </w:r>
            <w:r w:rsidR="0004729F" w:rsidRPr="008B6851">
              <w:t>%</w:t>
            </w:r>
          </w:p>
        </w:tc>
      </w:tr>
      <w:tr w:rsidR="0004729F" w:rsidRPr="008B6851" w14:paraId="426CC01E" w14:textId="77777777" w:rsidTr="589E218A">
        <w:trPr>
          <w:cantSplit/>
          <w:trHeight w:val="20"/>
        </w:trPr>
        <w:tc>
          <w:tcPr>
            <w:tcW w:w="5000" w:type="pct"/>
            <w:gridSpan w:val="5"/>
            <w:vAlign w:val="center"/>
          </w:tcPr>
          <w:p w14:paraId="0A784146" w14:textId="77777777" w:rsidR="0004729F" w:rsidRPr="007E3B9C" w:rsidRDefault="0004729F">
            <w:pPr>
              <w:pStyle w:val="TableText0"/>
            </w:pPr>
            <w:r w:rsidRPr="007E3B9C">
              <w:rPr>
                <w:b/>
                <w:bCs w:val="0"/>
              </w:rPr>
              <w:t>Multivariate analysis</w:t>
            </w:r>
          </w:p>
        </w:tc>
      </w:tr>
      <w:tr w:rsidR="0004729F" w:rsidRPr="008B6851" w14:paraId="725D877B" w14:textId="77777777" w:rsidTr="589E218A">
        <w:trPr>
          <w:cantSplit/>
          <w:trHeight w:val="20"/>
        </w:trPr>
        <w:tc>
          <w:tcPr>
            <w:tcW w:w="1894" w:type="pct"/>
          </w:tcPr>
          <w:p w14:paraId="611326BF" w14:textId="77777777" w:rsidR="0004729F" w:rsidRPr="008B6851" w:rsidRDefault="0004729F">
            <w:pPr>
              <w:pStyle w:val="TableText0"/>
            </w:pPr>
            <w:r w:rsidRPr="008B6851">
              <w:t>1+2</w:t>
            </w:r>
          </w:p>
        </w:tc>
        <w:tc>
          <w:tcPr>
            <w:tcW w:w="777" w:type="pct"/>
          </w:tcPr>
          <w:p w14:paraId="36C26426" w14:textId="72F6D074" w:rsidR="0004729F" w:rsidRPr="008B6851" w:rsidRDefault="0004729F">
            <w:pPr>
              <w:pStyle w:val="TableText0"/>
              <w:jc w:val="center"/>
            </w:pPr>
            <w:r w:rsidRPr="008B6851">
              <w:t>-$</w:t>
            </w:r>
            <w:r w:rsidR="007A7746" w:rsidRPr="007A7746">
              <w:rPr>
                <w:rFonts w:hint="eastAsia"/>
                <w:color w:val="000000"/>
                <w:w w:val="15"/>
                <w:shd w:val="solid" w:color="000000" w:fill="000000"/>
                <w:fitText w:val="35" w:id="-693980145"/>
                <w14:textFill>
                  <w14:solidFill>
                    <w14:srgbClr w14:val="000000">
                      <w14:alpha w14:val="100000"/>
                    </w14:srgbClr>
                  </w14:solidFill>
                </w14:textFill>
              </w:rPr>
              <w:t xml:space="preserve">　</w:t>
            </w:r>
            <w:r w:rsidR="007A7746" w:rsidRPr="007A7746">
              <w:rPr>
                <w:color w:val="000000"/>
                <w:w w:val="15"/>
                <w:shd w:val="solid" w:color="000000" w:fill="000000"/>
                <w:fitText w:val="35" w:id="-693980145"/>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45"/>
                <w14:textFill>
                  <w14:solidFill>
                    <w14:srgbClr w14:val="000000">
                      <w14:alpha w14:val="100000"/>
                    </w14:srgbClr>
                  </w14:solidFill>
                </w14:textFill>
              </w:rPr>
              <w:t xml:space="preserve">　</w:t>
            </w:r>
          </w:p>
        </w:tc>
        <w:tc>
          <w:tcPr>
            <w:tcW w:w="777" w:type="pct"/>
          </w:tcPr>
          <w:p w14:paraId="5A88DBD2" w14:textId="77777777" w:rsidR="0004729F" w:rsidRPr="007E3B9C" w:rsidRDefault="0004729F">
            <w:pPr>
              <w:pStyle w:val="TableText0"/>
              <w:jc w:val="center"/>
            </w:pPr>
            <w:r w:rsidRPr="007E3B9C">
              <w:t>0.3356</w:t>
            </w:r>
          </w:p>
        </w:tc>
        <w:tc>
          <w:tcPr>
            <w:tcW w:w="952" w:type="pct"/>
          </w:tcPr>
          <w:p w14:paraId="4F65F535" w14:textId="77777777" w:rsidR="0004729F" w:rsidRPr="008B6851" w:rsidRDefault="0004729F">
            <w:pPr>
              <w:pStyle w:val="TableText0"/>
              <w:jc w:val="center"/>
            </w:pPr>
            <w:r w:rsidRPr="008B6851">
              <w:t>A+L dominant</w:t>
            </w:r>
          </w:p>
        </w:tc>
        <w:tc>
          <w:tcPr>
            <w:tcW w:w="600" w:type="pct"/>
          </w:tcPr>
          <w:p w14:paraId="157CDE01" w14:textId="74CE15AC" w:rsidR="0004729F" w:rsidRPr="008B6851" w:rsidRDefault="0004729F">
            <w:pPr>
              <w:pStyle w:val="TableText0"/>
              <w:jc w:val="center"/>
            </w:pPr>
            <w:r w:rsidRPr="008B6851">
              <w:t>-</w:t>
            </w:r>
            <w:r w:rsidR="007A7746" w:rsidRPr="007A7746">
              <w:rPr>
                <w:color w:val="000000"/>
                <w:spacing w:val="45"/>
                <w:shd w:val="solid" w:color="000000" w:fill="000000"/>
                <w:fitText w:val="219" w:id="-693980144"/>
                <w14:textFill>
                  <w14:solidFill>
                    <w14:srgbClr w14:val="000000">
                      <w14:alpha w14:val="100000"/>
                    </w14:srgbClr>
                  </w14:solidFill>
                </w14:textFill>
              </w:rPr>
              <w:t>||</w:t>
            </w:r>
            <w:r w:rsidR="007A7746" w:rsidRPr="007A7746">
              <w:rPr>
                <w:color w:val="000000"/>
                <w:spacing w:val="2"/>
                <w:shd w:val="solid" w:color="000000" w:fill="000000"/>
                <w:fitText w:val="219" w:id="-693980144"/>
                <w14:textFill>
                  <w14:solidFill>
                    <w14:srgbClr w14:val="000000">
                      <w14:alpha w14:val="100000"/>
                    </w14:srgbClr>
                  </w14:solidFill>
                </w14:textFill>
              </w:rPr>
              <w:t>|</w:t>
            </w:r>
            <w:r w:rsidRPr="008B6851">
              <w:t>%</w:t>
            </w:r>
          </w:p>
        </w:tc>
      </w:tr>
      <w:tr w:rsidR="0004729F" w:rsidRPr="008B6851" w14:paraId="17CAC400" w14:textId="77777777" w:rsidTr="589E218A">
        <w:trPr>
          <w:cantSplit/>
          <w:trHeight w:val="20"/>
        </w:trPr>
        <w:tc>
          <w:tcPr>
            <w:tcW w:w="1894" w:type="pct"/>
          </w:tcPr>
          <w:p w14:paraId="09235F97" w14:textId="77777777" w:rsidR="0004729F" w:rsidRPr="008B6851" w:rsidRDefault="0004729F">
            <w:pPr>
              <w:pStyle w:val="TableText0"/>
            </w:pPr>
            <w:r w:rsidRPr="008B6851">
              <w:t>1+2+3</w:t>
            </w:r>
          </w:p>
        </w:tc>
        <w:tc>
          <w:tcPr>
            <w:tcW w:w="777" w:type="pct"/>
          </w:tcPr>
          <w:p w14:paraId="2D16D888" w14:textId="4C4E2B72" w:rsidR="0004729F" w:rsidRPr="008B6851" w:rsidRDefault="0004729F">
            <w:pPr>
              <w:pStyle w:val="TableText0"/>
              <w:jc w:val="center"/>
            </w:pPr>
            <w:r w:rsidRPr="008B6851">
              <w:t>-$</w:t>
            </w:r>
            <w:r w:rsidR="007A7746" w:rsidRPr="007A7746">
              <w:rPr>
                <w:rFonts w:hint="eastAsia"/>
                <w:color w:val="000000"/>
                <w:w w:val="15"/>
                <w:shd w:val="solid" w:color="000000" w:fill="000000"/>
                <w:fitText w:val="35" w:id="-693980160"/>
                <w14:textFill>
                  <w14:solidFill>
                    <w14:srgbClr w14:val="000000">
                      <w14:alpha w14:val="100000"/>
                    </w14:srgbClr>
                  </w14:solidFill>
                </w14:textFill>
              </w:rPr>
              <w:t xml:space="preserve">　</w:t>
            </w:r>
            <w:r w:rsidR="007A7746" w:rsidRPr="007A7746">
              <w:rPr>
                <w:color w:val="000000"/>
                <w:w w:val="15"/>
                <w:shd w:val="solid" w:color="000000" w:fill="000000"/>
                <w:fitText w:val="35" w:id="-693980160"/>
                <w14:textFill>
                  <w14:solidFill>
                    <w14:srgbClr w14:val="000000">
                      <w14:alpha w14:val="100000"/>
                    </w14:srgbClr>
                  </w14:solidFill>
                </w14:textFill>
              </w:rPr>
              <w:t>|</w:t>
            </w:r>
            <w:r w:rsidR="007A7746" w:rsidRPr="007A7746">
              <w:rPr>
                <w:rFonts w:hint="eastAsia"/>
                <w:color w:val="000000"/>
                <w:spacing w:val="-30"/>
                <w:w w:val="15"/>
                <w:shd w:val="solid" w:color="000000" w:fill="000000"/>
                <w:fitText w:val="35" w:id="-693980160"/>
                <w14:textFill>
                  <w14:solidFill>
                    <w14:srgbClr w14:val="000000">
                      <w14:alpha w14:val="100000"/>
                    </w14:srgbClr>
                  </w14:solidFill>
                </w14:textFill>
              </w:rPr>
              <w:t xml:space="preserve">　</w:t>
            </w:r>
          </w:p>
        </w:tc>
        <w:tc>
          <w:tcPr>
            <w:tcW w:w="777" w:type="pct"/>
          </w:tcPr>
          <w:p w14:paraId="607DA77B" w14:textId="77777777" w:rsidR="0004729F" w:rsidRPr="007E3B9C" w:rsidRDefault="0004729F">
            <w:pPr>
              <w:pStyle w:val="TableText0"/>
              <w:jc w:val="center"/>
            </w:pPr>
            <w:r w:rsidRPr="007E3B9C">
              <w:t>0.6097</w:t>
            </w:r>
          </w:p>
        </w:tc>
        <w:tc>
          <w:tcPr>
            <w:tcW w:w="952" w:type="pct"/>
          </w:tcPr>
          <w:p w14:paraId="4F8EFDDD" w14:textId="77777777" w:rsidR="0004729F" w:rsidRPr="008B6851" w:rsidRDefault="0004729F">
            <w:pPr>
              <w:pStyle w:val="TableText0"/>
              <w:jc w:val="center"/>
            </w:pPr>
            <w:r w:rsidRPr="008B6851">
              <w:t>A+L dominant</w:t>
            </w:r>
          </w:p>
        </w:tc>
        <w:tc>
          <w:tcPr>
            <w:tcW w:w="600" w:type="pct"/>
          </w:tcPr>
          <w:p w14:paraId="3BADDB81" w14:textId="6B66E4BB" w:rsidR="0004729F" w:rsidRPr="008B6851" w:rsidRDefault="007A7746">
            <w:pPr>
              <w:pStyle w:val="TableText0"/>
              <w:jc w:val="center"/>
            </w:pPr>
            <w:r w:rsidRPr="007A7746">
              <w:rPr>
                <w:color w:val="000000"/>
                <w:spacing w:val="98"/>
                <w:shd w:val="solid" w:color="000000" w:fill="000000"/>
                <w:fitText w:val="184" w:id="-693980159"/>
                <w14:textFill>
                  <w14:solidFill>
                    <w14:srgbClr w14:val="000000">
                      <w14:alpha w14:val="100000"/>
                    </w14:srgbClr>
                  </w14:solidFill>
                </w14:textFill>
              </w:rPr>
              <w:t>|</w:t>
            </w:r>
            <w:r w:rsidRPr="007A7746">
              <w:rPr>
                <w:color w:val="000000"/>
                <w:spacing w:val="1"/>
                <w:shd w:val="solid" w:color="000000" w:fill="000000"/>
                <w:fitText w:val="184" w:id="-693980159"/>
                <w14:textFill>
                  <w14:solidFill>
                    <w14:srgbClr w14:val="000000">
                      <w14:alpha w14:val="100000"/>
                    </w14:srgbClr>
                  </w14:solidFill>
                </w14:textFill>
              </w:rPr>
              <w:t>|</w:t>
            </w:r>
            <w:r w:rsidR="0004729F" w:rsidRPr="008B6851">
              <w:t>%</w:t>
            </w:r>
          </w:p>
        </w:tc>
      </w:tr>
    </w:tbl>
    <w:p w14:paraId="58CDE933" w14:textId="69F7E87B" w:rsidR="0004729F" w:rsidRPr="004D75BF" w:rsidRDefault="0004729F" w:rsidP="007A7746">
      <w:pPr>
        <w:pStyle w:val="TableFigureFooter"/>
      </w:pPr>
      <w:bookmarkStart w:id="108" w:name="_Hlk185939794"/>
      <w:r w:rsidRPr="004D75BF">
        <w:t xml:space="preserve">Source: Table 3.40, pp199-202 of the submission; ‘Attachment 3.1 MARIPOSA </w:t>
      </w:r>
      <w:r w:rsidR="00F639C0" w:rsidRPr="00F639C0">
        <w:rPr>
          <w:i/>
        </w:rPr>
        <w:t>EGFR</w:t>
      </w:r>
      <w:r w:rsidRPr="004D75BF">
        <w:t>m CEA’ of the submission</w:t>
      </w:r>
      <w:bookmarkEnd w:id="108"/>
      <w:r w:rsidRPr="004D75BF">
        <w:t>.</w:t>
      </w:r>
    </w:p>
    <w:p w14:paraId="6E782204" w14:textId="77777777" w:rsidR="0004729F" w:rsidRPr="004D75BF" w:rsidRDefault="0004729F" w:rsidP="007A7746">
      <w:pPr>
        <w:pStyle w:val="TableFigureFooter"/>
      </w:pPr>
      <w:r w:rsidRPr="589E218A">
        <w:t>A+L = amivantamab plus lazertinib, ICER = incremental cost-effectiveness ratio, OS = overall survival, QALY = quality-adjusted life year.</w:t>
      </w:r>
    </w:p>
    <w:p w14:paraId="11BDE127" w14:textId="0A5FDDF7" w:rsidR="0004729F" w:rsidRDefault="0004729F" w:rsidP="007A7746">
      <w:pPr>
        <w:pStyle w:val="TableFigureFooter"/>
      </w:pPr>
      <w:r w:rsidRPr="004D75BF">
        <w:rPr>
          <w:vertAlign w:val="superscript"/>
        </w:rPr>
        <w:t xml:space="preserve">a </w:t>
      </w:r>
      <w:r w:rsidRPr="004D75BF">
        <w:t xml:space="preserve">Changed cells K78:83 to 100% and cells N78:83 as per table 3.6.3 in tab ‘Treatment Costs’ of ‘Attachment 3.1 MARIPOSA </w:t>
      </w:r>
      <w:r w:rsidR="00F639C0" w:rsidRPr="00F639C0">
        <w:rPr>
          <w:i/>
        </w:rPr>
        <w:t>EGFR</w:t>
      </w:r>
      <w:r w:rsidRPr="004D75BF">
        <w:t>m CEA’ of the submission.</w:t>
      </w:r>
    </w:p>
    <w:p w14:paraId="30B5A99B" w14:textId="0196A25C" w:rsidR="00651191" w:rsidRPr="00312487" w:rsidRDefault="00651191" w:rsidP="007A7746">
      <w:pPr>
        <w:pStyle w:val="TableFigureFooter"/>
      </w:pPr>
      <w:r w:rsidRPr="00312487">
        <w:t>Notes: The PSCR noted the results include a small error in the assumed weight distribution of patients &lt; 80kg (from 86.7% to 87.6%).</w:t>
      </w:r>
    </w:p>
    <w:p w14:paraId="0672B6B0" w14:textId="77777777" w:rsidR="008B650E" w:rsidRPr="0048484B" w:rsidRDefault="008B650E" w:rsidP="007A7746">
      <w:pPr>
        <w:pStyle w:val="TableFigureFooter"/>
        <w:rPr>
          <w:i/>
          <w:iCs/>
        </w:rPr>
      </w:pPr>
      <w:r w:rsidRPr="0048484B">
        <w:rPr>
          <w:i/>
          <w:iCs/>
        </w:rPr>
        <w:t>The redacted values correspond to the following ranges:</w:t>
      </w:r>
    </w:p>
    <w:p w14:paraId="645C304A" w14:textId="1DB617E5" w:rsidR="00FE652C" w:rsidRPr="0048484B" w:rsidRDefault="008B650E" w:rsidP="007A7746">
      <w:pPr>
        <w:pStyle w:val="TableFigureFooter"/>
        <w:rPr>
          <w:i/>
          <w:iCs/>
        </w:rPr>
      </w:pPr>
      <w:r w:rsidRPr="0048484B">
        <w:rPr>
          <w:i/>
          <w:iCs/>
          <w:vertAlign w:val="superscript"/>
        </w:rPr>
        <w:t>1</w:t>
      </w:r>
      <w:r w:rsidRPr="0048484B">
        <w:rPr>
          <w:i/>
          <w:iCs/>
        </w:rPr>
        <w:t xml:space="preserve"> $</w:t>
      </w:r>
      <w:r w:rsidR="00FE652C" w:rsidRPr="0048484B">
        <w:rPr>
          <w:i/>
          <w:iCs/>
        </w:rPr>
        <w:t>25,000 to &lt; $35,000</w:t>
      </w:r>
    </w:p>
    <w:p w14:paraId="4E7E6D77" w14:textId="77777777" w:rsidR="008B650E" w:rsidRPr="0048484B" w:rsidRDefault="008B650E" w:rsidP="007A7746">
      <w:pPr>
        <w:pStyle w:val="TableFigureFooter"/>
        <w:rPr>
          <w:i/>
          <w:iCs/>
        </w:rPr>
      </w:pPr>
      <w:r w:rsidRPr="0048484B">
        <w:rPr>
          <w:i/>
          <w:iCs/>
          <w:vertAlign w:val="superscript"/>
        </w:rPr>
        <w:t>2</w:t>
      </w:r>
      <w:r w:rsidRPr="0048484B">
        <w:rPr>
          <w:i/>
          <w:iCs/>
        </w:rPr>
        <w:t xml:space="preserve"> $55,000 to &lt; $75,000</w:t>
      </w:r>
    </w:p>
    <w:p w14:paraId="4E775088" w14:textId="4EAEA9F3" w:rsidR="00312487" w:rsidRPr="0048484B" w:rsidRDefault="008B650E" w:rsidP="007A7746">
      <w:pPr>
        <w:pStyle w:val="TableFigureFooter"/>
        <w:rPr>
          <w:i/>
          <w:iCs/>
        </w:rPr>
      </w:pPr>
      <w:r w:rsidRPr="0048484B">
        <w:rPr>
          <w:i/>
          <w:iCs/>
          <w:vertAlign w:val="superscript"/>
        </w:rPr>
        <w:t>3</w:t>
      </w:r>
      <w:r w:rsidRPr="0048484B">
        <w:rPr>
          <w:i/>
          <w:iCs/>
        </w:rPr>
        <w:t xml:space="preserve"> $</w:t>
      </w:r>
      <w:r w:rsidR="00147341" w:rsidRPr="0048484B">
        <w:rPr>
          <w:i/>
          <w:iCs/>
        </w:rPr>
        <w:t>0 to &lt; $5,000</w:t>
      </w:r>
    </w:p>
    <w:p w14:paraId="3C7345A6" w14:textId="1953D530" w:rsidR="0004729F" w:rsidRPr="004D75BF" w:rsidRDefault="00AE108D" w:rsidP="0004729F">
      <w:pPr>
        <w:pStyle w:val="4-SubsectionHeading"/>
      </w:pPr>
      <w:bookmarkStart w:id="109" w:name="_Toc22897646"/>
      <w:bookmarkStart w:id="110" w:name="_Toc185940015"/>
      <w:bookmarkStart w:id="111" w:name="_Toc188452576"/>
      <w:r>
        <w:t>C</w:t>
      </w:r>
      <w:r w:rsidR="0004729F" w:rsidRPr="004D75BF">
        <w:t>ost/patient/year</w:t>
      </w:r>
      <w:bookmarkEnd w:id="109"/>
      <w:bookmarkEnd w:id="110"/>
      <w:bookmarkEnd w:id="111"/>
    </w:p>
    <w:p w14:paraId="2D43B8CA" w14:textId="325CCECA" w:rsidR="0004729F" w:rsidRPr="004D75BF" w:rsidRDefault="0004729F" w:rsidP="003576D0">
      <w:pPr>
        <w:pStyle w:val="3-BodyText"/>
        <w:ind w:left="709" w:hanging="709"/>
      </w:pPr>
      <w:bookmarkStart w:id="112" w:name="_Ref104805102"/>
      <w:r w:rsidRPr="589E218A">
        <w:t xml:space="preserve">The submission did not </w:t>
      </w:r>
      <w:r w:rsidR="00F96394" w:rsidRPr="589E218A">
        <w:t>estimate the</w:t>
      </w:r>
      <w:r w:rsidR="003C3064" w:rsidRPr="589E218A">
        <w:t xml:space="preserve"> </w:t>
      </w:r>
      <w:r w:rsidRPr="589E218A">
        <w:t xml:space="preserve">drug cost per patient. The evaluation assumed dose intensity </w:t>
      </w:r>
      <w:r w:rsidR="0065101B" w:rsidRPr="589E218A">
        <w:t xml:space="preserve">as reported in </w:t>
      </w:r>
      <w:r w:rsidRPr="002464B3">
        <w:rPr>
          <w:iCs/>
        </w:rPr>
        <w:fldChar w:fldCharType="begin"/>
      </w:r>
      <w:r w:rsidRPr="002464B3">
        <w:rPr>
          <w:iCs/>
        </w:rPr>
        <w:instrText xml:space="preserve"> REF _Ref185934001 \h  \* MERGEFORMAT </w:instrText>
      </w:r>
      <w:r w:rsidRPr="002464B3">
        <w:rPr>
          <w:iCs/>
        </w:rPr>
      </w:r>
      <w:r w:rsidRPr="002464B3">
        <w:rPr>
          <w:iCs/>
        </w:rPr>
        <w:fldChar w:fldCharType="separate"/>
      </w:r>
      <w:r w:rsidR="00184F9A" w:rsidRPr="004D75BF">
        <w:t xml:space="preserve">Table </w:t>
      </w:r>
      <w:r w:rsidR="00184F9A">
        <w:t>10</w:t>
      </w:r>
      <w:r w:rsidRPr="002464B3">
        <w:rPr>
          <w:iCs/>
        </w:rPr>
        <w:fldChar w:fldCharType="end"/>
      </w:r>
      <w:r w:rsidRPr="589E218A">
        <w:t xml:space="preserve"> to estimate the trial mean dose per administration. Amivantamab doses were weighted by </w:t>
      </w:r>
      <w:r w:rsidR="00BF7815" w:rsidRPr="589E218A">
        <w:t xml:space="preserve">the proportion of patients weighing </w:t>
      </w:r>
      <w:r w:rsidRPr="589E218A">
        <w:t xml:space="preserve">&lt;80 kg and </w:t>
      </w:r>
      <w:r w:rsidRPr="589E218A">
        <w:rPr>
          <w:rFonts w:cs="Calibri"/>
        </w:rPr>
        <w:t>≥</w:t>
      </w:r>
      <w:r w:rsidRPr="589E218A">
        <w:t>80 kg. Calculations assumed whole vials, lazertinib DPMQ using Section 85 markups</w:t>
      </w:r>
      <w:bookmarkStart w:id="113" w:name="_Hlk187322959"/>
      <w:r w:rsidRPr="589E218A">
        <w:t xml:space="preserve">, and were </w:t>
      </w:r>
      <w:r w:rsidR="008A5D13" w:rsidRPr="589E218A">
        <w:t>presented</w:t>
      </w:r>
      <w:r w:rsidR="00D27C90" w:rsidRPr="589E218A">
        <w:t xml:space="preserve"> as the c</w:t>
      </w:r>
      <w:r w:rsidR="00DF4CDC" w:rsidRPr="589E218A">
        <w:t>ost per patient per year</w:t>
      </w:r>
      <w:bookmarkEnd w:id="113"/>
      <w:r w:rsidRPr="589E218A">
        <w:t>. Estimates from the economic model and financial model were consistent</w:t>
      </w:r>
      <w:r w:rsidR="00BF5203" w:rsidRPr="589E218A">
        <w:rPr>
          <w:b/>
          <w:bCs/>
        </w:rPr>
        <w:t xml:space="preserve"> </w:t>
      </w:r>
      <w:r w:rsidR="00BF5203" w:rsidRPr="002C7ED7">
        <w:t>when comparing</w:t>
      </w:r>
      <w:r w:rsidR="007117E9" w:rsidRPr="002C7ED7">
        <w:t xml:space="preserve"> the costs over a one year period</w:t>
      </w:r>
      <w:r w:rsidR="00A7305D" w:rsidRPr="002C7ED7">
        <w:t xml:space="preserve">, however </w:t>
      </w:r>
      <w:r w:rsidR="00CB3FC8" w:rsidRPr="002C7ED7">
        <w:t xml:space="preserve">the </w:t>
      </w:r>
      <w:r w:rsidR="00A7305D" w:rsidRPr="002C7ED7">
        <w:t xml:space="preserve">ESC noted </w:t>
      </w:r>
      <w:r w:rsidR="00CB3FC8" w:rsidRPr="002C7ED7">
        <w:t xml:space="preserve">that </w:t>
      </w:r>
      <w:r w:rsidR="004A6C84" w:rsidRPr="002C7ED7">
        <w:t>a comparison of the total cost per patient</w:t>
      </w:r>
      <w:r w:rsidR="00983871">
        <w:t xml:space="preserve"> per course</w:t>
      </w:r>
      <w:r w:rsidR="004A6C84" w:rsidRPr="002C7ED7">
        <w:t xml:space="preserve"> </w:t>
      </w:r>
      <w:r w:rsidR="00FA133C" w:rsidRPr="002C7ED7">
        <w:t>was</w:t>
      </w:r>
      <w:r w:rsidR="002F787F" w:rsidRPr="002C7ED7">
        <w:t xml:space="preserve"> not presented</w:t>
      </w:r>
      <w:r w:rsidRPr="002C7ED7">
        <w:t>.</w:t>
      </w:r>
      <w:r w:rsidRPr="589E218A">
        <w:t xml:space="preserve"> </w:t>
      </w:r>
      <w:r w:rsidRPr="004D75BF">
        <w:fldChar w:fldCharType="begin"/>
      </w:r>
      <w:r w:rsidRPr="589E218A">
        <w:rPr>
          <w:i/>
          <w:iCs/>
        </w:rPr>
        <w:instrText xml:space="preserve"> REF _Ref185941731 \h </w:instrText>
      </w:r>
      <w:r w:rsidRPr="004D75BF">
        <w:fldChar w:fldCharType="separate"/>
      </w:r>
      <w:r w:rsidR="00184F9A" w:rsidRPr="589E218A">
        <w:t xml:space="preserve">Table </w:t>
      </w:r>
      <w:r w:rsidR="00184F9A">
        <w:rPr>
          <w:noProof/>
        </w:rPr>
        <w:t>16</w:t>
      </w:r>
      <w:r w:rsidRPr="004D75BF">
        <w:fldChar w:fldCharType="end"/>
      </w:r>
      <w:r w:rsidRPr="589E218A">
        <w:t xml:space="preserve"> presents the cost per patient</w:t>
      </w:r>
      <w:r w:rsidR="00F41E15">
        <w:t xml:space="preserve"> per year</w:t>
      </w:r>
      <w:r w:rsidRPr="589E218A">
        <w:t xml:space="preserve"> table for A+L and osimertinib.</w:t>
      </w:r>
    </w:p>
    <w:p w14:paraId="1A14DBCD" w14:textId="0A629B5F" w:rsidR="0004729F" w:rsidRPr="004D75BF" w:rsidRDefault="0004729F" w:rsidP="0004729F">
      <w:pPr>
        <w:pStyle w:val="TableFigureHeading"/>
      </w:pPr>
      <w:bookmarkStart w:id="114" w:name="_Ref185941731"/>
      <w:r w:rsidRPr="589E218A">
        <w:t xml:space="preserve">Table </w:t>
      </w:r>
      <w:r w:rsidRPr="589E218A">
        <w:fldChar w:fldCharType="begin"/>
      </w:r>
      <w:r>
        <w:instrText xml:space="preserve"> SEQ Table \* ARABIC </w:instrText>
      </w:r>
      <w:r w:rsidRPr="589E218A">
        <w:fldChar w:fldCharType="separate"/>
      </w:r>
      <w:r w:rsidR="00184F9A">
        <w:rPr>
          <w:noProof/>
        </w:rPr>
        <w:t>16</w:t>
      </w:r>
      <w:r w:rsidRPr="589E218A">
        <w:rPr>
          <w:noProof/>
        </w:rPr>
        <w:fldChar w:fldCharType="end"/>
      </w:r>
      <w:bookmarkEnd w:id="114"/>
      <w:r w:rsidRPr="589E218A">
        <w:t>: Drug cost per patient for proposed and comparator drugs, A+L proposed effective price and osimertinib published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proposed and comparator drugs, A+L proposed effective price and osimertinib published price"/>
      </w:tblPr>
      <w:tblGrid>
        <w:gridCol w:w="1696"/>
        <w:gridCol w:w="1831"/>
        <w:gridCol w:w="1830"/>
        <w:gridCol w:w="1830"/>
        <w:gridCol w:w="1830"/>
      </w:tblGrid>
      <w:tr w:rsidR="0004729F" w:rsidRPr="004D75BF" w14:paraId="3C962A2E" w14:textId="77777777" w:rsidTr="589E218A">
        <w:trPr>
          <w:cantSplit/>
          <w:tblHeader/>
          <w:jc w:val="center"/>
        </w:trPr>
        <w:tc>
          <w:tcPr>
            <w:tcW w:w="940" w:type="pct"/>
            <w:vMerge w:val="restart"/>
            <w:tcBorders>
              <w:top w:val="single" w:sz="4" w:space="0" w:color="auto"/>
              <w:left w:val="single" w:sz="4" w:space="0" w:color="auto"/>
              <w:right w:val="single" w:sz="4" w:space="0" w:color="auto"/>
            </w:tcBorders>
            <w:vAlign w:val="center"/>
          </w:tcPr>
          <w:p w14:paraId="2D4106B7" w14:textId="77777777" w:rsidR="0004729F" w:rsidRPr="004D75BF" w:rsidRDefault="0004729F" w:rsidP="007A7746">
            <w:pPr>
              <w:pStyle w:val="TableFigureFooter"/>
            </w:pPr>
            <w:bookmarkStart w:id="115" w:name="_Hlk187323001"/>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32AB59A5" w14:textId="77777777" w:rsidR="0004729F" w:rsidRPr="004D75BF" w:rsidRDefault="0004729F">
            <w:pPr>
              <w:pStyle w:val="In-tableHeading"/>
              <w:jc w:val="center"/>
              <w:rPr>
                <w:vertAlign w:val="superscript"/>
                <w:lang w:val="en-AU"/>
              </w:rPr>
            </w:pPr>
            <w:r w:rsidRPr="004D75BF">
              <w:rPr>
                <w:lang w:val="en-AU"/>
              </w:rPr>
              <w:t>A+L</w:t>
            </w:r>
            <w:r w:rsidRPr="004D75BF">
              <w:rPr>
                <w:vertAlign w:val="superscript"/>
                <w:lang w:val="en-AU"/>
              </w:rPr>
              <w:t>a</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729AED80" w14:textId="77777777" w:rsidR="0004729F" w:rsidRPr="004D75BF" w:rsidRDefault="0004729F">
            <w:pPr>
              <w:pStyle w:val="In-tableHeading"/>
              <w:jc w:val="center"/>
              <w:rPr>
                <w:lang w:val="en-AU"/>
              </w:rPr>
            </w:pPr>
            <w:r w:rsidRPr="004D75BF">
              <w:rPr>
                <w:lang w:val="en-AU"/>
              </w:rPr>
              <w:t>Osimertinib</w:t>
            </w:r>
          </w:p>
        </w:tc>
      </w:tr>
      <w:tr w:rsidR="0004729F" w:rsidRPr="004D75BF" w14:paraId="3BBCCEE0" w14:textId="77777777" w:rsidTr="589E218A">
        <w:trPr>
          <w:cantSplit/>
          <w:tblHeader/>
          <w:jc w:val="center"/>
        </w:trPr>
        <w:tc>
          <w:tcPr>
            <w:tcW w:w="940" w:type="pct"/>
            <w:vMerge/>
            <w:vAlign w:val="center"/>
          </w:tcPr>
          <w:p w14:paraId="67DD0917" w14:textId="77777777" w:rsidR="0004729F" w:rsidRPr="004D75BF" w:rsidRDefault="0004729F" w:rsidP="007A7746">
            <w:pPr>
              <w:pStyle w:val="TableFigureFoote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25B2A427" w14:textId="77777777" w:rsidR="0004729F" w:rsidRPr="004D75BF" w:rsidRDefault="0004729F">
            <w:pPr>
              <w:pStyle w:val="In-tableHeading"/>
              <w:jc w:val="center"/>
              <w:rPr>
                <w:vertAlign w:val="superscript"/>
                <w:lang w:val="en-AU"/>
              </w:rPr>
            </w:pPr>
            <w:r w:rsidRPr="004D75BF">
              <w:rPr>
                <w:lang w:val="en-AU"/>
              </w:rPr>
              <w:t xml:space="preserve">Trial dose and duration </w:t>
            </w:r>
            <w:r w:rsidRPr="004D75BF">
              <w:rPr>
                <w:vertAlign w:val="superscript"/>
                <w:lang w:val="en-AU"/>
              </w:rPr>
              <w:t>b</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1503C1E" w14:textId="77777777" w:rsidR="0004729F" w:rsidRPr="004D75BF" w:rsidRDefault="0004729F">
            <w:pPr>
              <w:pStyle w:val="In-tableHeading"/>
              <w:jc w:val="center"/>
              <w:rPr>
                <w:vertAlign w:val="superscript"/>
                <w:lang w:val="en-AU"/>
              </w:rPr>
            </w:pPr>
            <w:r w:rsidRPr="004D75BF">
              <w:rPr>
                <w:lang w:val="en-AU"/>
              </w:rPr>
              <w:t xml:space="preserve">Economic and financial estimates </w:t>
            </w:r>
            <w:r w:rsidRPr="004D75BF">
              <w:rPr>
                <w:vertAlign w:val="superscript"/>
                <w:lang w:val="en-AU"/>
              </w:rPr>
              <w:t>c</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E1F1D79" w14:textId="77777777" w:rsidR="0004729F" w:rsidRPr="004D75BF" w:rsidRDefault="0004729F">
            <w:pPr>
              <w:pStyle w:val="In-tableHeading"/>
              <w:jc w:val="center"/>
              <w:rPr>
                <w:vertAlign w:val="superscript"/>
                <w:lang w:val="en-AU"/>
              </w:rPr>
            </w:pPr>
            <w:r w:rsidRPr="004D75BF">
              <w:rPr>
                <w:lang w:val="en-AU"/>
              </w:rPr>
              <w:t xml:space="preserve">Trial dose and duration </w:t>
            </w:r>
            <w:r w:rsidRPr="004D75BF">
              <w:rPr>
                <w:vertAlign w:val="superscript"/>
                <w:lang w:val="en-AU"/>
              </w:rPr>
              <w:t>b</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ABA64E0" w14:textId="77777777" w:rsidR="0004729F" w:rsidRPr="004D75BF" w:rsidRDefault="0004729F">
            <w:pPr>
              <w:pStyle w:val="In-tableHeading"/>
              <w:jc w:val="center"/>
              <w:rPr>
                <w:vertAlign w:val="superscript"/>
                <w:lang w:val="en-AU"/>
              </w:rPr>
            </w:pPr>
            <w:r w:rsidRPr="004D75BF">
              <w:rPr>
                <w:lang w:val="en-AU"/>
              </w:rPr>
              <w:t xml:space="preserve">Economic and financial estimates </w:t>
            </w:r>
            <w:r w:rsidRPr="004D75BF">
              <w:rPr>
                <w:vertAlign w:val="superscript"/>
                <w:lang w:val="en-AU"/>
              </w:rPr>
              <w:t>c</w:t>
            </w:r>
          </w:p>
        </w:tc>
      </w:tr>
      <w:tr w:rsidR="0004729F" w:rsidRPr="004D75BF" w14:paraId="349A3CB1" w14:textId="77777777" w:rsidTr="589E218A">
        <w:trPr>
          <w:cantSplit/>
          <w:jc w:val="center"/>
        </w:trPr>
        <w:tc>
          <w:tcPr>
            <w:tcW w:w="940" w:type="pct"/>
            <w:tcBorders>
              <w:top w:val="single" w:sz="4" w:space="0" w:color="auto"/>
              <w:left w:val="single" w:sz="4" w:space="0" w:color="auto"/>
              <w:bottom w:val="single" w:sz="4" w:space="0" w:color="auto"/>
              <w:right w:val="single" w:sz="4" w:space="0" w:color="auto"/>
            </w:tcBorders>
            <w:vAlign w:val="center"/>
            <w:hideMark/>
          </w:tcPr>
          <w:p w14:paraId="5559379F" w14:textId="77777777" w:rsidR="0004729F" w:rsidRPr="004D75BF" w:rsidRDefault="0004729F">
            <w:pPr>
              <w:pStyle w:val="TableText0"/>
              <w:rPr>
                <w:vertAlign w:val="superscript"/>
              </w:rPr>
            </w:pPr>
            <w:r w:rsidRPr="004D75BF">
              <w:t xml:space="preserve">Mean dose per administration </w:t>
            </w:r>
          </w:p>
        </w:tc>
        <w:tc>
          <w:tcPr>
            <w:tcW w:w="1015" w:type="pct"/>
            <w:tcBorders>
              <w:top w:val="single" w:sz="4" w:space="0" w:color="auto"/>
              <w:left w:val="single" w:sz="4" w:space="0" w:color="auto"/>
              <w:bottom w:val="single" w:sz="4" w:space="0" w:color="auto"/>
              <w:right w:val="single" w:sz="4" w:space="0" w:color="auto"/>
            </w:tcBorders>
            <w:vAlign w:val="center"/>
          </w:tcPr>
          <w:p w14:paraId="5AB7BD34" w14:textId="77777777" w:rsidR="0004729F" w:rsidRPr="00934A70" w:rsidRDefault="0004729F">
            <w:pPr>
              <w:pStyle w:val="TableText0"/>
              <w:jc w:val="center"/>
              <w:rPr>
                <w:vertAlign w:val="superscript"/>
                <w:lang w:val="it-IT"/>
              </w:rPr>
            </w:pPr>
            <w:r w:rsidRPr="00934A70">
              <w:rPr>
                <w:lang w:val="it-IT"/>
              </w:rPr>
              <w:t xml:space="preserve">Amivantamab </w:t>
            </w:r>
          </w:p>
          <w:p w14:paraId="55E26A0D" w14:textId="77777777" w:rsidR="0004729F" w:rsidRPr="00934A70" w:rsidRDefault="0004729F">
            <w:pPr>
              <w:pStyle w:val="TableText0"/>
              <w:jc w:val="center"/>
              <w:rPr>
                <w:vertAlign w:val="superscript"/>
                <w:lang w:val="it-IT"/>
              </w:rPr>
            </w:pPr>
            <w:r w:rsidRPr="00934A70">
              <w:rPr>
                <w:lang w:val="it-IT"/>
              </w:rPr>
              <w:t xml:space="preserve">862.8 mg </w:t>
            </w:r>
            <w:r w:rsidRPr="00934A70">
              <w:rPr>
                <w:vertAlign w:val="superscript"/>
                <w:lang w:val="it-IT"/>
              </w:rPr>
              <w:t>d</w:t>
            </w:r>
          </w:p>
          <w:p w14:paraId="6A0B5FB8" w14:textId="77777777" w:rsidR="0004729F" w:rsidRPr="00934A70" w:rsidRDefault="0004729F">
            <w:pPr>
              <w:pStyle w:val="TableText0"/>
              <w:jc w:val="center"/>
              <w:rPr>
                <w:vertAlign w:val="superscript"/>
                <w:lang w:val="it-IT"/>
              </w:rPr>
            </w:pPr>
            <w:r w:rsidRPr="00934A70">
              <w:rPr>
                <w:lang w:val="it-IT"/>
              </w:rPr>
              <w:t xml:space="preserve">Lazertinib </w:t>
            </w:r>
          </w:p>
          <w:p w14:paraId="5163FE5E" w14:textId="77777777" w:rsidR="0004729F" w:rsidRPr="00934A70" w:rsidRDefault="0004729F">
            <w:pPr>
              <w:pStyle w:val="TableText0"/>
              <w:jc w:val="center"/>
              <w:rPr>
                <w:lang w:val="it-IT"/>
              </w:rPr>
            </w:pPr>
            <w:r w:rsidRPr="00934A70">
              <w:rPr>
                <w:lang w:val="it-IT"/>
              </w:rPr>
              <w:t>198.3 mg</w:t>
            </w:r>
          </w:p>
        </w:tc>
        <w:tc>
          <w:tcPr>
            <w:tcW w:w="1015" w:type="pct"/>
            <w:tcBorders>
              <w:top w:val="single" w:sz="4" w:space="0" w:color="auto"/>
              <w:left w:val="single" w:sz="4" w:space="0" w:color="auto"/>
              <w:bottom w:val="single" w:sz="4" w:space="0" w:color="auto"/>
              <w:right w:val="single" w:sz="4" w:space="0" w:color="auto"/>
            </w:tcBorders>
            <w:vAlign w:val="center"/>
          </w:tcPr>
          <w:p w14:paraId="042244E7" w14:textId="77777777" w:rsidR="0004729F" w:rsidRPr="004D75BF" w:rsidRDefault="0004729F" w:rsidP="589E218A">
            <w:pPr>
              <w:pStyle w:val="TableText0"/>
              <w:jc w:val="center"/>
              <w:rPr>
                <w:vertAlign w:val="superscript"/>
              </w:rPr>
            </w:pPr>
            <w:r w:rsidRPr="589E218A">
              <w:t xml:space="preserve">Amivantamab </w:t>
            </w:r>
          </w:p>
          <w:p w14:paraId="31BA02D9" w14:textId="77777777" w:rsidR="0004729F" w:rsidRPr="004D75BF" w:rsidRDefault="0004729F">
            <w:pPr>
              <w:pStyle w:val="TableText0"/>
              <w:jc w:val="center"/>
            </w:pPr>
            <w:r w:rsidRPr="004D75BF">
              <w:t>894.6 mg</w:t>
            </w:r>
          </w:p>
          <w:p w14:paraId="480C09C3" w14:textId="77777777" w:rsidR="0004729F" w:rsidRPr="004D75BF" w:rsidRDefault="0004729F">
            <w:pPr>
              <w:pStyle w:val="TableText0"/>
              <w:jc w:val="center"/>
              <w:rPr>
                <w:vertAlign w:val="superscript"/>
              </w:rPr>
            </w:pPr>
            <w:r w:rsidRPr="004D75BF">
              <w:t>Lazertinib</w:t>
            </w:r>
          </w:p>
          <w:p w14:paraId="10DF49E5" w14:textId="77777777" w:rsidR="0004729F" w:rsidRPr="004D75BF" w:rsidRDefault="0004729F">
            <w:pPr>
              <w:pStyle w:val="TableText0"/>
              <w:jc w:val="center"/>
            </w:pPr>
            <w:r w:rsidRPr="004D75BF">
              <w:t>223.92 mg</w:t>
            </w:r>
          </w:p>
        </w:tc>
        <w:tc>
          <w:tcPr>
            <w:tcW w:w="1015" w:type="pct"/>
            <w:tcBorders>
              <w:top w:val="single" w:sz="4" w:space="0" w:color="auto"/>
              <w:left w:val="single" w:sz="4" w:space="0" w:color="auto"/>
              <w:bottom w:val="single" w:sz="4" w:space="0" w:color="auto"/>
              <w:right w:val="single" w:sz="4" w:space="0" w:color="auto"/>
            </w:tcBorders>
            <w:vAlign w:val="center"/>
          </w:tcPr>
          <w:p w14:paraId="612297AD" w14:textId="77777777" w:rsidR="0004729F" w:rsidRPr="004D75BF" w:rsidRDefault="0004729F">
            <w:pPr>
              <w:pStyle w:val="TableText0"/>
              <w:jc w:val="center"/>
            </w:pPr>
            <w:r w:rsidRPr="004D75BF">
              <w:t>76.32 mg</w:t>
            </w:r>
          </w:p>
        </w:tc>
        <w:tc>
          <w:tcPr>
            <w:tcW w:w="1015" w:type="pct"/>
            <w:tcBorders>
              <w:top w:val="single" w:sz="4" w:space="0" w:color="auto"/>
              <w:left w:val="single" w:sz="4" w:space="0" w:color="auto"/>
              <w:bottom w:val="single" w:sz="4" w:space="0" w:color="auto"/>
              <w:right w:val="single" w:sz="4" w:space="0" w:color="auto"/>
            </w:tcBorders>
            <w:vAlign w:val="center"/>
          </w:tcPr>
          <w:p w14:paraId="0721BE9D" w14:textId="77777777" w:rsidR="0004729F" w:rsidRPr="004D75BF" w:rsidRDefault="0004729F">
            <w:pPr>
              <w:pStyle w:val="TableText0"/>
              <w:jc w:val="center"/>
            </w:pPr>
            <w:r w:rsidRPr="004D75BF">
              <w:t>78.16 mg</w:t>
            </w:r>
          </w:p>
        </w:tc>
      </w:tr>
      <w:tr w:rsidR="0004729F" w:rsidRPr="004D75BF" w14:paraId="0CE07214" w14:textId="77777777" w:rsidTr="589E218A">
        <w:trPr>
          <w:cantSplit/>
          <w:jc w:val="center"/>
        </w:trPr>
        <w:tc>
          <w:tcPr>
            <w:tcW w:w="940" w:type="pct"/>
            <w:tcBorders>
              <w:top w:val="single" w:sz="4" w:space="0" w:color="auto"/>
              <w:left w:val="single" w:sz="4" w:space="0" w:color="auto"/>
              <w:bottom w:val="single" w:sz="4" w:space="0" w:color="auto"/>
              <w:right w:val="single" w:sz="4" w:space="0" w:color="auto"/>
            </w:tcBorders>
            <w:vAlign w:val="center"/>
          </w:tcPr>
          <w:p w14:paraId="1C1719DC" w14:textId="77777777" w:rsidR="0004729F" w:rsidRPr="00FE6BBB" w:rsidRDefault="0004729F">
            <w:pPr>
              <w:pStyle w:val="TableText0"/>
            </w:pPr>
            <w:r w:rsidRPr="00FE6BBB">
              <w:t>Vials/tablets per administration assuming wastage (whole vials/tablets)</w:t>
            </w:r>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3D47D24E" w14:textId="77777777" w:rsidR="0004729F" w:rsidRPr="00FE6BBB" w:rsidRDefault="0004729F">
            <w:pPr>
              <w:pStyle w:val="TableText0"/>
              <w:jc w:val="center"/>
            </w:pPr>
            <w:r w:rsidRPr="589E218A">
              <w:t xml:space="preserve">Amivantamab </w:t>
            </w:r>
          </w:p>
          <w:p w14:paraId="075BDBD2" w14:textId="77777777" w:rsidR="0004729F" w:rsidRPr="00FE6BBB" w:rsidRDefault="0004729F">
            <w:pPr>
              <w:pStyle w:val="TableText0"/>
              <w:jc w:val="center"/>
            </w:pPr>
            <w:r w:rsidRPr="00FE6BBB">
              <w:t>3 vials</w:t>
            </w:r>
          </w:p>
          <w:p w14:paraId="6A0CC6D3" w14:textId="77777777" w:rsidR="0004729F" w:rsidRPr="00FE6BBB" w:rsidRDefault="0004729F">
            <w:pPr>
              <w:pStyle w:val="TableText0"/>
              <w:jc w:val="center"/>
            </w:pPr>
            <w:r w:rsidRPr="00FE6BBB">
              <w:t xml:space="preserve">Lazertinib </w:t>
            </w:r>
          </w:p>
          <w:p w14:paraId="07348E0F" w14:textId="77777777" w:rsidR="0004729F" w:rsidRPr="00FE6BBB" w:rsidRDefault="0004729F">
            <w:pPr>
              <w:pStyle w:val="TableText0"/>
              <w:jc w:val="center"/>
            </w:pPr>
            <w:r w:rsidRPr="00FE6BBB">
              <w:t>1 tablet</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063A7D2A" w14:textId="77777777" w:rsidR="0004729F" w:rsidRPr="00FE6BBB" w:rsidRDefault="0004729F">
            <w:pPr>
              <w:pStyle w:val="TableText0"/>
              <w:jc w:val="center"/>
            </w:pPr>
            <w:r w:rsidRPr="00FE6BBB">
              <w:t>1 tablet</w:t>
            </w:r>
          </w:p>
        </w:tc>
      </w:tr>
      <w:tr w:rsidR="0004729F" w:rsidRPr="004D75BF" w14:paraId="46B53BDA" w14:textId="77777777" w:rsidTr="589E218A">
        <w:trPr>
          <w:cantSplit/>
          <w:jc w:val="center"/>
        </w:trPr>
        <w:tc>
          <w:tcPr>
            <w:tcW w:w="940" w:type="pct"/>
            <w:tcBorders>
              <w:top w:val="single" w:sz="4" w:space="0" w:color="auto"/>
              <w:left w:val="single" w:sz="4" w:space="0" w:color="auto"/>
              <w:bottom w:val="single" w:sz="4" w:space="0" w:color="auto"/>
              <w:right w:val="single" w:sz="4" w:space="0" w:color="auto"/>
            </w:tcBorders>
            <w:vAlign w:val="center"/>
          </w:tcPr>
          <w:p w14:paraId="19851720" w14:textId="77777777" w:rsidR="0004729F" w:rsidRPr="00FE6BBB" w:rsidRDefault="0004729F">
            <w:pPr>
              <w:pStyle w:val="TableText0"/>
            </w:pPr>
            <w:r w:rsidRPr="00FE6BBB">
              <w:t>Unit cost</w:t>
            </w:r>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21D4E066" w14:textId="77777777" w:rsidR="0004729F" w:rsidRPr="00FE6BBB" w:rsidRDefault="0004729F">
            <w:pPr>
              <w:pStyle w:val="TableText0"/>
              <w:jc w:val="center"/>
            </w:pPr>
            <w:r w:rsidRPr="589E218A">
              <w:t>Amivantamab dispensed cost for 3 vials</w:t>
            </w:r>
          </w:p>
          <w:p w14:paraId="7EB15E40" w14:textId="31C2ECF7" w:rsidR="0004729F" w:rsidRPr="00FE6BBB" w:rsidRDefault="0004729F">
            <w:pPr>
              <w:pStyle w:val="TableText0"/>
              <w:jc w:val="center"/>
            </w:pPr>
            <w:r w:rsidRPr="00FE6BBB">
              <w:t>Public: $</w:t>
            </w:r>
            <w:r w:rsidR="007A7746" w:rsidRPr="007A7746">
              <w:rPr>
                <w:color w:val="000000"/>
                <w:shd w:val="solid" w:color="000000" w:fill="000000"/>
                <w14:textFill>
                  <w14:solidFill>
                    <w14:srgbClr w14:val="000000">
                      <w14:alpha w14:val="100000"/>
                    </w14:srgbClr>
                  </w14:solidFill>
                </w14:textFill>
              </w:rPr>
              <w:t>|</w:t>
            </w:r>
          </w:p>
          <w:p w14:paraId="7579BC1A" w14:textId="348BAD6F" w:rsidR="0004729F" w:rsidRPr="00FE6BBB" w:rsidRDefault="0004729F">
            <w:pPr>
              <w:pStyle w:val="TableText0"/>
              <w:jc w:val="center"/>
            </w:pPr>
            <w:r w:rsidRPr="00FE6BBB">
              <w:t>Private: $</w:t>
            </w:r>
            <w:r w:rsidR="007A7746" w:rsidRPr="007A7746">
              <w:rPr>
                <w:color w:val="000000"/>
                <w:shd w:val="solid" w:color="000000" w:fill="000000"/>
                <w14:textFill>
                  <w14:solidFill>
                    <w14:srgbClr w14:val="000000">
                      <w14:alpha w14:val="100000"/>
                    </w14:srgbClr>
                  </w14:solidFill>
                </w14:textFill>
              </w:rPr>
              <w:t>|</w:t>
            </w:r>
          </w:p>
          <w:p w14:paraId="5A321F37" w14:textId="170A13AF" w:rsidR="0004729F" w:rsidRPr="00FE6BBB" w:rsidRDefault="0004729F">
            <w:pPr>
              <w:pStyle w:val="TableText0"/>
              <w:jc w:val="center"/>
              <w:rPr>
                <w:vertAlign w:val="superscript"/>
              </w:rPr>
            </w:pPr>
            <w:r w:rsidRPr="00FE6BBB">
              <w:t>Weighted: $</w:t>
            </w:r>
            <w:r w:rsidR="007A7746" w:rsidRPr="007A7746">
              <w:rPr>
                <w:color w:val="000000"/>
                <w:shd w:val="solid" w:color="000000" w:fill="000000"/>
                <w14:textFill>
                  <w14:solidFill>
                    <w14:srgbClr w14:val="000000">
                      <w14:alpha w14:val="100000"/>
                    </w14:srgbClr>
                  </w14:solidFill>
                </w14:textFill>
              </w:rPr>
              <w:t>|</w:t>
            </w:r>
            <w:r w:rsidRPr="00FE6BBB">
              <w:t xml:space="preserve"> </w:t>
            </w:r>
            <w:r w:rsidRPr="00FE6BBB">
              <w:rPr>
                <w:vertAlign w:val="superscript"/>
              </w:rPr>
              <w:t>e</w:t>
            </w:r>
          </w:p>
          <w:p w14:paraId="4FE45EDD" w14:textId="3F0E2ED7" w:rsidR="0004729F" w:rsidRPr="00FE6BBB" w:rsidRDefault="0004729F">
            <w:pPr>
              <w:pStyle w:val="TableText0"/>
              <w:jc w:val="center"/>
            </w:pPr>
            <w:r w:rsidRPr="00FE6BBB">
              <w:t>Lazertinib 30 tablets DPMQ: $</w:t>
            </w:r>
            <w:r w:rsidR="007A7746" w:rsidRPr="007A7746">
              <w:rPr>
                <w:color w:val="000000"/>
                <w:shd w:val="solid" w:color="000000" w:fill="000000"/>
                <w14:textFill>
                  <w14:solidFill>
                    <w14:srgbClr w14:val="000000">
                      <w14:alpha w14:val="100000"/>
                    </w14:srgbClr>
                  </w14:solidFill>
                </w14:textFill>
              </w:rPr>
              <w:t>|</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071834FB" w14:textId="77777777" w:rsidR="0004729F" w:rsidRPr="00FE6BBB" w:rsidRDefault="0004729F">
            <w:pPr>
              <w:pStyle w:val="TableText0"/>
              <w:jc w:val="center"/>
            </w:pPr>
            <w:r w:rsidRPr="00FE6BBB">
              <w:t>30 tablets DPMQ: $7,581.10</w:t>
            </w:r>
          </w:p>
        </w:tc>
      </w:tr>
      <w:tr w:rsidR="0004729F" w:rsidRPr="004D75BF" w14:paraId="1D6E8D47" w14:textId="77777777" w:rsidTr="589E218A">
        <w:trPr>
          <w:cantSplit/>
          <w:jc w:val="center"/>
        </w:trPr>
        <w:tc>
          <w:tcPr>
            <w:tcW w:w="940" w:type="pct"/>
            <w:tcBorders>
              <w:top w:val="single" w:sz="4" w:space="0" w:color="auto"/>
              <w:left w:val="single" w:sz="4" w:space="0" w:color="auto"/>
              <w:bottom w:val="single" w:sz="4" w:space="0" w:color="auto"/>
              <w:right w:val="single" w:sz="4" w:space="0" w:color="auto"/>
            </w:tcBorders>
            <w:vAlign w:val="center"/>
            <w:hideMark/>
          </w:tcPr>
          <w:p w14:paraId="31C5FCA7" w14:textId="77777777" w:rsidR="0004729F" w:rsidRPr="00FE6BBB" w:rsidRDefault="0004729F">
            <w:pPr>
              <w:pStyle w:val="TableText0"/>
              <w:rPr>
                <w:vertAlign w:val="superscript"/>
              </w:rPr>
            </w:pPr>
            <w:r w:rsidRPr="00FE6BBB">
              <w:t>Cost/patient/week</w:t>
            </w:r>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137A6012" w14:textId="77777777" w:rsidR="0004729F" w:rsidRPr="00FE6BBB" w:rsidRDefault="0004729F" w:rsidP="589E218A">
            <w:pPr>
              <w:pStyle w:val="TableText0"/>
              <w:jc w:val="center"/>
              <w:rPr>
                <w:vertAlign w:val="superscript"/>
              </w:rPr>
            </w:pPr>
            <w:r w:rsidRPr="589E218A">
              <w:t>Amivantamab</w:t>
            </w:r>
          </w:p>
          <w:p w14:paraId="58C45E5E" w14:textId="60BA1C81" w:rsidR="0004729F" w:rsidRPr="00FE6BBB" w:rsidRDefault="0004729F">
            <w:pPr>
              <w:pStyle w:val="TableText0"/>
              <w:jc w:val="center"/>
            </w:pPr>
            <w:r w:rsidRPr="00FE6BBB">
              <w:t>$</w:t>
            </w:r>
            <w:r w:rsidR="007A7746" w:rsidRPr="007A7746">
              <w:rPr>
                <w:color w:val="000000"/>
                <w:shd w:val="solid" w:color="000000" w:fill="000000"/>
                <w14:textFill>
                  <w14:solidFill>
                    <w14:srgbClr w14:val="000000">
                      <w14:alpha w14:val="100000"/>
                    </w14:srgbClr>
                  </w14:solidFill>
                </w14:textFill>
              </w:rPr>
              <w:t>|</w:t>
            </w:r>
          </w:p>
          <w:p w14:paraId="00650F19" w14:textId="77777777" w:rsidR="0004729F" w:rsidRPr="00FE6BBB" w:rsidRDefault="0004729F">
            <w:pPr>
              <w:pStyle w:val="TableText0"/>
              <w:jc w:val="center"/>
            </w:pPr>
            <w:r w:rsidRPr="00FE6BBB">
              <w:t>Lazertinib</w:t>
            </w:r>
          </w:p>
          <w:p w14:paraId="4000E87B" w14:textId="0F7D3B64" w:rsidR="0004729F" w:rsidRPr="00FE6BBB" w:rsidRDefault="0004729F">
            <w:pPr>
              <w:pStyle w:val="TableText0"/>
              <w:jc w:val="center"/>
            </w:pPr>
            <w:r w:rsidRPr="00FE6BBB">
              <w:t>$</w:t>
            </w:r>
            <w:r w:rsidR="007A7746" w:rsidRPr="007A7746">
              <w:rPr>
                <w:color w:val="000000"/>
                <w:shd w:val="solid" w:color="000000" w:fill="000000"/>
                <w14:textFill>
                  <w14:solidFill>
                    <w14:srgbClr w14:val="000000">
                      <w14:alpha w14:val="100000"/>
                    </w14:srgbClr>
                  </w14:solidFill>
                </w14:textFill>
              </w:rPr>
              <w:t>|</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7DE38B93" w14:textId="2F1C18F3" w:rsidR="0004729F" w:rsidRPr="00FE6BBB" w:rsidRDefault="0004729F">
            <w:pPr>
              <w:pStyle w:val="TableText0"/>
              <w:jc w:val="center"/>
            </w:pPr>
            <w:r w:rsidRPr="00FE6BBB">
              <w:t>$1,769</w:t>
            </w:r>
          </w:p>
        </w:tc>
      </w:tr>
      <w:tr w:rsidR="0004729F" w:rsidRPr="004D75BF" w14:paraId="2ED59DFE" w14:textId="77777777" w:rsidTr="589E218A">
        <w:trPr>
          <w:cantSplit/>
          <w:jc w:val="center"/>
        </w:trPr>
        <w:tc>
          <w:tcPr>
            <w:tcW w:w="940" w:type="pct"/>
            <w:tcBorders>
              <w:top w:val="single" w:sz="4" w:space="0" w:color="auto"/>
              <w:left w:val="single" w:sz="4" w:space="0" w:color="auto"/>
              <w:bottom w:val="single" w:sz="4" w:space="0" w:color="auto"/>
              <w:right w:val="single" w:sz="4" w:space="0" w:color="auto"/>
            </w:tcBorders>
            <w:vAlign w:val="center"/>
            <w:hideMark/>
          </w:tcPr>
          <w:p w14:paraId="352E8E79" w14:textId="77777777" w:rsidR="0004729F" w:rsidRPr="00FE6BBB" w:rsidRDefault="0004729F">
            <w:pPr>
              <w:pStyle w:val="TableText0"/>
              <w:rPr>
                <w:vertAlign w:val="superscript"/>
              </w:rPr>
            </w:pPr>
            <w:r w:rsidRPr="00FE6BBB">
              <w:t>Cost/patient/year</w:t>
            </w:r>
          </w:p>
        </w:tc>
        <w:tc>
          <w:tcPr>
            <w:tcW w:w="2030" w:type="pct"/>
            <w:gridSpan w:val="2"/>
            <w:tcBorders>
              <w:top w:val="single" w:sz="4" w:space="0" w:color="auto"/>
              <w:left w:val="single" w:sz="4" w:space="0" w:color="auto"/>
              <w:bottom w:val="single" w:sz="4" w:space="0" w:color="auto"/>
              <w:right w:val="single" w:sz="4" w:space="0" w:color="auto"/>
            </w:tcBorders>
            <w:vAlign w:val="center"/>
          </w:tcPr>
          <w:p w14:paraId="561C7BD7" w14:textId="77777777" w:rsidR="0004729F" w:rsidRPr="00FE6BBB" w:rsidRDefault="0004729F">
            <w:pPr>
              <w:pStyle w:val="TableText0"/>
              <w:jc w:val="center"/>
            </w:pPr>
            <w:r w:rsidRPr="589E218A">
              <w:t>Amivantamab</w:t>
            </w:r>
          </w:p>
          <w:p w14:paraId="1DC7D6AD" w14:textId="4A87C474" w:rsidR="0004729F" w:rsidRPr="00FE6BBB" w:rsidRDefault="0004729F">
            <w:pPr>
              <w:pStyle w:val="TableText0"/>
              <w:jc w:val="center"/>
            </w:pPr>
            <w:r w:rsidRPr="00FE6BBB">
              <w:t>Cycle 1 (4 administration per cycle): $</w:t>
            </w:r>
            <w:r w:rsidR="007A7746" w:rsidRPr="007A7746">
              <w:rPr>
                <w:rFonts w:hint="eastAsia"/>
                <w:color w:val="000000"/>
                <w:w w:val="28"/>
                <w:shd w:val="solid" w:color="000000" w:fill="000000"/>
                <w:fitText w:val="127" w:id="-693980158"/>
                <w14:textFill>
                  <w14:solidFill>
                    <w14:srgbClr w14:val="000000">
                      <w14:alpha w14:val="100000"/>
                    </w14:srgbClr>
                  </w14:solidFill>
                </w14:textFill>
              </w:rPr>
              <w:t xml:space="preserve">　</w:t>
            </w:r>
            <w:r w:rsidR="007A7746" w:rsidRPr="007A7746">
              <w:rPr>
                <w:color w:val="000000"/>
                <w:w w:val="28"/>
                <w:shd w:val="solid" w:color="000000" w:fill="000000"/>
                <w:fitText w:val="127" w:id="-693980158"/>
                <w14:textFill>
                  <w14:solidFill>
                    <w14:srgbClr w14:val="000000">
                      <w14:alpha w14:val="100000"/>
                    </w14:srgbClr>
                  </w14:solidFill>
                </w14:textFill>
              </w:rPr>
              <w:t>|</w:t>
            </w:r>
            <w:r w:rsidR="007A7746" w:rsidRPr="007A7746">
              <w:rPr>
                <w:rFonts w:hint="eastAsia"/>
                <w:color w:val="000000"/>
                <w:spacing w:val="5"/>
                <w:w w:val="28"/>
                <w:shd w:val="solid" w:color="000000" w:fill="000000"/>
                <w:fitText w:val="127" w:id="-693980158"/>
                <w14:textFill>
                  <w14:solidFill>
                    <w14:srgbClr w14:val="000000">
                      <w14:alpha w14:val="100000"/>
                    </w14:srgbClr>
                  </w14:solidFill>
                </w14:textFill>
              </w:rPr>
              <w:t xml:space="preserve">　</w:t>
            </w:r>
          </w:p>
          <w:p w14:paraId="16837016" w14:textId="380B75B6" w:rsidR="0004729F" w:rsidRPr="00FE6BBB" w:rsidRDefault="0004729F">
            <w:pPr>
              <w:pStyle w:val="TableText0"/>
              <w:jc w:val="center"/>
            </w:pPr>
            <w:r w:rsidRPr="00FE6BBB">
              <w:t>Cycle 2-12 (2 administrations per cycle): $</w:t>
            </w:r>
            <w:r w:rsidR="007A7746" w:rsidRPr="007A7746">
              <w:rPr>
                <w:color w:val="000000"/>
                <w:spacing w:val="179"/>
                <w:shd w:val="solid" w:color="000000" w:fill="000000"/>
                <w:fitText w:val="265" w:id="-693980157"/>
                <w14:textFill>
                  <w14:solidFill>
                    <w14:srgbClr w14:val="000000">
                      <w14:alpha w14:val="100000"/>
                    </w14:srgbClr>
                  </w14:solidFill>
                </w14:textFill>
              </w:rPr>
              <w:t>|</w:t>
            </w:r>
            <w:r w:rsidR="007A7746" w:rsidRPr="007A7746">
              <w:rPr>
                <w:color w:val="000000"/>
                <w:spacing w:val="1"/>
                <w:shd w:val="solid" w:color="000000" w:fill="000000"/>
                <w:fitText w:val="265" w:id="-693980157"/>
                <w14:textFill>
                  <w14:solidFill>
                    <w14:srgbClr w14:val="000000">
                      <w14:alpha w14:val="100000"/>
                    </w14:srgbClr>
                  </w14:solidFill>
                </w14:textFill>
              </w:rPr>
              <w:t>|</w:t>
            </w:r>
          </w:p>
          <w:p w14:paraId="4B6FA92C" w14:textId="5AD4E396" w:rsidR="0004729F" w:rsidRPr="00FE6BBB" w:rsidRDefault="0004729F">
            <w:pPr>
              <w:pStyle w:val="TableText0"/>
              <w:jc w:val="center"/>
            </w:pPr>
            <w:r w:rsidRPr="00FE6BBB">
              <w:t>Total: $</w:t>
            </w:r>
            <w:r w:rsidR="007A7746" w:rsidRPr="007A7746">
              <w:rPr>
                <w:color w:val="000000"/>
                <w:shd w:val="solid" w:color="000000" w:fill="000000"/>
                <w14:textFill>
                  <w14:solidFill>
                    <w14:srgbClr w14:val="000000">
                      <w14:alpha w14:val="100000"/>
                    </w14:srgbClr>
                  </w14:solidFill>
                </w14:textFill>
              </w:rPr>
              <w:t>|</w:t>
            </w:r>
          </w:p>
          <w:p w14:paraId="15B9EB22" w14:textId="77777777" w:rsidR="0004729F" w:rsidRPr="00FE6BBB" w:rsidRDefault="0004729F">
            <w:pPr>
              <w:pStyle w:val="TableText0"/>
              <w:jc w:val="center"/>
            </w:pPr>
            <w:r w:rsidRPr="00FE6BBB">
              <w:t>Lazertinib</w:t>
            </w:r>
          </w:p>
          <w:p w14:paraId="187E2B48" w14:textId="3F106F7E" w:rsidR="0004729F" w:rsidRPr="00FE6BBB" w:rsidRDefault="0004729F">
            <w:pPr>
              <w:pStyle w:val="TableText0"/>
              <w:jc w:val="center"/>
            </w:pPr>
            <w:r w:rsidRPr="00FE6BBB">
              <w:t>$</w:t>
            </w:r>
            <w:r w:rsidR="007A7746" w:rsidRPr="007A7746">
              <w:rPr>
                <w:color w:val="000000"/>
                <w:shd w:val="solid" w:color="000000" w:fill="000000"/>
                <w14:textFill>
                  <w14:solidFill>
                    <w14:srgbClr w14:val="000000">
                      <w14:alpha w14:val="100000"/>
                    </w14:srgbClr>
                  </w14:solidFill>
                </w14:textFill>
              </w:rPr>
              <w:t>|</w:t>
            </w:r>
          </w:p>
          <w:p w14:paraId="3B4F17EA" w14:textId="77777777" w:rsidR="0004729F" w:rsidRPr="00FE6BBB" w:rsidRDefault="0004729F">
            <w:pPr>
              <w:pStyle w:val="TableText0"/>
              <w:jc w:val="center"/>
            </w:pPr>
            <w:r w:rsidRPr="00FE6BBB">
              <w:t>Total</w:t>
            </w:r>
          </w:p>
          <w:p w14:paraId="64552CAB" w14:textId="42EFFC52" w:rsidR="0004729F" w:rsidRPr="00FE6BBB" w:rsidRDefault="0004729F">
            <w:pPr>
              <w:pStyle w:val="TableText0"/>
              <w:jc w:val="center"/>
            </w:pPr>
            <w:r w:rsidRPr="00FE6BBB">
              <w:t>$</w:t>
            </w:r>
            <w:r w:rsidR="007A7746" w:rsidRPr="007A7746">
              <w:rPr>
                <w:color w:val="000000"/>
                <w:shd w:val="solid" w:color="000000" w:fill="000000"/>
                <w14:textFill>
                  <w14:solidFill>
                    <w14:srgbClr w14:val="000000">
                      <w14:alpha w14:val="100000"/>
                    </w14:srgbClr>
                  </w14:solidFill>
                </w14:textFill>
              </w:rPr>
              <w:t>|</w:t>
            </w:r>
          </w:p>
        </w:tc>
        <w:tc>
          <w:tcPr>
            <w:tcW w:w="2029" w:type="pct"/>
            <w:gridSpan w:val="2"/>
            <w:tcBorders>
              <w:top w:val="single" w:sz="4" w:space="0" w:color="auto"/>
              <w:left w:val="single" w:sz="4" w:space="0" w:color="auto"/>
              <w:bottom w:val="single" w:sz="4" w:space="0" w:color="auto"/>
              <w:right w:val="single" w:sz="4" w:space="0" w:color="auto"/>
            </w:tcBorders>
            <w:vAlign w:val="center"/>
          </w:tcPr>
          <w:p w14:paraId="329F92F5" w14:textId="77777777" w:rsidR="0004729F" w:rsidRPr="00FE6BBB" w:rsidRDefault="0004729F">
            <w:pPr>
              <w:pStyle w:val="TableText0"/>
              <w:jc w:val="center"/>
            </w:pPr>
            <w:r w:rsidRPr="00FE6BBB">
              <w:t>$91,996</w:t>
            </w:r>
          </w:p>
        </w:tc>
      </w:tr>
    </w:tbl>
    <w:p w14:paraId="541ADCB5" w14:textId="2979FCEC" w:rsidR="0004729F" w:rsidRPr="004D75BF" w:rsidRDefault="0004729F" w:rsidP="007A7746">
      <w:pPr>
        <w:pStyle w:val="TableFigureFooter"/>
      </w:pPr>
      <w:r w:rsidRPr="004D75BF">
        <w:t xml:space="preserve">Source: Compiled in the evaluation from Section 3; ‘Attachment 3.1 MARIPOSA </w:t>
      </w:r>
      <w:r w:rsidR="00F639C0" w:rsidRPr="00F639C0">
        <w:rPr>
          <w:i/>
        </w:rPr>
        <w:t>EGFR</w:t>
      </w:r>
      <w:r w:rsidRPr="004D75BF">
        <w:t xml:space="preserve">m CEA’ of the submission. </w:t>
      </w:r>
    </w:p>
    <w:p w14:paraId="2591F7E1" w14:textId="77777777" w:rsidR="0004729F" w:rsidRPr="004D75BF" w:rsidRDefault="0004729F" w:rsidP="007A7746">
      <w:pPr>
        <w:pStyle w:val="TableFigureFooter"/>
      </w:pPr>
      <w:r w:rsidRPr="589E218A">
        <w:t>A+L = amivantamab plus lazertinib, DPMQ = dispensed price for maximum quantity.</w:t>
      </w:r>
    </w:p>
    <w:p w14:paraId="6BDF2A55" w14:textId="77777777" w:rsidR="0004729F" w:rsidRPr="004D75BF" w:rsidRDefault="0004729F" w:rsidP="007A7746">
      <w:pPr>
        <w:pStyle w:val="TableFigureFooter"/>
      </w:pPr>
      <w:r w:rsidRPr="589E218A">
        <w:rPr>
          <w:vertAlign w:val="superscript"/>
        </w:rPr>
        <w:t>a</w:t>
      </w:r>
      <w:r w:rsidRPr="589E218A">
        <w:t xml:space="preserve"> Using lazertinib DPMQ with Section 85 markups.</w:t>
      </w:r>
    </w:p>
    <w:p w14:paraId="6B67F689" w14:textId="77777777" w:rsidR="0004729F" w:rsidRPr="004D75BF" w:rsidRDefault="0004729F" w:rsidP="007A7746">
      <w:pPr>
        <w:pStyle w:val="TableFigureFooter"/>
      </w:pPr>
      <w:r w:rsidRPr="589E218A">
        <w:rPr>
          <w:vertAlign w:val="superscript"/>
        </w:rPr>
        <w:t>b</w:t>
      </w:r>
      <w:r w:rsidRPr="589E218A">
        <w:t xml:space="preserve"> Using mean dose intensity defined as mg per treatment cycle from Table 11 of ‘Attachment 2.2 - MARIPOSA primary CSR-CCO Aug2023’ of the submission. Amivantamab was assumed 4 administrations in cycle 1 and 2 administrations in cycles 2+. </w:t>
      </w:r>
    </w:p>
    <w:p w14:paraId="0E69E91F" w14:textId="77777777" w:rsidR="0004729F" w:rsidRPr="004D75BF" w:rsidRDefault="0004729F" w:rsidP="007A7746">
      <w:pPr>
        <w:pStyle w:val="TableFigureFooter"/>
      </w:pPr>
      <w:r w:rsidRPr="589E218A">
        <w:rPr>
          <w:vertAlign w:val="superscript"/>
        </w:rPr>
        <w:t>c</w:t>
      </w:r>
      <w:r w:rsidRPr="589E218A">
        <w:t xml:space="preserve"> Calculated by applying % dose reductions, % doses non skipped, and weighted by &lt;/≥ 80kg for amivantamab. Given that the model assumed whole vials, % dose reductions had no effect on the estimations.</w:t>
      </w:r>
      <w:bookmarkStart w:id="116" w:name="_Hlk107307804"/>
      <w:bookmarkEnd w:id="112"/>
    </w:p>
    <w:p w14:paraId="10210DC6" w14:textId="77777777" w:rsidR="0004729F" w:rsidRPr="004D75BF" w:rsidRDefault="0004729F" w:rsidP="007A7746">
      <w:pPr>
        <w:pStyle w:val="TableFigureFooter"/>
      </w:pPr>
      <w:r w:rsidRPr="004D75BF">
        <w:rPr>
          <w:vertAlign w:val="superscript"/>
        </w:rPr>
        <w:t>d</w:t>
      </w:r>
      <w:r w:rsidRPr="004D75BF">
        <w:t xml:space="preserve"> 1725.51 mg divided by 2 assuming 2 administrations per 28-day cycle consistent with cycle 2+.</w:t>
      </w:r>
    </w:p>
    <w:p w14:paraId="5F1A31A8" w14:textId="77777777" w:rsidR="0004729F" w:rsidRPr="004D75BF" w:rsidRDefault="0004729F" w:rsidP="007A7746">
      <w:pPr>
        <w:pStyle w:val="TableFigureFooter"/>
      </w:pPr>
      <w:r w:rsidRPr="004D75BF">
        <w:rPr>
          <w:vertAlign w:val="superscript"/>
        </w:rPr>
        <w:t>e</w:t>
      </w:r>
      <w:r w:rsidRPr="004D75BF">
        <w:t xml:space="preserve"> 38% public, 62% private.</w:t>
      </w:r>
    </w:p>
    <w:p w14:paraId="0AEFD3E0" w14:textId="078F4A02" w:rsidR="0004729F" w:rsidRPr="004D75BF" w:rsidRDefault="0004729F" w:rsidP="0004729F">
      <w:pPr>
        <w:pStyle w:val="4-SubsectionHeading"/>
      </w:pPr>
      <w:bookmarkStart w:id="117" w:name="_Toc22897647"/>
      <w:bookmarkStart w:id="118" w:name="_Toc185940016"/>
      <w:bookmarkStart w:id="119" w:name="_Toc188452577"/>
      <w:bookmarkEnd w:id="115"/>
      <w:bookmarkEnd w:id="116"/>
      <w:r w:rsidRPr="004D75BF">
        <w:t>Estimated PBS usage &amp; financial implications</w:t>
      </w:r>
      <w:bookmarkEnd w:id="117"/>
      <w:bookmarkEnd w:id="118"/>
      <w:bookmarkEnd w:id="119"/>
    </w:p>
    <w:p w14:paraId="69EE89F6" w14:textId="38613785" w:rsidR="0004729F" w:rsidRPr="004D75BF" w:rsidRDefault="0004729F" w:rsidP="003576D0">
      <w:pPr>
        <w:pStyle w:val="3-BodyText"/>
        <w:ind w:left="709" w:hanging="709"/>
      </w:pPr>
      <w:r w:rsidRPr="589E218A">
        <w:t xml:space="preserve">This submission </w:t>
      </w:r>
      <w:r w:rsidR="003979CA" w:rsidRPr="589E218A">
        <w:t>was</w:t>
      </w:r>
      <w:r w:rsidRPr="589E218A">
        <w:t xml:space="preserve"> not considered by DUSC.</w:t>
      </w:r>
    </w:p>
    <w:p w14:paraId="7F2F96F4" w14:textId="0927B126" w:rsidR="0004729F" w:rsidRPr="004D75BF" w:rsidRDefault="0004729F" w:rsidP="003576D0">
      <w:pPr>
        <w:pStyle w:val="3-BodyText"/>
        <w:ind w:left="709" w:hanging="709"/>
      </w:pPr>
      <w:r w:rsidRPr="004D75BF">
        <w:t xml:space="preserve">The submission </w:t>
      </w:r>
      <w:r w:rsidR="007A3D5D">
        <w:t>estimated the financial implications for the</w:t>
      </w:r>
      <w:r w:rsidR="007A3D5D" w:rsidRPr="004D75BF">
        <w:t xml:space="preserve"> </w:t>
      </w:r>
      <w:r w:rsidRPr="004D75BF">
        <w:t>two cohorts</w:t>
      </w:r>
      <w:r w:rsidR="007A3D5D">
        <w:t xml:space="preserve"> separ</w:t>
      </w:r>
      <w:r w:rsidR="00765B1C">
        <w:t>ately</w:t>
      </w:r>
      <w:r w:rsidRPr="004D75BF">
        <w:t>:</w:t>
      </w:r>
    </w:p>
    <w:p w14:paraId="5FBF00C1" w14:textId="519CDE59" w:rsidR="0004729F" w:rsidRPr="004D75BF" w:rsidRDefault="0004729F" w:rsidP="009F3AE9">
      <w:pPr>
        <w:pStyle w:val="ListParagraph"/>
        <w:ind w:left="1276"/>
        <w:jc w:val="both"/>
      </w:pPr>
      <w:bookmarkStart w:id="120" w:name="_Hlk185949026"/>
      <w:bookmarkStart w:id="121" w:name="_Hlk188359463"/>
      <w:bookmarkStart w:id="122" w:name="_Hlk188359502"/>
      <w:r w:rsidRPr="004D75BF">
        <w:t xml:space="preserve">Population 1: First-line treatment of patients with locally advanced or metastatic (stage IIIB/IV) </w:t>
      </w:r>
      <w:r w:rsidRPr="00E95970">
        <w:rPr>
          <w:i/>
          <w:iCs/>
        </w:rPr>
        <w:t>EGFRm</w:t>
      </w:r>
      <w:r w:rsidRPr="004D75BF">
        <w:t xml:space="preserve"> NSCLC. </w:t>
      </w:r>
      <w:r w:rsidR="001F4225">
        <w:t xml:space="preserve">In contrast to the usual epidemiological approach </w:t>
      </w:r>
      <w:r w:rsidR="00915C01">
        <w:t xml:space="preserve">used in cost-effectiveness submissions, </w:t>
      </w:r>
      <w:r w:rsidR="00DC1475">
        <w:rPr>
          <w:iCs/>
        </w:rPr>
        <w:t>t</w:t>
      </w:r>
      <w:r w:rsidRPr="00FE6BBB">
        <w:rPr>
          <w:iCs/>
        </w:rPr>
        <w:t>h</w:t>
      </w:r>
      <w:r w:rsidR="00DC1475">
        <w:rPr>
          <w:iCs/>
        </w:rPr>
        <w:t>is</w:t>
      </w:r>
      <w:r w:rsidRPr="00FE6BBB">
        <w:rPr>
          <w:iCs/>
        </w:rPr>
        <w:t xml:space="preserve"> submission used a market share approach</w:t>
      </w:r>
      <w:r w:rsidR="00DC1475">
        <w:rPr>
          <w:iCs/>
        </w:rPr>
        <w:t xml:space="preserve"> due to the availability of</w:t>
      </w:r>
      <w:r w:rsidR="00D446AE">
        <w:rPr>
          <w:iCs/>
        </w:rPr>
        <w:t xml:space="preserve"> </w:t>
      </w:r>
      <w:r w:rsidR="00D446AE" w:rsidRPr="00F639C0">
        <w:rPr>
          <w:i/>
          <w:iCs/>
        </w:rPr>
        <w:t>EGFR</w:t>
      </w:r>
      <w:r w:rsidR="00D446AE" w:rsidRPr="00FE6BBB">
        <w:t xml:space="preserve"> TKI</w:t>
      </w:r>
      <w:r w:rsidR="00D446AE">
        <w:t xml:space="preserve"> utilisation</w:t>
      </w:r>
      <w:r w:rsidR="00DC1475">
        <w:rPr>
          <w:iCs/>
        </w:rPr>
        <w:t xml:space="preserve"> data provided by the DUSC </w:t>
      </w:r>
      <w:r w:rsidR="00DC1475" w:rsidRPr="001B4556">
        <w:rPr>
          <w:iCs/>
        </w:rPr>
        <w:t>Secretariat</w:t>
      </w:r>
      <w:r w:rsidR="003745D3" w:rsidRPr="001B4556">
        <w:rPr>
          <w:iCs/>
        </w:rPr>
        <w:t xml:space="preserve"> (</w:t>
      </w:r>
      <w:r w:rsidR="001B4556" w:rsidRPr="001B4556">
        <w:rPr>
          <w:iCs/>
        </w:rPr>
        <w:t xml:space="preserve">see </w:t>
      </w:r>
      <w:r w:rsidR="003745D3" w:rsidRPr="001B4556">
        <w:rPr>
          <w:iCs/>
        </w:rPr>
        <w:t xml:space="preserve">paragraph </w:t>
      </w:r>
      <w:r w:rsidR="00815E1D" w:rsidRPr="001B4556">
        <w:rPr>
          <w:iCs/>
        </w:rPr>
        <w:fldChar w:fldCharType="begin"/>
      </w:r>
      <w:r w:rsidR="00815E1D" w:rsidRPr="001B4556">
        <w:rPr>
          <w:iCs/>
        </w:rPr>
        <w:instrText xml:space="preserve"> REF _Ref195116795 \r \h  \* MERGEFORMAT </w:instrText>
      </w:r>
      <w:r w:rsidR="00815E1D" w:rsidRPr="001B4556">
        <w:rPr>
          <w:iCs/>
        </w:rPr>
      </w:r>
      <w:r w:rsidR="00815E1D" w:rsidRPr="001B4556">
        <w:rPr>
          <w:iCs/>
        </w:rPr>
        <w:fldChar w:fldCharType="separate"/>
      </w:r>
      <w:r w:rsidR="00184F9A">
        <w:rPr>
          <w:iCs/>
        </w:rPr>
        <w:t>6.68</w:t>
      </w:r>
      <w:r w:rsidR="00815E1D" w:rsidRPr="001B4556">
        <w:rPr>
          <w:iCs/>
        </w:rPr>
        <w:fldChar w:fldCharType="end"/>
      </w:r>
      <w:r w:rsidR="001B4556" w:rsidRPr="001B4556">
        <w:rPr>
          <w:iCs/>
        </w:rPr>
        <w:t xml:space="preserve"> below</w:t>
      </w:r>
      <w:r w:rsidR="003745D3">
        <w:rPr>
          <w:iCs/>
        </w:rPr>
        <w:t>)</w:t>
      </w:r>
      <w:r w:rsidRPr="00FE6BBB">
        <w:rPr>
          <w:iCs/>
        </w:rPr>
        <w:t>.</w:t>
      </w:r>
    </w:p>
    <w:p w14:paraId="3D8CDE87" w14:textId="795802B8" w:rsidR="0004729F" w:rsidRPr="004D75BF" w:rsidRDefault="0004729F" w:rsidP="009F3AE9">
      <w:pPr>
        <w:pStyle w:val="ListParagraph"/>
        <w:ind w:left="1276"/>
        <w:jc w:val="both"/>
      </w:pPr>
      <w:r w:rsidRPr="589E218A">
        <w:t>Population 2: Adjuvant osimertinib</w:t>
      </w:r>
      <w:r w:rsidR="00FE76D0" w:rsidRPr="589E218A">
        <w:t>-</w:t>
      </w:r>
      <w:r w:rsidRPr="589E218A">
        <w:t xml:space="preserve">experienced </w:t>
      </w:r>
      <w:bookmarkEnd w:id="120"/>
      <w:r w:rsidR="00B30493" w:rsidRPr="589E218A">
        <w:t xml:space="preserve">patients with locally advanced or metastatic </w:t>
      </w:r>
      <w:r w:rsidR="00B30493" w:rsidRPr="589E218A">
        <w:rPr>
          <w:i/>
          <w:iCs/>
        </w:rPr>
        <w:t>EGFRm</w:t>
      </w:r>
      <w:r w:rsidR="00B30493" w:rsidRPr="589E218A">
        <w:t xml:space="preserve"> NSCLC</w:t>
      </w:r>
      <w:r w:rsidRPr="589E218A">
        <w:t>. Th</w:t>
      </w:r>
      <w:r w:rsidR="00E95970" w:rsidRPr="589E218A">
        <w:t xml:space="preserve">e submission used </w:t>
      </w:r>
      <w:r w:rsidRPr="589E218A">
        <w:t>an epidemiological approach</w:t>
      </w:r>
      <w:r w:rsidR="009C6A3F" w:rsidRPr="589E218A">
        <w:t>,</w:t>
      </w:r>
      <w:r w:rsidRPr="589E218A">
        <w:t xml:space="preserve"> </w:t>
      </w:r>
      <w:r w:rsidR="00C9328A" w:rsidRPr="589E218A">
        <w:t>based on</w:t>
      </w:r>
      <w:r w:rsidRPr="589E218A">
        <w:t xml:space="preserve"> the parameters and values from the osimertinib PSD, November 2023</w:t>
      </w:r>
      <w:bookmarkEnd w:id="121"/>
      <w:r w:rsidRPr="589E218A">
        <w:t>.</w:t>
      </w:r>
      <w:r w:rsidRPr="589E218A">
        <w:rPr>
          <w:i/>
          <w:iCs/>
        </w:rPr>
        <w:t xml:space="preserve"> </w:t>
      </w:r>
    </w:p>
    <w:bookmarkEnd w:id="122"/>
    <w:p w14:paraId="56C4C997" w14:textId="69F64D21" w:rsidR="0004729F" w:rsidRPr="00505F85" w:rsidRDefault="0004729F" w:rsidP="003576D0">
      <w:pPr>
        <w:pStyle w:val="3-BodyText"/>
        <w:ind w:left="709" w:hanging="709"/>
        <w:rPr>
          <w:color w:val="0066FF"/>
        </w:rPr>
      </w:pPr>
      <w:r w:rsidRPr="004D75BF">
        <w:t xml:space="preserve">Inputs and data sources used by the submission to estimate the financial implications of listing A+L are presented in </w:t>
      </w:r>
      <w:r w:rsidRPr="004D75BF">
        <w:fldChar w:fldCharType="begin"/>
      </w:r>
      <w:r w:rsidRPr="004D75BF">
        <w:instrText xml:space="preserve"> REF _Ref104805262 \h </w:instrText>
      </w:r>
      <w:r w:rsidRPr="004D75BF">
        <w:fldChar w:fldCharType="separate"/>
      </w:r>
      <w:r w:rsidR="00184F9A" w:rsidRPr="004D75BF">
        <w:t xml:space="preserve">Table </w:t>
      </w:r>
      <w:r w:rsidR="00184F9A">
        <w:rPr>
          <w:noProof/>
        </w:rPr>
        <w:t>17</w:t>
      </w:r>
      <w:r w:rsidRPr="004D75BF">
        <w:fldChar w:fldCharType="end"/>
      </w:r>
      <w:r w:rsidRPr="004D75BF">
        <w:t>.</w:t>
      </w:r>
    </w:p>
    <w:p w14:paraId="56767BDF" w14:textId="04DC018B" w:rsidR="0004729F" w:rsidRPr="004D75BF" w:rsidRDefault="0004729F" w:rsidP="0004729F">
      <w:pPr>
        <w:pStyle w:val="Caption"/>
        <w:rPr>
          <w:rStyle w:val="CommentReference"/>
          <w:b/>
          <w:szCs w:val="24"/>
        </w:rPr>
      </w:pPr>
      <w:bookmarkStart w:id="123" w:name="_Ref104805262"/>
      <w:r w:rsidRPr="004D75BF">
        <w:t xml:space="preserve">Table </w:t>
      </w:r>
      <w:r w:rsidR="001B4556">
        <w:fldChar w:fldCharType="begin"/>
      </w:r>
      <w:r w:rsidR="001B4556">
        <w:instrText xml:space="preserve"> SEQ Table \* ARABIC </w:instrText>
      </w:r>
      <w:r w:rsidR="001B4556">
        <w:fldChar w:fldCharType="separate"/>
      </w:r>
      <w:r w:rsidR="00184F9A">
        <w:rPr>
          <w:noProof/>
        </w:rPr>
        <w:t>17</w:t>
      </w:r>
      <w:r w:rsidR="001B4556">
        <w:rPr>
          <w:noProof/>
        </w:rPr>
        <w:fldChar w:fldCharType="end"/>
      </w:r>
      <w:bookmarkEnd w:id="123"/>
      <w:r w:rsidRPr="004D75BF">
        <w:t>:</w:t>
      </w:r>
      <w:r w:rsidRPr="004D75B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2263"/>
        <w:gridCol w:w="3544"/>
        <w:gridCol w:w="3210"/>
      </w:tblGrid>
      <w:tr w:rsidR="0004729F" w:rsidRPr="004D75BF" w14:paraId="11A84547" w14:textId="77777777" w:rsidTr="589E218A">
        <w:trPr>
          <w:tblHeader/>
        </w:trPr>
        <w:tc>
          <w:tcPr>
            <w:tcW w:w="1255" w:type="pct"/>
            <w:shd w:val="clear" w:color="auto" w:fill="auto"/>
            <w:vAlign w:val="center"/>
          </w:tcPr>
          <w:p w14:paraId="1A7B07EF" w14:textId="77777777" w:rsidR="0004729F" w:rsidRPr="004D75BF" w:rsidRDefault="0004729F">
            <w:pPr>
              <w:pStyle w:val="In-tableHeading"/>
              <w:jc w:val="center"/>
              <w:rPr>
                <w:lang w:val="en-AU"/>
              </w:rPr>
            </w:pPr>
            <w:r w:rsidRPr="004D75BF">
              <w:rPr>
                <w:lang w:val="en-AU"/>
              </w:rPr>
              <w:t>Parameter</w:t>
            </w:r>
          </w:p>
        </w:tc>
        <w:tc>
          <w:tcPr>
            <w:tcW w:w="1965" w:type="pct"/>
            <w:shd w:val="clear" w:color="auto" w:fill="auto"/>
            <w:vAlign w:val="center"/>
          </w:tcPr>
          <w:p w14:paraId="7CEC2134" w14:textId="77777777" w:rsidR="0004729F" w:rsidRPr="004D75BF" w:rsidRDefault="0004729F">
            <w:pPr>
              <w:pStyle w:val="In-tableHeading"/>
              <w:jc w:val="center"/>
              <w:rPr>
                <w:lang w:val="en-AU"/>
              </w:rPr>
            </w:pPr>
            <w:r w:rsidRPr="004D75BF">
              <w:rPr>
                <w:lang w:val="en-AU"/>
              </w:rPr>
              <w:t>Value applied and source</w:t>
            </w:r>
          </w:p>
        </w:tc>
        <w:tc>
          <w:tcPr>
            <w:tcW w:w="1780" w:type="pct"/>
            <w:shd w:val="clear" w:color="auto" w:fill="auto"/>
            <w:vAlign w:val="center"/>
          </w:tcPr>
          <w:p w14:paraId="09C2CFBD" w14:textId="08CB7E79" w:rsidR="0004729F" w:rsidRPr="004D75BF" w:rsidRDefault="00CB437A">
            <w:pPr>
              <w:pStyle w:val="In-tableHeading"/>
              <w:jc w:val="center"/>
              <w:rPr>
                <w:lang w:val="en-AU"/>
              </w:rPr>
            </w:pPr>
            <w:r>
              <w:rPr>
                <w:lang w:val="en-AU"/>
              </w:rPr>
              <w:t>Evaluation c</w:t>
            </w:r>
            <w:r w:rsidR="0004729F" w:rsidRPr="004D75BF">
              <w:rPr>
                <w:lang w:val="en-AU"/>
              </w:rPr>
              <w:t>omment</w:t>
            </w:r>
          </w:p>
        </w:tc>
      </w:tr>
      <w:tr w:rsidR="0004729F" w:rsidRPr="004D75BF" w14:paraId="7B933FA5" w14:textId="77777777" w:rsidTr="589E218A">
        <w:tc>
          <w:tcPr>
            <w:tcW w:w="5000" w:type="pct"/>
            <w:gridSpan w:val="3"/>
            <w:shd w:val="clear" w:color="auto" w:fill="auto"/>
            <w:vAlign w:val="center"/>
          </w:tcPr>
          <w:p w14:paraId="37D82F16" w14:textId="77777777" w:rsidR="0004729F" w:rsidRPr="004D75BF" w:rsidRDefault="0004729F">
            <w:pPr>
              <w:pStyle w:val="TableText0"/>
              <w:rPr>
                <w:i/>
                <w:iCs/>
              </w:rPr>
            </w:pPr>
            <w:r w:rsidRPr="004D6E9D">
              <w:rPr>
                <w:b/>
                <w:bCs w:val="0"/>
              </w:rPr>
              <w:t>Population 1</w:t>
            </w:r>
          </w:p>
        </w:tc>
      </w:tr>
      <w:tr w:rsidR="0004729F" w:rsidRPr="00FE6BBB" w14:paraId="540D528E" w14:textId="77777777" w:rsidTr="589E218A">
        <w:tc>
          <w:tcPr>
            <w:tcW w:w="1255" w:type="pct"/>
            <w:shd w:val="clear" w:color="auto" w:fill="auto"/>
            <w:vAlign w:val="center"/>
          </w:tcPr>
          <w:p w14:paraId="5AFDA948" w14:textId="18DFA346" w:rsidR="0004729F" w:rsidRPr="00FE6BBB" w:rsidRDefault="00F639C0">
            <w:pPr>
              <w:pStyle w:val="TableText0"/>
            </w:pPr>
            <w:r w:rsidRPr="00F639C0">
              <w:rPr>
                <w:i/>
                <w:iCs/>
              </w:rPr>
              <w:t>EGFR</w:t>
            </w:r>
            <w:r w:rsidR="0004729F" w:rsidRPr="00FE6BBB">
              <w:t xml:space="preserve"> TKI therapies for first-line </w:t>
            </w:r>
            <w:r w:rsidRPr="00F639C0">
              <w:rPr>
                <w:i/>
                <w:iCs/>
              </w:rPr>
              <w:t>EGFR</w:t>
            </w:r>
            <w:r w:rsidR="0004729F" w:rsidRPr="00FE6BBB">
              <w:rPr>
                <w:iCs/>
              </w:rPr>
              <w:t>m</w:t>
            </w:r>
            <w:r w:rsidR="0004729F" w:rsidRPr="00FE6BBB">
              <w:t xml:space="preserve"> NSCLC</w:t>
            </w:r>
          </w:p>
        </w:tc>
        <w:tc>
          <w:tcPr>
            <w:tcW w:w="1965" w:type="pct"/>
            <w:shd w:val="clear" w:color="auto" w:fill="auto"/>
            <w:vAlign w:val="center"/>
          </w:tcPr>
          <w:p w14:paraId="5054113D" w14:textId="77777777" w:rsidR="0004729F" w:rsidRPr="00FE6BBB" w:rsidRDefault="0004729F">
            <w:pPr>
              <w:pStyle w:val="TableText0"/>
            </w:pPr>
            <w:r w:rsidRPr="00FE6BBB">
              <w:t>PBS 100% data</w:t>
            </w:r>
          </w:p>
          <w:p w14:paraId="44262215" w14:textId="77777777" w:rsidR="0004729F" w:rsidRDefault="0004729F">
            <w:pPr>
              <w:pStyle w:val="TableText0"/>
            </w:pPr>
          </w:p>
          <w:p w14:paraId="5D84F9B7" w14:textId="27B4ABFC" w:rsidR="001E0380" w:rsidRPr="00FE6BBB" w:rsidRDefault="001E0380">
            <w:pPr>
              <w:pStyle w:val="TableText0"/>
            </w:pPr>
            <w:r>
              <w:t>Number of patients:</w:t>
            </w:r>
          </w:p>
          <w:p w14:paraId="05F66011" w14:textId="77777777" w:rsidR="0004729F" w:rsidRPr="00FE6BBB" w:rsidRDefault="0004729F">
            <w:pPr>
              <w:pStyle w:val="TableText0"/>
            </w:pPr>
            <w:r w:rsidRPr="00FE6BBB">
              <w:t>2019: 883</w:t>
            </w:r>
          </w:p>
          <w:p w14:paraId="57D016E2" w14:textId="77777777" w:rsidR="0004729F" w:rsidRPr="00FE6BBB" w:rsidRDefault="0004729F">
            <w:pPr>
              <w:pStyle w:val="TableText0"/>
            </w:pPr>
            <w:r w:rsidRPr="00FE6BBB">
              <w:t>2020: 757</w:t>
            </w:r>
          </w:p>
          <w:p w14:paraId="650ACA78" w14:textId="77777777" w:rsidR="0004729F" w:rsidRPr="00FE6BBB" w:rsidRDefault="0004729F">
            <w:pPr>
              <w:pStyle w:val="TableText0"/>
            </w:pPr>
            <w:r w:rsidRPr="00FE6BBB">
              <w:t>2021: 1,049</w:t>
            </w:r>
          </w:p>
          <w:p w14:paraId="6A064CC9" w14:textId="77777777" w:rsidR="0004729F" w:rsidRPr="00FE6BBB" w:rsidRDefault="0004729F">
            <w:pPr>
              <w:pStyle w:val="TableText0"/>
            </w:pPr>
            <w:r w:rsidRPr="00FE6BBB">
              <w:t>2022: 1,133</w:t>
            </w:r>
          </w:p>
          <w:p w14:paraId="0EBCAA24" w14:textId="77777777" w:rsidR="0004729F" w:rsidRPr="00FE6BBB" w:rsidRDefault="0004729F">
            <w:pPr>
              <w:pStyle w:val="TableText0"/>
            </w:pPr>
            <w:r w:rsidRPr="00FE6BBB">
              <w:t>2023: 1,152</w:t>
            </w:r>
          </w:p>
        </w:tc>
        <w:tc>
          <w:tcPr>
            <w:tcW w:w="1780" w:type="pct"/>
            <w:shd w:val="clear" w:color="auto" w:fill="auto"/>
            <w:vAlign w:val="center"/>
          </w:tcPr>
          <w:p w14:paraId="76D7E8DD" w14:textId="477E4CFF" w:rsidR="0004729F" w:rsidRPr="00FE6BBB" w:rsidRDefault="00967FA0">
            <w:pPr>
              <w:pStyle w:val="TableText0"/>
              <w:rPr>
                <w:iCs/>
              </w:rPr>
            </w:pPr>
            <w:r>
              <w:rPr>
                <w:iCs/>
              </w:rPr>
              <w:t>Data were provided by the DUSC secretariat</w:t>
            </w:r>
            <w:r w:rsidR="0004729F" w:rsidRPr="00FE6BBB">
              <w:rPr>
                <w:iCs/>
              </w:rPr>
              <w:t>.</w:t>
            </w:r>
          </w:p>
        </w:tc>
      </w:tr>
      <w:tr w:rsidR="0004729F" w:rsidRPr="00FE6BBB" w14:paraId="09CDCDCD" w14:textId="77777777" w:rsidTr="589E218A">
        <w:tc>
          <w:tcPr>
            <w:tcW w:w="1255" w:type="pct"/>
            <w:shd w:val="clear" w:color="auto" w:fill="auto"/>
            <w:vAlign w:val="center"/>
          </w:tcPr>
          <w:p w14:paraId="1E24FD8F" w14:textId="77777777" w:rsidR="0004729F" w:rsidRPr="00FE6BBB" w:rsidRDefault="0004729F">
            <w:pPr>
              <w:pStyle w:val="TableText0"/>
            </w:pPr>
            <w:r w:rsidRPr="589E218A">
              <w:t>Factor applied to growth rate to account for adjuvant osimertinib</w:t>
            </w:r>
          </w:p>
        </w:tc>
        <w:tc>
          <w:tcPr>
            <w:tcW w:w="1965" w:type="pct"/>
            <w:shd w:val="clear" w:color="auto" w:fill="auto"/>
            <w:vAlign w:val="center"/>
          </w:tcPr>
          <w:p w14:paraId="0C2026FA" w14:textId="77777777" w:rsidR="0004729F" w:rsidRPr="00FE6BBB" w:rsidRDefault="0004729F">
            <w:pPr>
              <w:pStyle w:val="TableText0"/>
            </w:pPr>
            <w:r w:rsidRPr="589E218A">
              <w:t xml:space="preserve">Assumed -55% as it is approximately equal to the estimated number of population 2 patients each year. </w:t>
            </w:r>
          </w:p>
        </w:tc>
        <w:tc>
          <w:tcPr>
            <w:tcW w:w="1780" w:type="pct"/>
            <w:shd w:val="clear" w:color="auto" w:fill="auto"/>
            <w:vAlign w:val="center"/>
          </w:tcPr>
          <w:p w14:paraId="4883F7FF" w14:textId="15A71D6F" w:rsidR="0004729F" w:rsidRPr="00FE6BBB" w:rsidRDefault="0004729F">
            <w:pPr>
              <w:pStyle w:val="TableText0"/>
            </w:pPr>
            <w:r w:rsidRPr="00FE6BBB">
              <w:rPr>
                <w:iCs/>
              </w:rPr>
              <w:t>This was unsupported by evidence.</w:t>
            </w:r>
          </w:p>
        </w:tc>
      </w:tr>
      <w:tr w:rsidR="0004729F" w:rsidRPr="004D75BF" w14:paraId="042F3447" w14:textId="77777777" w:rsidTr="589E218A">
        <w:tc>
          <w:tcPr>
            <w:tcW w:w="5000" w:type="pct"/>
            <w:gridSpan w:val="3"/>
            <w:shd w:val="clear" w:color="auto" w:fill="auto"/>
            <w:vAlign w:val="center"/>
          </w:tcPr>
          <w:p w14:paraId="375CF4FC" w14:textId="77777777" w:rsidR="0004729F" w:rsidRPr="004D75BF" w:rsidRDefault="0004729F">
            <w:pPr>
              <w:pStyle w:val="TableText0"/>
              <w:rPr>
                <w:i/>
                <w:iCs/>
              </w:rPr>
            </w:pPr>
            <w:r w:rsidRPr="004D6E9D">
              <w:rPr>
                <w:b/>
                <w:bCs w:val="0"/>
              </w:rPr>
              <w:t>Population 2</w:t>
            </w:r>
          </w:p>
        </w:tc>
      </w:tr>
      <w:tr w:rsidR="0004729F" w:rsidRPr="00FE6BBB" w14:paraId="2C244BF3" w14:textId="77777777" w:rsidTr="589E218A">
        <w:tc>
          <w:tcPr>
            <w:tcW w:w="1255" w:type="pct"/>
            <w:shd w:val="clear" w:color="auto" w:fill="auto"/>
            <w:vAlign w:val="center"/>
          </w:tcPr>
          <w:p w14:paraId="21F53B45" w14:textId="77777777" w:rsidR="0004729F" w:rsidRPr="00FE6BBB" w:rsidRDefault="0004729F">
            <w:pPr>
              <w:pStyle w:val="TableText0"/>
            </w:pPr>
            <w:r w:rsidRPr="589E218A">
              <w:t>Eligible population: osimertinib experienced</w:t>
            </w:r>
          </w:p>
        </w:tc>
        <w:tc>
          <w:tcPr>
            <w:tcW w:w="1965" w:type="pct"/>
            <w:shd w:val="clear" w:color="auto" w:fill="auto"/>
            <w:vAlign w:val="center"/>
          </w:tcPr>
          <w:p w14:paraId="57EF97BD" w14:textId="01BF9F68" w:rsidR="0004729F" w:rsidRPr="00FE6BBB" w:rsidRDefault="0004729F">
            <w:pPr>
              <w:pStyle w:val="TableText0"/>
            </w:pPr>
            <w:r w:rsidRPr="00FE6BBB">
              <w:t>Osimertinib PSD November 2023</w:t>
            </w:r>
          </w:p>
        </w:tc>
        <w:tc>
          <w:tcPr>
            <w:tcW w:w="1780" w:type="pct"/>
            <w:shd w:val="clear" w:color="auto" w:fill="auto"/>
            <w:vAlign w:val="center"/>
          </w:tcPr>
          <w:p w14:paraId="1D9D070D" w14:textId="60570732" w:rsidR="0004729F" w:rsidRPr="00FE6BBB" w:rsidRDefault="00901335">
            <w:pPr>
              <w:pStyle w:val="TableText0"/>
              <w:rPr>
                <w:iCs/>
              </w:rPr>
            </w:pPr>
            <w:r>
              <w:t>D</w:t>
            </w:r>
            <w:r w:rsidR="0004729F" w:rsidRPr="00FE6BBB">
              <w:t xml:space="preserve">ata </w:t>
            </w:r>
            <w:r>
              <w:t xml:space="preserve">used </w:t>
            </w:r>
            <w:r w:rsidR="0004729F" w:rsidRPr="00FE6BBB">
              <w:t xml:space="preserve">consistent with </w:t>
            </w:r>
            <w:r>
              <w:t>that</w:t>
            </w:r>
            <w:r w:rsidR="0004729F" w:rsidRPr="00FE6BBB">
              <w:t xml:space="preserve"> presented in the PSD.</w:t>
            </w:r>
          </w:p>
        </w:tc>
      </w:tr>
      <w:tr w:rsidR="0004729F" w:rsidRPr="004D75BF" w14:paraId="32D07FE2" w14:textId="77777777" w:rsidTr="589E218A">
        <w:tc>
          <w:tcPr>
            <w:tcW w:w="5000" w:type="pct"/>
            <w:gridSpan w:val="3"/>
            <w:shd w:val="clear" w:color="auto" w:fill="auto"/>
            <w:vAlign w:val="center"/>
          </w:tcPr>
          <w:p w14:paraId="07827509" w14:textId="77777777" w:rsidR="0004729F" w:rsidRPr="004D75BF" w:rsidRDefault="0004729F">
            <w:pPr>
              <w:pStyle w:val="TableText0"/>
              <w:rPr>
                <w:i/>
                <w:iCs/>
              </w:rPr>
            </w:pPr>
            <w:r w:rsidRPr="004D6E9D">
              <w:rPr>
                <w:b/>
                <w:bCs w:val="0"/>
              </w:rPr>
              <w:t>Treatment utilisation</w:t>
            </w:r>
          </w:p>
        </w:tc>
      </w:tr>
      <w:tr w:rsidR="0004729F" w:rsidRPr="00FE6BBB" w14:paraId="2EB2D851" w14:textId="77777777" w:rsidTr="589E218A">
        <w:tc>
          <w:tcPr>
            <w:tcW w:w="1255" w:type="pct"/>
            <w:shd w:val="clear" w:color="auto" w:fill="auto"/>
            <w:vAlign w:val="center"/>
          </w:tcPr>
          <w:p w14:paraId="03C6E1FD" w14:textId="77777777" w:rsidR="0004729F" w:rsidRPr="00FE6BBB" w:rsidRDefault="0004729F">
            <w:pPr>
              <w:pStyle w:val="TableText0"/>
            </w:pPr>
            <w:r w:rsidRPr="00FE6BBB">
              <w:t xml:space="preserve">Uptake rate population 1 </w:t>
            </w:r>
          </w:p>
        </w:tc>
        <w:tc>
          <w:tcPr>
            <w:tcW w:w="1965" w:type="pct"/>
            <w:shd w:val="clear" w:color="auto" w:fill="auto"/>
            <w:vAlign w:val="center"/>
          </w:tcPr>
          <w:p w14:paraId="7FD85510" w14:textId="77777777" w:rsidR="0004729F" w:rsidRPr="00FE6BBB" w:rsidRDefault="0004729F">
            <w:pPr>
              <w:pStyle w:val="TableText0"/>
              <w:keepNext w:val="0"/>
            </w:pPr>
            <w:r w:rsidRPr="00FE6BBB">
              <w:t>Assumption from advisory board:</w:t>
            </w:r>
          </w:p>
          <w:p w14:paraId="294442D2" w14:textId="1E065687" w:rsidR="0004729F" w:rsidRPr="00FE6BBB" w:rsidRDefault="0004729F">
            <w:pPr>
              <w:pStyle w:val="TableText0"/>
              <w:keepNext w:val="0"/>
            </w:pPr>
            <w:r w:rsidRPr="00FE6BBB">
              <w:t xml:space="preserve">Yr 1: </w:t>
            </w:r>
            <w:r w:rsidR="007A7746" w:rsidRPr="007A7746">
              <w:rPr>
                <w:color w:val="000000"/>
                <w:spacing w:val="50"/>
                <w:shd w:val="solid" w:color="000000" w:fill="000000"/>
                <w:fitText w:val="323" w:id="-693980156"/>
                <w14:textFill>
                  <w14:solidFill>
                    <w14:srgbClr w14:val="000000">
                      <w14:alpha w14:val="100000"/>
                    </w14:srgbClr>
                  </w14:solidFill>
                </w14:textFill>
              </w:rPr>
              <w:t>|||</w:t>
            </w:r>
            <w:r w:rsidR="007A7746" w:rsidRPr="007A7746">
              <w:rPr>
                <w:color w:val="000000"/>
                <w:spacing w:val="3"/>
                <w:shd w:val="solid" w:color="000000" w:fill="000000"/>
                <w:fitText w:val="323" w:id="-693980156"/>
                <w14:textFill>
                  <w14:solidFill>
                    <w14:srgbClr w14:val="000000">
                      <w14:alpha w14:val="100000"/>
                    </w14:srgbClr>
                  </w14:solidFill>
                </w14:textFill>
              </w:rPr>
              <w:t>|</w:t>
            </w:r>
            <w:r w:rsidRPr="00FE6BBB">
              <w:t>%</w:t>
            </w:r>
          </w:p>
          <w:p w14:paraId="3AC43D71" w14:textId="346E42BF" w:rsidR="0004729F" w:rsidRPr="00FE6BBB" w:rsidRDefault="0004729F">
            <w:pPr>
              <w:pStyle w:val="TableText0"/>
              <w:keepNext w:val="0"/>
            </w:pPr>
            <w:r w:rsidRPr="00FE6BBB">
              <w:t xml:space="preserve">Yr 2: </w:t>
            </w:r>
            <w:r w:rsidR="007A7746" w:rsidRPr="007A7746">
              <w:rPr>
                <w:color w:val="000000"/>
                <w:spacing w:val="50"/>
                <w:shd w:val="solid" w:color="000000" w:fill="000000"/>
                <w:fitText w:val="323" w:id="-693980155"/>
                <w14:textFill>
                  <w14:solidFill>
                    <w14:srgbClr w14:val="000000">
                      <w14:alpha w14:val="100000"/>
                    </w14:srgbClr>
                  </w14:solidFill>
                </w14:textFill>
              </w:rPr>
              <w:t>|||</w:t>
            </w:r>
            <w:r w:rsidR="007A7746" w:rsidRPr="007A7746">
              <w:rPr>
                <w:color w:val="000000"/>
                <w:spacing w:val="3"/>
                <w:shd w:val="solid" w:color="000000" w:fill="000000"/>
                <w:fitText w:val="323" w:id="-693980155"/>
                <w14:textFill>
                  <w14:solidFill>
                    <w14:srgbClr w14:val="000000">
                      <w14:alpha w14:val="100000"/>
                    </w14:srgbClr>
                  </w14:solidFill>
                </w14:textFill>
              </w:rPr>
              <w:t>|</w:t>
            </w:r>
            <w:r w:rsidRPr="00FE6BBB">
              <w:t>%</w:t>
            </w:r>
          </w:p>
          <w:p w14:paraId="1575F903" w14:textId="7C058FDC" w:rsidR="0004729F" w:rsidRPr="00FE6BBB" w:rsidRDefault="0004729F">
            <w:pPr>
              <w:pStyle w:val="TableText0"/>
              <w:keepNext w:val="0"/>
            </w:pPr>
            <w:r w:rsidRPr="00FE6BBB">
              <w:t xml:space="preserve">Yr 3: </w:t>
            </w:r>
            <w:r w:rsidR="007A7746" w:rsidRPr="007A7746">
              <w:rPr>
                <w:color w:val="000000"/>
                <w:spacing w:val="50"/>
                <w:shd w:val="solid" w:color="000000" w:fill="000000"/>
                <w:fitText w:val="323" w:id="-693980154"/>
                <w14:textFill>
                  <w14:solidFill>
                    <w14:srgbClr w14:val="000000">
                      <w14:alpha w14:val="100000"/>
                    </w14:srgbClr>
                  </w14:solidFill>
                </w14:textFill>
              </w:rPr>
              <w:t>|||</w:t>
            </w:r>
            <w:r w:rsidR="007A7746" w:rsidRPr="007A7746">
              <w:rPr>
                <w:color w:val="000000"/>
                <w:spacing w:val="3"/>
                <w:shd w:val="solid" w:color="000000" w:fill="000000"/>
                <w:fitText w:val="323" w:id="-693980154"/>
                <w14:textFill>
                  <w14:solidFill>
                    <w14:srgbClr w14:val="000000">
                      <w14:alpha w14:val="100000"/>
                    </w14:srgbClr>
                  </w14:solidFill>
                </w14:textFill>
              </w:rPr>
              <w:t>|</w:t>
            </w:r>
            <w:r w:rsidRPr="00FE6BBB">
              <w:t>%</w:t>
            </w:r>
          </w:p>
          <w:p w14:paraId="69DE9D36" w14:textId="7CB49F36" w:rsidR="0004729F" w:rsidRPr="00FE6BBB" w:rsidRDefault="0004729F">
            <w:pPr>
              <w:pStyle w:val="TableText0"/>
            </w:pPr>
            <w:r w:rsidRPr="00FE6BBB">
              <w:t xml:space="preserve">Yr 4-6: </w:t>
            </w:r>
            <w:r w:rsidR="007A7746" w:rsidRPr="007A7746">
              <w:rPr>
                <w:color w:val="000000"/>
                <w:spacing w:val="54"/>
                <w:shd w:val="solid" w:color="000000" w:fill="000000"/>
                <w:fitText w:val="334" w:id="-693980153"/>
                <w14:textFill>
                  <w14:solidFill>
                    <w14:srgbClr w14:val="000000">
                      <w14:alpha w14:val="100000"/>
                    </w14:srgbClr>
                  </w14:solidFill>
                </w14:textFill>
              </w:rPr>
              <w:t>|||</w:t>
            </w:r>
            <w:r w:rsidR="007A7746" w:rsidRPr="007A7746">
              <w:rPr>
                <w:color w:val="000000"/>
                <w:spacing w:val="2"/>
                <w:shd w:val="solid" w:color="000000" w:fill="000000"/>
                <w:fitText w:val="334" w:id="-693980153"/>
                <w14:textFill>
                  <w14:solidFill>
                    <w14:srgbClr w14:val="000000">
                      <w14:alpha w14:val="100000"/>
                    </w14:srgbClr>
                  </w14:solidFill>
                </w14:textFill>
              </w:rPr>
              <w:t>|</w:t>
            </w:r>
            <w:r w:rsidRPr="00FE6BBB">
              <w:t>%</w:t>
            </w:r>
          </w:p>
        </w:tc>
        <w:tc>
          <w:tcPr>
            <w:tcW w:w="1780" w:type="pct"/>
            <w:shd w:val="clear" w:color="auto" w:fill="auto"/>
            <w:vAlign w:val="center"/>
          </w:tcPr>
          <w:p w14:paraId="1C421881" w14:textId="42C246BB" w:rsidR="0004729F" w:rsidRPr="00FA61A8" w:rsidRDefault="0018017B" w:rsidP="589E218A">
            <w:pPr>
              <w:pStyle w:val="TableText0"/>
              <w:rPr>
                <w:i/>
                <w:iCs/>
              </w:rPr>
            </w:pPr>
            <w:r w:rsidRPr="589E218A">
              <w:t>Based on assumption</w:t>
            </w:r>
            <w:r w:rsidR="0004729F" w:rsidRPr="589E218A">
              <w:t>.</w:t>
            </w:r>
            <w:r w:rsidR="00FA61A8" w:rsidRPr="589E218A">
              <w:t xml:space="preserve"> </w:t>
            </w:r>
            <w:r w:rsidR="00FA61A8" w:rsidRPr="002C7ED7">
              <w:t xml:space="preserve">The ESC considered the uptake to be substantially overestimated noting the toxicity of A+L and </w:t>
            </w:r>
            <w:r w:rsidR="003B162E" w:rsidRPr="002C7ED7">
              <w:t xml:space="preserve">that osimertinib </w:t>
            </w:r>
            <w:r w:rsidR="00FE3AB3" w:rsidRPr="002C7ED7">
              <w:t>is the preferred treatment over A+L in the N</w:t>
            </w:r>
            <w:r w:rsidR="009F0DE8" w:rsidRPr="002C7ED7">
              <w:t>CC</w:t>
            </w:r>
            <w:r w:rsidR="00FE3AB3" w:rsidRPr="002C7ED7">
              <w:t>N guidelines.</w:t>
            </w:r>
          </w:p>
        </w:tc>
      </w:tr>
      <w:tr w:rsidR="0004729F" w:rsidRPr="00FE6BBB" w14:paraId="53138CCE" w14:textId="77777777" w:rsidTr="589E218A">
        <w:tc>
          <w:tcPr>
            <w:tcW w:w="1255" w:type="pct"/>
            <w:shd w:val="clear" w:color="auto" w:fill="auto"/>
          </w:tcPr>
          <w:p w14:paraId="1E2171E5" w14:textId="659297D2" w:rsidR="0004729F" w:rsidRPr="00FE6BBB" w:rsidRDefault="0004729F">
            <w:pPr>
              <w:pStyle w:val="TableText0"/>
            </w:pPr>
            <w:r w:rsidRPr="00FE6BBB">
              <w:t>Uptake rate population 2</w:t>
            </w:r>
          </w:p>
        </w:tc>
        <w:tc>
          <w:tcPr>
            <w:tcW w:w="1965" w:type="pct"/>
            <w:shd w:val="clear" w:color="auto" w:fill="auto"/>
          </w:tcPr>
          <w:p w14:paraId="041B2933" w14:textId="2574648D" w:rsidR="0004729F" w:rsidRPr="00FE6BBB" w:rsidRDefault="0004729F">
            <w:pPr>
              <w:pStyle w:val="TableText0"/>
              <w:keepNext w:val="0"/>
            </w:pPr>
            <w:r w:rsidRPr="00FE6BBB">
              <w:t xml:space="preserve">Assumption from advisory board: </w:t>
            </w:r>
            <w:r w:rsidR="007A7746" w:rsidRPr="007A7746">
              <w:rPr>
                <w:color w:val="000000"/>
                <w:spacing w:val="50"/>
                <w:shd w:val="solid" w:color="000000" w:fill="000000"/>
                <w:fitText w:val="322" w:id="-693980152"/>
                <w14:textFill>
                  <w14:solidFill>
                    <w14:srgbClr w14:val="000000">
                      <w14:alpha w14:val="100000"/>
                    </w14:srgbClr>
                  </w14:solidFill>
                </w14:textFill>
              </w:rPr>
              <w:t>|||</w:t>
            </w:r>
            <w:r w:rsidR="007A7746" w:rsidRPr="007A7746">
              <w:rPr>
                <w:color w:val="000000"/>
                <w:spacing w:val="2"/>
                <w:shd w:val="solid" w:color="000000" w:fill="000000"/>
                <w:fitText w:val="322" w:id="-693980152"/>
                <w14:textFill>
                  <w14:solidFill>
                    <w14:srgbClr w14:val="000000">
                      <w14:alpha w14:val="100000"/>
                    </w14:srgbClr>
                  </w14:solidFill>
                </w14:textFill>
              </w:rPr>
              <w:t>|</w:t>
            </w:r>
            <w:r w:rsidRPr="00FE6BBB">
              <w:t>%</w:t>
            </w:r>
          </w:p>
        </w:tc>
        <w:tc>
          <w:tcPr>
            <w:tcW w:w="1780" w:type="pct"/>
            <w:shd w:val="clear" w:color="auto" w:fill="auto"/>
            <w:vAlign w:val="center"/>
          </w:tcPr>
          <w:p w14:paraId="21083630" w14:textId="1BF07DDF" w:rsidR="0004729F" w:rsidRPr="00FE6BBB" w:rsidRDefault="0018017B">
            <w:pPr>
              <w:pStyle w:val="TableText0"/>
            </w:pPr>
            <w:r>
              <w:rPr>
                <w:iCs/>
              </w:rPr>
              <w:t>Based on assumption</w:t>
            </w:r>
            <w:r w:rsidR="0004729F" w:rsidRPr="00FE6BBB">
              <w:rPr>
                <w:iCs/>
              </w:rPr>
              <w:t>.</w:t>
            </w:r>
          </w:p>
        </w:tc>
      </w:tr>
      <w:tr w:rsidR="0004729F" w:rsidRPr="00FE6BBB" w14:paraId="6655EE64" w14:textId="77777777" w:rsidTr="589E218A">
        <w:tc>
          <w:tcPr>
            <w:tcW w:w="1255" w:type="pct"/>
            <w:shd w:val="clear" w:color="auto" w:fill="auto"/>
            <w:vAlign w:val="center"/>
          </w:tcPr>
          <w:p w14:paraId="41DC4018" w14:textId="77777777" w:rsidR="0004729F" w:rsidRPr="00FE6BBB" w:rsidRDefault="0004729F">
            <w:pPr>
              <w:pStyle w:val="TableText0"/>
            </w:pPr>
            <w:r w:rsidRPr="00FE6BBB">
              <w:t>Dose compliance</w:t>
            </w:r>
          </w:p>
        </w:tc>
        <w:tc>
          <w:tcPr>
            <w:tcW w:w="1965" w:type="pct"/>
            <w:shd w:val="clear" w:color="auto" w:fill="auto"/>
            <w:vAlign w:val="center"/>
          </w:tcPr>
          <w:p w14:paraId="3993AE5D" w14:textId="0027A1D2" w:rsidR="0004729F" w:rsidRPr="00FE6BBB" w:rsidRDefault="0004729F">
            <w:pPr>
              <w:pStyle w:val="TableText0"/>
              <w:keepNext w:val="0"/>
            </w:pPr>
            <w:r w:rsidRPr="00FE6BBB">
              <w:t xml:space="preserve">From the MARIPOSA trial using estimates from </w:t>
            </w:r>
            <w:r w:rsidRPr="00FE6BBB">
              <w:fldChar w:fldCharType="begin"/>
            </w:r>
            <w:r w:rsidRPr="00FE6BBB">
              <w:instrText xml:space="preserve"> REF _Ref185933804 \h  \* MERGEFORMAT </w:instrText>
            </w:r>
            <w:r w:rsidRPr="00FE6BBB">
              <w:fldChar w:fldCharType="separate"/>
            </w:r>
            <w:r w:rsidR="00184F9A" w:rsidRPr="004D75BF">
              <w:t xml:space="preserve">Table </w:t>
            </w:r>
            <w:r w:rsidR="00184F9A">
              <w:rPr>
                <w:noProof/>
              </w:rPr>
              <w:t>9</w:t>
            </w:r>
            <w:r w:rsidRPr="00FE6BBB">
              <w:fldChar w:fldCharType="end"/>
            </w:r>
            <w:r w:rsidRPr="00FE6BBB">
              <w:t>:</w:t>
            </w:r>
          </w:p>
          <w:p w14:paraId="7194F0DC" w14:textId="77777777" w:rsidR="0004729F" w:rsidRPr="00FE6BBB" w:rsidRDefault="0004729F">
            <w:pPr>
              <w:pStyle w:val="TableText0"/>
              <w:keepNext w:val="0"/>
            </w:pPr>
            <w:r w:rsidRPr="00FE6BBB">
              <w:t>A: 65.0%</w:t>
            </w:r>
          </w:p>
          <w:p w14:paraId="79E92845" w14:textId="77777777" w:rsidR="0004729F" w:rsidRPr="00FE6BBB" w:rsidRDefault="0004729F">
            <w:pPr>
              <w:pStyle w:val="TableText0"/>
              <w:keepNext w:val="0"/>
            </w:pPr>
            <w:r w:rsidRPr="00FE6BBB">
              <w:t>L: 82.1%</w:t>
            </w:r>
          </w:p>
          <w:p w14:paraId="00BAE51E" w14:textId="77777777" w:rsidR="0004729F" w:rsidRPr="00FE6BBB" w:rsidRDefault="0004729F">
            <w:pPr>
              <w:pStyle w:val="TableText0"/>
            </w:pPr>
            <w:r w:rsidRPr="00FE6BBB">
              <w:t>O: 95.8%</w:t>
            </w:r>
          </w:p>
        </w:tc>
        <w:tc>
          <w:tcPr>
            <w:tcW w:w="1780" w:type="pct"/>
            <w:shd w:val="clear" w:color="auto" w:fill="auto"/>
            <w:vAlign w:val="center"/>
          </w:tcPr>
          <w:p w14:paraId="1CF461BA" w14:textId="079049CC" w:rsidR="0004729F" w:rsidRPr="00FE6BBB" w:rsidRDefault="00021AA7">
            <w:pPr>
              <w:pStyle w:val="TableText0"/>
            </w:pPr>
            <w:r>
              <w:rPr>
                <w:iCs/>
              </w:rPr>
              <w:t>Data source unclear</w:t>
            </w:r>
            <w:r w:rsidR="0004729F" w:rsidRPr="00FE6BBB">
              <w:rPr>
                <w:iCs/>
              </w:rPr>
              <w:t>.</w:t>
            </w:r>
          </w:p>
        </w:tc>
      </w:tr>
      <w:tr w:rsidR="0004729F" w:rsidRPr="00FE6BBB" w14:paraId="48720115" w14:textId="77777777" w:rsidTr="589E218A">
        <w:tc>
          <w:tcPr>
            <w:tcW w:w="1255" w:type="pct"/>
            <w:shd w:val="clear" w:color="auto" w:fill="auto"/>
            <w:vAlign w:val="center"/>
          </w:tcPr>
          <w:p w14:paraId="09A76529" w14:textId="77777777" w:rsidR="0004729F" w:rsidRPr="00FE6BBB" w:rsidRDefault="0004729F">
            <w:pPr>
              <w:pStyle w:val="TableText0"/>
            </w:pPr>
            <w:r w:rsidRPr="00FE6BBB">
              <w:t>Grandfathered patients</w:t>
            </w:r>
          </w:p>
        </w:tc>
        <w:tc>
          <w:tcPr>
            <w:tcW w:w="1965" w:type="pct"/>
            <w:shd w:val="clear" w:color="auto" w:fill="auto"/>
            <w:vAlign w:val="center"/>
          </w:tcPr>
          <w:p w14:paraId="75E08432" w14:textId="133B5022" w:rsidR="0004729F" w:rsidRPr="00FE6BBB" w:rsidRDefault="0004729F">
            <w:pPr>
              <w:pStyle w:val="TableText0"/>
            </w:pPr>
            <w:r w:rsidRPr="00FE6BBB">
              <w:t xml:space="preserve">Yr 1: </w:t>
            </w:r>
            <w:r w:rsidR="007A7746" w:rsidRPr="007A7746">
              <w:rPr>
                <w:color w:val="000000"/>
                <w:spacing w:val="50"/>
                <w:shd w:val="solid" w:color="000000" w:fill="000000"/>
                <w:fitText w:val="323" w:id="-693980151"/>
                <w14:textFill>
                  <w14:solidFill>
                    <w14:srgbClr w14:val="000000">
                      <w14:alpha w14:val="100000"/>
                    </w14:srgbClr>
                  </w14:solidFill>
                </w14:textFill>
              </w:rPr>
              <w:t>|||</w:t>
            </w:r>
            <w:r w:rsidR="007A7746" w:rsidRPr="007A7746">
              <w:rPr>
                <w:color w:val="000000"/>
                <w:spacing w:val="3"/>
                <w:shd w:val="solid" w:color="000000" w:fill="000000"/>
                <w:fitText w:val="323" w:id="-693980151"/>
                <w14:textFill>
                  <w14:solidFill>
                    <w14:srgbClr w14:val="000000">
                      <w14:alpha w14:val="100000"/>
                    </w14:srgbClr>
                  </w14:solidFill>
                </w14:textFill>
              </w:rPr>
              <w:t>|</w:t>
            </w:r>
            <w:r w:rsidR="0057123F" w:rsidRPr="0057123F">
              <w:rPr>
                <w:vertAlign w:val="superscript"/>
              </w:rPr>
              <w:t>1</w:t>
            </w:r>
          </w:p>
        </w:tc>
        <w:tc>
          <w:tcPr>
            <w:tcW w:w="1780" w:type="pct"/>
            <w:shd w:val="clear" w:color="auto" w:fill="auto"/>
            <w:vAlign w:val="center"/>
          </w:tcPr>
          <w:p w14:paraId="413C7C1B" w14:textId="5DDA0FA8" w:rsidR="0004729F" w:rsidRPr="00FE6BBB" w:rsidRDefault="0004729F">
            <w:pPr>
              <w:pStyle w:val="TableText0"/>
            </w:pPr>
            <w:r w:rsidRPr="589E218A">
              <w:t>The submission included grandfathered patients as an additional cohort, which was not appropriate</w:t>
            </w:r>
            <w:r w:rsidR="00BC3E50">
              <w:t>, as they would already have been included in the estimate for the A+L market share</w:t>
            </w:r>
            <w:r w:rsidRPr="589E218A">
              <w:t>.</w:t>
            </w:r>
          </w:p>
        </w:tc>
      </w:tr>
      <w:tr w:rsidR="0004729F" w:rsidRPr="00FE6BBB" w14:paraId="4478602F" w14:textId="77777777" w:rsidTr="589E218A">
        <w:tc>
          <w:tcPr>
            <w:tcW w:w="1255" w:type="pct"/>
            <w:shd w:val="clear" w:color="auto" w:fill="auto"/>
            <w:vAlign w:val="center"/>
          </w:tcPr>
          <w:p w14:paraId="58A06456" w14:textId="77777777" w:rsidR="0004729F" w:rsidRPr="00FE6BBB" w:rsidRDefault="0004729F">
            <w:pPr>
              <w:pStyle w:val="TableText0"/>
            </w:pPr>
            <w:r w:rsidRPr="00FE6BBB">
              <w:t>Duration of treatment</w:t>
            </w:r>
          </w:p>
        </w:tc>
        <w:tc>
          <w:tcPr>
            <w:tcW w:w="1965" w:type="pct"/>
            <w:shd w:val="clear" w:color="auto" w:fill="auto"/>
            <w:vAlign w:val="center"/>
          </w:tcPr>
          <w:p w14:paraId="1C360BB0" w14:textId="77777777" w:rsidR="0004729F" w:rsidRPr="00FE6BBB" w:rsidRDefault="0004729F">
            <w:pPr>
              <w:pStyle w:val="TableText0"/>
              <w:keepNext w:val="0"/>
            </w:pPr>
            <w:r w:rsidRPr="00FE6BBB">
              <w:t>MARIPOSA trial and economic model:</w:t>
            </w:r>
          </w:p>
          <w:p w14:paraId="606B2D9C" w14:textId="77777777" w:rsidR="0004729F" w:rsidRPr="00FE6BBB" w:rsidRDefault="0004729F">
            <w:pPr>
              <w:pStyle w:val="TableText0"/>
              <w:keepNext w:val="0"/>
            </w:pPr>
            <w:r w:rsidRPr="00FE6BBB">
              <w:t>A: 100.01 weeks</w:t>
            </w:r>
          </w:p>
          <w:p w14:paraId="0AC1AF3D" w14:textId="77777777" w:rsidR="0004729F" w:rsidRPr="00FE6BBB" w:rsidRDefault="0004729F">
            <w:pPr>
              <w:pStyle w:val="TableText0"/>
              <w:keepNext w:val="0"/>
            </w:pPr>
            <w:r w:rsidRPr="00FE6BBB">
              <w:t>L: 168.58 weeks</w:t>
            </w:r>
          </w:p>
          <w:p w14:paraId="436C6A69" w14:textId="77777777" w:rsidR="0004729F" w:rsidRPr="00FE6BBB" w:rsidRDefault="0004729F">
            <w:pPr>
              <w:pStyle w:val="TableText0"/>
            </w:pPr>
            <w:r w:rsidRPr="00FE6BBB">
              <w:t>O: 115.4 weeks</w:t>
            </w:r>
          </w:p>
        </w:tc>
        <w:tc>
          <w:tcPr>
            <w:tcW w:w="1780" w:type="pct"/>
            <w:shd w:val="clear" w:color="auto" w:fill="auto"/>
            <w:vAlign w:val="center"/>
          </w:tcPr>
          <w:p w14:paraId="313B2147" w14:textId="456BC3EB" w:rsidR="0004729F" w:rsidRPr="00FE6BBB" w:rsidRDefault="0004729F">
            <w:pPr>
              <w:pStyle w:val="TableText0"/>
            </w:pPr>
            <w:r w:rsidRPr="589E218A">
              <w:t xml:space="preserve">Estimates could not be </w:t>
            </w:r>
            <w:r w:rsidR="008F554D" w:rsidRPr="589E218A">
              <w:t xml:space="preserve">replicated </w:t>
            </w:r>
            <w:r w:rsidRPr="589E218A">
              <w:t>in the evaluation but were similar to the mean base case in the economic model.</w:t>
            </w:r>
          </w:p>
        </w:tc>
      </w:tr>
      <w:tr w:rsidR="0004729F" w:rsidRPr="00FE6BBB" w14:paraId="317EA1B4" w14:textId="77777777" w:rsidTr="589E218A">
        <w:tc>
          <w:tcPr>
            <w:tcW w:w="1255" w:type="pct"/>
            <w:shd w:val="clear" w:color="auto" w:fill="auto"/>
            <w:vAlign w:val="center"/>
          </w:tcPr>
          <w:p w14:paraId="590EB82D" w14:textId="77777777" w:rsidR="0004729F" w:rsidRPr="00FE6BBB" w:rsidRDefault="0004729F">
            <w:pPr>
              <w:pStyle w:val="TableText0"/>
            </w:pPr>
            <w:r w:rsidRPr="00FE6BBB">
              <w:t>Rivaroxaban</w:t>
            </w:r>
          </w:p>
        </w:tc>
        <w:tc>
          <w:tcPr>
            <w:tcW w:w="1965" w:type="pct"/>
            <w:shd w:val="clear" w:color="auto" w:fill="auto"/>
            <w:vAlign w:val="center"/>
          </w:tcPr>
          <w:p w14:paraId="24BC6CAB" w14:textId="77777777" w:rsidR="0004729F" w:rsidRPr="00FE6BBB" w:rsidRDefault="0004729F">
            <w:pPr>
              <w:pStyle w:val="TableText0"/>
            </w:pPr>
            <w:r w:rsidRPr="00FE6BBB">
              <w:t>PBS item number 11633G: $53.50</w:t>
            </w:r>
          </w:p>
        </w:tc>
        <w:tc>
          <w:tcPr>
            <w:tcW w:w="1780" w:type="pct"/>
            <w:shd w:val="clear" w:color="auto" w:fill="auto"/>
            <w:vAlign w:val="center"/>
          </w:tcPr>
          <w:p w14:paraId="6BA1992F" w14:textId="77777777" w:rsidR="0004729F" w:rsidRPr="00FE6BBB" w:rsidRDefault="0004729F">
            <w:pPr>
              <w:pStyle w:val="TableText0"/>
            </w:pPr>
            <w:r w:rsidRPr="00FE6BBB">
              <w:rPr>
                <w:iCs/>
              </w:rPr>
              <w:t>The submission assigned rivaroxaban costs to the PBS. However, rivaroxaban is not listed for VTE prevention.</w:t>
            </w:r>
          </w:p>
        </w:tc>
      </w:tr>
      <w:tr w:rsidR="0004729F" w:rsidRPr="00FE6BBB" w14:paraId="541A5614" w14:textId="77777777" w:rsidTr="589E218A">
        <w:tc>
          <w:tcPr>
            <w:tcW w:w="1255" w:type="pct"/>
            <w:shd w:val="clear" w:color="auto" w:fill="auto"/>
            <w:vAlign w:val="center"/>
          </w:tcPr>
          <w:p w14:paraId="620E3328" w14:textId="77777777" w:rsidR="0004729F" w:rsidRPr="00FE6BBB" w:rsidRDefault="0004729F">
            <w:pPr>
              <w:pStyle w:val="TableText0"/>
            </w:pPr>
            <w:r w:rsidRPr="00FE6BBB">
              <w:t>MBS item 13950</w:t>
            </w:r>
          </w:p>
        </w:tc>
        <w:tc>
          <w:tcPr>
            <w:tcW w:w="1965" w:type="pct"/>
            <w:shd w:val="clear" w:color="auto" w:fill="auto"/>
            <w:vAlign w:val="center"/>
          </w:tcPr>
          <w:p w14:paraId="55CD6B48" w14:textId="77777777" w:rsidR="0004729F" w:rsidRPr="00FE6BBB" w:rsidRDefault="0004729F">
            <w:pPr>
              <w:pStyle w:val="TableText0"/>
            </w:pPr>
            <w:r w:rsidRPr="00FE6BBB">
              <w:t>Administration costs: $123.05</w:t>
            </w:r>
          </w:p>
        </w:tc>
        <w:tc>
          <w:tcPr>
            <w:tcW w:w="1780" w:type="pct"/>
            <w:shd w:val="clear" w:color="auto" w:fill="auto"/>
            <w:vAlign w:val="center"/>
          </w:tcPr>
          <w:p w14:paraId="44999C9F" w14:textId="5247D9AC" w:rsidR="0004729F" w:rsidRPr="00FE6BBB" w:rsidRDefault="0004729F">
            <w:pPr>
              <w:pStyle w:val="TableText0"/>
            </w:pPr>
            <w:r w:rsidRPr="00FE6BBB">
              <w:t>This was consistent with the economic model</w:t>
            </w:r>
          </w:p>
        </w:tc>
      </w:tr>
    </w:tbl>
    <w:p w14:paraId="116520B3" w14:textId="77777777" w:rsidR="0004729F" w:rsidRPr="004D75BF" w:rsidRDefault="0004729F" w:rsidP="0004729F">
      <w:pPr>
        <w:pStyle w:val="FooterTableFigure"/>
      </w:pPr>
      <w:r w:rsidRPr="004D75BF">
        <w:t>Source: Compiled from Section 4 of the submission.</w:t>
      </w:r>
    </w:p>
    <w:p w14:paraId="6FA427ED" w14:textId="27645605" w:rsidR="0004729F" w:rsidRDefault="0004729F" w:rsidP="0004729F">
      <w:pPr>
        <w:pStyle w:val="FooterTableFigure"/>
      </w:pPr>
      <w:r w:rsidRPr="589E218A">
        <w:t xml:space="preserve">A = amivantamab, A+L = amivantamab plus lazertinib, </w:t>
      </w:r>
      <w:r w:rsidR="00F639C0" w:rsidRPr="589E218A">
        <w:rPr>
          <w:i/>
          <w:iCs/>
        </w:rPr>
        <w:t>EGFR</w:t>
      </w:r>
      <w:r w:rsidRPr="589E218A">
        <w:t xml:space="preserve"> = epidermal growth factor receptor, L = lazertinib, MBS = Medicare Benefits Schedule, NSCLC = non-small cell lung cancer, O = osimertinib, PBAC = Pharmaceutical Benefits Advisory Committee, PBS = Pharmaceutical Benefits Scheme, PSD = Public Summary Document, TKI = tyrosine kinase inhibitor, VTE = venous thromboembolism, Yr = year.</w:t>
      </w:r>
    </w:p>
    <w:p w14:paraId="319AEEA1" w14:textId="77777777" w:rsidR="008B770F" w:rsidRPr="00306653" w:rsidRDefault="008B770F" w:rsidP="008B770F">
      <w:pPr>
        <w:pStyle w:val="FooterTableFigure"/>
        <w:rPr>
          <w:i/>
          <w:iCs/>
        </w:rPr>
      </w:pPr>
      <w:r w:rsidRPr="00306653">
        <w:rPr>
          <w:i/>
          <w:iCs/>
        </w:rPr>
        <w:t xml:space="preserve">The redacted values correspond to the following ranges: </w:t>
      </w:r>
    </w:p>
    <w:p w14:paraId="2B97379E" w14:textId="6F6357FF" w:rsidR="008B770F" w:rsidRPr="00306653" w:rsidRDefault="008B770F" w:rsidP="0004729F">
      <w:pPr>
        <w:pStyle w:val="FooterTableFigure"/>
        <w:rPr>
          <w:i/>
          <w:iCs/>
        </w:rPr>
      </w:pPr>
      <w:r w:rsidRPr="00306653">
        <w:rPr>
          <w:i/>
          <w:iCs/>
          <w:vertAlign w:val="superscript"/>
        </w:rPr>
        <w:t>1</w:t>
      </w:r>
      <w:r w:rsidRPr="00306653">
        <w:rPr>
          <w:i/>
          <w:iCs/>
        </w:rPr>
        <w:t xml:space="preserve"> &lt; 500</w:t>
      </w:r>
    </w:p>
    <w:p w14:paraId="079C9215" w14:textId="6C3A9276" w:rsidR="0004729F" w:rsidRPr="004D75BF" w:rsidRDefault="0004729F" w:rsidP="00E0399F">
      <w:pPr>
        <w:pStyle w:val="3-BodyText"/>
        <w:ind w:left="709" w:hanging="709"/>
      </w:pPr>
      <w:r>
        <w:fldChar w:fldCharType="begin"/>
      </w:r>
      <w:r>
        <w:instrText xml:space="preserve"> REF _Ref104805295 \h  \* MERGEFORMAT </w:instrText>
      </w:r>
      <w:r>
        <w:fldChar w:fldCharType="separate"/>
      </w:r>
      <w:r w:rsidR="00184F9A" w:rsidRPr="589E218A">
        <w:t xml:space="preserve">Table </w:t>
      </w:r>
      <w:r w:rsidR="00184F9A">
        <w:t>18</w:t>
      </w:r>
      <w:r>
        <w:fldChar w:fldCharType="end"/>
      </w:r>
      <w:r w:rsidRPr="589E218A">
        <w:t xml:space="preserve"> presents the estimated use and financial implications of listing A+L on the PBS using </w:t>
      </w:r>
      <w:r w:rsidR="00974DD1" w:rsidRPr="589E218A">
        <w:t xml:space="preserve">the </w:t>
      </w:r>
      <w:r w:rsidRPr="589E218A">
        <w:t>A+L effective price and osimertinib published price.</w:t>
      </w:r>
      <w:r w:rsidR="00C03C6E">
        <w:t xml:space="preserve"> </w:t>
      </w:r>
      <w:r w:rsidR="00D41740">
        <w:t xml:space="preserve">While </w:t>
      </w:r>
      <w:r w:rsidR="00276060">
        <w:fldChar w:fldCharType="begin"/>
      </w:r>
      <w:r w:rsidR="00276060">
        <w:instrText xml:space="preserve"> REF _Ref104805295 \h </w:instrText>
      </w:r>
      <w:r w:rsidR="00276060">
        <w:fldChar w:fldCharType="separate"/>
      </w:r>
      <w:r w:rsidR="00184F9A" w:rsidRPr="589E218A">
        <w:t xml:space="preserve">Table </w:t>
      </w:r>
      <w:r w:rsidR="00184F9A">
        <w:rPr>
          <w:noProof/>
        </w:rPr>
        <w:t>18</w:t>
      </w:r>
      <w:r w:rsidR="00276060">
        <w:fldChar w:fldCharType="end"/>
      </w:r>
      <w:r w:rsidR="00276060">
        <w:t xml:space="preserve"> indicates that A+L</w:t>
      </w:r>
      <w:r w:rsidR="00C02C0C">
        <w:t xml:space="preserve"> is cost saving to the PBS/RBS using the osimertinib published price, t</w:t>
      </w:r>
      <w:r w:rsidR="00C03C6E">
        <w:t>he PBAC relied</w:t>
      </w:r>
      <w:r w:rsidR="00673342">
        <w:t xml:space="preserve"> on the results of the</w:t>
      </w:r>
      <w:r w:rsidR="00EA5E4C">
        <w:t xml:space="preserve"> cost to Government</w:t>
      </w:r>
      <w:r w:rsidR="00673342">
        <w:t xml:space="preserve"> </w:t>
      </w:r>
      <w:r w:rsidR="009C0887">
        <w:t>incorporating</w:t>
      </w:r>
      <w:r w:rsidR="009C0887" w:rsidRPr="589E218A">
        <w:t xml:space="preserve"> the</w:t>
      </w:r>
      <w:r w:rsidR="00875782">
        <w:t xml:space="preserve"> osimertinib</w:t>
      </w:r>
      <w:r w:rsidR="009C0887" w:rsidRPr="589E218A">
        <w:t xml:space="preserve"> effective price </w:t>
      </w:r>
      <w:r w:rsidR="009C0887">
        <w:t xml:space="preserve">in its assessment of the </w:t>
      </w:r>
      <w:r w:rsidR="00EA5E4C">
        <w:t>budget impact</w:t>
      </w:r>
      <w:r w:rsidR="009C0887">
        <w:t xml:space="preserve"> (data not shown)</w:t>
      </w:r>
      <w:r w:rsidR="0050182C">
        <w:t>.</w:t>
      </w:r>
    </w:p>
    <w:p w14:paraId="1C9CE129" w14:textId="75FF7440" w:rsidR="0004729F" w:rsidRPr="004D75BF" w:rsidRDefault="0004729F" w:rsidP="00D71587">
      <w:pPr>
        <w:pStyle w:val="Caption"/>
      </w:pPr>
      <w:bookmarkStart w:id="124" w:name="_Ref104805295"/>
      <w:r w:rsidRPr="589E218A">
        <w:t xml:space="preserve">Table </w:t>
      </w:r>
      <w:r w:rsidRPr="589E218A">
        <w:fldChar w:fldCharType="begin"/>
      </w:r>
      <w:r>
        <w:instrText xml:space="preserve"> SEQ Table \* ARABIC </w:instrText>
      </w:r>
      <w:r w:rsidRPr="589E218A">
        <w:fldChar w:fldCharType="separate"/>
      </w:r>
      <w:r w:rsidR="00184F9A">
        <w:rPr>
          <w:noProof/>
        </w:rPr>
        <w:t>18</w:t>
      </w:r>
      <w:r w:rsidRPr="589E218A">
        <w:rPr>
          <w:noProof/>
        </w:rPr>
        <w:fldChar w:fldCharType="end"/>
      </w:r>
      <w:bookmarkEnd w:id="124"/>
      <w:r w:rsidRPr="589E218A">
        <w:t>:</w:t>
      </w:r>
      <w:r w:rsidRPr="589E218A">
        <w:rPr>
          <w:rStyle w:val="CommentReference"/>
          <w:b/>
        </w:rPr>
        <w:t xml:space="preserve"> Estimated use and financial implications, A+L effective price and osimertinib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A+L effective price and osimertinib published price"/>
      </w:tblPr>
      <w:tblGrid>
        <w:gridCol w:w="2122"/>
        <w:gridCol w:w="1148"/>
        <w:gridCol w:w="1149"/>
        <w:gridCol w:w="1149"/>
        <w:gridCol w:w="1149"/>
        <w:gridCol w:w="1149"/>
        <w:gridCol w:w="1151"/>
      </w:tblGrid>
      <w:tr w:rsidR="0004729F" w:rsidRPr="004D75BF" w14:paraId="0C4AE99C" w14:textId="77777777" w:rsidTr="589E218A">
        <w:trPr>
          <w:tblHeader/>
        </w:trPr>
        <w:tc>
          <w:tcPr>
            <w:tcW w:w="1177" w:type="pct"/>
            <w:shd w:val="clear" w:color="auto" w:fill="auto"/>
            <w:vAlign w:val="center"/>
          </w:tcPr>
          <w:p w14:paraId="497697D8" w14:textId="77777777" w:rsidR="0004729F" w:rsidRPr="004D75BF" w:rsidRDefault="0004729F" w:rsidP="00D71587">
            <w:pPr>
              <w:pStyle w:val="In-tableHeading"/>
              <w:jc w:val="center"/>
              <w:rPr>
                <w:lang w:val="en-AU"/>
              </w:rPr>
            </w:pPr>
          </w:p>
        </w:tc>
        <w:tc>
          <w:tcPr>
            <w:tcW w:w="637" w:type="pct"/>
            <w:shd w:val="clear" w:color="auto" w:fill="auto"/>
            <w:vAlign w:val="center"/>
          </w:tcPr>
          <w:p w14:paraId="65AC0AEA" w14:textId="77777777" w:rsidR="0004729F" w:rsidRPr="004D75BF" w:rsidRDefault="0004729F" w:rsidP="00D71587">
            <w:pPr>
              <w:pStyle w:val="In-tableHeading"/>
              <w:jc w:val="center"/>
              <w:rPr>
                <w:lang w:val="en-AU"/>
              </w:rPr>
            </w:pPr>
            <w:r w:rsidRPr="004D75BF">
              <w:rPr>
                <w:lang w:val="en-AU"/>
              </w:rPr>
              <w:t>2025</w:t>
            </w:r>
          </w:p>
        </w:tc>
        <w:tc>
          <w:tcPr>
            <w:tcW w:w="637" w:type="pct"/>
            <w:shd w:val="clear" w:color="auto" w:fill="auto"/>
            <w:vAlign w:val="center"/>
          </w:tcPr>
          <w:p w14:paraId="142B9DDC" w14:textId="77777777" w:rsidR="0004729F" w:rsidRPr="004D75BF" w:rsidRDefault="0004729F" w:rsidP="00D71587">
            <w:pPr>
              <w:pStyle w:val="In-tableHeading"/>
              <w:jc w:val="center"/>
              <w:rPr>
                <w:lang w:val="en-AU"/>
              </w:rPr>
            </w:pPr>
            <w:r w:rsidRPr="004D75BF">
              <w:rPr>
                <w:lang w:val="en-AU"/>
              </w:rPr>
              <w:t>2026</w:t>
            </w:r>
          </w:p>
        </w:tc>
        <w:tc>
          <w:tcPr>
            <w:tcW w:w="637" w:type="pct"/>
            <w:shd w:val="clear" w:color="auto" w:fill="auto"/>
            <w:vAlign w:val="center"/>
          </w:tcPr>
          <w:p w14:paraId="6853B525" w14:textId="77777777" w:rsidR="0004729F" w:rsidRPr="004D75BF" w:rsidRDefault="0004729F" w:rsidP="00D71587">
            <w:pPr>
              <w:pStyle w:val="In-tableHeading"/>
              <w:jc w:val="center"/>
              <w:rPr>
                <w:lang w:val="en-AU"/>
              </w:rPr>
            </w:pPr>
            <w:r w:rsidRPr="004D75BF">
              <w:rPr>
                <w:lang w:val="en-AU"/>
              </w:rPr>
              <w:t>2027</w:t>
            </w:r>
          </w:p>
        </w:tc>
        <w:tc>
          <w:tcPr>
            <w:tcW w:w="637" w:type="pct"/>
            <w:shd w:val="clear" w:color="auto" w:fill="auto"/>
            <w:vAlign w:val="center"/>
          </w:tcPr>
          <w:p w14:paraId="6E593D6E" w14:textId="77777777" w:rsidR="0004729F" w:rsidRPr="004D75BF" w:rsidRDefault="0004729F" w:rsidP="00D71587">
            <w:pPr>
              <w:pStyle w:val="In-tableHeading"/>
              <w:jc w:val="center"/>
              <w:rPr>
                <w:lang w:val="en-AU"/>
              </w:rPr>
            </w:pPr>
            <w:r w:rsidRPr="004D75BF">
              <w:rPr>
                <w:lang w:val="en-AU"/>
              </w:rPr>
              <w:t>2028</w:t>
            </w:r>
          </w:p>
        </w:tc>
        <w:tc>
          <w:tcPr>
            <w:tcW w:w="637" w:type="pct"/>
            <w:shd w:val="clear" w:color="auto" w:fill="auto"/>
            <w:vAlign w:val="center"/>
          </w:tcPr>
          <w:p w14:paraId="7096A1DD" w14:textId="77777777" w:rsidR="0004729F" w:rsidRPr="004D75BF" w:rsidRDefault="0004729F" w:rsidP="00D71587">
            <w:pPr>
              <w:pStyle w:val="In-tableHeading"/>
              <w:jc w:val="center"/>
              <w:rPr>
                <w:lang w:val="en-AU"/>
              </w:rPr>
            </w:pPr>
            <w:r w:rsidRPr="004D75BF">
              <w:rPr>
                <w:lang w:val="en-AU"/>
              </w:rPr>
              <w:t>2029</w:t>
            </w:r>
          </w:p>
        </w:tc>
        <w:tc>
          <w:tcPr>
            <w:tcW w:w="638" w:type="pct"/>
            <w:vAlign w:val="center"/>
          </w:tcPr>
          <w:p w14:paraId="5DCC93B2" w14:textId="77777777" w:rsidR="0004729F" w:rsidRPr="004D75BF" w:rsidRDefault="0004729F" w:rsidP="00D71587">
            <w:pPr>
              <w:pStyle w:val="In-tableHeading"/>
              <w:jc w:val="center"/>
              <w:rPr>
                <w:lang w:val="en-AU"/>
              </w:rPr>
            </w:pPr>
            <w:r w:rsidRPr="004D75BF">
              <w:rPr>
                <w:lang w:val="en-AU"/>
              </w:rPr>
              <w:t>2030</w:t>
            </w:r>
          </w:p>
        </w:tc>
      </w:tr>
      <w:tr w:rsidR="0004729F" w:rsidRPr="004D75BF" w14:paraId="1FF2C1D9" w14:textId="77777777" w:rsidTr="589E218A">
        <w:tc>
          <w:tcPr>
            <w:tcW w:w="5000" w:type="pct"/>
            <w:gridSpan w:val="7"/>
            <w:shd w:val="clear" w:color="auto" w:fill="auto"/>
            <w:vAlign w:val="center"/>
          </w:tcPr>
          <w:p w14:paraId="30F0C643" w14:textId="32E1F17C" w:rsidR="0004729F" w:rsidRPr="004D75BF" w:rsidRDefault="0004729F" w:rsidP="00D71587">
            <w:pPr>
              <w:pStyle w:val="In-tableHeading"/>
              <w:rPr>
                <w:lang w:val="en-AU"/>
              </w:rPr>
            </w:pPr>
            <w:r w:rsidRPr="004D75BF">
              <w:rPr>
                <w:lang w:val="en-AU"/>
              </w:rPr>
              <w:t xml:space="preserve">Estimated extent of use: </w:t>
            </w:r>
            <w:r>
              <w:rPr>
                <w:lang w:val="en-AU"/>
              </w:rPr>
              <w:t>P</w:t>
            </w:r>
            <w:r>
              <w:t>opulation 1</w:t>
            </w:r>
          </w:p>
        </w:tc>
      </w:tr>
      <w:tr w:rsidR="0004729F" w:rsidRPr="004D75BF" w14:paraId="35C89619" w14:textId="77777777" w:rsidTr="589E218A">
        <w:tc>
          <w:tcPr>
            <w:tcW w:w="1177" w:type="pct"/>
            <w:shd w:val="clear" w:color="auto" w:fill="auto"/>
            <w:vAlign w:val="center"/>
          </w:tcPr>
          <w:p w14:paraId="3F035C94" w14:textId="2792E284" w:rsidR="0004729F" w:rsidRPr="00D07677" w:rsidRDefault="0004729F" w:rsidP="00D71587">
            <w:pPr>
              <w:pStyle w:val="TableText0"/>
              <w:rPr>
                <w:rFonts w:ascii="Times" w:hAnsi="Times"/>
              </w:rPr>
            </w:pPr>
            <w:r w:rsidRPr="00D07677">
              <w:t xml:space="preserve">Number of patients treated </w:t>
            </w:r>
          </w:p>
        </w:tc>
        <w:tc>
          <w:tcPr>
            <w:tcW w:w="637" w:type="pct"/>
            <w:shd w:val="clear" w:color="auto" w:fill="auto"/>
          </w:tcPr>
          <w:p w14:paraId="7F035CD3" w14:textId="4A5887F4"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5" w:id="-693980150"/>
                <w14:textFill>
                  <w14:solidFill>
                    <w14:srgbClr w14:val="000000">
                      <w14:alpha w14:val="100000"/>
                    </w14:srgbClr>
                  </w14:solidFill>
                </w14:textFill>
              </w:rPr>
              <w:t xml:space="preserve">　</w:t>
            </w:r>
            <w:r w:rsidRPr="007A7746">
              <w:rPr>
                <w:color w:val="000000"/>
                <w:w w:val="15"/>
                <w:shd w:val="solid" w:color="000000" w:fill="000000"/>
                <w:fitText w:val="35" w:id="-693980150"/>
                <w14:textFill>
                  <w14:solidFill>
                    <w14:srgbClr w14:val="000000">
                      <w14:alpha w14:val="100000"/>
                    </w14:srgbClr>
                  </w14:solidFill>
                </w14:textFill>
              </w:rPr>
              <w:t>|</w:t>
            </w:r>
            <w:r w:rsidRPr="007A7746">
              <w:rPr>
                <w:rFonts w:hint="eastAsia"/>
                <w:color w:val="000000"/>
                <w:spacing w:val="-30"/>
                <w:w w:val="15"/>
                <w:shd w:val="solid" w:color="000000" w:fill="000000"/>
                <w:fitText w:val="35" w:id="-693980150"/>
                <w14:textFill>
                  <w14:solidFill>
                    <w14:srgbClr w14:val="000000">
                      <w14:alpha w14:val="100000"/>
                    </w14:srgbClr>
                  </w14:solidFill>
                </w14:textFill>
              </w:rPr>
              <w:t xml:space="preserve">　</w:t>
            </w:r>
            <w:r w:rsidR="00D70BCD" w:rsidRPr="00D70BCD">
              <w:rPr>
                <w:vertAlign w:val="superscript"/>
              </w:rPr>
              <w:t>1</w:t>
            </w:r>
          </w:p>
        </w:tc>
        <w:tc>
          <w:tcPr>
            <w:tcW w:w="637" w:type="pct"/>
            <w:shd w:val="clear" w:color="auto" w:fill="auto"/>
          </w:tcPr>
          <w:p w14:paraId="3F0CFA4C" w14:textId="4F1DE6A4"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5" w:id="-693980149"/>
                <w14:textFill>
                  <w14:solidFill>
                    <w14:srgbClr w14:val="000000">
                      <w14:alpha w14:val="100000"/>
                    </w14:srgbClr>
                  </w14:solidFill>
                </w14:textFill>
              </w:rPr>
              <w:t xml:space="preserve">　</w:t>
            </w:r>
            <w:r w:rsidRPr="007A7746">
              <w:rPr>
                <w:color w:val="000000"/>
                <w:w w:val="15"/>
                <w:shd w:val="solid" w:color="000000" w:fill="000000"/>
                <w:fitText w:val="35" w:id="-693980149"/>
                <w14:textFill>
                  <w14:solidFill>
                    <w14:srgbClr w14:val="000000">
                      <w14:alpha w14:val="100000"/>
                    </w14:srgbClr>
                  </w14:solidFill>
                </w14:textFill>
              </w:rPr>
              <w:t>|</w:t>
            </w:r>
            <w:r w:rsidRPr="007A7746">
              <w:rPr>
                <w:rFonts w:hint="eastAsia"/>
                <w:color w:val="000000"/>
                <w:spacing w:val="-30"/>
                <w:w w:val="15"/>
                <w:shd w:val="solid" w:color="000000" w:fill="000000"/>
                <w:fitText w:val="35" w:id="-693980149"/>
                <w14:textFill>
                  <w14:solidFill>
                    <w14:srgbClr w14:val="000000">
                      <w14:alpha w14:val="100000"/>
                    </w14:srgbClr>
                  </w14:solidFill>
                </w14:textFill>
              </w:rPr>
              <w:t xml:space="preserve">　</w:t>
            </w:r>
            <w:r w:rsidR="00B71FEE" w:rsidRPr="00D70BCD">
              <w:rPr>
                <w:vertAlign w:val="superscript"/>
              </w:rPr>
              <w:t>1</w:t>
            </w:r>
          </w:p>
        </w:tc>
        <w:tc>
          <w:tcPr>
            <w:tcW w:w="637" w:type="pct"/>
            <w:shd w:val="clear" w:color="auto" w:fill="auto"/>
          </w:tcPr>
          <w:p w14:paraId="6FEB01F5" w14:textId="5B4DC0F4"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80148"/>
                <w14:textFill>
                  <w14:solidFill>
                    <w14:srgbClr w14:val="000000">
                      <w14:alpha w14:val="100000"/>
                    </w14:srgbClr>
                  </w14:solidFill>
                </w14:textFill>
              </w:rPr>
              <w:t xml:space="preserve">　</w:t>
            </w:r>
            <w:r w:rsidRPr="007A7746">
              <w:rPr>
                <w:color w:val="000000"/>
                <w:w w:val="15"/>
                <w:shd w:val="solid" w:color="000000" w:fill="000000"/>
                <w:fitText w:val="34" w:id="-693980148"/>
                <w14:textFill>
                  <w14:solidFill>
                    <w14:srgbClr w14:val="000000">
                      <w14:alpha w14:val="100000"/>
                    </w14:srgbClr>
                  </w14:solidFill>
                </w14:textFill>
              </w:rPr>
              <w:t>|</w:t>
            </w:r>
            <w:r w:rsidRPr="007A7746">
              <w:rPr>
                <w:rFonts w:hint="eastAsia"/>
                <w:color w:val="000000"/>
                <w:spacing w:val="-31"/>
                <w:w w:val="15"/>
                <w:shd w:val="solid" w:color="000000" w:fill="000000"/>
                <w:fitText w:val="34" w:id="-693980148"/>
                <w14:textFill>
                  <w14:solidFill>
                    <w14:srgbClr w14:val="000000">
                      <w14:alpha w14:val="100000"/>
                    </w14:srgbClr>
                  </w14:solidFill>
                </w14:textFill>
              </w:rPr>
              <w:t xml:space="preserve">　</w:t>
            </w:r>
            <w:r w:rsidR="00B71FEE" w:rsidRPr="00D70BCD">
              <w:rPr>
                <w:vertAlign w:val="superscript"/>
              </w:rPr>
              <w:t>1</w:t>
            </w:r>
          </w:p>
        </w:tc>
        <w:tc>
          <w:tcPr>
            <w:tcW w:w="637" w:type="pct"/>
            <w:shd w:val="clear" w:color="auto" w:fill="auto"/>
          </w:tcPr>
          <w:p w14:paraId="25B717BB" w14:textId="17D22FBC"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80147"/>
                <w14:textFill>
                  <w14:solidFill>
                    <w14:srgbClr w14:val="000000">
                      <w14:alpha w14:val="100000"/>
                    </w14:srgbClr>
                  </w14:solidFill>
                </w14:textFill>
              </w:rPr>
              <w:t xml:space="preserve">　</w:t>
            </w:r>
            <w:r w:rsidRPr="007A7746">
              <w:rPr>
                <w:color w:val="000000"/>
                <w:w w:val="15"/>
                <w:shd w:val="solid" w:color="000000" w:fill="000000"/>
                <w:fitText w:val="34" w:id="-693980147"/>
                <w14:textFill>
                  <w14:solidFill>
                    <w14:srgbClr w14:val="000000">
                      <w14:alpha w14:val="100000"/>
                    </w14:srgbClr>
                  </w14:solidFill>
                </w14:textFill>
              </w:rPr>
              <w:t>|</w:t>
            </w:r>
            <w:r w:rsidRPr="007A7746">
              <w:rPr>
                <w:rFonts w:hint="eastAsia"/>
                <w:color w:val="000000"/>
                <w:spacing w:val="-31"/>
                <w:w w:val="15"/>
                <w:shd w:val="solid" w:color="000000" w:fill="000000"/>
                <w:fitText w:val="34" w:id="-693980147"/>
                <w14:textFill>
                  <w14:solidFill>
                    <w14:srgbClr w14:val="000000">
                      <w14:alpha w14:val="100000"/>
                    </w14:srgbClr>
                  </w14:solidFill>
                </w14:textFill>
              </w:rPr>
              <w:t xml:space="preserve">　</w:t>
            </w:r>
            <w:r w:rsidR="00B71FEE" w:rsidRPr="00D70BCD">
              <w:rPr>
                <w:vertAlign w:val="superscript"/>
              </w:rPr>
              <w:t>1</w:t>
            </w:r>
          </w:p>
        </w:tc>
        <w:tc>
          <w:tcPr>
            <w:tcW w:w="637" w:type="pct"/>
            <w:shd w:val="clear" w:color="auto" w:fill="auto"/>
          </w:tcPr>
          <w:p w14:paraId="7C1620FE" w14:textId="24EBD637"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80146"/>
                <w14:textFill>
                  <w14:solidFill>
                    <w14:srgbClr w14:val="000000">
                      <w14:alpha w14:val="100000"/>
                    </w14:srgbClr>
                  </w14:solidFill>
                </w14:textFill>
              </w:rPr>
              <w:t xml:space="preserve">　</w:t>
            </w:r>
            <w:r w:rsidRPr="007A7746">
              <w:rPr>
                <w:color w:val="000000"/>
                <w:w w:val="15"/>
                <w:shd w:val="solid" w:color="000000" w:fill="000000"/>
                <w:fitText w:val="34" w:id="-693980146"/>
                <w14:textFill>
                  <w14:solidFill>
                    <w14:srgbClr w14:val="000000">
                      <w14:alpha w14:val="100000"/>
                    </w14:srgbClr>
                  </w14:solidFill>
                </w14:textFill>
              </w:rPr>
              <w:t>|</w:t>
            </w:r>
            <w:r w:rsidRPr="007A7746">
              <w:rPr>
                <w:rFonts w:hint="eastAsia"/>
                <w:color w:val="000000"/>
                <w:spacing w:val="-31"/>
                <w:w w:val="15"/>
                <w:shd w:val="solid" w:color="000000" w:fill="000000"/>
                <w:fitText w:val="34" w:id="-693980146"/>
                <w14:textFill>
                  <w14:solidFill>
                    <w14:srgbClr w14:val="000000">
                      <w14:alpha w14:val="100000"/>
                    </w14:srgbClr>
                  </w14:solidFill>
                </w14:textFill>
              </w:rPr>
              <w:t xml:space="preserve">　</w:t>
            </w:r>
            <w:r w:rsidR="00B71FEE" w:rsidRPr="00D70BCD">
              <w:rPr>
                <w:vertAlign w:val="superscript"/>
              </w:rPr>
              <w:t>1</w:t>
            </w:r>
          </w:p>
        </w:tc>
        <w:tc>
          <w:tcPr>
            <w:tcW w:w="638" w:type="pct"/>
          </w:tcPr>
          <w:p w14:paraId="77FCBC16" w14:textId="77D673C7"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80145"/>
                <w14:textFill>
                  <w14:solidFill>
                    <w14:srgbClr w14:val="000000">
                      <w14:alpha w14:val="100000"/>
                    </w14:srgbClr>
                  </w14:solidFill>
                </w14:textFill>
              </w:rPr>
              <w:t xml:space="preserve">　</w:t>
            </w:r>
            <w:r w:rsidRPr="007A7746">
              <w:rPr>
                <w:color w:val="000000"/>
                <w:w w:val="15"/>
                <w:shd w:val="solid" w:color="000000" w:fill="000000"/>
                <w:fitText w:val="34" w:id="-693980145"/>
                <w14:textFill>
                  <w14:solidFill>
                    <w14:srgbClr w14:val="000000">
                      <w14:alpha w14:val="100000"/>
                    </w14:srgbClr>
                  </w14:solidFill>
                </w14:textFill>
              </w:rPr>
              <w:t>|</w:t>
            </w:r>
            <w:r w:rsidRPr="007A7746">
              <w:rPr>
                <w:rFonts w:hint="eastAsia"/>
                <w:color w:val="000000"/>
                <w:spacing w:val="-31"/>
                <w:w w:val="15"/>
                <w:shd w:val="solid" w:color="000000" w:fill="000000"/>
                <w:fitText w:val="34" w:id="-693980145"/>
                <w14:textFill>
                  <w14:solidFill>
                    <w14:srgbClr w14:val="000000">
                      <w14:alpha w14:val="100000"/>
                    </w14:srgbClr>
                  </w14:solidFill>
                </w14:textFill>
              </w:rPr>
              <w:t xml:space="preserve">　</w:t>
            </w:r>
            <w:r w:rsidR="00B71FEE" w:rsidRPr="00D70BCD">
              <w:rPr>
                <w:vertAlign w:val="superscript"/>
              </w:rPr>
              <w:t>1</w:t>
            </w:r>
          </w:p>
        </w:tc>
      </w:tr>
      <w:tr w:rsidR="00D07677" w:rsidRPr="004D75BF" w14:paraId="7D1E189A" w14:textId="77777777" w:rsidTr="00D07677">
        <w:tc>
          <w:tcPr>
            <w:tcW w:w="1177" w:type="pct"/>
            <w:shd w:val="clear" w:color="auto" w:fill="auto"/>
            <w:vAlign w:val="center"/>
          </w:tcPr>
          <w:p w14:paraId="48CDF644" w14:textId="5622A751" w:rsidR="00D07677" w:rsidRPr="00D07677" w:rsidRDefault="00D07677" w:rsidP="00D71587">
            <w:pPr>
              <w:pStyle w:val="TableText0"/>
            </w:pPr>
            <w:r w:rsidRPr="00D07677">
              <w:t>Number of patients grandfathered</w:t>
            </w:r>
            <w:r w:rsidR="005E5165" w:rsidRPr="005E5165">
              <w:rPr>
                <w:vertAlign w:val="superscript"/>
              </w:rPr>
              <w:t>d</w:t>
            </w:r>
          </w:p>
        </w:tc>
        <w:tc>
          <w:tcPr>
            <w:tcW w:w="637" w:type="pct"/>
            <w:shd w:val="clear" w:color="auto" w:fill="auto"/>
            <w:vAlign w:val="center"/>
          </w:tcPr>
          <w:p w14:paraId="206D7D4D" w14:textId="7030C2AC" w:rsidR="00D07677" w:rsidRPr="00FE6792" w:rsidRDefault="007A7746" w:rsidP="00D71587">
            <w:pPr>
              <w:pStyle w:val="TableText0"/>
              <w:jc w:val="center"/>
              <w:rPr>
                <w:highlight w:val="darkGray"/>
              </w:rPr>
            </w:pPr>
            <w:r w:rsidRPr="007A7746">
              <w:rPr>
                <w:rFonts w:hint="eastAsia"/>
                <w:color w:val="000000"/>
                <w:w w:val="15"/>
                <w:shd w:val="solid" w:color="000000" w:fill="000000"/>
                <w:fitText w:val="35" w:id="-693980144"/>
                <w14:textFill>
                  <w14:solidFill>
                    <w14:srgbClr w14:val="000000">
                      <w14:alpha w14:val="100000"/>
                    </w14:srgbClr>
                  </w14:solidFill>
                </w14:textFill>
              </w:rPr>
              <w:t xml:space="preserve">　</w:t>
            </w:r>
            <w:r w:rsidRPr="007A7746">
              <w:rPr>
                <w:color w:val="000000"/>
                <w:w w:val="15"/>
                <w:shd w:val="solid" w:color="000000" w:fill="000000"/>
                <w:fitText w:val="35" w:id="-693980144"/>
                <w14:textFill>
                  <w14:solidFill>
                    <w14:srgbClr w14:val="000000">
                      <w14:alpha w14:val="100000"/>
                    </w14:srgbClr>
                  </w14:solidFill>
                </w14:textFill>
              </w:rPr>
              <w:t>|</w:t>
            </w:r>
            <w:r w:rsidRPr="007A7746">
              <w:rPr>
                <w:rFonts w:hint="eastAsia"/>
                <w:color w:val="000000"/>
                <w:spacing w:val="-30"/>
                <w:w w:val="15"/>
                <w:shd w:val="solid" w:color="000000" w:fill="000000"/>
                <w:fitText w:val="35" w:id="-693980144"/>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236CAA59" w14:textId="7A0C4711" w:rsidR="00D07677" w:rsidRPr="00FE6792" w:rsidRDefault="007A7746" w:rsidP="00D71587">
            <w:pPr>
              <w:pStyle w:val="TableText0"/>
              <w:jc w:val="center"/>
              <w:rPr>
                <w:highlight w:val="darkGray"/>
              </w:rPr>
            </w:pPr>
            <w:r w:rsidRPr="007A7746">
              <w:rPr>
                <w:rFonts w:hint="eastAsia"/>
                <w:color w:val="000000"/>
                <w:w w:val="15"/>
                <w:shd w:val="solid" w:color="000000" w:fill="000000"/>
                <w:fitText w:val="35" w:id="-693980160"/>
                <w14:textFill>
                  <w14:solidFill>
                    <w14:srgbClr w14:val="000000">
                      <w14:alpha w14:val="100000"/>
                    </w14:srgbClr>
                  </w14:solidFill>
                </w14:textFill>
              </w:rPr>
              <w:t xml:space="preserve">　</w:t>
            </w:r>
            <w:r w:rsidRPr="007A7746">
              <w:rPr>
                <w:color w:val="000000"/>
                <w:w w:val="15"/>
                <w:shd w:val="solid" w:color="000000" w:fill="000000"/>
                <w:fitText w:val="35" w:id="-693980160"/>
                <w14:textFill>
                  <w14:solidFill>
                    <w14:srgbClr w14:val="000000">
                      <w14:alpha w14:val="100000"/>
                    </w14:srgbClr>
                  </w14:solidFill>
                </w14:textFill>
              </w:rPr>
              <w:t>|</w:t>
            </w:r>
            <w:r w:rsidRPr="007A7746">
              <w:rPr>
                <w:rFonts w:hint="eastAsia"/>
                <w:color w:val="000000"/>
                <w:spacing w:val="-30"/>
                <w:w w:val="15"/>
                <w:shd w:val="solid" w:color="000000" w:fill="000000"/>
                <w:fitText w:val="35" w:id="-693980160"/>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1ACFD4BA" w14:textId="78604A97" w:rsidR="00D07677" w:rsidRPr="00FE6792" w:rsidRDefault="007A7746" w:rsidP="00D71587">
            <w:pPr>
              <w:pStyle w:val="TableText0"/>
              <w:jc w:val="center"/>
              <w:rPr>
                <w:highlight w:val="darkGray"/>
              </w:rPr>
            </w:pPr>
            <w:r w:rsidRPr="007A7746">
              <w:rPr>
                <w:rFonts w:hint="eastAsia"/>
                <w:color w:val="000000"/>
                <w:w w:val="15"/>
                <w:shd w:val="solid" w:color="000000" w:fill="000000"/>
                <w:fitText w:val="34" w:id="-693980159"/>
                <w14:textFill>
                  <w14:solidFill>
                    <w14:srgbClr w14:val="000000">
                      <w14:alpha w14:val="100000"/>
                    </w14:srgbClr>
                  </w14:solidFill>
                </w14:textFill>
              </w:rPr>
              <w:t xml:space="preserve">　</w:t>
            </w:r>
            <w:r w:rsidRPr="007A7746">
              <w:rPr>
                <w:color w:val="000000"/>
                <w:w w:val="15"/>
                <w:shd w:val="solid" w:color="000000" w:fill="000000"/>
                <w:fitText w:val="34" w:id="-693980159"/>
                <w14:textFill>
                  <w14:solidFill>
                    <w14:srgbClr w14:val="000000">
                      <w14:alpha w14:val="100000"/>
                    </w14:srgbClr>
                  </w14:solidFill>
                </w14:textFill>
              </w:rPr>
              <w:t>|</w:t>
            </w:r>
            <w:r w:rsidRPr="007A7746">
              <w:rPr>
                <w:rFonts w:hint="eastAsia"/>
                <w:color w:val="000000"/>
                <w:spacing w:val="-31"/>
                <w:w w:val="15"/>
                <w:shd w:val="solid" w:color="000000" w:fill="000000"/>
                <w:fitText w:val="34" w:id="-693980159"/>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3220A67C" w14:textId="687B93DB" w:rsidR="00D07677" w:rsidRPr="00FE6792" w:rsidRDefault="007A7746" w:rsidP="00D71587">
            <w:pPr>
              <w:pStyle w:val="TableText0"/>
              <w:jc w:val="center"/>
              <w:rPr>
                <w:highlight w:val="darkGray"/>
              </w:rPr>
            </w:pPr>
            <w:r w:rsidRPr="007A7746">
              <w:rPr>
                <w:rFonts w:hint="eastAsia"/>
                <w:color w:val="000000"/>
                <w:w w:val="15"/>
                <w:shd w:val="solid" w:color="000000" w:fill="000000"/>
                <w:fitText w:val="34" w:id="-693980158"/>
                <w14:textFill>
                  <w14:solidFill>
                    <w14:srgbClr w14:val="000000">
                      <w14:alpha w14:val="100000"/>
                    </w14:srgbClr>
                  </w14:solidFill>
                </w14:textFill>
              </w:rPr>
              <w:t xml:space="preserve">　</w:t>
            </w:r>
            <w:r w:rsidRPr="007A7746">
              <w:rPr>
                <w:color w:val="000000"/>
                <w:w w:val="15"/>
                <w:shd w:val="solid" w:color="000000" w:fill="000000"/>
                <w:fitText w:val="34" w:id="-693980158"/>
                <w14:textFill>
                  <w14:solidFill>
                    <w14:srgbClr w14:val="000000">
                      <w14:alpha w14:val="100000"/>
                    </w14:srgbClr>
                  </w14:solidFill>
                </w14:textFill>
              </w:rPr>
              <w:t>|</w:t>
            </w:r>
            <w:r w:rsidRPr="007A7746">
              <w:rPr>
                <w:rFonts w:hint="eastAsia"/>
                <w:color w:val="000000"/>
                <w:spacing w:val="-31"/>
                <w:w w:val="15"/>
                <w:shd w:val="solid" w:color="000000" w:fill="000000"/>
                <w:fitText w:val="34" w:id="-693980158"/>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299F9E64" w14:textId="2AA70751" w:rsidR="00D07677" w:rsidRPr="00FE6792" w:rsidRDefault="007A7746" w:rsidP="00D71587">
            <w:pPr>
              <w:pStyle w:val="TableText0"/>
              <w:jc w:val="center"/>
              <w:rPr>
                <w:highlight w:val="darkGray"/>
              </w:rPr>
            </w:pPr>
            <w:r w:rsidRPr="007A7746">
              <w:rPr>
                <w:rFonts w:hint="eastAsia"/>
                <w:color w:val="000000"/>
                <w:w w:val="15"/>
                <w:shd w:val="solid" w:color="000000" w:fill="000000"/>
                <w:fitText w:val="34" w:id="-693980157"/>
                <w14:textFill>
                  <w14:solidFill>
                    <w14:srgbClr w14:val="000000">
                      <w14:alpha w14:val="100000"/>
                    </w14:srgbClr>
                  </w14:solidFill>
                </w14:textFill>
              </w:rPr>
              <w:t xml:space="preserve">　</w:t>
            </w:r>
            <w:r w:rsidRPr="007A7746">
              <w:rPr>
                <w:color w:val="000000"/>
                <w:w w:val="15"/>
                <w:shd w:val="solid" w:color="000000" w:fill="000000"/>
                <w:fitText w:val="34" w:id="-693980157"/>
                <w14:textFill>
                  <w14:solidFill>
                    <w14:srgbClr w14:val="000000">
                      <w14:alpha w14:val="100000"/>
                    </w14:srgbClr>
                  </w14:solidFill>
                </w14:textFill>
              </w:rPr>
              <w:t>|</w:t>
            </w:r>
            <w:r w:rsidRPr="007A7746">
              <w:rPr>
                <w:rFonts w:hint="eastAsia"/>
                <w:color w:val="000000"/>
                <w:spacing w:val="-31"/>
                <w:w w:val="15"/>
                <w:shd w:val="solid" w:color="000000" w:fill="000000"/>
                <w:fitText w:val="34" w:id="-693980157"/>
                <w14:textFill>
                  <w14:solidFill>
                    <w14:srgbClr w14:val="000000">
                      <w14:alpha w14:val="100000"/>
                    </w14:srgbClr>
                  </w14:solidFill>
                </w14:textFill>
              </w:rPr>
              <w:t xml:space="preserve">　</w:t>
            </w:r>
            <w:r w:rsidR="00B71FEE" w:rsidRPr="00B71FEE">
              <w:rPr>
                <w:vertAlign w:val="superscript"/>
              </w:rPr>
              <w:t>2</w:t>
            </w:r>
          </w:p>
        </w:tc>
        <w:tc>
          <w:tcPr>
            <w:tcW w:w="638" w:type="pct"/>
            <w:vAlign w:val="center"/>
          </w:tcPr>
          <w:p w14:paraId="6B8C36C5" w14:textId="5297DE8F" w:rsidR="00D07677" w:rsidRPr="00FE6792" w:rsidRDefault="007A7746" w:rsidP="00D71587">
            <w:pPr>
              <w:pStyle w:val="TableText0"/>
              <w:jc w:val="center"/>
              <w:rPr>
                <w:highlight w:val="darkGray"/>
              </w:rPr>
            </w:pPr>
            <w:r w:rsidRPr="007A7746">
              <w:rPr>
                <w:rFonts w:hint="eastAsia"/>
                <w:color w:val="000000"/>
                <w:w w:val="15"/>
                <w:shd w:val="solid" w:color="000000" w:fill="000000"/>
                <w:fitText w:val="34" w:id="-693980156"/>
                <w14:textFill>
                  <w14:solidFill>
                    <w14:srgbClr w14:val="000000">
                      <w14:alpha w14:val="100000"/>
                    </w14:srgbClr>
                  </w14:solidFill>
                </w14:textFill>
              </w:rPr>
              <w:t xml:space="preserve">　</w:t>
            </w:r>
            <w:r w:rsidRPr="007A7746">
              <w:rPr>
                <w:color w:val="000000"/>
                <w:w w:val="15"/>
                <w:shd w:val="solid" w:color="000000" w:fill="000000"/>
                <w:fitText w:val="34" w:id="-693980156"/>
                <w14:textFill>
                  <w14:solidFill>
                    <w14:srgbClr w14:val="000000">
                      <w14:alpha w14:val="100000"/>
                    </w14:srgbClr>
                  </w14:solidFill>
                </w14:textFill>
              </w:rPr>
              <w:t>|</w:t>
            </w:r>
            <w:r w:rsidRPr="007A7746">
              <w:rPr>
                <w:rFonts w:hint="eastAsia"/>
                <w:color w:val="000000"/>
                <w:spacing w:val="-31"/>
                <w:w w:val="15"/>
                <w:shd w:val="solid" w:color="000000" w:fill="000000"/>
                <w:fitText w:val="34" w:id="-693980156"/>
                <w14:textFill>
                  <w14:solidFill>
                    <w14:srgbClr w14:val="000000">
                      <w14:alpha w14:val="100000"/>
                    </w14:srgbClr>
                  </w14:solidFill>
                </w14:textFill>
              </w:rPr>
              <w:t xml:space="preserve">　</w:t>
            </w:r>
            <w:r w:rsidR="00B71FEE" w:rsidRPr="00B71FEE">
              <w:rPr>
                <w:vertAlign w:val="superscript"/>
              </w:rPr>
              <w:t>2</w:t>
            </w:r>
          </w:p>
        </w:tc>
      </w:tr>
      <w:tr w:rsidR="0004729F" w:rsidRPr="004D75BF" w14:paraId="314A5CAC" w14:textId="77777777" w:rsidTr="589E218A">
        <w:tc>
          <w:tcPr>
            <w:tcW w:w="1177" w:type="pct"/>
            <w:shd w:val="clear" w:color="auto" w:fill="auto"/>
            <w:vAlign w:val="center"/>
          </w:tcPr>
          <w:p w14:paraId="6B330B88" w14:textId="4C390B96" w:rsidR="0004729F" w:rsidRPr="004D75BF" w:rsidRDefault="0004729F" w:rsidP="00D71587">
            <w:pPr>
              <w:pStyle w:val="TableText0"/>
              <w:rPr>
                <w:vertAlign w:val="superscript"/>
              </w:rPr>
            </w:pPr>
            <w:r w:rsidRPr="589E218A">
              <w:t xml:space="preserve">Number of scripts dispensed amivantamab </w:t>
            </w:r>
            <w:r w:rsidRPr="589E218A">
              <w:rPr>
                <w:vertAlign w:val="superscript"/>
              </w:rPr>
              <w:t>a</w:t>
            </w:r>
          </w:p>
        </w:tc>
        <w:tc>
          <w:tcPr>
            <w:tcW w:w="637" w:type="pct"/>
            <w:shd w:val="clear" w:color="auto" w:fill="auto"/>
            <w:vAlign w:val="center"/>
          </w:tcPr>
          <w:p w14:paraId="204E4111" w14:textId="24375322"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5" w:id="-693980155"/>
                <w14:textFill>
                  <w14:solidFill>
                    <w14:srgbClr w14:val="000000">
                      <w14:alpha w14:val="100000"/>
                    </w14:srgbClr>
                  </w14:solidFill>
                </w14:textFill>
              </w:rPr>
              <w:t xml:space="preserve">　</w:t>
            </w:r>
            <w:r w:rsidRPr="007A7746">
              <w:rPr>
                <w:color w:val="000000"/>
                <w:w w:val="15"/>
                <w:shd w:val="solid" w:color="000000" w:fill="000000"/>
                <w:fitText w:val="35" w:id="-693980155"/>
                <w14:textFill>
                  <w14:solidFill>
                    <w14:srgbClr w14:val="000000">
                      <w14:alpha w14:val="100000"/>
                    </w14:srgbClr>
                  </w14:solidFill>
                </w14:textFill>
              </w:rPr>
              <w:t>|</w:t>
            </w:r>
            <w:r w:rsidRPr="007A7746">
              <w:rPr>
                <w:rFonts w:hint="eastAsia"/>
                <w:color w:val="000000"/>
                <w:spacing w:val="-30"/>
                <w:w w:val="15"/>
                <w:shd w:val="solid" w:color="000000" w:fill="000000"/>
                <w:fitText w:val="35" w:id="-693980155"/>
                <w14:textFill>
                  <w14:solidFill>
                    <w14:srgbClr w14:val="000000">
                      <w14:alpha w14:val="100000"/>
                    </w14:srgbClr>
                  </w14:solidFill>
                </w14:textFill>
              </w:rPr>
              <w:t xml:space="preserve">　</w:t>
            </w:r>
            <w:r w:rsidR="00A13D42" w:rsidRPr="00A13D42">
              <w:rPr>
                <w:vertAlign w:val="superscript"/>
              </w:rPr>
              <w:t>3</w:t>
            </w:r>
          </w:p>
        </w:tc>
        <w:tc>
          <w:tcPr>
            <w:tcW w:w="637" w:type="pct"/>
            <w:shd w:val="clear" w:color="auto" w:fill="auto"/>
            <w:vAlign w:val="center"/>
          </w:tcPr>
          <w:p w14:paraId="7522E8F0" w14:textId="3B761AC8"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5" w:id="-693980154"/>
                <w14:textFill>
                  <w14:solidFill>
                    <w14:srgbClr w14:val="000000">
                      <w14:alpha w14:val="100000"/>
                    </w14:srgbClr>
                  </w14:solidFill>
                </w14:textFill>
              </w:rPr>
              <w:t xml:space="preserve">　</w:t>
            </w:r>
            <w:r w:rsidRPr="007A7746">
              <w:rPr>
                <w:color w:val="000000"/>
                <w:w w:val="15"/>
                <w:shd w:val="solid" w:color="000000" w:fill="000000"/>
                <w:fitText w:val="35" w:id="-693980154"/>
                <w14:textFill>
                  <w14:solidFill>
                    <w14:srgbClr w14:val="000000">
                      <w14:alpha w14:val="100000"/>
                    </w14:srgbClr>
                  </w14:solidFill>
                </w14:textFill>
              </w:rPr>
              <w:t>|</w:t>
            </w:r>
            <w:r w:rsidRPr="007A7746">
              <w:rPr>
                <w:rFonts w:hint="eastAsia"/>
                <w:color w:val="000000"/>
                <w:spacing w:val="-30"/>
                <w:w w:val="15"/>
                <w:shd w:val="solid" w:color="000000" w:fill="000000"/>
                <w:fitText w:val="35" w:id="-693980154"/>
                <w14:textFill>
                  <w14:solidFill>
                    <w14:srgbClr w14:val="000000">
                      <w14:alpha w14:val="100000"/>
                    </w14:srgbClr>
                  </w14:solidFill>
                </w14:textFill>
              </w:rPr>
              <w:t xml:space="preserve">　</w:t>
            </w:r>
            <w:r w:rsidR="00A13D42" w:rsidRPr="00A13D42">
              <w:rPr>
                <w:vertAlign w:val="superscript"/>
              </w:rPr>
              <w:t>4</w:t>
            </w:r>
          </w:p>
        </w:tc>
        <w:tc>
          <w:tcPr>
            <w:tcW w:w="637" w:type="pct"/>
            <w:shd w:val="clear" w:color="auto" w:fill="auto"/>
            <w:vAlign w:val="center"/>
          </w:tcPr>
          <w:p w14:paraId="574F2F21" w14:textId="2B630B55"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80153"/>
                <w14:textFill>
                  <w14:solidFill>
                    <w14:srgbClr w14:val="000000">
                      <w14:alpha w14:val="100000"/>
                    </w14:srgbClr>
                  </w14:solidFill>
                </w14:textFill>
              </w:rPr>
              <w:t xml:space="preserve">　</w:t>
            </w:r>
            <w:r w:rsidRPr="007A7746">
              <w:rPr>
                <w:color w:val="000000"/>
                <w:w w:val="15"/>
                <w:shd w:val="solid" w:color="000000" w:fill="000000"/>
                <w:fitText w:val="34" w:id="-693980153"/>
                <w14:textFill>
                  <w14:solidFill>
                    <w14:srgbClr w14:val="000000">
                      <w14:alpha w14:val="100000"/>
                    </w14:srgbClr>
                  </w14:solidFill>
                </w14:textFill>
              </w:rPr>
              <w:t>|</w:t>
            </w:r>
            <w:r w:rsidRPr="007A7746">
              <w:rPr>
                <w:rFonts w:hint="eastAsia"/>
                <w:color w:val="000000"/>
                <w:spacing w:val="-31"/>
                <w:w w:val="15"/>
                <w:shd w:val="solid" w:color="000000" w:fill="000000"/>
                <w:fitText w:val="34" w:id="-693980153"/>
                <w14:textFill>
                  <w14:solidFill>
                    <w14:srgbClr w14:val="000000">
                      <w14:alpha w14:val="100000"/>
                    </w14:srgbClr>
                  </w14:solidFill>
                </w14:textFill>
              </w:rPr>
              <w:t xml:space="preserve">　</w:t>
            </w:r>
            <w:r w:rsidR="00C44004" w:rsidRPr="00A13D42">
              <w:rPr>
                <w:vertAlign w:val="superscript"/>
              </w:rPr>
              <w:t>4</w:t>
            </w:r>
          </w:p>
        </w:tc>
        <w:tc>
          <w:tcPr>
            <w:tcW w:w="637" w:type="pct"/>
            <w:shd w:val="clear" w:color="auto" w:fill="auto"/>
            <w:vAlign w:val="center"/>
          </w:tcPr>
          <w:p w14:paraId="13CFED37" w14:textId="02326B08"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80152"/>
                <w14:textFill>
                  <w14:solidFill>
                    <w14:srgbClr w14:val="000000">
                      <w14:alpha w14:val="100000"/>
                    </w14:srgbClr>
                  </w14:solidFill>
                </w14:textFill>
              </w:rPr>
              <w:t xml:space="preserve">　</w:t>
            </w:r>
            <w:r w:rsidRPr="007A7746">
              <w:rPr>
                <w:color w:val="000000"/>
                <w:w w:val="15"/>
                <w:shd w:val="solid" w:color="000000" w:fill="000000"/>
                <w:fitText w:val="34" w:id="-693980152"/>
                <w14:textFill>
                  <w14:solidFill>
                    <w14:srgbClr w14:val="000000">
                      <w14:alpha w14:val="100000"/>
                    </w14:srgbClr>
                  </w14:solidFill>
                </w14:textFill>
              </w:rPr>
              <w:t>|</w:t>
            </w:r>
            <w:r w:rsidRPr="007A7746">
              <w:rPr>
                <w:rFonts w:hint="eastAsia"/>
                <w:color w:val="000000"/>
                <w:spacing w:val="-31"/>
                <w:w w:val="15"/>
                <w:shd w:val="solid" w:color="000000" w:fill="000000"/>
                <w:fitText w:val="34" w:id="-693980152"/>
                <w14:textFill>
                  <w14:solidFill>
                    <w14:srgbClr w14:val="000000">
                      <w14:alpha w14:val="100000"/>
                    </w14:srgbClr>
                  </w14:solidFill>
                </w14:textFill>
              </w:rPr>
              <w:t xml:space="preserve">　</w:t>
            </w:r>
            <w:r w:rsidR="00C44004" w:rsidRPr="00A13D42">
              <w:rPr>
                <w:vertAlign w:val="superscript"/>
              </w:rPr>
              <w:t>4</w:t>
            </w:r>
          </w:p>
        </w:tc>
        <w:tc>
          <w:tcPr>
            <w:tcW w:w="637" w:type="pct"/>
            <w:shd w:val="clear" w:color="auto" w:fill="auto"/>
            <w:vAlign w:val="center"/>
          </w:tcPr>
          <w:p w14:paraId="2ACC23DC" w14:textId="30B74644"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79904"/>
                <w14:textFill>
                  <w14:solidFill>
                    <w14:srgbClr w14:val="000000">
                      <w14:alpha w14:val="100000"/>
                    </w14:srgbClr>
                  </w14:solidFill>
                </w14:textFill>
              </w:rPr>
              <w:t xml:space="preserve">　</w:t>
            </w:r>
            <w:r w:rsidRPr="007A7746">
              <w:rPr>
                <w:color w:val="000000"/>
                <w:w w:val="15"/>
                <w:shd w:val="solid" w:color="000000" w:fill="000000"/>
                <w:fitText w:val="34" w:id="-693979904"/>
                <w14:textFill>
                  <w14:solidFill>
                    <w14:srgbClr w14:val="000000">
                      <w14:alpha w14:val="100000"/>
                    </w14:srgbClr>
                  </w14:solidFill>
                </w14:textFill>
              </w:rPr>
              <w:t>|</w:t>
            </w:r>
            <w:r w:rsidRPr="007A7746">
              <w:rPr>
                <w:rFonts w:hint="eastAsia"/>
                <w:color w:val="000000"/>
                <w:spacing w:val="-31"/>
                <w:w w:val="15"/>
                <w:shd w:val="solid" w:color="000000" w:fill="000000"/>
                <w:fitText w:val="34" w:id="-693979904"/>
                <w14:textFill>
                  <w14:solidFill>
                    <w14:srgbClr w14:val="000000">
                      <w14:alpha w14:val="100000"/>
                    </w14:srgbClr>
                  </w14:solidFill>
                </w14:textFill>
              </w:rPr>
              <w:t xml:space="preserve">　</w:t>
            </w:r>
            <w:r w:rsidR="00C44004" w:rsidRPr="00A13D42">
              <w:rPr>
                <w:vertAlign w:val="superscript"/>
              </w:rPr>
              <w:t>4</w:t>
            </w:r>
          </w:p>
        </w:tc>
        <w:tc>
          <w:tcPr>
            <w:tcW w:w="638" w:type="pct"/>
            <w:vAlign w:val="center"/>
          </w:tcPr>
          <w:p w14:paraId="74887055" w14:textId="63477102" w:rsidR="0004729F" w:rsidRPr="00FE6792" w:rsidRDefault="007A7746" w:rsidP="00D71587">
            <w:pPr>
              <w:pStyle w:val="TableText0"/>
              <w:jc w:val="center"/>
              <w:rPr>
                <w:color w:val="000000"/>
                <w:highlight w:val="darkGray"/>
              </w:rPr>
            </w:pPr>
            <w:r w:rsidRPr="007A7746">
              <w:rPr>
                <w:rFonts w:hint="eastAsia"/>
                <w:color w:val="000000"/>
                <w:w w:val="15"/>
                <w:shd w:val="solid" w:color="000000" w:fill="000000"/>
                <w:fitText w:val="34" w:id="-693979903"/>
                <w14:textFill>
                  <w14:solidFill>
                    <w14:srgbClr w14:val="000000">
                      <w14:alpha w14:val="100000"/>
                    </w14:srgbClr>
                  </w14:solidFill>
                </w14:textFill>
              </w:rPr>
              <w:t xml:space="preserve">　</w:t>
            </w:r>
            <w:r w:rsidRPr="007A7746">
              <w:rPr>
                <w:color w:val="000000"/>
                <w:w w:val="15"/>
                <w:shd w:val="solid" w:color="000000" w:fill="000000"/>
                <w:fitText w:val="34" w:id="-693979903"/>
                <w14:textFill>
                  <w14:solidFill>
                    <w14:srgbClr w14:val="000000">
                      <w14:alpha w14:val="100000"/>
                    </w14:srgbClr>
                  </w14:solidFill>
                </w14:textFill>
              </w:rPr>
              <w:t>|</w:t>
            </w:r>
            <w:r w:rsidRPr="007A7746">
              <w:rPr>
                <w:rFonts w:hint="eastAsia"/>
                <w:color w:val="000000"/>
                <w:spacing w:val="-31"/>
                <w:w w:val="15"/>
                <w:shd w:val="solid" w:color="000000" w:fill="000000"/>
                <w:fitText w:val="34" w:id="-693979903"/>
                <w14:textFill>
                  <w14:solidFill>
                    <w14:srgbClr w14:val="000000">
                      <w14:alpha w14:val="100000"/>
                    </w14:srgbClr>
                  </w14:solidFill>
                </w14:textFill>
              </w:rPr>
              <w:t xml:space="preserve">　</w:t>
            </w:r>
            <w:r w:rsidR="00C44004" w:rsidRPr="00A13D42">
              <w:rPr>
                <w:vertAlign w:val="superscript"/>
              </w:rPr>
              <w:t>4</w:t>
            </w:r>
          </w:p>
        </w:tc>
      </w:tr>
      <w:tr w:rsidR="0004729F" w:rsidRPr="004D75BF" w14:paraId="60585847" w14:textId="77777777" w:rsidTr="589E218A">
        <w:tc>
          <w:tcPr>
            <w:tcW w:w="1177" w:type="pct"/>
            <w:shd w:val="clear" w:color="auto" w:fill="auto"/>
            <w:vAlign w:val="center"/>
          </w:tcPr>
          <w:p w14:paraId="0CD20CA0" w14:textId="496E2927" w:rsidR="0004729F" w:rsidRPr="004D75BF" w:rsidRDefault="0004729F" w:rsidP="00D71587">
            <w:pPr>
              <w:pStyle w:val="TableText0"/>
              <w:rPr>
                <w:vertAlign w:val="superscript"/>
              </w:rPr>
            </w:pPr>
            <w:r w:rsidRPr="589E218A">
              <w:t xml:space="preserve">Number of scripts dispensed lazertinib </w:t>
            </w:r>
            <w:r w:rsidRPr="589E218A">
              <w:rPr>
                <w:vertAlign w:val="superscript"/>
              </w:rPr>
              <w:t>b</w:t>
            </w:r>
            <w:r w:rsidR="003B0BA7">
              <w:rPr>
                <w:vertAlign w:val="superscript"/>
              </w:rPr>
              <w:t>,c</w:t>
            </w:r>
          </w:p>
        </w:tc>
        <w:tc>
          <w:tcPr>
            <w:tcW w:w="637" w:type="pct"/>
            <w:shd w:val="clear" w:color="auto" w:fill="auto"/>
            <w:vAlign w:val="center"/>
          </w:tcPr>
          <w:p w14:paraId="711CC1A8" w14:textId="26378E91" w:rsidR="000D6B4E" w:rsidRDefault="007A7746" w:rsidP="00D71587">
            <w:pPr>
              <w:pStyle w:val="TableText0"/>
              <w:jc w:val="center"/>
            </w:pPr>
            <w:r w:rsidRPr="007A7746">
              <w:rPr>
                <w:color w:val="000000"/>
                <w:spacing w:val="46"/>
                <w:shd w:val="solid" w:color="000000" w:fill="000000"/>
                <w:fitText w:val="311" w:id="-693979902"/>
                <w14:textFill>
                  <w14:solidFill>
                    <w14:srgbClr w14:val="000000">
                      <w14:alpha w14:val="100000"/>
                    </w14:srgbClr>
                  </w14:solidFill>
                </w14:textFill>
              </w:rPr>
              <w:t>|||</w:t>
            </w:r>
            <w:r w:rsidRPr="007A7746">
              <w:rPr>
                <w:color w:val="000000"/>
                <w:spacing w:val="3"/>
                <w:shd w:val="solid" w:color="000000" w:fill="000000"/>
                <w:fitText w:val="311" w:id="-693979902"/>
                <w14:textFill>
                  <w14:solidFill>
                    <w14:srgbClr w14:val="000000">
                      <w14:alpha w14:val="100000"/>
                    </w14:srgbClr>
                  </w14:solidFill>
                </w14:textFill>
              </w:rPr>
              <w:t>|</w:t>
            </w:r>
            <w:r w:rsidR="00F563A7" w:rsidRPr="00F563A7">
              <w:rPr>
                <w:vertAlign w:val="superscript"/>
              </w:rPr>
              <w:t>5</w:t>
            </w:r>
            <w:r w:rsidR="00AA02D9">
              <w:t>+</w:t>
            </w:r>
            <w:r w:rsidRPr="007A7746">
              <w:rPr>
                <w:color w:val="000000"/>
                <w:spacing w:val="168"/>
                <w:shd w:val="solid" w:color="000000" w:fill="000000"/>
                <w:fitText w:val="254" w:id="-693979901"/>
                <w14:textFill>
                  <w14:solidFill>
                    <w14:srgbClr w14:val="000000">
                      <w14:alpha w14:val="100000"/>
                    </w14:srgbClr>
                  </w14:solidFill>
                </w14:textFill>
              </w:rPr>
              <w:t>|</w:t>
            </w:r>
            <w:r w:rsidRPr="007A7746">
              <w:rPr>
                <w:color w:val="000000"/>
                <w:spacing w:val="1"/>
                <w:shd w:val="solid" w:color="000000" w:fill="000000"/>
                <w:fitText w:val="254" w:id="-693979901"/>
                <w14:textFill>
                  <w14:solidFill>
                    <w14:srgbClr w14:val="000000">
                      <w14:alpha w14:val="100000"/>
                    </w14:srgbClr>
                  </w14:solidFill>
                </w14:textFill>
              </w:rPr>
              <w:t>|</w:t>
            </w:r>
            <w:r w:rsidR="00B71FEE" w:rsidRPr="00B71FEE">
              <w:rPr>
                <w:vertAlign w:val="superscript"/>
              </w:rPr>
              <w:t>2</w:t>
            </w:r>
          </w:p>
          <w:p w14:paraId="713B1D4E" w14:textId="0445A500" w:rsidR="0004729F" w:rsidRPr="004D75BF" w:rsidRDefault="000D6B4E" w:rsidP="00D71587">
            <w:pPr>
              <w:pStyle w:val="TableText0"/>
              <w:jc w:val="center"/>
              <w:rPr>
                <w:color w:val="000000"/>
              </w:rPr>
            </w:pPr>
            <w:r>
              <w:t>=</w:t>
            </w:r>
            <w:r w:rsidR="007A7746" w:rsidRPr="00B15864">
              <w:rPr>
                <w:rFonts w:hint="eastAsia"/>
                <w:color w:val="000000"/>
                <w:w w:val="18"/>
                <w:shd w:val="solid" w:color="000000" w:fill="000000"/>
                <w:fitText w:val="80" w:id="-693979900"/>
                <w14:textFill>
                  <w14:solidFill>
                    <w14:srgbClr w14:val="000000">
                      <w14:alpha w14:val="100000"/>
                    </w14:srgbClr>
                  </w14:solidFill>
                </w14:textFill>
              </w:rPr>
              <w:t xml:space="preserve">　</w:t>
            </w:r>
            <w:r w:rsidR="007A7746" w:rsidRPr="00B15864">
              <w:rPr>
                <w:color w:val="000000"/>
                <w:w w:val="18"/>
                <w:shd w:val="solid" w:color="000000" w:fill="000000"/>
                <w:fitText w:val="80" w:id="-693979900"/>
                <w14:textFill>
                  <w14:solidFill>
                    <w14:srgbClr w14:val="000000">
                      <w14:alpha w14:val="100000"/>
                    </w14:srgbClr>
                  </w14:solidFill>
                </w14:textFill>
              </w:rPr>
              <w:t>|</w:t>
            </w:r>
            <w:r w:rsidR="007A7746" w:rsidRPr="00B15864">
              <w:rPr>
                <w:rFonts w:hint="eastAsia"/>
                <w:color w:val="000000"/>
                <w:w w:val="18"/>
                <w:shd w:val="solid" w:color="000000" w:fill="000000"/>
                <w:fitText w:val="80" w:id="-693979900"/>
                <w14:textFill>
                  <w14:solidFill>
                    <w14:srgbClr w14:val="000000">
                      <w14:alpha w14:val="100000"/>
                    </w14:srgbClr>
                  </w14:solidFill>
                </w14:textFill>
              </w:rPr>
              <w:t xml:space="preserve">　</w:t>
            </w:r>
            <w:r w:rsidR="00682C98" w:rsidRPr="00F563A7">
              <w:rPr>
                <w:vertAlign w:val="superscript"/>
              </w:rPr>
              <w:t>5</w:t>
            </w:r>
          </w:p>
        </w:tc>
        <w:tc>
          <w:tcPr>
            <w:tcW w:w="637" w:type="pct"/>
            <w:shd w:val="clear" w:color="auto" w:fill="auto"/>
            <w:vAlign w:val="center"/>
          </w:tcPr>
          <w:p w14:paraId="1AF8117B" w14:textId="08E32BB2" w:rsidR="0004729F" w:rsidRDefault="007A7746" w:rsidP="00D71587">
            <w:pPr>
              <w:pStyle w:val="TableText0"/>
              <w:jc w:val="center"/>
            </w:pPr>
            <w:r w:rsidRPr="007A7746">
              <w:rPr>
                <w:color w:val="000000"/>
                <w:spacing w:val="46"/>
                <w:shd w:val="solid" w:color="000000" w:fill="000000"/>
                <w:fitText w:val="311" w:id="-693979899"/>
                <w14:textFill>
                  <w14:solidFill>
                    <w14:srgbClr w14:val="000000">
                      <w14:alpha w14:val="100000"/>
                    </w14:srgbClr>
                  </w14:solidFill>
                </w14:textFill>
              </w:rPr>
              <w:t>|||</w:t>
            </w:r>
            <w:r w:rsidRPr="007A7746">
              <w:rPr>
                <w:color w:val="000000"/>
                <w:spacing w:val="3"/>
                <w:shd w:val="solid" w:color="000000" w:fill="000000"/>
                <w:fitText w:val="311" w:id="-693979899"/>
                <w14:textFill>
                  <w14:solidFill>
                    <w14:srgbClr w14:val="000000">
                      <w14:alpha w14:val="100000"/>
                    </w14:srgbClr>
                  </w14:solidFill>
                </w14:textFill>
              </w:rPr>
              <w:t>|</w:t>
            </w:r>
            <w:r w:rsidR="00A13D42" w:rsidRPr="00A13D42">
              <w:rPr>
                <w:vertAlign w:val="superscript"/>
              </w:rPr>
              <w:t>3</w:t>
            </w:r>
            <w:r w:rsidR="009015CC">
              <w:t>+</w:t>
            </w:r>
            <w:r w:rsidRPr="007A7746">
              <w:rPr>
                <w:color w:val="000000"/>
                <w:spacing w:val="168"/>
                <w:shd w:val="solid" w:color="000000" w:fill="000000"/>
                <w:fitText w:val="254" w:id="-693979898"/>
                <w14:textFill>
                  <w14:solidFill>
                    <w14:srgbClr w14:val="000000">
                      <w14:alpha w14:val="100000"/>
                    </w14:srgbClr>
                  </w14:solidFill>
                </w14:textFill>
              </w:rPr>
              <w:t>|</w:t>
            </w:r>
            <w:r w:rsidRPr="007A7746">
              <w:rPr>
                <w:color w:val="000000"/>
                <w:spacing w:val="1"/>
                <w:shd w:val="solid" w:color="000000" w:fill="000000"/>
                <w:fitText w:val="254" w:id="-693979898"/>
                <w14:textFill>
                  <w14:solidFill>
                    <w14:srgbClr w14:val="000000">
                      <w14:alpha w14:val="100000"/>
                    </w14:srgbClr>
                  </w14:solidFill>
                </w14:textFill>
              </w:rPr>
              <w:t>|</w:t>
            </w:r>
            <w:r w:rsidR="00B71FEE" w:rsidRPr="00B71FEE">
              <w:rPr>
                <w:vertAlign w:val="superscript"/>
              </w:rPr>
              <w:t>2</w:t>
            </w:r>
          </w:p>
          <w:p w14:paraId="03E0289C" w14:textId="5D06FEBF" w:rsidR="00D420E3" w:rsidRPr="004D75BF" w:rsidRDefault="00D420E3" w:rsidP="00D71587">
            <w:pPr>
              <w:pStyle w:val="TableText0"/>
              <w:jc w:val="center"/>
              <w:rPr>
                <w:color w:val="000000"/>
              </w:rPr>
            </w:pPr>
            <w:r>
              <w:rPr>
                <w:color w:val="000000"/>
              </w:rPr>
              <w:t>=</w:t>
            </w:r>
            <w:r w:rsidR="007A7746" w:rsidRPr="007A7746">
              <w:rPr>
                <w:rFonts w:hint="eastAsia"/>
                <w:color w:val="000000"/>
                <w:w w:val="15"/>
                <w:shd w:val="solid" w:color="000000" w:fill="000000"/>
                <w:fitText w:val="69" w:id="-693979897"/>
                <w14:textFill>
                  <w14:solidFill>
                    <w14:srgbClr w14:val="000000">
                      <w14:alpha w14:val="100000"/>
                    </w14:srgbClr>
                  </w14:solidFill>
                </w14:textFill>
              </w:rPr>
              <w:t xml:space="preserve">　</w:t>
            </w:r>
            <w:r w:rsidR="007A7746" w:rsidRPr="007A7746">
              <w:rPr>
                <w:color w:val="000000"/>
                <w:w w:val="15"/>
                <w:shd w:val="solid" w:color="000000" w:fill="000000"/>
                <w:fitText w:val="69" w:id="-693979897"/>
                <w14:textFill>
                  <w14:solidFill>
                    <w14:srgbClr w14:val="000000">
                      <w14:alpha w14:val="100000"/>
                    </w14:srgbClr>
                  </w14:solidFill>
                </w14:textFill>
              </w:rPr>
              <w:t>|</w:t>
            </w:r>
            <w:r w:rsidR="007A7746" w:rsidRPr="007A7746">
              <w:rPr>
                <w:rFonts w:hint="eastAsia"/>
                <w:color w:val="000000"/>
                <w:spacing w:val="3"/>
                <w:w w:val="15"/>
                <w:shd w:val="solid" w:color="000000" w:fill="000000"/>
                <w:fitText w:val="69" w:id="-693979897"/>
                <w14:textFill>
                  <w14:solidFill>
                    <w14:srgbClr w14:val="000000">
                      <w14:alpha w14:val="100000"/>
                    </w14:srgbClr>
                  </w14:solidFill>
                </w14:textFill>
              </w:rPr>
              <w:t xml:space="preserve">　</w:t>
            </w:r>
            <w:r w:rsidR="00A13D42" w:rsidRPr="00A13D42">
              <w:rPr>
                <w:vertAlign w:val="superscript"/>
              </w:rPr>
              <w:t>3</w:t>
            </w:r>
          </w:p>
        </w:tc>
        <w:tc>
          <w:tcPr>
            <w:tcW w:w="637" w:type="pct"/>
            <w:shd w:val="clear" w:color="auto" w:fill="auto"/>
            <w:vAlign w:val="center"/>
          </w:tcPr>
          <w:p w14:paraId="6EA12C48" w14:textId="671974B6" w:rsidR="0004729F" w:rsidRDefault="007A7746" w:rsidP="00D71587">
            <w:pPr>
              <w:pStyle w:val="TableText0"/>
              <w:jc w:val="center"/>
            </w:pPr>
            <w:r w:rsidRPr="007A7746">
              <w:rPr>
                <w:color w:val="000000"/>
                <w:spacing w:val="46"/>
                <w:shd w:val="solid" w:color="000000" w:fill="000000"/>
                <w:fitText w:val="311" w:id="-693979896"/>
                <w14:textFill>
                  <w14:solidFill>
                    <w14:srgbClr w14:val="000000">
                      <w14:alpha w14:val="100000"/>
                    </w14:srgbClr>
                  </w14:solidFill>
                </w14:textFill>
              </w:rPr>
              <w:t>|||</w:t>
            </w:r>
            <w:r w:rsidRPr="007A7746">
              <w:rPr>
                <w:color w:val="000000"/>
                <w:spacing w:val="3"/>
                <w:shd w:val="solid" w:color="000000" w:fill="000000"/>
                <w:fitText w:val="311" w:id="-693979896"/>
                <w14:textFill>
                  <w14:solidFill>
                    <w14:srgbClr w14:val="000000">
                      <w14:alpha w14:val="100000"/>
                    </w14:srgbClr>
                  </w14:solidFill>
                </w14:textFill>
              </w:rPr>
              <w:t>|</w:t>
            </w:r>
            <w:r w:rsidR="00C44004" w:rsidRPr="00A13D42">
              <w:rPr>
                <w:vertAlign w:val="superscript"/>
              </w:rPr>
              <w:t>4</w:t>
            </w:r>
            <w:r w:rsidR="009015CC">
              <w:t>+</w:t>
            </w:r>
            <w:r w:rsidRPr="007A7746">
              <w:rPr>
                <w:color w:val="000000"/>
                <w:spacing w:val="167"/>
                <w:shd w:val="solid" w:color="000000" w:fill="000000"/>
                <w:fitText w:val="253" w:id="-693979895"/>
                <w14:textFill>
                  <w14:solidFill>
                    <w14:srgbClr w14:val="000000">
                      <w14:alpha w14:val="100000"/>
                    </w14:srgbClr>
                  </w14:solidFill>
                </w14:textFill>
              </w:rPr>
              <w:t>|</w:t>
            </w:r>
            <w:r w:rsidRPr="007A7746">
              <w:rPr>
                <w:color w:val="000000"/>
                <w:spacing w:val="1"/>
                <w:shd w:val="solid" w:color="000000" w:fill="000000"/>
                <w:fitText w:val="253" w:id="-693979895"/>
                <w14:textFill>
                  <w14:solidFill>
                    <w14:srgbClr w14:val="000000">
                      <w14:alpha w14:val="100000"/>
                    </w14:srgbClr>
                  </w14:solidFill>
                </w14:textFill>
              </w:rPr>
              <w:t>|</w:t>
            </w:r>
            <w:r w:rsidR="00B71FEE" w:rsidRPr="00B71FEE">
              <w:rPr>
                <w:vertAlign w:val="superscript"/>
              </w:rPr>
              <w:t>2</w:t>
            </w:r>
          </w:p>
          <w:p w14:paraId="4982921B" w14:textId="00E2AE98" w:rsidR="00FC5733" w:rsidRPr="004D75BF" w:rsidRDefault="00FC5733" w:rsidP="00D71587">
            <w:pPr>
              <w:pStyle w:val="TableText0"/>
              <w:jc w:val="center"/>
              <w:rPr>
                <w:color w:val="000000"/>
              </w:rPr>
            </w:pPr>
            <w:r>
              <w:rPr>
                <w:color w:val="000000"/>
              </w:rPr>
              <w:t>=</w:t>
            </w:r>
            <w:r w:rsidR="007A7746" w:rsidRPr="007A7746">
              <w:rPr>
                <w:rFonts w:hint="eastAsia"/>
                <w:color w:val="000000"/>
                <w:w w:val="15"/>
                <w:shd w:val="solid" w:color="000000" w:fill="000000"/>
                <w:fitText w:val="69" w:id="-693979894"/>
                <w14:textFill>
                  <w14:solidFill>
                    <w14:srgbClr w14:val="000000">
                      <w14:alpha w14:val="100000"/>
                    </w14:srgbClr>
                  </w14:solidFill>
                </w14:textFill>
              </w:rPr>
              <w:t xml:space="preserve">　</w:t>
            </w:r>
            <w:r w:rsidR="007A7746" w:rsidRPr="007A7746">
              <w:rPr>
                <w:color w:val="000000"/>
                <w:w w:val="15"/>
                <w:shd w:val="solid" w:color="000000" w:fill="000000"/>
                <w:fitText w:val="69" w:id="-693979894"/>
                <w14:textFill>
                  <w14:solidFill>
                    <w14:srgbClr w14:val="000000">
                      <w14:alpha w14:val="100000"/>
                    </w14:srgbClr>
                  </w14:solidFill>
                </w14:textFill>
              </w:rPr>
              <w:t>|</w:t>
            </w:r>
            <w:r w:rsidR="007A7746" w:rsidRPr="007A7746">
              <w:rPr>
                <w:rFonts w:hint="eastAsia"/>
                <w:color w:val="000000"/>
                <w:spacing w:val="3"/>
                <w:w w:val="15"/>
                <w:shd w:val="solid" w:color="000000" w:fill="000000"/>
                <w:fitText w:val="69" w:id="-693979894"/>
                <w14:textFill>
                  <w14:solidFill>
                    <w14:srgbClr w14:val="000000">
                      <w14:alpha w14:val="100000"/>
                    </w14:srgbClr>
                  </w14:solidFill>
                </w14:textFill>
              </w:rPr>
              <w:t xml:space="preserve">　</w:t>
            </w:r>
            <w:r w:rsidR="00C44004" w:rsidRPr="00A13D42">
              <w:rPr>
                <w:vertAlign w:val="superscript"/>
              </w:rPr>
              <w:t>4</w:t>
            </w:r>
          </w:p>
        </w:tc>
        <w:tc>
          <w:tcPr>
            <w:tcW w:w="637" w:type="pct"/>
            <w:shd w:val="clear" w:color="auto" w:fill="auto"/>
            <w:vAlign w:val="center"/>
          </w:tcPr>
          <w:p w14:paraId="60E7A2D5" w14:textId="36F7241D" w:rsidR="0004729F" w:rsidRDefault="007A7746" w:rsidP="00D71587">
            <w:pPr>
              <w:pStyle w:val="TableText0"/>
              <w:jc w:val="center"/>
            </w:pPr>
            <w:r w:rsidRPr="007A7746">
              <w:rPr>
                <w:color w:val="000000"/>
                <w:spacing w:val="46"/>
                <w:shd w:val="solid" w:color="000000" w:fill="000000"/>
                <w:fitText w:val="311" w:id="-693979893"/>
                <w14:textFill>
                  <w14:solidFill>
                    <w14:srgbClr w14:val="000000">
                      <w14:alpha w14:val="100000"/>
                    </w14:srgbClr>
                  </w14:solidFill>
                </w14:textFill>
              </w:rPr>
              <w:t>|||</w:t>
            </w:r>
            <w:r w:rsidRPr="007A7746">
              <w:rPr>
                <w:color w:val="000000"/>
                <w:spacing w:val="3"/>
                <w:shd w:val="solid" w:color="000000" w:fill="000000"/>
                <w:fitText w:val="311" w:id="-693979893"/>
                <w14:textFill>
                  <w14:solidFill>
                    <w14:srgbClr w14:val="000000">
                      <w14:alpha w14:val="100000"/>
                    </w14:srgbClr>
                  </w14:solidFill>
                </w14:textFill>
              </w:rPr>
              <w:t>|</w:t>
            </w:r>
            <w:r w:rsidR="00C44004" w:rsidRPr="00A13D42">
              <w:rPr>
                <w:vertAlign w:val="superscript"/>
              </w:rPr>
              <w:t>4</w:t>
            </w:r>
            <w:r w:rsidR="002A51EE">
              <w:t>+</w:t>
            </w:r>
            <w:r w:rsidRPr="007A7746">
              <w:rPr>
                <w:color w:val="000000"/>
                <w:spacing w:val="167"/>
                <w:shd w:val="solid" w:color="000000" w:fill="000000"/>
                <w:fitText w:val="253" w:id="-693979892"/>
                <w14:textFill>
                  <w14:solidFill>
                    <w14:srgbClr w14:val="000000">
                      <w14:alpha w14:val="100000"/>
                    </w14:srgbClr>
                  </w14:solidFill>
                </w14:textFill>
              </w:rPr>
              <w:t>|</w:t>
            </w:r>
            <w:r w:rsidRPr="007A7746">
              <w:rPr>
                <w:color w:val="000000"/>
                <w:spacing w:val="1"/>
                <w:shd w:val="solid" w:color="000000" w:fill="000000"/>
                <w:fitText w:val="253" w:id="-693979892"/>
                <w14:textFill>
                  <w14:solidFill>
                    <w14:srgbClr w14:val="000000">
                      <w14:alpha w14:val="100000"/>
                    </w14:srgbClr>
                  </w14:solidFill>
                </w14:textFill>
              </w:rPr>
              <w:t>|</w:t>
            </w:r>
            <w:r w:rsidR="00B71FEE" w:rsidRPr="00B71FEE">
              <w:rPr>
                <w:vertAlign w:val="superscript"/>
              </w:rPr>
              <w:t>2</w:t>
            </w:r>
          </w:p>
          <w:p w14:paraId="312C00CF" w14:textId="788F680D" w:rsidR="00FC5733" w:rsidRPr="004D75BF" w:rsidRDefault="00FC5733" w:rsidP="00D71587">
            <w:pPr>
              <w:pStyle w:val="TableText0"/>
              <w:jc w:val="center"/>
              <w:rPr>
                <w:color w:val="000000"/>
              </w:rPr>
            </w:pPr>
            <w:r>
              <w:rPr>
                <w:color w:val="000000"/>
              </w:rPr>
              <w:t>=</w:t>
            </w:r>
            <w:r w:rsidR="007A7746" w:rsidRPr="007A7746">
              <w:rPr>
                <w:rFonts w:hint="eastAsia"/>
                <w:color w:val="000000"/>
                <w:w w:val="15"/>
                <w:shd w:val="solid" w:color="000000" w:fill="000000"/>
                <w:fitText w:val="69" w:id="-693979891"/>
                <w14:textFill>
                  <w14:solidFill>
                    <w14:srgbClr w14:val="000000">
                      <w14:alpha w14:val="100000"/>
                    </w14:srgbClr>
                  </w14:solidFill>
                </w14:textFill>
              </w:rPr>
              <w:t xml:space="preserve">　</w:t>
            </w:r>
            <w:r w:rsidR="007A7746" w:rsidRPr="007A7746">
              <w:rPr>
                <w:color w:val="000000"/>
                <w:w w:val="15"/>
                <w:shd w:val="solid" w:color="000000" w:fill="000000"/>
                <w:fitText w:val="69" w:id="-693979891"/>
                <w14:textFill>
                  <w14:solidFill>
                    <w14:srgbClr w14:val="000000">
                      <w14:alpha w14:val="100000"/>
                    </w14:srgbClr>
                  </w14:solidFill>
                </w14:textFill>
              </w:rPr>
              <w:t>|</w:t>
            </w:r>
            <w:r w:rsidR="007A7746" w:rsidRPr="007A7746">
              <w:rPr>
                <w:rFonts w:hint="eastAsia"/>
                <w:color w:val="000000"/>
                <w:spacing w:val="3"/>
                <w:w w:val="15"/>
                <w:shd w:val="solid" w:color="000000" w:fill="000000"/>
                <w:fitText w:val="69" w:id="-693979891"/>
                <w14:textFill>
                  <w14:solidFill>
                    <w14:srgbClr w14:val="000000">
                      <w14:alpha w14:val="100000"/>
                    </w14:srgbClr>
                  </w14:solidFill>
                </w14:textFill>
              </w:rPr>
              <w:t xml:space="preserve">　</w:t>
            </w:r>
            <w:r w:rsidR="00C44004" w:rsidRPr="00A13D42">
              <w:rPr>
                <w:vertAlign w:val="superscript"/>
              </w:rPr>
              <w:t>4</w:t>
            </w:r>
          </w:p>
        </w:tc>
        <w:tc>
          <w:tcPr>
            <w:tcW w:w="637" w:type="pct"/>
            <w:shd w:val="clear" w:color="auto" w:fill="auto"/>
            <w:vAlign w:val="center"/>
          </w:tcPr>
          <w:p w14:paraId="6F0A0E15" w14:textId="375095C0" w:rsidR="0004729F" w:rsidRDefault="007A7746" w:rsidP="00D71587">
            <w:pPr>
              <w:pStyle w:val="TableText0"/>
              <w:jc w:val="center"/>
            </w:pPr>
            <w:r w:rsidRPr="007A7746">
              <w:rPr>
                <w:color w:val="000000"/>
                <w:spacing w:val="46"/>
                <w:shd w:val="solid" w:color="000000" w:fill="000000"/>
                <w:fitText w:val="311" w:id="-693979890"/>
                <w14:textFill>
                  <w14:solidFill>
                    <w14:srgbClr w14:val="000000">
                      <w14:alpha w14:val="100000"/>
                    </w14:srgbClr>
                  </w14:solidFill>
                </w14:textFill>
              </w:rPr>
              <w:t>|||</w:t>
            </w:r>
            <w:r w:rsidRPr="007A7746">
              <w:rPr>
                <w:color w:val="000000"/>
                <w:spacing w:val="3"/>
                <w:shd w:val="solid" w:color="000000" w:fill="000000"/>
                <w:fitText w:val="311" w:id="-693979890"/>
                <w14:textFill>
                  <w14:solidFill>
                    <w14:srgbClr w14:val="000000">
                      <w14:alpha w14:val="100000"/>
                    </w14:srgbClr>
                  </w14:solidFill>
                </w14:textFill>
              </w:rPr>
              <w:t>|</w:t>
            </w:r>
            <w:r w:rsidR="00C44004" w:rsidRPr="00A13D42">
              <w:rPr>
                <w:vertAlign w:val="superscript"/>
              </w:rPr>
              <w:t>4</w:t>
            </w:r>
            <w:r w:rsidR="002A51EE">
              <w:t>+</w:t>
            </w:r>
            <w:r w:rsidRPr="007A7746">
              <w:rPr>
                <w:color w:val="000000"/>
                <w:spacing w:val="167"/>
                <w:shd w:val="solid" w:color="000000" w:fill="000000"/>
                <w:fitText w:val="253" w:id="-693979889"/>
                <w14:textFill>
                  <w14:solidFill>
                    <w14:srgbClr w14:val="000000">
                      <w14:alpha w14:val="100000"/>
                    </w14:srgbClr>
                  </w14:solidFill>
                </w14:textFill>
              </w:rPr>
              <w:t>|</w:t>
            </w:r>
            <w:r w:rsidRPr="007A7746">
              <w:rPr>
                <w:color w:val="000000"/>
                <w:spacing w:val="1"/>
                <w:shd w:val="solid" w:color="000000" w:fill="000000"/>
                <w:fitText w:val="253" w:id="-693979889"/>
                <w14:textFill>
                  <w14:solidFill>
                    <w14:srgbClr w14:val="000000">
                      <w14:alpha w14:val="100000"/>
                    </w14:srgbClr>
                  </w14:solidFill>
                </w14:textFill>
              </w:rPr>
              <w:t>|</w:t>
            </w:r>
            <w:r w:rsidR="00B71FEE" w:rsidRPr="00B71FEE">
              <w:rPr>
                <w:vertAlign w:val="superscript"/>
              </w:rPr>
              <w:t>2</w:t>
            </w:r>
          </w:p>
          <w:p w14:paraId="0027C75D" w14:textId="7AE500CE" w:rsidR="000A0729" w:rsidRPr="004D75BF" w:rsidRDefault="000A0729" w:rsidP="00D71587">
            <w:pPr>
              <w:pStyle w:val="TableText0"/>
              <w:jc w:val="center"/>
              <w:rPr>
                <w:color w:val="000000"/>
              </w:rPr>
            </w:pPr>
            <w:r>
              <w:rPr>
                <w:color w:val="000000"/>
              </w:rPr>
              <w:t>=</w:t>
            </w:r>
            <w:r w:rsidR="007A7746" w:rsidRPr="007A7746">
              <w:rPr>
                <w:rFonts w:hint="eastAsia"/>
                <w:color w:val="000000"/>
                <w:w w:val="15"/>
                <w:shd w:val="solid" w:color="000000" w:fill="000000"/>
                <w:fitText w:val="69" w:id="-693979888"/>
                <w14:textFill>
                  <w14:solidFill>
                    <w14:srgbClr w14:val="000000">
                      <w14:alpha w14:val="100000"/>
                    </w14:srgbClr>
                  </w14:solidFill>
                </w14:textFill>
              </w:rPr>
              <w:t xml:space="preserve">　</w:t>
            </w:r>
            <w:r w:rsidR="007A7746" w:rsidRPr="007A7746">
              <w:rPr>
                <w:color w:val="000000"/>
                <w:w w:val="15"/>
                <w:shd w:val="solid" w:color="000000" w:fill="000000"/>
                <w:fitText w:val="69" w:id="-693979888"/>
                <w14:textFill>
                  <w14:solidFill>
                    <w14:srgbClr w14:val="000000">
                      <w14:alpha w14:val="100000"/>
                    </w14:srgbClr>
                  </w14:solidFill>
                </w14:textFill>
              </w:rPr>
              <w:t>|</w:t>
            </w:r>
            <w:r w:rsidR="007A7746" w:rsidRPr="007A7746">
              <w:rPr>
                <w:rFonts w:hint="eastAsia"/>
                <w:color w:val="000000"/>
                <w:spacing w:val="3"/>
                <w:w w:val="15"/>
                <w:shd w:val="solid" w:color="000000" w:fill="000000"/>
                <w:fitText w:val="69" w:id="-693979888"/>
                <w14:textFill>
                  <w14:solidFill>
                    <w14:srgbClr w14:val="000000">
                      <w14:alpha w14:val="100000"/>
                    </w14:srgbClr>
                  </w14:solidFill>
                </w14:textFill>
              </w:rPr>
              <w:t xml:space="preserve">　</w:t>
            </w:r>
            <w:r w:rsidR="00C44004" w:rsidRPr="00A13D42">
              <w:rPr>
                <w:vertAlign w:val="superscript"/>
              </w:rPr>
              <w:t>4</w:t>
            </w:r>
          </w:p>
        </w:tc>
        <w:tc>
          <w:tcPr>
            <w:tcW w:w="638" w:type="pct"/>
            <w:vAlign w:val="center"/>
          </w:tcPr>
          <w:p w14:paraId="62C65B99" w14:textId="34084379" w:rsidR="0004729F" w:rsidRDefault="007A7746" w:rsidP="00D71587">
            <w:pPr>
              <w:pStyle w:val="TableText0"/>
              <w:jc w:val="center"/>
            </w:pPr>
            <w:r w:rsidRPr="007A7746">
              <w:rPr>
                <w:color w:val="000000"/>
                <w:spacing w:val="46"/>
                <w:shd w:val="solid" w:color="000000" w:fill="000000"/>
                <w:fitText w:val="311" w:id="-693979904"/>
                <w14:textFill>
                  <w14:solidFill>
                    <w14:srgbClr w14:val="000000">
                      <w14:alpha w14:val="100000"/>
                    </w14:srgbClr>
                  </w14:solidFill>
                </w14:textFill>
              </w:rPr>
              <w:t>|||</w:t>
            </w:r>
            <w:r w:rsidRPr="007A7746">
              <w:rPr>
                <w:color w:val="000000"/>
                <w:spacing w:val="3"/>
                <w:shd w:val="solid" w:color="000000" w:fill="000000"/>
                <w:fitText w:val="311" w:id="-693979904"/>
                <w14:textFill>
                  <w14:solidFill>
                    <w14:srgbClr w14:val="000000">
                      <w14:alpha w14:val="100000"/>
                    </w14:srgbClr>
                  </w14:solidFill>
                </w14:textFill>
              </w:rPr>
              <w:t>|</w:t>
            </w:r>
            <w:r w:rsidR="00C44004" w:rsidRPr="00A13D42">
              <w:rPr>
                <w:vertAlign w:val="superscript"/>
              </w:rPr>
              <w:t>4</w:t>
            </w:r>
            <w:r w:rsidR="002A51EE">
              <w:t>+</w:t>
            </w:r>
            <w:r w:rsidRPr="007A7746">
              <w:rPr>
                <w:color w:val="000000"/>
                <w:spacing w:val="167"/>
                <w:shd w:val="solid" w:color="000000" w:fill="000000"/>
                <w:fitText w:val="253" w:id="-693979903"/>
                <w14:textFill>
                  <w14:solidFill>
                    <w14:srgbClr w14:val="000000">
                      <w14:alpha w14:val="100000"/>
                    </w14:srgbClr>
                  </w14:solidFill>
                </w14:textFill>
              </w:rPr>
              <w:t>|</w:t>
            </w:r>
            <w:r w:rsidRPr="007A7746">
              <w:rPr>
                <w:color w:val="000000"/>
                <w:spacing w:val="1"/>
                <w:shd w:val="solid" w:color="000000" w:fill="000000"/>
                <w:fitText w:val="253" w:id="-693979903"/>
                <w14:textFill>
                  <w14:solidFill>
                    <w14:srgbClr w14:val="000000">
                      <w14:alpha w14:val="100000"/>
                    </w14:srgbClr>
                  </w14:solidFill>
                </w14:textFill>
              </w:rPr>
              <w:t>|</w:t>
            </w:r>
            <w:r w:rsidR="00B71FEE" w:rsidRPr="00B71FEE">
              <w:rPr>
                <w:vertAlign w:val="superscript"/>
              </w:rPr>
              <w:t>2</w:t>
            </w:r>
          </w:p>
          <w:p w14:paraId="1117FD2D" w14:textId="6FF6FFCF" w:rsidR="00ED12FE" w:rsidRPr="004D75BF" w:rsidRDefault="00ED12FE" w:rsidP="00D71587">
            <w:pPr>
              <w:pStyle w:val="TableText0"/>
              <w:jc w:val="center"/>
              <w:rPr>
                <w:color w:val="000000"/>
              </w:rPr>
            </w:pPr>
            <w:r>
              <w:rPr>
                <w:color w:val="000000"/>
              </w:rPr>
              <w:t>=</w:t>
            </w:r>
            <w:r w:rsidR="007A7746" w:rsidRPr="007A7746">
              <w:rPr>
                <w:rFonts w:hint="eastAsia"/>
                <w:color w:val="000000"/>
                <w:w w:val="15"/>
                <w:shd w:val="solid" w:color="000000" w:fill="000000"/>
                <w:fitText w:val="69" w:id="-693979902"/>
                <w14:textFill>
                  <w14:solidFill>
                    <w14:srgbClr w14:val="000000">
                      <w14:alpha w14:val="100000"/>
                    </w14:srgbClr>
                  </w14:solidFill>
                </w14:textFill>
              </w:rPr>
              <w:t xml:space="preserve">　</w:t>
            </w:r>
            <w:r w:rsidR="007A7746" w:rsidRPr="007A7746">
              <w:rPr>
                <w:color w:val="000000"/>
                <w:w w:val="15"/>
                <w:shd w:val="solid" w:color="000000" w:fill="000000"/>
                <w:fitText w:val="69" w:id="-693979902"/>
                <w14:textFill>
                  <w14:solidFill>
                    <w14:srgbClr w14:val="000000">
                      <w14:alpha w14:val="100000"/>
                    </w14:srgbClr>
                  </w14:solidFill>
                </w14:textFill>
              </w:rPr>
              <w:t>|</w:t>
            </w:r>
            <w:r w:rsidR="007A7746" w:rsidRPr="007A7746">
              <w:rPr>
                <w:rFonts w:hint="eastAsia"/>
                <w:color w:val="000000"/>
                <w:w w:val="15"/>
                <w:shd w:val="solid" w:color="000000" w:fill="000000"/>
                <w:fitText w:val="69" w:id="-693979902"/>
                <w14:textFill>
                  <w14:solidFill>
                    <w14:srgbClr w14:val="000000">
                      <w14:alpha w14:val="100000"/>
                    </w14:srgbClr>
                  </w14:solidFill>
                </w14:textFill>
              </w:rPr>
              <w:t xml:space="preserve">　</w:t>
            </w:r>
            <w:r w:rsidR="00C44004" w:rsidRPr="00A13D42">
              <w:rPr>
                <w:vertAlign w:val="superscript"/>
              </w:rPr>
              <w:t>4</w:t>
            </w:r>
          </w:p>
        </w:tc>
      </w:tr>
      <w:tr w:rsidR="0004729F" w:rsidRPr="004D75BF" w14:paraId="757BC27A" w14:textId="77777777" w:rsidTr="589E218A">
        <w:tc>
          <w:tcPr>
            <w:tcW w:w="5000" w:type="pct"/>
            <w:gridSpan w:val="7"/>
            <w:shd w:val="clear" w:color="auto" w:fill="auto"/>
            <w:vAlign w:val="center"/>
          </w:tcPr>
          <w:p w14:paraId="383F7517" w14:textId="6322464A" w:rsidR="0004729F" w:rsidRPr="004D75BF" w:rsidRDefault="0004729F" w:rsidP="00D71587">
            <w:pPr>
              <w:pStyle w:val="TableText0"/>
              <w:rPr>
                <w:b/>
                <w:bCs w:val="0"/>
                <w:color w:val="000000"/>
              </w:rPr>
            </w:pPr>
            <w:r w:rsidRPr="004D75BF">
              <w:rPr>
                <w:b/>
                <w:bCs w:val="0"/>
                <w:color w:val="000000"/>
              </w:rPr>
              <w:t xml:space="preserve">Estimated extent of use: </w:t>
            </w:r>
            <w:r>
              <w:rPr>
                <w:b/>
                <w:bCs w:val="0"/>
                <w:color w:val="000000"/>
              </w:rPr>
              <w:t>Population 2</w:t>
            </w:r>
          </w:p>
        </w:tc>
      </w:tr>
      <w:tr w:rsidR="0004729F" w:rsidRPr="004D75BF" w14:paraId="5F83242F" w14:textId="77777777" w:rsidTr="589E218A">
        <w:tc>
          <w:tcPr>
            <w:tcW w:w="1177" w:type="pct"/>
            <w:shd w:val="clear" w:color="auto" w:fill="auto"/>
            <w:vAlign w:val="center"/>
          </w:tcPr>
          <w:p w14:paraId="2DF5522D" w14:textId="77777777" w:rsidR="0004729F" w:rsidRPr="004D75BF" w:rsidRDefault="0004729F" w:rsidP="00D71587">
            <w:pPr>
              <w:pStyle w:val="TableText0"/>
            </w:pPr>
            <w:r w:rsidRPr="004D75BF">
              <w:t xml:space="preserve">Number of patients treated </w:t>
            </w:r>
          </w:p>
        </w:tc>
        <w:tc>
          <w:tcPr>
            <w:tcW w:w="637" w:type="pct"/>
            <w:shd w:val="clear" w:color="auto" w:fill="auto"/>
          </w:tcPr>
          <w:p w14:paraId="375E64BC" w14:textId="11865839"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5" w:id="-693979901"/>
                <w14:textFill>
                  <w14:solidFill>
                    <w14:srgbClr w14:val="000000">
                      <w14:alpha w14:val="100000"/>
                    </w14:srgbClr>
                  </w14:solidFill>
                </w14:textFill>
              </w:rPr>
              <w:t xml:space="preserve">　</w:t>
            </w:r>
            <w:r w:rsidRPr="007A7746">
              <w:rPr>
                <w:color w:val="000000"/>
                <w:w w:val="15"/>
                <w:shd w:val="solid" w:color="000000" w:fill="000000"/>
                <w:fitText w:val="35" w:id="-693979901"/>
                <w14:textFill>
                  <w14:solidFill>
                    <w14:srgbClr w14:val="000000">
                      <w14:alpha w14:val="100000"/>
                    </w14:srgbClr>
                  </w14:solidFill>
                </w14:textFill>
              </w:rPr>
              <w:t>|</w:t>
            </w:r>
            <w:r w:rsidRPr="007A7746">
              <w:rPr>
                <w:rFonts w:hint="eastAsia"/>
                <w:color w:val="000000"/>
                <w:spacing w:val="-30"/>
                <w:w w:val="15"/>
                <w:shd w:val="solid" w:color="000000" w:fill="000000"/>
                <w:fitText w:val="35" w:id="-693979901"/>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tcPr>
          <w:p w14:paraId="3B4B58B6" w14:textId="02B09F13"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5" w:id="-693979900"/>
                <w14:textFill>
                  <w14:solidFill>
                    <w14:srgbClr w14:val="000000">
                      <w14:alpha w14:val="100000"/>
                    </w14:srgbClr>
                  </w14:solidFill>
                </w14:textFill>
              </w:rPr>
              <w:t xml:space="preserve">　</w:t>
            </w:r>
            <w:r w:rsidRPr="007A7746">
              <w:rPr>
                <w:color w:val="000000"/>
                <w:w w:val="15"/>
                <w:shd w:val="solid" w:color="000000" w:fill="000000"/>
                <w:fitText w:val="35" w:id="-693979900"/>
                <w14:textFill>
                  <w14:solidFill>
                    <w14:srgbClr w14:val="000000">
                      <w14:alpha w14:val="100000"/>
                    </w14:srgbClr>
                  </w14:solidFill>
                </w14:textFill>
              </w:rPr>
              <w:t>|</w:t>
            </w:r>
            <w:r w:rsidRPr="007A7746">
              <w:rPr>
                <w:rFonts w:hint="eastAsia"/>
                <w:color w:val="000000"/>
                <w:spacing w:val="-30"/>
                <w:w w:val="15"/>
                <w:shd w:val="solid" w:color="000000" w:fill="000000"/>
                <w:fitText w:val="35" w:id="-693979900"/>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tcPr>
          <w:p w14:paraId="549724D8" w14:textId="7409A1FF"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9"/>
                <w14:textFill>
                  <w14:solidFill>
                    <w14:srgbClr w14:val="000000">
                      <w14:alpha w14:val="100000"/>
                    </w14:srgbClr>
                  </w14:solidFill>
                </w14:textFill>
              </w:rPr>
              <w:t xml:space="preserve">　</w:t>
            </w:r>
            <w:r w:rsidRPr="007A7746">
              <w:rPr>
                <w:color w:val="000000"/>
                <w:w w:val="15"/>
                <w:shd w:val="solid" w:color="000000" w:fill="000000"/>
                <w:fitText w:val="34" w:id="-693979899"/>
                <w14:textFill>
                  <w14:solidFill>
                    <w14:srgbClr w14:val="000000">
                      <w14:alpha w14:val="100000"/>
                    </w14:srgbClr>
                  </w14:solidFill>
                </w14:textFill>
              </w:rPr>
              <w:t>|</w:t>
            </w:r>
            <w:r w:rsidRPr="007A7746">
              <w:rPr>
                <w:rFonts w:hint="eastAsia"/>
                <w:color w:val="000000"/>
                <w:spacing w:val="-31"/>
                <w:w w:val="15"/>
                <w:shd w:val="solid" w:color="000000" w:fill="000000"/>
                <w:fitText w:val="34" w:id="-693979899"/>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tcPr>
          <w:p w14:paraId="456D4D6F" w14:textId="36063866"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8"/>
                <w14:textFill>
                  <w14:solidFill>
                    <w14:srgbClr w14:val="000000">
                      <w14:alpha w14:val="100000"/>
                    </w14:srgbClr>
                  </w14:solidFill>
                </w14:textFill>
              </w:rPr>
              <w:t xml:space="preserve">　</w:t>
            </w:r>
            <w:r w:rsidRPr="007A7746">
              <w:rPr>
                <w:color w:val="000000"/>
                <w:w w:val="15"/>
                <w:shd w:val="solid" w:color="000000" w:fill="000000"/>
                <w:fitText w:val="34" w:id="-693979898"/>
                <w14:textFill>
                  <w14:solidFill>
                    <w14:srgbClr w14:val="000000">
                      <w14:alpha w14:val="100000"/>
                    </w14:srgbClr>
                  </w14:solidFill>
                </w14:textFill>
              </w:rPr>
              <w:t>|</w:t>
            </w:r>
            <w:r w:rsidRPr="007A7746">
              <w:rPr>
                <w:rFonts w:hint="eastAsia"/>
                <w:color w:val="000000"/>
                <w:spacing w:val="-31"/>
                <w:w w:val="15"/>
                <w:shd w:val="solid" w:color="000000" w:fill="000000"/>
                <w:fitText w:val="34" w:id="-693979898"/>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tcPr>
          <w:p w14:paraId="0D40626F" w14:textId="1FD19844"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7"/>
                <w14:textFill>
                  <w14:solidFill>
                    <w14:srgbClr w14:val="000000">
                      <w14:alpha w14:val="100000"/>
                    </w14:srgbClr>
                  </w14:solidFill>
                </w14:textFill>
              </w:rPr>
              <w:t xml:space="preserve">　</w:t>
            </w:r>
            <w:r w:rsidRPr="007A7746">
              <w:rPr>
                <w:color w:val="000000"/>
                <w:w w:val="15"/>
                <w:shd w:val="solid" w:color="000000" w:fill="000000"/>
                <w:fitText w:val="34" w:id="-693979897"/>
                <w14:textFill>
                  <w14:solidFill>
                    <w14:srgbClr w14:val="000000">
                      <w14:alpha w14:val="100000"/>
                    </w14:srgbClr>
                  </w14:solidFill>
                </w14:textFill>
              </w:rPr>
              <w:t>|</w:t>
            </w:r>
            <w:r w:rsidRPr="007A7746">
              <w:rPr>
                <w:rFonts w:hint="eastAsia"/>
                <w:color w:val="000000"/>
                <w:spacing w:val="-31"/>
                <w:w w:val="15"/>
                <w:shd w:val="solid" w:color="000000" w:fill="000000"/>
                <w:fitText w:val="34" w:id="-693979897"/>
                <w14:textFill>
                  <w14:solidFill>
                    <w14:srgbClr w14:val="000000">
                      <w14:alpha w14:val="100000"/>
                    </w14:srgbClr>
                  </w14:solidFill>
                </w14:textFill>
              </w:rPr>
              <w:t xml:space="preserve">　</w:t>
            </w:r>
            <w:r w:rsidR="00B71FEE" w:rsidRPr="00B71FEE">
              <w:rPr>
                <w:vertAlign w:val="superscript"/>
              </w:rPr>
              <w:t>2</w:t>
            </w:r>
          </w:p>
        </w:tc>
        <w:tc>
          <w:tcPr>
            <w:tcW w:w="638" w:type="pct"/>
          </w:tcPr>
          <w:p w14:paraId="7A0CFE42" w14:textId="45C908CC"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6"/>
                <w14:textFill>
                  <w14:solidFill>
                    <w14:srgbClr w14:val="000000">
                      <w14:alpha w14:val="100000"/>
                    </w14:srgbClr>
                  </w14:solidFill>
                </w14:textFill>
              </w:rPr>
              <w:t xml:space="preserve">　</w:t>
            </w:r>
            <w:r w:rsidRPr="007A7746">
              <w:rPr>
                <w:color w:val="000000"/>
                <w:w w:val="15"/>
                <w:shd w:val="solid" w:color="000000" w:fill="000000"/>
                <w:fitText w:val="34" w:id="-693979896"/>
                <w14:textFill>
                  <w14:solidFill>
                    <w14:srgbClr w14:val="000000">
                      <w14:alpha w14:val="100000"/>
                    </w14:srgbClr>
                  </w14:solidFill>
                </w14:textFill>
              </w:rPr>
              <w:t>|</w:t>
            </w:r>
            <w:r w:rsidRPr="007A7746">
              <w:rPr>
                <w:rFonts w:hint="eastAsia"/>
                <w:color w:val="000000"/>
                <w:spacing w:val="-31"/>
                <w:w w:val="15"/>
                <w:shd w:val="solid" w:color="000000" w:fill="000000"/>
                <w:fitText w:val="34" w:id="-693979896"/>
                <w14:textFill>
                  <w14:solidFill>
                    <w14:srgbClr w14:val="000000">
                      <w14:alpha w14:val="100000"/>
                    </w14:srgbClr>
                  </w14:solidFill>
                </w14:textFill>
              </w:rPr>
              <w:t xml:space="preserve">　</w:t>
            </w:r>
            <w:r w:rsidR="00B71FEE" w:rsidRPr="00B71FEE">
              <w:rPr>
                <w:vertAlign w:val="superscript"/>
              </w:rPr>
              <w:t>2</w:t>
            </w:r>
          </w:p>
        </w:tc>
      </w:tr>
      <w:tr w:rsidR="0004729F" w:rsidRPr="004D75BF" w14:paraId="036B627F" w14:textId="77777777" w:rsidTr="589E218A">
        <w:tc>
          <w:tcPr>
            <w:tcW w:w="1177" w:type="pct"/>
            <w:shd w:val="clear" w:color="auto" w:fill="auto"/>
            <w:vAlign w:val="center"/>
          </w:tcPr>
          <w:p w14:paraId="451002CE" w14:textId="77777777" w:rsidR="0004729F" w:rsidRPr="004D75BF" w:rsidRDefault="0004729F" w:rsidP="00D71587">
            <w:pPr>
              <w:pStyle w:val="TableText0"/>
            </w:pPr>
            <w:r w:rsidRPr="589E218A">
              <w:t xml:space="preserve">Number of scripts dispensed amivantamab </w:t>
            </w:r>
            <w:r w:rsidRPr="589E218A">
              <w:rPr>
                <w:vertAlign w:val="superscript"/>
              </w:rPr>
              <w:t>a</w:t>
            </w:r>
          </w:p>
        </w:tc>
        <w:tc>
          <w:tcPr>
            <w:tcW w:w="637" w:type="pct"/>
            <w:shd w:val="clear" w:color="auto" w:fill="auto"/>
            <w:vAlign w:val="center"/>
          </w:tcPr>
          <w:p w14:paraId="1248699D" w14:textId="33B084A7"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5" w:id="-693979895"/>
                <w14:textFill>
                  <w14:solidFill>
                    <w14:srgbClr w14:val="000000">
                      <w14:alpha w14:val="100000"/>
                    </w14:srgbClr>
                  </w14:solidFill>
                </w14:textFill>
              </w:rPr>
              <w:t xml:space="preserve">　</w:t>
            </w:r>
            <w:r w:rsidRPr="007A7746">
              <w:rPr>
                <w:color w:val="000000"/>
                <w:w w:val="15"/>
                <w:shd w:val="solid" w:color="000000" w:fill="000000"/>
                <w:fitText w:val="35" w:id="-693979895"/>
                <w14:textFill>
                  <w14:solidFill>
                    <w14:srgbClr w14:val="000000">
                      <w14:alpha w14:val="100000"/>
                    </w14:srgbClr>
                  </w14:solidFill>
                </w14:textFill>
              </w:rPr>
              <w:t>|</w:t>
            </w:r>
            <w:r w:rsidRPr="007A7746">
              <w:rPr>
                <w:rFonts w:hint="eastAsia"/>
                <w:color w:val="000000"/>
                <w:spacing w:val="-30"/>
                <w:w w:val="15"/>
                <w:shd w:val="solid" w:color="000000" w:fill="000000"/>
                <w:fitText w:val="35" w:id="-693979895"/>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7F08582A" w14:textId="61380520"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5" w:id="-693979894"/>
                <w14:textFill>
                  <w14:solidFill>
                    <w14:srgbClr w14:val="000000">
                      <w14:alpha w14:val="100000"/>
                    </w14:srgbClr>
                  </w14:solidFill>
                </w14:textFill>
              </w:rPr>
              <w:t xml:space="preserve">　</w:t>
            </w:r>
            <w:r w:rsidRPr="007A7746">
              <w:rPr>
                <w:color w:val="000000"/>
                <w:w w:val="15"/>
                <w:shd w:val="solid" w:color="000000" w:fill="000000"/>
                <w:fitText w:val="35" w:id="-693979894"/>
                <w14:textFill>
                  <w14:solidFill>
                    <w14:srgbClr w14:val="000000">
                      <w14:alpha w14:val="100000"/>
                    </w14:srgbClr>
                  </w14:solidFill>
                </w14:textFill>
              </w:rPr>
              <w:t>|</w:t>
            </w:r>
            <w:r w:rsidRPr="007A7746">
              <w:rPr>
                <w:rFonts w:hint="eastAsia"/>
                <w:color w:val="000000"/>
                <w:spacing w:val="-30"/>
                <w:w w:val="15"/>
                <w:shd w:val="solid" w:color="000000" w:fill="000000"/>
                <w:fitText w:val="35" w:id="-693979894"/>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7E2B42EF" w14:textId="1D8F472B"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3"/>
                <w14:textFill>
                  <w14:solidFill>
                    <w14:srgbClr w14:val="000000">
                      <w14:alpha w14:val="100000"/>
                    </w14:srgbClr>
                  </w14:solidFill>
                </w14:textFill>
              </w:rPr>
              <w:t xml:space="preserve">　</w:t>
            </w:r>
            <w:r w:rsidRPr="007A7746">
              <w:rPr>
                <w:color w:val="000000"/>
                <w:w w:val="15"/>
                <w:shd w:val="solid" w:color="000000" w:fill="000000"/>
                <w:fitText w:val="34" w:id="-693979893"/>
                <w14:textFill>
                  <w14:solidFill>
                    <w14:srgbClr w14:val="000000">
                      <w14:alpha w14:val="100000"/>
                    </w14:srgbClr>
                  </w14:solidFill>
                </w14:textFill>
              </w:rPr>
              <w:t>|</w:t>
            </w:r>
            <w:r w:rsidRPr="007A7746">
              <w:rPr>
                <w:rFonts w:hint="eastAsia"/>
                <w:color w:val="000000"/>
                <w:spacing w:val="-31"/>
                <w:w w:val="15"/>
                <w:shd w:val="solid" w:color="000000" w:fill="000000"/>
                <w:fitText w:val="34" w:id="-693979893"/>
                <w14:textFill>
                  <w14:solidFill>
                    <w14:srgbClr w14:val="000000">
                      <w14:alpha w14:val="100000"/>
                    </w14:srgbClr>
                  </w14:solidFill>
                </w14:textFill>
              </w:rPr>
              <w:t xml:space="preserve">　</w:t>
            </w:r>
            <w:r w:rsidR="00FD7C9F" w:rsidRPr="00FD7C9F">
              <w:rPr>
                <w:vertAlign w:val="superscript"/>
              </w:rPr>
              <w:t>1</w:t>
            </w:r>
          </w:p>
        </w:tc>
        <w:tc>
          <w:tcPr>
            <w:tcW w:w="637" w:type="pct"/>
            <w:shd w:val="clear" w:color="auto" w:fill="auto"/>
            <w:vAlign w:val="center"/>
          </w:tcPr>
          <w:p w14:paraId="5CB3B871" w14:textId="3BC7A7B2"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2"/>
                <w14:textFill>
                  <w14:solidFill>
                    <w14:srgbClr w14:val="000000">
                      <w14:alpha w14:val="100000"/>
                    </w14:srgbClr>
                  </w14:solidFill>
                </w14:textFill>
              </w:rPr>
              <w:t xml:space="preserve">　</w:t>
            </w:r>
            <w:r w:rsidRPr="007A7746">
              <w:rPr>
                <w:color w:val="000000"/>
                <w:w w:val="15"/>
                <w:shd w:val="solid" w:color="000000" w:fill="000000"/>
                <w:fitText w:val="34" w:id="-693979892"/>
                <w14:textFill>
                  <w14:solidFill>
                    <w14:srgbClr w14:val="000000">
                      <w14:alpha w14:val="100000"/>
                    </w14:srgbClr>
                  </w14:solidFill>
                </w14:textFill>
              </w:rPr>
              <w:t>|</w:t>
            </w:r>
            <w:r w:rsidRPr="007A7746">
              <w:rPr>
                <w:rFonts w:hint="eastAsia"/>
                <w:color w:val="000000"/>
                <w:spacing w:val="-31"/>
                <w:w w:val="15"/>
                <w:shd w:val="solid" w:color="000000" w:fill="000000"/>
                <w:fitText w:val="34" w:id="-693979892"/>
                <w14:textFill>
                  <w14:solidFill>
                    <w14:srgbClr w14:val="000000">
                      <w14:alpha w14:val="100000"/>
                    </w14:srgbClr>
                  </w14:solidFill>
                </w14:textFill>
              </w:rPr>
              <w:t xml:space="preserve">　</w:t>
            </w:r>
            <w:r w:rsidR="00B71FEE" w:rsidRPr="00D70BCD">
              <w:rPr>
                <w:vertAlign w:val="superscript"/>
              </w:rPr>
              <w:t>1</w:t>
            </w:r>
          </w:p>
        </w:tc>
        <w:tc>
          <w:tcPr>
            <w:tcW w:w="637" w:type="pct"/>
            <w:shd w:val="clear" w:color="auto" w:fill="auto"/>
            <w:vAlign w:val="center"/>
          </w:tcPr>
          <w:p w14:paraId="75B7BD5C" w14:textId="737F5943"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1"/>
                <w14:textFill>
                  <w14:solidFill>
                    <w14:srgbClr w14:val="000000">
                      <w14:alpha w14:val="100000"/>
                    </w14:srgbClr>
                  </w14:solidFill>
                </w14:textFill>
              </w:rPr>
              <w:t xml:space="preserve">　</w:t>
            </w:r>
            <w:r w:rsidRPr="007A7746">
              <w:rPr>
                <w:color w:val="000000"/>
                <w:w w:val="15"/>
                <w:shd w:val="solid" w:color="000000" w:fill="000000"/>
                <w:fitText w:val="34" w:id="-693979891"/>
                <w14:textFill>
                  <w14:solidFill>
                    <w14:srgbClr w14:val="000000">
                      <w14:alpha w14:val="100000"/>
                    </w14:srgbClr>
                  </w14:solidFill>
                </w14:textFill>
              </w:rPr>
              <w:t>|</w:t>
            </w:r>
            <w:r w:rsidRPr="007A7746">
              <w:rPr>
                <w:rFonts w:hint="eastAsia"/>
                <w:color w:val="000000"/>
                <w:spacing w:val="-31"/>
                <w:w w:val="15"/>
                <w:shd w:val="solid" w:color="000000" w:fill="000000"/>
                <w:fitText w:val="34" w:id="-693979891"/>
                <w14:textFill>
                  <w14:solidFill>
                    <w14:srgbClr w14:val="000000">
                      <w14:alpha w14:val="100000"/>
                    </w14:srgbClr>
                  </w14:solidFill>
                </w14:textFill>
              </w:rPr>
              <w:t xml:space="preserve">　</w:t>
            </w:r>
            <w:r w:rsidR="00B71FEE" w:rsidRPr="00D70BCD">
              <w:rPr>
                <w:vertAlign w:val="superscript"/>
              </w:rPr>
              <w:t>1</w:t>
            </w:r>
          </w:p>
        </w:tc>
        <w:tc>
          <w:tcPr>
            <w:tcW w:w="638" w:type="pct"/>
            <w:vAlign w:val="center"/>
          </w:tcPr>
          <w:p w14:paraId="24E86B5C" w14:textId="4340A90E"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0"/>
                <w14:textFill>
                  <w14:solidFill>
                    <w14:srgbClr w14:val="000000">
                      <w14:alpha w14:val="100000"/>
                    </w14:srgbClr>
                  </w14:solidFill>
                </w14:textFill>
              </w:rPr>
              <w:t xml:space="preserve">　</w:t>
            </w:r>
            <w:r w:rsidRPr="007A7746">
              <w:rPr>
                <w:color w:val="000000"/>
                <w:w w:val="15"/>
                <w:shd w:val="solid" w:color="000000" w:fill="000000"/>
                <w:fitText w:val="34" w:id="-693979890"/>
                <w14:textFill>
                  <w14:solidFill>
                    <w14:srgbClr w14:val="000000">
                      <w14:alpha w14:val="100000"/>
                    </w14:srgbClr>
                  </w14:solidFill>
                </w14:textFill>
              </w:rPr>
              <w:t>|</w:t>
            </w:r>
            <w:r w:rsidRPr="007A7746">
              <w:rPr>
                <w:rFonts w:hint="eastAsia"/>
                <w:color w:val="000000"/>
                <w:spacing w:val="-31"/>
                <w:w w:val="15"/>
                <w:shd w:val="solid" w:color="000000" w:fill="000000"/>
                <w:fitText w:val="34" w:id="-693979890"/>
                <w14:textFill>
                  <w14:solidFill>
                    <w14:srgbClr w14:val="000000">
                      <w14:alpha w14:val="100000"/>
                    </w14:srgbClr>
                  </w14:solidFill>
                </w14:textFill>
              </w:rPr>
              <w:t xml:space="preserve">　</w:t>
            </w:r>
            <w:r w:rsidR="00B71FEE" w:rsidRPr="00D70BCD">
              <w:rPr>
                <w:vertAlign w:val="superscript"/>
              </w:rPr>
              <w:t>1</w:t>
            </w:r>
          </w:p>
        </w:tc>
      </w:tr>
      <w:tr w:rsidR="0004729F" w:rsidRPr="004D75BF" w14:paraId="5A4AEE7C" w14:textId="77777777" w:rsidTr="589E218A">
        <w:tc>
          <w:tcPr>
            <w:tcW w:w="1177" w:type="pct"/>
            <w:shd w:val="clear" w:color="auto" w:fill="auto"/>
            <w:vAlign w:val="center"/>
          </w:tcPr>
          <w:p w14:paraId="49AE4CD8" w14:textId="01BD14EB" w:rsidR="0004729F" w:rsidRPr="004D75BF" w:rsidRDefault="0004729F" w:rsidP="00D71587">
            <w:pPr>
              <w:pStyle w:val="TableText0"/>
            </w:pPr>
            <w:r w:rsidRPr="589E218A">
              <w:t xml:space="preserve">Number of scripts dispensed lazertinib </w:t>
            </w:r>
            <w:r w:rsidRPr="589E218A">
              <w:rPr>
                <w:vertAlign w:val="superscript"/>
              </w:rPr>
              <w:t>b</w:t>
            </w:r>
            <w:r w:rsidR="00090B46">
              <w:rPr>
                <w:vertAlign w:val="superscript"/>
              </w:rPr>
              <w:t>,c</w:t>
            </w:r>
          </w:p>
        </w:tc>
        <w:tc>
          <w:tcPr>
            <w:tcW w:w="637" w:type="pct"/>
            <w:shd w:val="clear" w:color="auto" w:fill="auto"/>
            <w:vAlign w:val="center"/>
          </w:tcPr>
          <w:p w14:paraId="3EC6E8D7" w14:textId="5A2A8A66" w:rsidR="0004729F" w:rsidRPr="004D75BF" w:rsidRDefault="007A7746" w:rsidP="00D71587">
            <w:pPr>
              <w:pStyle w:val="TableText0"/>
              <w:jc w:val="center"/>
            </w:pPr>
            <w:r w:rsidRPr="007A7746">
              <w:rPr>
                <w:color w:val="000000"/>
                <w:spacing w:val="46"/>
                <w:shd w:val="solid" w:color="000000" w:fill="000000"/>
                <w:fitText w:val="311" w:id="-693979889"/>
                <w14:textFill>
                  <w14:solidFill>
                    <w14:srgbClr w14:val="000000">
                      <w14:alpha w14:val="100000"/>
                    </w14:srgbClr>
                  </w14:solidFill>
                </w14:textFill>
              </w:rPr>
              <w:t>|||</w:t>
            </w:r>
            <w:r w:rsidRPr="007A7746">
              <w:rPr>
                <w:color w:val="000000"/>
                <w:spacing w:val="3"/>
                <w:shd w:val="solid" w:color="000000" w:fill="000000"/>
                <w:fitText w:val="311" w:id="-693979889"/>
                <w14:textFill>
                  <w14:solidFill>
                    <w14:srgbClr w14:val="000000">
                      <w14:alpha w14:val="100000"/>
                    </w14:srgbClr>
                  </w14:solidFill>
                </w14:textFill>
              </w:rPr>
              <w:t>|</w:t>
            </w:r>
            <w:r w:rsidR="00B71FEE" w:rsidRPr="00B71FEE">
              <w:rPr>
                <w:vertAlign w:val="superscript"/>
              </w:rPr>
              <w:t>2</w:t>
            </w:r>
            <w:r w:rsidR="00862585">
              <w:t>+</w:t>
            </w:r>
            <w:r w:rsidRPr="007A7746">
              <w:rPr>
                <w:color w:val="000000"/>
                <w:spacing w:val="168"/>
                <w:shd w:val="solid" w:color="000000" w:fill="000000"/>
                <w:fitText w:val="254" w:id="-693979888"/>
                <w14:textFill>
                  <w14:solidFill>
                    <w14:srgbClr w14:val="000000">
                      <w14:alpha w14:val="100000"/>
                    </w14:srgbClr>
                  </w14:solidFill>
                </w14:textFill>
              </w:rPr>
              <w:t>|</w:t>
            </w:r>
            <w:r w:rsidRPr="007A7746">
              <w:rPr>
                <w:color w:val="000000"/>
                <w:spacing w:val="1"/>
                <w:shd w:val="solid" w:color="000000" w:fill="000000"/>
                <w:fitText w:val="254" w:id="-693979888"/>
                <w14:textFill>
                  <w14:solidFill>
                    <w14:srgbClr w14:val="000000">
                      <w14:alpha w14:val="100000"/>
                    </w14:srgbClr>
                  </w14:solidFill>
                </w14:textFill>
              </w:rPr>
              <w:t>|</w:t>
            </w:r>
            <w:r w:rsidR="00B71FEE" w:rsidRPr="00B71FEE">
              <w:rPr>
                <w:vertAlign w:val="superscript"/>
              </w:rPr>
              <w:t>2</w:t>
            </w:r>
          </w:p>
        </w:tc>
        <w:tc>
          <w:tcPr>
            <w:tcW w:w="637" w:type="pct"/>
            <w:shd w:val="clear" w:color="auto" w:fill="auto"/>
            <w:vAlign w:val="center"/>
          </w:tcPr>
          <w:p w14:paraId="6FDF48EF" w14:textId="4EE06B51" w:rsidR="0004729F" w:rsidRPr="004D75BF" w:rsidRDefault="007A7746" w:rsidP="00D71587">
            <w:pPr>
              <w:pStyle w:val="TableText0"/>
              <w:jc w:val="center"/>
            </w:pPr>
            <w:r w:rsidRPr="007A7746">
              <w:rPr>
                <w:color w:val="000000"/>
                <w:spacing w:val="46"/>
                <w:shd w:val="solid" w:color="000000" w:fill="000000"/>
                <w:fitText w:val="311" w:id="-693979904"/>
                <w14:textFill>
                  <w14:solidFill>
                    <w14:srgbClr w14:val="000000">
                      <w14:alpha w14:val="100000"/>
                    </w14:srgbClr>
                  </w14:solidFill>
                </w14:textFill>
              </w:rPr>
              <w:t>|||</w:t>
            </w:r>
            <w:r w:rsidRPr="007A7746">
              <w:rPr>
                <w:color w:val="000000"/>
                <w:spacing w:val="3"/>
                <w:shd w:val="solid" w:color="000000" w:fill="000000"/>
                <w:fitText w:val="311" w:id="-693979904"/>
                <w14:textFill>
                  <w14:solidFill>
                    <w14:srgbClr w14:val="000000">
                      <w14:alpha w14:val="100000"/>
                    </w14:srgbClr>
                  </w14:solidFill>
                </w14:textFill>
              </w:rPr>
              <w:t>|</w:t>
            </w:r>
            <w:r w:rsidR="00B71FEE" w:rsidRPr="00B71FEE">
              <w:rPr>
                <w:vertAlign w:val="superscript"/>
              </w:rPr>
              <w:t>2</w:t>
            </w:r>
            <w:r w:rsidR="00174982">
              <w:t>+</w:t>
            </w:r>
            <w:r w:rsidRPr="007A7746">
              <w:rPr>
                <w:color w:val="000000"/>
                <w:spacing w:val="168"/>
                <w:shd w:val="solid" w:color="000000" w:fill="000000"/>
                <w:fitText w:val="254" w:id="-693979903"/>
                <w14:textFill>
                  <w14:solidFill>
                    <w14:srgbClr w14:val="000000">
                      <w14:alpha w14:val="100000"/>
                    </w14:srgbClr>
                  </w14:solidFill>
                </w14:textFill>
              </w:rPr>
              <w:t>|</w:t>
            </w:r>
            <w:r w:rsidRPr="007A7746">
              <w:rPr>
                <w:color w:val="000000"/>
                <w:spacing w:val="1"/>
                <w:shd w:val="solid" w:color="000000" w:fill="000000"/>
                <w:fitText w:val="254" w:id="-693979903"/>
                <w14:textFill>
                  <w14:solidFill>
                    <w14:srgbClr w14:val="000000">
                      <w14:alpha w14:val="100000"/>
                    </w14:srgbClr>
                  </w14:solidFill>
                </w14:textFill>
              </w:rPr>
              <w:t>|</w:t>
            </w:r>
            <w:r w:rsidR="00B71FEE" w:rsidRPr="00B71FEE">
              <w:rPr>
                <w:vertAlign w:val="superscript"/>
              </w:rPr>
              <w:t>2</w:t>
            </w:r>
          </w:p>
        </w:tc>
        <w:tc>
          <w:tcPr>
            <w:tcW w:w="637" w:type="pct"/>
            <w:shd w:val="clear" w:color="auto" w:fill="auto"/>
            <w:vAlign w:val="center"/>
          </w:tcPr>
          <w:p w14:paraId="63FDE7F1" w14:textId="755E4741" w:rsidR="0004729F" w:rsidRPr="004D75BF" w:rsidRDefault="007A7746" w:rsidP="00D71587">
            <w:pPr>
              <w:pStyle w:val="TableText0"/>
              <w:jc w:val="center"/>
            </w:pPr>
            <w:r w:rsidRPr="007A7746">
              <w:rPr>
                <w:color w:val="000000"/>
                <w:spacing w:val="46"/>
                <w:shd w:val="solid" w:color="000000" w:fill="000000"/>
                <w:fitText w:val="311" w:id="-693979902"/>
                <w14:textFill>
                  <w14:solidFill>
                    <w14:srgbClr w14:val="000000">
                      <w14:alpha w14:val="100000"/>
                    </w14:srgbClr>
                  </w14:solidFill>
                </w14:textFill>
              </w:rPr>
              <w:t>|||</w:t>
            </w:r>
            <w:r w:rsidRPr="007A7746">
              <w:rPr>
                <w:color w:val="000000"/>
                <w:spacing w:val="3"/>
                <w:shd w:val="solid" w:color="000000" w:fill="000000"/>
                <w:fitText w:val="311" w:id="-693979902"/>
                <w14:textFill>
                  <w14:solidFill>
                    <w14:srgbClr w14:val="000000">
                      <w14:alpha w14:val="100000"/>
                    </w14:srgbClr>
                  </w14:solidFill>
                </w14:textFill>
              </w:rPr>
              <w:t>|</w:t>
            </w:r>
            <w:r w:rsidR="00B71FEE" w:rsidRPr="00B71FEE">
              <w:rPr>
                <w:vertAlign w:val="superscript"/>
              </w:rPr>
              <w:t>2</w:t>
            </w:r>
            <w:r w:rsidR="00174982">
              <w:t>+</w:t>
            </w:r>
            <w:r w:rsidRPr="007A7746">
              <w:rPr>
                <w:color w:val="000000"/>
                <w:spacing w:val="167"/>
                <w:shd w:val="solid" w:color="000000" w:fill="000000"/>
                <w:fitText w:val="253" w:id="-693979901"/>
                <w14:textFill>
                  <w14:solidFill>
                    <w14:srgbClr w14:val="000000">
                      <w14:alpha w14:val="100000"/>
                    </w14:srgbClr>
                  </w14:solidFill>
                </w14:textFill>
              </w:rPr>
              <w:t>|</w:t>
            </w:r>
            <w:r w:rsidRPr="007A7746">
              <w:rPr>
                <w:color w:val="000000"/>
                <w:spacing w:val="1"/>
                <w:shd w:val="solid" w:color="000000" w:fill="000000"/>
                <w:fitText w:val="253" w:id="-693979901"/>
                <w14:textFill>
                  <w14:solidFill>
                    <w14:srgbClr w14:val="000000">
                      <w14:alpha w14:val="100000"/>
                    </w14:srgbClr>
                  </w14:solidFill>
                </w14:textFill>
              </w:rPr>
              <w:t>|</w:t>
            </w:r>
            <w:r w:rsidR="00B71FEE" w:rsidRPr="00B71FEE">
              <w:rPr>
                <w:vertAlign w:val="superscript"/>
              </w:rPr>
              <w:t>2</w:t>
            </w:r>
          </w:p>
        </w:tc>
        <w:tc>
          <w:tcPr>
            <w:tcW w:w="637" w:type="pct"/>
            <w:shd w:val="clear" w:color="auto" w:fill="auto"/>
            <w:vAlign w:val="center"/>
          </w:tcPr>
          <w:p w14:paraId="60B1815C" w14:textId="73E89DED" w:rsidR="0004729F" w:rsidRDefault="007A7746" w:rsidP="00D71587">
            <w:pPr>
              <w:pStyle w:val="TableText0"/>
              <w:jc w:val="center"/>
            </w:pPr>
            <w:r w:rsidRPr="007A7746">
              <w:rPr>
                <w:color w:val="000000"/>
                <w:spacing w:val="46"/>
                <w:shd w:val="solid" w:color="000000" w:fill="000000"/>
                <w:fitText w:val="311" w:id="-693979900"/>
                <w14:textFill>
                  <w14:solidFill>
                    <w14:srgbClr w14:val="000000">
                      <w14:alpha w14:val="100000"/>
                    </w14:srgbClr>
                  </w14:solidFill>
                </w14:textFill>
              </w:rPr>
              <w:t>|||</w:t>
            </w:r>
            <w:r w:rsidRPr="007A7746">
              <w:rPr>
                <w:color w:val="000000"/>
                <w:spacing w:val="3"/>
                <w:shd w:val="solid" w:color="000000" w:fill="000000"/>
                <w:fitText w:val="311" w:id="-693979900"/>
                <w14:textFill>
                  <w14:solidFill>
                    <w14:srgbClr w14:val="000000">
                      <w14:alpha w14:val="100000"/>
                    </w14:srgbClr>
                  </w14:solidFill>
                </w14:textFill>
              </w:rPr>
              <w:t>|</w:t>
            </w:r>
            <w:r w:rsidR="00B71FEE" w:rsidRPr="00D70BCD">
              <w:rPr>
                <w:vertAlign w:val="superscript"/>
              </w:rPr>
              <w:t>1</w:t>
            </w:r>
            <w:r w:rsidR="00174982">
              <w:t>+</w:t>
            </w:r>
            <w:r w:rsidRPr="007A7746">
              <w:rPr>
                <w:color w:val="000000"/>
                <w:spacing w:val="167"/>
                <w:shd w:val="solid" w:color="000000" w:fill="000000"/>
                <w:fitText w:val="253" w:id="-693979899"/>
                <w14:textFill>
                  <w14:solidFill>
                    <w14:srgbClr w14:val="000000">
                      <w14:alpha w14:val="100000"/>
                    </w14:srgbClr>
                  </w14:solidFill>
                </w14:textFill>
              </w:rPr>
              <w:t>|</w:t>
            </w:r>
            <w:r w:rsidRPr="007A7746">
              <w:rPr>
                <w:color w:val="000000"/>
                <w:spacing w:val="1"/>
                <w:shd w:val="solid" w:color="000000" w:fill="000000"/>
                <w:fitText w:val="253" w:id="-693979899"/>
                <w14:textFill>
                  <w14:solidFill>
                    <w14:srgbClr w14:val="000000">
                      <w14:alpha w14:val="100000"/>
                    </w14:srgbClr>
                  </w14:solidFill>
                </w14:textFill>
              </w:rPr>
              <w:t>|</w:t>
            </w:r>
            <w:r w:rsidR="00B71FEE" w:rsidRPr="00B71FEE">
              <w:rPr>
                <w:vertAlign w:val="superscript"/>
              </w:rPr>
              <w:t>2</w:t>
            </w:r>
          </w:p>
          <w:p w14:paraId="1EB7F0C7" w14:textId="13A8A6A6" w:rsidR="000628CB" w:rsidRPr="004D75BF" w:rsidRDefault="000628CB" w:rsidP="00D71587">
            <w:pPr>
              <w:pStyle w:val="TableText0"/>
              <w:jc w:val="center"/>
            </w:pPr>
            <w:r>
              <w:t>=</w:t>
            </w:r>
            <w:r w:rsidR="007A7746" w:rsidRPr="007A7746">
              <w:rPr>
                <w:rFonts w:hint="eastAsia"/>
                <w:color w:val="000000"/>
                <w:w w:val="15"/>
                <w:shd w:val="solid" w:color="000000" w:fill="000000"/>
                <w:fitText w:val="69" w:id="-693979898"/>
                <w14:textFill>
                  <w14:solidFill>
                    <w14:srgbClr w14:val="000000">
                      <w14:alpha w14:val="100000"/>
                    </w14:srgbClr>
                  </w14:solidFill>
                </w14:textFill>
              </w:rPr>
              <w:t xml:space="preserve">　</w:t>
            </w:r>
            <w:r w:rsidR="007A7746" w:rsidRPr="007A7746">
              <w:rPr>
                <w:color w:val="000000"/>
                <w:w w:val="15"/>
                <w:shd w:val="solid" w:color="000000" w:fill="000000"/>
                <w:fitText w:val="69" w:id="-693979898"/>
                <w14:textFill>
                  <w14:solidFill>
                    <w14:srgbClr w14:val="000000">
                      <w14:alpha w14:val="100000"/>
                    </w14:srgbClr>
                  </w14:solidFill>
                </w14:textFill>
              </w:rPr>
              <w:t>|</w:t>
            </w:r>
            <w:r w:rsidR="007A7746" w:rsidRPr="007A7746">
              <w:rPr>
                <w:rFonts w:hint="eastAsia"/>
                <w:color w:val="000000"/>
                <w:spacing w:val="3"/>
                <w:w w:val="15"/>
                <w:shd w:val="solid" w:color="000000" w:fill="000000"/>
                <w:fitText w:val="69" w:id="-693979898"/>
                <w14:textFill>
                  <w14:solidFill>
                    <w14:srgbClr w14:val="000000">
                      <w14:alpha w14:val="100000"/>
                    </w14:srgbClr>
                  </w14:solidFill>
                </w14:textFill>
              </w:rPr>
              <w:t xml:space="preserve">　</w:t>
            </w:r>
            <w:r w:rsidR="00B71FEE" w:rsidRPr="00D70BCD">
              <w:rPr>
                <w:vertAlign w:val="superscript"/>
              </w:rPr>
              <w:t>1</w:t>
            </w:r>
          </w:p>
        </w:tc>
        <w:tc>
          <w:tcPr>
            <w:tcW w:w="637" w:type="pct"/>
            <w:shd w:val="clear" w:color="auto" w:fill="auto"/>
            <w:vAlign w:val="center"/>
          </w:tcPr>
          <w:p w14:paraId="4E55D837" w14:textId="5F366C01" w:rsidR="0004729F" w:rsidRDefault="007A7746" w:rsidP="00D71587">
            <w:pPr>
              <w:pStyle w:val="TableText0"/>
              <w:jc w:val="center"/>
            </w:pPr>
            <w:r w:rsidRPr="007A7746">
              <w:rPr>
                <w:color w:val="000000"/>
                <w:spacing w:val="46"/>
                <w:shd w:val="solid" w:color="000000" w:fill="000000"/>
                <w:fitText w:val="311" w:id="-693979897"/>
                <w14:textFill>
                  <w14:solidFill>
                    <w14:srgbClr w14:val="000000">
                      <w14:alpha w14:val="100000"/>
                    </w14:srgbClr>
                  </w14:solidFill>
                </w14:textFill>
              </w:rPr>
              <w:t>|||</w:t>
            </w:r>
            <w:r w:rsidRPr="007A7746">
              <w:rPr>
                <w:color w:val="000000"/>
                <w:spacing w:val="3"/>
                <w:shd w:val="solid" w:color="000000" w:fill="000000"/>
                <w:fitText w:val="311" w:id="-693979897"/>
                <w14:textFill>
                  <w14:solidFill>
                    <w14:srgbClr w14:val="000000">
                      <w14:alpha w14:val="100000"/>
                    </w14:srgbClr>
                  </w14:solidFill>
                </w14:textFill>
              </w:rPr>
              <w:t>|</w:t>
            </w:r>
            <w:r w:rsidR="00B71FEE" w:rsidRPr="00D70BCD">
              <w:rPr>
                <w:vertAlign w:val="superscript"/>
              </w:rPr>
              <w:t>1</w:t>
            </w:r>
            <w:r w:rsidR="00174982">
              <w:t>+</w:t>
            </w:r>
            <w:r w:rsidRPr="007A7746">
              <w:rPr>
                <w:color w:val="000000"/>
                <w:spacing w:val="167"/>
                <w:shd w:val="solid" w:color="000000" w:fill="000000"/>
                <w:fitText w:val="253" w:id="-693979896"/>
                <w14:textFill>
                  <w14:solidFill>
                    <w14:srgbClr w14:val="000000">
                      <w14:alpha w14:val="100000"/>
                    </w14:srgbClr>
                  </w14:solidFill>
                </w14:textFill>
              </w:rPr>
              <w:t>|</w:t>
            </w:r>
            <w:r w:rsidRPr="007A7746">
              <w:rPr>
                <w:color w:val="000000"/>
                <w:spacing w:val="1"/>
                <w:shd w:val="solid" w:color="000000" w:fill="000000"/>
                <w:fitText w:val="253" w:id="-693979896"/>
                <w14:textFill>
                  <w14:solidFill>
                    <w14:srgbClr w14:val="000000">
                      <w14:alpha w14:val="100000"/>
                    </w14:srgbClr>
                  </w14:solidFill>
                </w14:textFill>
              </w:rPr>
              <w:t>|</w:t>
            </w:r>
            <w:r w:rsidR="00B71FEE" w:rsidRPr="00B71FEE">
              <w:rPr>
                <w:vertAlign w:val="superscript"/>
              </w:rPr>
              <w:t>2</w:t>
            </w:r>
          </w:p>
          <w:p w14:paraId="119CCF2C" w14:textId="5AA492E6" w:rsidR="000628CB" w:rsidRPr="004D75BF" w:rsidRDefault="000628CB" w:rsidP="00D71587">
            <w:pPr>
              <w:pStyle w:val="TableText0"/>
              <w:jc w:val="center"/>
            </w:pPr>
            <w:r>
              <w:t>=</w:t>
            </w:r>
            <w:r w:rsidR="007A7746" w:rsidRPr="007A7746">
              <w:rPr>
                <w:rFonts w:hint="eastAsia"/>
                <w:color w:val="000000"/>
                <w:w w:val="15"/>
                <w:shd w:val="solid" w:color="000000" w:fill="000000"/>
                <w:fitText w:val="69" w:id="-693979895"/>
                <w14:textFill>
                  <w14:solidFill>
                    <w14:srgbClr w14:val="000000">
                      <w14:alpha w14:val="100000"/>
                    </w14:srgbClr>
                  </w14:solidFill>
                </w14:textFill>
              </w:rPr>
              <w:t xml:space="preserve">　</w:t>
            </w:r>
            <w:r w:rsidR="007A7746" w:rsidRPr="007A7746">
              <w:rPr>
                <w:color w:val="000000"/>
                <w:w w:val="15"/>
                <w:shd w:val="solid" w:color="000000" w:fill="000000"/>
                <w:fitText w:val="69" w:id="-693979895"/>
                <w14:textFill>
                  <w14:solidFill>
                    <w14:srgbClr w14:val="000000">
                      <w14:alpha w14:val="100000"/>
                    </w14:srgbClr>
                  </w14:solidFill>
                </w14:textFill>
              </w:rPr>
              <w:t>|</w:t>
            </w:r>
            <w:r w:rsidR="007A7746" w:rsidRPr="007A7746">
              <w:rPr>
                <w:rFonts w:hint="eastAsia"/>
                <w:color w:val="000000"/>
                <w:spacing w:val="3"/>
                <w:w w:val="15"/>
                <w:shd w:val="solid" w:color="000000" w:fill="000000"/>
                <w:fitText w:val="69" w:id="-693979895"/>
                <w14:textFill>
                  <w14:solidFill>
                    <w14:srgbClr w14:val="000000">
                      <w14:alpha w14:val="100000"/>
                    </w14:srgbClr>
                  </w14:solidFill>
                </w14:textFill>
              </w:rPr>
              <w:t xml:space="preserve">　</w:t>
            </w:r>
            <w:r w:rsidR="00B71FEE" w:rsidRPr="00D70BCD">
              <w:rPr>
                <w:vertAlign w:val="superscript"/>
              </w:rPr>
              <w:t>1</w:t>
            </w:r>
          </w:p>
        </w:tc>
        <w:tc>
          <w:tcPr>
            <w:tcW w:w="638" w:type="pct"/>
            <w:vAlign w:val="center"/>
          </w:tcPr>
          <w:p w14:paraId="2A2F3822" w14:textId="4A433CBF" w:rsidR="0004729F" w:rsidRDefault="007A7746" w:rsidP="00D71587">
            <w:pPr>
              <w:pStyle w:val="TableText0"/>
              <w:jc w:val="center"/>
            </w:pPr>
            <w:r w:rsidRPr="007A7746">
              <w:rPr>
                <w:color w:val="000000"/>
                <w:spacing w:val="46"/>
                <w:shd w:val="solid" w:color="000000" w:fill="000000"/>
                <w:fitText w:val="311" w:id="-693979894"/>
                <w14:textFill>
                  <w14:solidFill>
                    <w14:srgbClr w14:val="000000">
                      <w14:alpha w14:val="100000"/>
                    </w14:srgbClr>
                  </w14:solidFill>
                </w14:textFill>
              </w:rPr>
              <w:t>|||</w:t>
            </w:r>
            <w:r w:rsidRPr="007A7746">
              <w:rPr>
                <w:color w:val="000000"/>
                <w:spacing w:val="3"/>
                <w:shd w:val="solid" w:color="000000" w:fill="000000"/>
                <w:fitText w:val="311" w:id="-693979894"/>
                <w14:textFill>
                  <w14:solidFill>
                    <w14:srgbClr w14:val="000000">
                      <w14:alpha w14:val="100000"/>
                    </w14:srgbClr>
                  </w14:solidFill>
                </w14:textFill>
              </w:rPr>
              <w:t>|</w:t>
            </w:r>
            <w:r w:rsidR="00B71FEE" w:rsidRPr="00D70BCD">
              <w:rPr>
                <w:vertAlign w:val="superscript"/>
              </w:rPr>
              <w:t>1</w:t>
            </w:r>
            <w:r w:rsidR="00174982">
              <w:t>+</w:t>
            </w:r>
            <w:r w:rsidRPr="007A7746">
              <w:rPr>
                <w:color w:val="000000"/>
                <w:spacing w:val="167"/>
                <w:shd w:val="solid" w:color="000000" w:fill="000000"/>
                <w:fitText w:val="253" w:id="-693979893"/>
                <w14:textFill>
                  <w14:solidFill>
                    <w14:srgbClr w14:val="000000">
                      <w14:alpha w14:val="100000"/>
                    </w14:srgbClr>
                  </w14:solidFill>
                </w14:textFill>
              </w:rPr>
              <w:t>|</w:t>
            </w:r>
            <w:r w:rsidRPr="007A7746">
              <w:rPr>
                <w:color w:val="000000"/>
                <w:spacing w:val="1"/>
                <w:shd w:val="solid" w:color="000000" w:fill="000000"/>
                <w:fitText w:val="253" w:id="-693979893"/>
                <w14:textFill>
                  <w14:solidFill>
                    <w14:srgbClr w14:val="000000">
                      <w14:alpha w14:val="100000"/>
                    </w14:srgbClr>
                  </w14:solidFill>
                </w14:textFill>
              </w:rPr>
              <w:t>|</w:t>
            </w:r>
            <w:r w:rsidR="00B71FEE" w:rsidRPr="00B71FEE">
              <w:rPr>
                <w:vertAlign w:val="superscript"/>
              </w:rPr>
              <w:t>2</w:t>
            </w:r>
          </w:p>
          <w:p w14:paraId="47C48C66" w14:textId="77E1DEB2" w:rsidR="000628CB" w:rsidRPr="004D75BF" w:rsidRDefault="00653740" w:rsidP="00D71587">
            <w:pPr>
              <w:pStyle w:val="TableText0"/>
              <w:jc w:val="center"/>
            </w:pPr>
            <w:r>
              <w:t>=</w:t>
            </w:r>
            <w:r w:rsidR="007A7746" w:rsidRPr="007A7746">
              <w:rPr>
                <w:rFonts w:hint="eastAsia"/>
                <w:color w:val="000000"/>
                <w:w w:val="15"/>
                <w:shd w:val="solid" w:color="000000" w:fill="000000"/>
                <w:fitText w:val="69" w:id="-693979892"/>
                <w14:textFill>
                  <w14:solidFill>
                    <w14:srgbClr w14:val="000000">
                      <w14:alpha w14:val="100000"/>
                    </w14:srgbClr>
                  </w14:solidFill>
                </w14:textFill>
              </w:rPr>
              <w:t xml:space="preserve">　</w:t>
            </w:r>
            <w:r w:rsidR="007A7746" w:rsidRPr="007A7746">
              <w:rPr>
                <w:color w:val="000000"/>
                <w:w w:val="15"/>
                <w:shd w:val="solid" w:color="000000" w:fill="000000"/>
                <w:fitText w:val="69" w:id="-693979892"/>
                <w14:textFill>
                  <w14:solidFill>
                    <w14:srgbClr w14:val="000000">
                      <w14:alpha w14:val="100000"/>
                    </w14:srgbClr>
                  </w14:solidFill>
                </w14:textFill>
              </w:rPr>
              <w:t>|</w:t>
            </w:r>
            <w:r w:rsidR="007A7746" w:rsidRPr="007A7746">
              <w:rPr>
                <w:rFonts w:hint="eastAsia"/>
                <w:color w:val="000000"/>
                <w:w w:val="15"/>
                <w:shd w:val="solid" w:color="000000" w:fill="000000"/>
                <w:fitText w:val="69" w:id="-693979892"/>
                <w14:textFill>
                  <w14:solidFill>
                    <w14:srgbClr w14:val="000000">
                      <w14:alpha w14:val="100000"/>
                    </w14:srgbClr>
                  </w14:solidFill>
                </w14:textFill>
              </w:rPr>
              <w:t xml:space="preserve">　</w:t>
            </w:r>
            <w:r w:rsidR="00B71FEE" w:rsidRPr="00D70BCD">
              <w:rPr>
                <w:vertAlign w:val="superscript"/>
              </w:rPr>
              <w:t>1</w:t>
            </w:r>
          </w:p>
        </w:tc>
      </w:tr>
      <w:tr w:rsidR="00496E93" w:rsidRPr="004D75BF" w14:paraId="0E4C00C6" w14:textId="77777777" w:rsidTr="00496E93">
        <w:tc>
          <w:tcPr>
            <w:tcW w:w="5000" w:type="pct"/>
            <w:gridSpan w:val="7"/>
            <w:shd w:val="clear" w:color="auto" w:fill="auto"/>
            <w:vAlign w:val="center"/>
          </w:tcPr>
          <w:p w14:paraId="2F98A704" w14:textId="1E007320" w:rsidR="00496E93" w:rsidRPr="00496E93" w:rsidRDefault="00496E93" w:rsidP="00D71587">
            <w:pPr>
              <w:pStyle w:val="TableText0"/>
              <w:rPr>
                <w:b/>
                <w:bCs w:val="0"/>
              </w:rPr>
            </w:pPr>
            <w:r w:rsidRPr="00496E93">
              <w:rPr>
                <w:b/>
                <w:bCs w:val="0"/>
              </w:rPr>
              <w:t>Grandfathered patients</w:t>
            </w:r>
            <w:r w:rsidR="00F30F46" w:rsidRPr="00F30F46">
              <w:rPr>
                <w:b/>
                <w:bCs w:val="0"/>
                <w:vertAlign w:val="superscript"/>
              </w:rPr>
              <w:t>d</w:t>
            </w:r>
          </w:p>
        </w:tc>
      </w:tr>
      <w:tr w:rsidR="00496E93" w:rsidRPr="004D75BF" w14:paraId="750D565F" w14:textId="77777777" w:rsidTr="589E218A">
        <w:tc>
          <w:tcPr>
            <w:tcW w:w="1177" w:type="pct"/>
            <w:shd w:val="clear" w:color="auto" w:fill="auto"/>
            <w:vAlign w:val="center"/>
          </w:tcPr>
          <w:p w14:paraId="2D1E3FF1" w14:textId="5392D220" w:rsidR="00496E93" w:rsidRPr="589E218A" w:rsidRDefault="00B85FB6" w:rsidP="00D71587">
            <w:pPr>
              <w:pStyle w:val="TableText0"/>
            </w:pPr>
            <w:r w:rsidRPr="589E218A">
              <w:t xml:space="preserve">Number of scripts dispensed amivantamab </w:t>
            </w:r>
            <w:r w:rsidRPr="589E218A">
              <w:rPr>
                <w:vertAlign w:val="superscript"/>
              </w:rPr>
              <w:t>a</w:t>
            </w:r>
          </w:p>
        </w:tc>
        <w:tc>
          <w:tcPr>
            <w:tcW w:w="637" w:type="pct"/>
            <w:shd w:val="clear" w:color="auto" w:fill="auto"/>
            <w:vAlign w:val="center"/>
          </w:tcPr>
          <w:p w14:paraId="7C87B91E" w14:textId="6AC685C2"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5" w:id="-693979891"/>
                <w14:textFill>
                  <w14:solidFill>
                    <w14:srgbClr w14:val="000000">
                      <w14:alpha w14:val="100000"/>
                    </w14:srgbClr>
                  </w14:solidFill>
                </w14:textFill>
              </w:rPr>
              <w:t xml:space="preserve">　</w:t>
            </w:r>
            <w:r w:rsidRPr="007A7746">
              <w:rPr>
                <w:color w:val="000000"/>
                <w:w w:val="15"/>
                <w:shd w:val="solid" w:color="000000" w:fill="000000"/>
                <w:fitText w:val="35" w:id="-693979891"/>
                <w14:textFill>
                  <w14:solidFill>
                    <w14:srgbClr w14:val="000000">
                      <w14:alpha w14:val="100000"/>
                    </w14:srgbClr>
                  </w14:solidFill>
                </w14:textFill>
              </w:rPr>
              <w:t>|</w:t>
            </w:r>
            <w:r w:rsidRPr="007A7746">
              <w:rPr>
                <w:rFonts w:hint="eastAsia"/>
                <w:color w:val="000000"/>
                <w:spacing w:val="-30"/>
                <w:w w:val="15"/>
                <w:shd w:val="solid" w:color="000000" w:fill="000000"/>
                <w:fitText w:val="35" w:id="-693979891"/>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7DD5B96B" w14:textId="62B9266B"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5" w:id="-693979890"/>
                <w14:textFill>
                  <w14:solidFill>
                    <w14:srgbClr w14:val="000000">
                      <w14:alpha w14:val="100000"/>
                    </w14:srgbClr>
                  </w14:solidFill>
                </w14:textFill>
              </w:rPr>
              <w:t xml:space="preserve">　</w:t>
            </w:r>
            <w:r w:rsidRPr="007A7746">
              <w:rPr>
                <w:color w:val="000000"/>
                <w:w w:val="15"/>
                <w:shd w:val="solid" w:color="000000" w:fill="000000"/>
                <w:fitText w:val="35" w:id="-693979890"/>
                <w14:textFill>
                  <w14:solidFill>
                    <w14:srgbClr w14:val="000000">
                      <w14:alpha w14:val="100000"/>
                    </w14:srgbClr>
                  </w14:solidFill>
                </w14:textFill>
              </w:rPr>
              <w:t>|</w:t>
            </w:r>
            <w:r w:rsidRPr="007A7746">
              <w:rPr>
                <w:rFonts w:hint="eastAsia"/>
                <w:color w:val="000000"/>
                <w:spacing w:val="-30"/>
                <w:w w:val="15"/>
                <w:shd w:val="solid" w:color="000000" w:fill="000000"/>
                <w:fitText w:val="35" w:id="-693979890"/>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0B373217" w14:textId="3C8D8FD9"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889"/>
                <w14:textFill>
                  <w14:solidFill>
                    <w14:srgbClr w14:val="000000">
                      <w14:alpha w14:val="100000"/>
                    </w14:srgbClr>
                  </w14:solidFill>
                </w14:textFill>
              </w:rPr>
              <w:t xml:space="preserve">　</w:t>
            </w:r>
            <w:r w:rsidRPr="007A7746">
              <w:rPr>
                <w:color w:val="000000"/>
                <w:w w:val="15"/>
                <w:shd w:val="solid" w:color="000000" w:fill="000000"/>
                <w:fitText w:val="34" w:id="-693979889"/>
                <w14:textFill>
                  <w14:solidFill>
                    <w14:srgbClr w14:val="000000">
                      <w14:alpha w14:val="100000"/>
                    </w14:srgbClr>
                  </w14:solidFill>
                </w14:textFill>
              </w:rPr>
              <w:t>|</w:t>
            </w:r>
            <w:r w:rsidRPr="007A7746">
              <w:rPr>
                <w:rFonts w:hint="eastAsia"/>
                <w:color w:val="000000"/>
                <w:spacing w:val="-31"/>
                <w:w w:val="15"/>
                <w:shd w:val="solid" w:color="000000" w:fill="000000"/>
                <w:fitText w:val="34" w:id="-693979889"/>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5F894557" w14:textId="094C6F72"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888"/>
                <w14:textFill>
                  <w14:solidFill>
                    <w14:srgbClr w14:val="000000">
                      <w14:alpha w14:val="100000"/>
                    </w14:srgbClr>
                  </w14:solidFill>
                </w14:textFill>
              </w:rPr>
              <w:t xml:space="preserve">　</w:t>
            </w:r>
            <w:r w:rsidRPr="007A7746">
              <w:rPr>
                <w:color w:val="000000"/>
                <w:w w:val="15"/>
                <w:shd w:val="solid" w:color="000000" w:fill="000000"/>
                <w:fitText w:val="34" w:id="-693979888"/>
                <w14:textFill>
                  <w14:solidFill>
                    <w14:srgbClr w14:val="000000">
                      <w14:alpha w14:val="100000"/>
                    </w14:srgbClr>
                  </w14:solidFill>
                </w14:textFill>
              </w:rPr>
              <w:t>|</w:t>
            </w:r>
            <w:r w:rsidRPr="007A7746">
              <w:rPr>
                <w:rFonts w:hint="eastAsia"/>
                <w:color w:val="000000"/>
                <w:spacing w:val="-31"/>
                <w:w w:val="15"/>
                <w:shd w:val="solid" w:color="000000" w:fill="000000"/>
                <w:fitText w:val="34" w:id="-693979888"/>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30360228" w14:textId="3B501BA9"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904"/>
                <w14:textFill>
                  <w14:solidFill>
                    <w14:srgbClr w14:val="000000">
                      <w14:alpha w14:val="100000"/>
                    </w14:srgbClr>
                  </w14:solidFill>
                </w14:textFill>
              </w:rPr>
              <w:t xml:space="preserve">　</w:t>
            </w:r>
            <w:r w:rsidRPr="007A7746">
              <w:rPr>
                <w:color w:val="000000"/>
                <w:w w:val="15"/>
                <w:shd w:val="solid" w:color="000000" w:fill="000000"/>
                <w:fitText w:val="34" w:id="-693979904"/>
                <w14:textFill>
                  <w14:solidFill>
                    <w14:srgbClr w14:val="000000">
                      <w14:alpha w14:val="100000"/>
                    </w14:srgbClr>
                  </w14:solidFill>
                </w14:textFill>
              </w:rPr>
              <w:t>|</w:t>
            </w:r>
            <w:r w:rsidRPr="007A7746">
              <w:rPr>
                <w:rFonts w:hint="eastAsia"/>
                <w:color w:val="000000"/>
                <w:spacing w:val="-31"/>
                <w:w w:val="15"/>
                <w:shd w:val="solid" w:color="000000" w:fill="000000"/>
                <w:fitText w:val="34" w:id="-693979904"/>
                <w14:textFill>
                  <w14:solidFill>
                    <w14:srgbClr w14:val="000000">
                      <w14:alpha w14:val="100000"/>
                    </w14:srgbClr>
                  </w14:solidFill>
                </w14:textFill>
              </w:rPr>
              <w:t xml:space="preserve">　</w:t>
            </w:r>
            <w:r w:rsidR="00B71FEE" w:rsidRPr="00B71FEE">
              <w:rPr>
                <w:vertAlign w:val="superscript"/>
              </w:rPr>
              <w:t>2</w:t>
            </w:r>
          </w:p>
        </w:tc>
        <w:tc>
          <w:tcPr>
            <w:tcW w:w="638" w:type="pct"/>
            <w:vAlign w:val="center"/>
          </w:tcPr>
          <w:p w14:paraId="22FD936C" w14:textId="78FB92EF"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903"/>
                <w14:textFill>
                  <w14:solidFill>
                    <w14:srgbClr w14:val="000000">
                      <w14:alpha w14:val="100000"/>
                    </w14:srgbClr>
                  </w14:solidFill>
                </w14:textFill>
              </w:rPr>
              <w:t xml:space="preserve">　</w:t>
            </w:r>
            <w:r w:rsidRPr="007A7746">
              <w:rPr>
                <w:color w:val="000000"/>
                <w:w w:val="15"/>
                <w:shd w:val="solid" w:color="000000" w:fill="000000"/>
                <w:fitText w:val="34" w:id="-693979903"/>
                <w14:textFill>
                  <w14:solidFill>
                    <w14:srgbClr w14:val="000000">
                      <w14:alpha w14:val="100000"/>
                    </w14:srgbClr>
                  </w14:solidFill>
                </w14:textFill>
              </w:rPr>
              <w:t>|</w:t>
            </w:r>
            <w:r w:rsidRPr="007A7746">
              <w:rPr>
                <w:rFonts w:hint="eastAsia"/>
                <w:color w:val="000000"/>
                <w:spacing w:val="-31"/>
                <w:w w:val="15"/>
                <w:shd w:val="solid" w:color="000000" w:fill="000000"/>
                <w:fitText w:val="34" w:id="-693979903"/>
                <w14:textFill>
                  <w14:solidFill>
                    <w14:srgbClr w14:val="000000">
                      <w14:alpha w14:val="100000"/>
                    </w14:srgbClr>
                  </w14:solidFill>
                </w14:textFill>
              </w:rPr>
              <w:t xml:space="preserve">　</w:t>
            </w:r>
            <w:r w:rsidR="00B71FEE" w:rsidRPr="00B71FEE">
              <w:rPr>
                <w:vertAlign w:val="superscript"/>
              </w:rPr>
              <w:t>2</w:t>
            </w:r>
          </w:p>
        </w:tc>
      </w:tr>
      <w:tr w:rsidR="00496E93" w:rsidRPr="004D75BF" w14:paraId="0B67A98A" w14:textId="77777777" w:rsidTr="589E218A">
        <w:tc>
          <w:tcPr>
            <w:tcW w:w="1177" w:type="pct"/>
            <w:shd w:val="clear" w:color="auto" w:fill="auto"/>
            <w:vAlign w:val="center"/>
          </w:tcPr>
          <w:p w14:paraId="224F4C1F" w14:textId="173180F5" w:rsidR="00496E93" w:rsidRPr="589E218A" w:rsidRDefault="00B85FB6" w:rsidP="00D71587">
            <w:pPr>
              <w:pStyle w:val="TableText0"/>
            </w:pPr>
            <w:r w:rsidRPr="589E218A">
              <w:t xml:space="preserve">Number of scripts dispensed lazertinib </w:t>
            </w:r>
            <w:r w:rsidRPr="589E218A">
              <w:rPr>
                <w:vertAlign w:val="superscript"/>
              </w:rPr>
              <w:t>b</w:t>
            </w:r>
          </w:p>
        </w:tc>
        <w:tc>
          <w:tcPr>
            <w:tcW w:w="637" w:type="pct"/>
            <w:shd w:val="clear" w:color="auto" w:fill="auto"/>
            <w:vAlign w:val="center"/>
          </w:tcPr>
          <w:p w14:paraId="572809A4" w14:textId="2FC103D3"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5" w:id="-693979902"/>
                <w14:textFill>
                  <w14:solidFill>
                    <w14:srgbClr w14:val="000000">
                      <w14:alpha w14:val="100000"/>
                    </w14:srgbClr>
                  </w14:solidFill>
                </w14:textFill>
              </w:rPr>
              <w:t xml:space="preserve">　</w:t>
            </w:r>
            <w:r w:rsidRPr="007A7746">
              <w:rPr>
                <w:color w:val="000000"/>
                <w:w w:val="15"/>
                <w:shd w:val="solid" w:color="000000" w:fill="000000"/>
                <w:fitText w:val="35" w:id="-693979902"/>
                <w14:textFill>
                  <w14:solidFill>
                    <w14:srgbClr w14:val="000000">
                      <w14:alpha w14:val="100000"/>
                    </w14:srgbClr>
                  </w14:solidFill>
                </w14:textFill>
              </w:rPr>
              <w:t>|</w:t>
            </w:r>
            <w:r w:rsidRPr="007A7746">
              <w:rPr>
                <w:rFonts w:hint="eastAsia"/>
                <w:color w:val="000000"/>
                <w:spacing w:val="-30"/>
                <w:w w:val="15"/>
                <w:shd w:val="solid" w:color="000000" w:fill="000000"/>
                <w:fitText w:val="35" w:id="-693979902"/>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3606C440" w14:textId="45562E94"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5" w:id="-693979901"/>
                <w14:textFill>
                  <w14:solidFill>
                    <w14:srgbClr w14:val="000000">
                      <w14:alpha w14:val="100000"/>
                    </w14:srgbClr>
                  </w14:solidFill>
                </w14:textFill>
              </w:rPr>
              <w:t xml:space="preserve">　</w:t>
            </w:r>
            <w:r w:rsidRPr="007A7746">
              <w:rPr>
                <w:color w:val="000000"/>
                <w:w w:val="15"/>
                <w:shd w:val="solid" w:color="000000" w:fill="000000"/>
                <w:fitText w:val="35" w:id="-693979901"/>
                <w14:textFill>
                  <w14:solidFill>
                    <w14:srgbClr w14:val="000000">
                      <w14:alpha w14:val="100000"/>
                    </w14:srgbClr>
                  </w14:solidFill>
                </w14:textFill>
              </w:rPr>
              <w:t>|</w:t>
            </w:r>
            <w:r w:rsidRPr="007A7746">
              <w:rPr>
                <w:rFonts w:hint="eastAsia"/>
                <w:color w:val="000000"/>
                <w:spacing w:val="-30"/>
                <w:w w:val="15"/>
                <w:shd w:val="solid" w:color="000000" w:fill="000000"/>
                <w:fitText w:val="35" w:id="-693979901"/>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3CA3A5C4" w14:textId="587C3DA8"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900"/>
                <w14:textFill>
                  <w14:solidFill>
                    <w14:srgbClr w14:val="000000">
                      <w14:alpha w14:val="100000"/>
                    </w14:srgbClr>
                  </w14:solidFill>
                </w14:textFill>
              </w:rPr>
              <w:t xml:space="preserve">　</w:t>
            </w:r>
            <w:r w:rsidRPr="007A7746">
              <w:rPr>
                <w:color w:val="000000"/>
                <w:w w:val="15"/>
                <w:shd w:val="solid" w:color="000000" w:fill="000000"/>
                <w:fitText w:val="34" w:id="-693979900"/>
                <w14:textFill>
                  <w14:solidFill>
                    <w14:srgbClr w14:val="000000">
                      <w14:alpha w14:val="100000"/>
                    </w14:srgbClr>
                  </w14:solidFill>
                </w14:textFill>
              </w:rPr>
              <w:t>|</w:t>
            </w:r>
            <w:r w:rsidRPr="007A7746">
              <w:rPr>
                <w:rFonts w:hint="eastAsia"/>
                <w:color w:val="000000"/>
                <w:spacing w:val="-31"/>
                <w:w w:val="15"/>
                <w:shd w:val="solid" w:color="000000" w:fill="000000"/>
                <w:fitText w:val="34" w:id="-693979900"/>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6D1B13DC" w14:textId="1D65564A"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899"/>
                <w14:textFill>
                  <w14:solidFill>
                    <w14:srgbClr w14:val="000000">
                      <w14:alpha w14:val="100000"/>
                    </w14:srgbClr>
                  </w14:solidFill>
                </w14:textFill>
              </w:rPr>
              <w:t xml:space="preserve">　</w:t>
            </w:r>
            <w:r w:rsidRPr="007A7746">
              <w:rPr>
                <w:color w:val="000000"/>
                <w:w w:val="15"/>
                <w:shd w:val="solid" w:color="000000" w:fill="000000"/>
                <w:fitText w:val="34" w:id="-693979899"/>
                <w14:textFill>
                  <w14:solidFill>
                    <w14:srgbClr w14:val="000000">
                      <w14:alpha w14:val="100000"/>
                    </w14:srgbClr>
                  </w14:solidFill>
                </w14:textFill>
              </w:rPr>
              <w:t>|</w:t>
            </w:r>
            <w:r w:rsidRPr="007A7746">
              <w:rPr>
                <w:rFonts w:hint="eastAsia"/>
                <w:color w:val="000000"/>
                <w:spacing w:val="-31"/>
                <w:w w:val="15"/>
                <w:shd w:val="solid" w:color="000000" w:fill="000000"/>
                <w:fitText w:val="34" w:id="-693979899"/>
                <w14:textFill>
                  <w14:solidFill>
                    <w14:srgbClr w14:val="000000">
                      <w14:alpha w14:val="100000"/>
                    </w14:srgbClr>
                  </w14:solidFill>
                </w14:textFill>
              </w:rPr>
              <w:t xml:space="preserve">　</w:t>
            </w:r>
            <w:r w:rsidR="00B71FEE" w:rsidRPr="00B71FEE">
              <w:rPr>
                <w:vertAlign w:val="superscript"/>
              </w:rPr>
              <w:t>2</w:t>
            </w:r>
          </w:p>
        </w:tc>
        <w:tc>
          <w:tcPr>
            <w:tcW w:w="637" w:type="pct"/>
            <w:shd w:val="clear" w:color="auto" w:fill="auto"/>
            <w:vAlign w:val="center"/>
          </w:tcPr>
          <w:p w14:paraId="42D5DFF3" w14:textId="68877D43"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898"/>
                <w14:textFill>
                  <w14:solidFill>
                    <w14:srgbClr w14:val="000000">
                      <w14:alpha w14:val="100000"/>
                    </w14:srgbClr>
                  </w14:solidFill>
                </w14:textFill>
              </w:rPr>
              <w:t xml:space="preserve">　</w:t>
            </w:r>
            <w:r w:rsidRPr="007A7746">
              <w:rPr>
                <w:color w:val="000000"/>
                <w:w w:val="15"/>
                <w:shd w:val="solid" w:color="000000" w:fill="000000"/>
                <w:fitText w:val="34" w:id="-693979898"/>
                <w14:textFill>
                  <w14:solidFill>
                    <w14:srgbClr w14:val="000000">
                      <w14:alpha w14:val="100000"/>
                    </w14:srgbClr>
                  </w14:solidFill>
                </w14:textFill>
              </w:rPr>
              <w:t>|</w:t>
            </w:r>
            <w:r w:rsidRPr="007A7746">
              <w:rPr>
                <w:rFonts w:hint="eastAsia"/>
                <w:color w:val="000000"/>
                <w:spacing w:val="-31"/>
                <w:w w:val="15"/>
                <w:shd w:val="solid" w:color="000000" w:fill="000000"/>
                <w:fitText w:val="34" w:id="-693979898"/>
                <w14:textFill>
                  <w14:solidFill>
                    <w14:srgbClr w14:val="000000">
                      <w14:alpha w14:val="100000"/>
                    </w14:srgbClr>
                  </w14:solidFill>
                </w14:textFill>
              </w:rPr>
              <w:t xml:space="preserve">　</w:t>
            </w:r>
            <w:r w:rsidR="00B71FEE" w:rsidRPr="00B71FEE">
              <w:rPr>
                <w:vertAlign w:val="superscript"/>
              </w:rPr>
              <w:t>2</w:t>
            </w:r>
          </w:p>
        </w:tc>
        <w:tc>
          <w:tcPr>
            <w:tcW w:w="638" w:type="pct"/>
            <w:vAlign w:val="center"/>
          </w:tcPr>
          <w:p w14:paraId="21FD3F07" w14:textId="3B91E499" w:rsidR="00496E93" w:rsidRPr="00375F8F" w:rsidRDefault="007A7746" w:rsidP="00D71587">
            <w:pPr>
              <w:pStyle w:val="TableText0"/>
              <w:jc w:val="center"/>
              <w:rPr>
                <w:highlight w:val="darkGray"/>
              </w:rPr>
            </w:pPr>
            <w:r w:rsidRPr="007A7746">
              <w:rPr>
                <w:rFonts w:hint="eastAsia"/>
                <w:color w:val="000000"/>
                <w:w w:val="15"/>
                <w:shd w:val="solid" w:color="000000" w:fill="000000"/>
                <w:fitText w:val="34" w:id="-693979897"/>
                <w14:textFill>
                  <w14:solidFill>
                    <w14:srgbClr w14:val="000000">
                      <w14:alpha w14:val="100000"/>
                    </w14:srgbClr>
                  </w14:solidFill>
                </w14:textFill>
              </w:rPr>
              <w:t xml:space="preserve">　</w:t>
            </w:r>
            <w:r w:rsidRPr="007A7746">
              <w:rPr>
                <w:color w:val="000000"/>
                <w:w w:val="15"/>
                <w:shd w:val="solid" w:color="000000" w:fill="000000"/>
                <w:fitText w:val="34" w:id="-693979897"/>
                <w14:textFill>
                  <w14:solidFill>
                    <w14:srgbClr w14:val="000000">
                      <w14:alpha w14:val="100000"/>
                    </w14:srgbClr>
                  </w14:solidFill>
                </w14:textFill>
              </w:rPr>
              <w:t>|</w:t>
            </w:r>
            <w:r w:rsidRPr="007A7746">
              <w:rPr>
                <w:rFonts w:hint="eastAsia"/>
                <w:color w:val="000000"/>
                <w:spacing w:val="-31"/>
                <w:w w:val="15"/>
                <w:shd w:val="solid" w:color="000000" w:fill="000000"/>
                <w:fitText w:val="34" w:id="-693979897"/>
                <w14:textFill>
                  <w14:solidFill>
                    <w14:srgbClr w14:val="000000">
                      <w14:alpha w14:val="100000"/>
                    </w14:srgbClr>
                  </w14:solidFill>
                </w14:textFill>
              </w:rPr>
              <w:t xml:space="preserve">　</w:t>
            </w:r>
            <w:r w:rsidR="00B71FEE" w:rsidRPr="00B71FEE">
              <w:rPr>
                <w:vertAlign w:val="superscript"/>
              </w:rPr>
              <w:t>2</w:t>
            </w:r>
          </w:p>
        </w:tc>
      </w:tr>
      <w:tr w:rsidR="0004729F" w:rsidRPr="004D75BF" w14:paraId="6884299E" w14:textId="77777777" w:rsidTr="589E218A">
        <w:tc>
          <w:tcPr>
            <w:tcW w:w="5000" w:type="pct"/>
            <w:gridSpan w:val="7"/>
            <w:shd w:val="clear" w:color="auto" w:fill="auto"/>
            <w:vAlign w:val="center"/>
          </w:tcPr>
          <w:p w14:paraId="07ABE530" w14:textId="77777777" w:rsidR="0004729F" w:rsidRPr="004D75BF" w:rsidRDefault="0004729F" w:rsidP="00D71587">
            <w:pPr>
              <w:pStyle w:val="In-tableHeading"/>
              <w:rPr>
                <w:lang w:val="en-AU"/>
              </w:rPr>
            </w:pPr>
            <w:r w:rsidRPr="004D75BF">
              <w:rPr>
                <w:lang w:val="en-AU"/>
              </w:rPr>
              <w:t>Estimated financial implications of A+L</w:t>
            </w:r>
          </w:p>
        </w:tc>
      </w:tr>
      <w:tr w:rsidR="0004729F" w:rsidRPr="004D75BF" w14:paraId="1DFCB1E6" w14:textId="77777777" w:rsidTr="589E218A">
        <w:tc>
          <w:tcPr>
            <w:tcW w:w="1177" w:type="pct"/>
            <w:shd w:val="clear" w:color="auto" w:fill="auto"/>
            <w:vAlign w:val="center"/>
          </w:tcPr>
          <w:p w14:paraId="313D81AB" w14:textId="77777777" w:rsidR="0004729F" w:rsidRPr="004D75BF" w:rsidRDefault="0004729F" w:rsidP="00D71587">
            <w:pPr>
              <w:pStyle w:val="TableText0"/>
              <w:rPr>
                <w:sz w:val="19"/>
                <w:szCs w:val="19"/>
              </w:rPr>
            </w:pPr>
            <w:r w:rsidRPr="004D75BF">
              <w:rPr>
                <w:sz w:val="19"/>
                <w:szCs w:val="19"/>
              </w:rPr>
              <w:t>Cost to PBS/RPBS less copayments</w:t>
            </w:r>
          </w:p>
        </w:tc>
        <w:tc>
          <w:tcPr>
            <w:tcW w:w="637" w:type="pct"/>
            <w:shd w:val="clear" w:color="auto" w:fill="auto"/>
            <w:vAlign w:val="center"/>
          </w:tcPr>
          <w:p w14:paraId="1FA44CD9" w14:textId="35FCE156"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5" w:id="-693979896"/>
                <w14:textFill>
                  <w14:solidFill>
                    <w14:srgbClr w14:val="000000">
                      <w14:alpha w14:val="100000"/>
                    </w14:srgbClr>
                  </w14:solidFill>
                </w14:textFill>
              </w:rPr>
              <w:t xml:space="preserve">　</w:t>
            </w:r>
            <w:r w:rsidRPr="007A7746">
              <w:rPr>
                <w:color w:val="000000"/>
                <w:w w:val="15"/>
                <w:shd w:val="solid" w:color="000000" w:fill="000000"/>
                <w:fitText w:val="35" w:id="-693979896"/>
                <w14:textFill>
                  <w14:solidFill>
                    <w14:srgbClr w14:val="000000">
                      <w14:alpha w14:val="100000"/>
                    </w14:srgbClr>
                  </w14:solidFill>
                </w14:textFill>
              </w:rPr>
              <w:t>|</w:t>
            </w:r>
            <w:r w:rsidRPr="007A7746">
              <w:rPr>
                <w:rFonts w:hint="eastAsia"/>
                <w:color w:val="000000"/>
                <w:spacing w:val="-30"/>
                <w:w w:val="15"/>
                <w:shd w:val="solid" w:color="000000" w:fill="000000"/>
                <w:fitText w:val="35" w:id="-693979896"/>
                <w14:textFill>
                  <w14:solidFill>
                    <w14:srgbClr w14:val="000000">
                      <w14:alpha w14:val="100000"/>
                    </w14:srgbClr>
                  </w14:solidFill>
                </w14:textFill>
              </w:rPr>
              <w:t xml:space="preserve">　</w:t>
            </w:r>
            <w:r w:rsidR="00212848" w:rsidRPr="00FD6A63">
              <w:rPr>
                <w:vertAlign w:val="superscript"/>
              </w:rPr>
              <w:t>6</w:t>
            </w:r>
          </w:p>
        </w:tc>
        <w:tc>
          <w:tcPr>
            <w:tcW w:w="637" w:type="pct"/>
            <w:shd w:val="clear" w:color="auto" w:fill="auto"/>
            <w:vAlign w:val="center"/>
          </w:tcPr>
          <w:p w14:paraId="7D24DE7F" w14:textId="6BFD0DC3"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5" w:id="-693979895"/>
                <w14:textFill>
                  <w14:solidFill>
                    <w14:srgbClr w14:val="000000">
                      <w14:alpha w14:val="100000"/>
                    </w14:srgbClr>
                  </w14:solidFill>
                </w14:textFill>
              </w:rPr>
              <w:t xml:space="preserve">　</w:t>
            </w:r>
            <w:r w:rsidRPr="007A7746">
              <w:rPr>
                <w:color w:val="000000"/>
                <w:w w:val="15"/>
                <w:shd w:val="solid" w:color="000000" w:fill="000000"/>
                <w:fitText w:val="35" w:id="-693979895"/>
                <w14:textFill>
                  <w14:solidFill>
                    <w14:srgbClr w14:val="000000">
                      <w14:alpha w14:val="100000"/>
                    </w14:srgbClr>
                  </w14:solidFill>
                </w14:textFill>
              </w:rPr>
              <w:t>|</w:t>
            </w:r>
            <w:r w:rsidRPr="007A7746">
              <w:rPr>
                <w:rFonts w:hint="eastAsia"/>
                <w:color w:val="000000"/>
                <w:spacing w:val="-30"/>
                <w:w w:val="15"/>
                <w:shd w:val="solid" w:color="000000" w:fill="000000"/>
                <w:fitText w:val="35" w:id="-693979895"/>
                <w14:textFill>
                  <w14:solidFill>
                    <w14:srgbClr w14:val="000000">
                      <w14:alpha w14:val="100000"/>
                    </w14:srgbClr>
                  </w14:solidFill>
                </w14:textFill>
              </w:rPr>
              <w:t xml:space="preserve">　</w:t>
            </w:r>
            <w:r w:rsidR="00D54481" w:rsidRPr="00D54481">
              <w:rPr>
                <w:vertAlign w:val="superscript"/>
              </w:rPr>
              <w:t>7</w:t>
            </w:r>
          </w:p>
        </w:tc>
        <w:tc>
          <w:tcPr>
            <w:tcW w:w="637" w:type="pct"/>
            <w:shd w:val="clear" w:color="auto" w:fill="auto"/>
            <w:vAlign w:val="center"/>
          </w:tcPr>
          <w:p w14:paraId="0A789AC9" w14:textId="090BD74F"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4"/>
                <w14:textFill>
                  <w14:solidFill>
                    <w14:srgbClr w14:val="000000">
                      <w14:alpha w14:val="100000"/>
                    </w14:srgbClr>
                  </w14:solidFill>
                </w14:textFill>
              </w:rPr>
              <w:t xml:space="preserve">　</w:t>
            </w:r>
            <w:r w:rsidRPr="007A7746">
              <w:rPr>
                <w:color w:val="000000"/>
                <w:w w:val="15"/>
                <w:shd w:val="solid" w:color="000000" w:fill="000000"/>
                <w:fitText w:val="34" w:id="-693979894"/>
                <w14:textFill>
                  <w14:solidFill>
                    <w14:srgbClr w14:val="000000">
                      <w14:alpha w14:val="100000"/>
                    </w14:srgbClr>
                  </w14:solidFill>
                </w14:textFill>
              </w:rPr>
              <w:t>|</w:t>
            </w:r>
            <w:r w:rsidRPr="007A7746">
              <w:rPr>
                <w:rFonts w:hint="eastAsia"/>
                <w:color w:val="000000"/>
                <w:spacing w:val="-31"/>
                <w:w w:val="15"/>
                <w:shd w:val="solid" w:color="000000" w:fill="000000"/>
                <w:fitText w:val="34" w:id="-693979894"/>
                <w14:textFill>
                  <w14:solidFill>
                    <w14:srgbClr w14:val="000000">
                      <w14:alpha w14:val="100000"/>
                    </w14:srgbClr>
                  </w14:solidFill>
                </w14:textFill>
              </w:rPr>
              <w:t xml:space="preserve">　</w:t>
            </w:r>
            <w:r w:rsidR="009F7FF9" w:rsidRPr="009F7FF9">
              <w:rPr>
                <w:vertAlign w:val="superscript"/>
              </w:rPr>
              <w:t>8</w:t>
            </w:r>
          </w:p>
        </w:tc>
        <w:tc>
          <w:tcPr>
            <w:tcW w:w="637" w:type="pct"/>
            <w:shd w:val="clear" w:color="auto" w:fill="auto"/>
            <w:vAlign w:val="center"/>
          </w:tcPr>
          <w:p w14:paraId="4FD6D32E" w14:textId="6CF5554E"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3"/>
                <w14:textFill>
                  <w14:solidFill>
                    <w14:srgbClr w14:val="000000">
                      <w14:alpha w14:val="100000"/>
                    </w14:srgbClr>
                  </w14:solidFill>
                </w14:textFill>
              </w:rPr>
              <w:t xml:space="preserve">　</w:t>
            </w:r>
            <w:r w:rsidRPr="007A7746">
              <w:rPr>
                <w:color w:val="000000"/>
                <w:w w:val="15"/>
                <w:shd w:val="solid" w:color="000000" w:fill="000000"/>
                <w:fitText w:val="34" w:id="-693979893"/>
                <w14:textFill>
                  <w14:solidFill>
                    <w14:srgbClr w14:val="000000">
                      <w14:alpha w14:val="100000"/>
                    </w14:srgbClr>
                  </w14:solidFill>
                </w14:textFill>
              </w:rPr>
              <w:t>|</w:t>
            </w:r>
            <w:r w:rsidRPr="007A7746">
              <w:rPr>
                <w:rFonts w:hint="eastAsia"/>
                <w:color w:val="000000"/>
                <w:spacing w:val="-31"/>
                <w:w w:val="15"/>
                <w:shd w:val="solid" w:color="000000" w:fill="000000"/>
                <w:fitText w:val="34" w:id="-693979893"/>
                <w14:textFill>
                  <w14:solidFill>
                    <w14:srgbClr w14:val="000000">
                      <w14:alpha w14:val="100000"/>
                    </w14:srgbClr>
                  </w14:solidFill>
                </w14:textFill>
              </w:rPr>
              <w:t xml:space="preserve">　</w:t>
            </w:r>
            <w:r w:rsidR="009F7FF9" w:rsidRPr="009F7FF9">
              <w:rPr>
                <w:vertAlign w:val="superscript"/>
              </w:rPr>
              <w:t>8</w:t>
            </w:r>
          </w:p>
        </w:tc>
        <w:tc>
          <w:tcPr>
            <w:tcW w:w="637" w:type="pct"/>
            <w:shd w:val="clear" w:color="auto" w:fill="auto"/>
            <w:vAlign w:val="center"/>
          </w:tcPr>
          <w:p w14:paraId="7F707475" w14:textId="5782DDB9"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2"/>
                <w14:textFill>
                  <w14:solidFill>
                    <w14:srgbClr w14:val="000000">
                      <w14:alpha w14:val="100000"/>
                    </w14:srgbClr>
                  </w14:solidFill>
                </w14:textFill>
              </w:rPr>
              <w:t xml:space="preserve">　</w:t>
            </w:r>
            <w:r w:rsidRPr="007A7746">
              <w:rPr>
                <w:color w:val="000000"/>
                <w:w w:val="15"/>
                <w:shd w:val="solid" w:color="000000" w:fill="000000"/>
                <w:fitText w:val="34" w:id="-693979892"/>
                <w14:textFill>
                  <w14:solidFill>
                    <w14:srgbClr w14:val="000000">
                      <w14:alpha w14:val="100000"/>
                    </w14:srgbClr>
                  </w14:solidFill>
                </w14:textFill>
              </w:rPr>
              <w:t>|</w:t>
            </w:r>
            <w:r w:rsidRPr="007A7746">
              <w:rPr>
                <w:rFonts w:hint="eastAsia"/>
                <w:color w:val="000000"/>
                <w:spacing w:val="-31"/>
                <w:w w:val="15"/>
                <w:shd w:val="solid" w:color="000000" w:fill="000000"/>
                <w:fitText w:val="34" w:id="-693979892"/>
                <w14:textFill>
                  <w14:solidFill>
                    <w14:srgbClr w14:val="000000">
                      <w14:alpha w14:val="100000"/>
                    </w14:srgbClr>
                  </w14:solidFill>
                </w14:textFill>
              </w:rPr>
              <w:t xml:space="preserve">　</w:t>
            </w:r>
            <w:r w:rsidR="009F7FF9" w:rsidRPr="009F7FF9">
              <w:rPr>
                <w:vertAlign w:val="superscript"/>
              </w:rPr>
              <w:t>8</w:t>
            </w:r>
          </w:p>
        </w:tc>
        <w:tc>
          <w:tcPr>
            <w:tcW w:w="638" w:type="pct"/>
            <w:vAlign w:val="center"/>
          </w:tcPr>
          <w:p w14:paraId="1830AA29" w14:textId="0B6C40E6" w:rsidR="0004729F" w:rsidRPr="00375F8F" w:rsidRDefault="007A7746" w:rsidP="00D71587">
            <w:pPr>
              <w:pStyle w:val="TableText0"/>
              <w:jc w:val="center"/>
              <w:rPr>
                <w:highlight w:val="darkGray"/>
              </w:rPr>
            </w:pPr>
            <w:r w:rsidRPr="007A7746">
              <w:rPr>
                <w:rFonts w:hint="eastAsia"/>
                <w:color w:val="000000"/>
                <w:w w:val="15"/>
                <w:shd w:val="solid" w:color="000000" w:fill="000000"/>
                <w:fitText w:val="34" w:id="-693979891"/>
                <w14:textFill>
                  <w14:solidFill>
                    <w14:srgbClr w14:val="000000">
                      <w14:alpha w14:val="100000"/>
                    </w14:srgbClr>
                  </w14:solidFill>
                </w14:textFill>
              </w:rPr>
              <w:t xml:space="preserve">　</w:t>
            </w:r>
            <w:r w:rsidRPr="007A7746">
              <w:rPr>
                <w:color w:val="000000"/>
                <w:w w:val="15"/>
                <w:shd w:val="solid" w:color="000000" w:fill="000000"/>
                <w:fitText w:val="34" w:id="-693979891"/>
                <w14:textFill>
                  <w14:solidFill>
                    <w14:srgbClr w14:val="000000">
                      <w14:alpha w14:val="100000"/>
                    </w14:srgbClr>
                  </w14:solidFill>
                </w14:textFill>
              </w:rPr>
              <w:t>|</w:t>
            </w:r>
            <w:r w:rsidRPr="007A7746">
              <w:rPr>
                <w:rFonts w:hint="eastAsia"/>
                <w:color w:val="000000"/>
                <w:spacing w:val="-31"/>
                <w:w w:val="15"/>
                <w:shd w:val="solid" w:color="000000" w:fill="000000"/>
                <w:fitText w:val="34" w:id="-693979891"/>
                <w14:textFill>
                  <w14:solidFill>
                    <w14:srgbClr w14:val="000000">
                      <w14:alpha w14:val="100000"/>
                    </w14:srgbClr>
                  </w14:solidFill>
                </w14:textFill>
              </w:rPr>
              <w:t xml:space="preserve">　</w:t>
            </w:r>
            <w:r w:rsidR="009F7FF9" w:rsidRPr="009F7FF9">
              <w:rPr>
                <w:vertAlign w:val="superscript"/>
              </w:rPr>
              <w:t>8</w:t>
            </w:r>
          </w:p>
        </w:tc>
      </w:tr>
      <w:tr w:rsidR="0004729F" w:rsidRPr="004D75BF" w14:paraId="2960C622" w14:textId="77777777" w:rsidTr="589E218A">
        <w:tc>
          <w:tcPr>
            <w:tcW w:w="5000" w:type="pct"/>
            <w:gridSpan w:val="7"/>
            <w:shd w:val="clear" w:color="auto" w:fill="auto"/>
            <w:vAlign w:val="center"/>
          </w:tcPr>
          <w:p w14:paraId="02419794" w14:textId="77777777" w:rsidR="0004729F" w:rsidRPr="00294872" w:rsidRDefault="0004729F" w:rsidP="00D71587">
            <w:pPr>
              <w:pStyle w:val="TableText0"/>
              <w:rPr>
                <w:b/>
              </w:rPr>
            </w:pPr>
            <w:r w:rsidRPr="00294872">
              <w:rPr>
                <w:b/>
              </w:rPr>
              <w:t>Estimated financial implications for osimertinib and rivaroxaban</w:t>
            </w:r>
          </w:p>
        </w:tc>
      </w:tr>
      <w:tr w:rsidR="0004729F" w:rsidRPr="004D75BF" w14:paraId="17BFD5B3" w14:textId="77777777" w:rsidTr="589E218A">
        <w:tc>
          <w:tcPr>
            <w:tcW w:w="1177" w:type="pct"/>
            <w:shd w:val="clear" w:color="auto" w:fill="auto"/>
            <w:vAlign w:val="center"/>
          </w:tcPr>
          <w:p w14:paraId="009DD721" w14:textId="77777777" w:rsidR="0004729F" w:rsidRPr="004D75BF" w:rsidRDefault="0004729F" w:rsidP="00D71587">
            <w:pPr>
              <w:pStyle w:val="TableText0"/>
              <w:rPr>
                <w:sz w:val="19"/>
                <w:szCs w:val="19"/>
              </w:rPr>
            </w:pPr>
            <w:r w:rsidRPr="004D75BF">
              <w:rPr>
                <w:sz w:val="19"/>
                <w:szCs w:val="19"/>
              </w:rPr>
              <w:t>Cost to PBS/RPBS less copayments</w:t>
            </w:r>
          </w:p>
        </w:tc>
        <w:tc>
          <w:tcPr>
            <w:tcW w:w="637" w:type="pct"/>
            <w:shd w:val="clear" w:color="auto" w:fill="auto"/>
            <w:vAlign w:val="center"/>
          </w:tcPr>
          <w:p w14:paraId="4252D020" w14:textId="1B3442E6" w:rsidR="0004729F" w:rsidRPr="009F7FF9" w:rsidRDefault="007A7746" w:rsidP="00D71587">
            <w:pPr>
              <w:pStyle w:val="TableText0"/>
              <w:jc w:val="center"/>
              <w:rPr>
                <w:highlight w:val="darkGray"/>
              </w:rPr>
            </w:pPr>
            <w:r w:rsidRPr="007A7746">
              <w:rPr>
                <w:rFonts w:hint="eastAsia"/>
                <w:bCs w:val="0"/>
                <w:color w:val="000000"/>
                <w:w w:val="15"/>
                <w:shd w:val="solid" w:color="000000" w:fill="000000"/>
                <w:fitText w:val="35" w:id="-693979890"/>
                <w14:textFill>
                  <w14:solidFill>
                    <w14:srgbClr w14:val="000000">
                      <w14:alpha w14:val="100000"/>
                    </w14:srgbClr>
                  </w14:solidFill>
                </w14:textFill>
              </w:rPr>
              <w:t xml:space="preserve">　</w:t>
            </w:r>
            <w:r w:rsidRPr="007A7746">
              <w:rPr>
                <w:bCs w:val="0"/>
                <w:color w:val="000000"/>
                <w:w w:val="15"/>
                <w:shd w:val="solid" w:color="000000" w:fill="000000"/>
                <w:fitText w:val="35" w:id="-693979890"/>
                <w14:textFill>
                  <w14:solidFill>
                    <w14:srgbClr w14:val="000000">
                      <w14:alpha w14:val="100000"/>
                    </w14:srgbClr>
                  </w14:solidFill>
                </w14:textFill>
              </w:rPr>
              <w:t>|</w:t>
            </w:r>
            <w:r w:rsidRPr="007A7746">
              <w:rPr>
                <w:rFonts w:hint="eastAsia"/>
                <w:bCs w:val="0"/>
                <w:color w:val="000000"/>
                <w:spacing w:val="-30"/>
                <w:w w:val="15"/>
                <w:shd w:val="solid" w:color="000000" w:fill="000000"/>
                <w:fitText w:val="35" w:id="-693979890"/>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7E072BDF" w14:textId="5629733E" w:rsidR="0004729F" w:rsidRPr="009F7FF9" w:rsidRDefault="007A7746" w:rsidP="00D71587">
            <w:pPr>
              <w:pStyle w:val="TableText0"/>
              <w:jc w:val="center"/>
              <w:rPr>
                <w:highlight w:val="darkGray"/>
              </w:rPr>
            </w:pPr>
            <w:r w:rsidRPr="007A7746">
              <w:rPr>
                <w:rFonts w:hint="eastAsia"/>
                <w:bCs w:val="0"/>
                <w:color w:val="000000"/>
                <w:w w:val="15"/>
                <w:shd w:val="solid" w:color="000000" w:fill="000000"/>
                <w:fitText w:val="35" w:id="-693979889"/>
                <w14:textFill>
                  <w14:solidFill>
                    <w14:srgbClr w14:val="000000">
                      <w14:alpha w14:val="100000"/>
                    </w14:srgbClr>
                  </w14:solidFill>
                </w14:textFill>
              </w:rPr>
              <w:t xml:space="preserve">　</w:t>
            </w:r>
            <w:r w:rsidRPr="007A7746">
              <w:rPr>
                <w:bCs w:val="0"/>
                <w:color w:val="000000"/>
                <w:w w:val="15"/>
                <w:shd w:val="solid" w:color="000000" w:fill="000000"/>
                <w:fitText w:val="35" w:id="-693979889"/>
                <w14:textFill>
                  <w14:solidFill>
                    <w14:srgbClr w14:val="000000">
                      <w14:alpha w14:val="100000"/>
                    </w14:srgbClr>
                  </w14:solidFill>
                </w14:textFill>
              </w:rPr>
              <w:t>|</w:t>
            </w:r>
            <w:r w:rsidRPr="007A7746">
              <w:rPr>
                <w:rFonts w:hint="eastAsia"/>
                <w:bCs w:val="0"/>
                <w:color w:val="000000"/>
                <w:spacing w:val="-30"/>
                <w:w w:val="15"/>
                <w:shd w:val="solid" w:color="000000" w:fill="000000"/>
                <w:fitText w:val="35" w:id="-693979889"/>
                <w14:textFill>
                  <w14:solidFill>
                    <w14:srgbClr w14:val="000000">
                      <w14:alpha w14:val="100000"/>
                    </w14:srgbClr>
                  </w14:solidFill>
                </w14:textFill>
              </w:rPr>
              <w:t xml:space="preserve">　</w:t>
            </w:r>
            <w:r w:rsidR="0054063F" w:rsidRPr="009F7FF9">
              <w:rPr>
                <w:bCs w:val="0"/>
                <w:vertAlign w:val="superscript"/>
              </w:rPr>
              <w:t>9</w:t>
            </w:r>
          </w:p>
        </w:tc>
        <w:tc>
          <w:tcPr>
            <w:tcW w:w="637" w:type="pct"/>
            <w:shd w:val="clear" w:color="auto" w:fill="auto"/>
            <w:vAlign w:val="center"/>
          </w:tcPr>
          <w:p w14:paraId="742B03EB" w14:textId="03072767" w:rsidR="0004729F" w:rsidRPr="009F7FF9" w:rsidRDefault="007A7746" w:rsidP="00D71587">
            <w:pPr>
              <w:pStyle w:val="TableText0"/>
              <w:jc w:val="center"/>
              <w:rPr>
                <w:highlight w:val="darkGray"/>
              </w:rPr>
            </w:pPr>
            <w:r w:rsidRPr="007A7746">
              <w:rPr>
                <w:rFonts w:hint="eastAsia"/>
                <w:bCs w:val="0"/>
                <w:color w:val="000000"/>
                <w:w w:val="15"/>
                <w:shd w:val="solid" w:color="000000" w:fill="000000"/>
                <w:fitText w:val="34" w:id="-693979888"/>
                <w14:textFill>
                  <w14:solidFill>
                    <w14:srgbClr w14:val="000000">
                      <w14:alpha w14:val="100000"/>
                    </w14:srgbClr>
                  </w14:solidFill>
                </w14:textFill>
              </w:rPr>
              <w:t xml:space="preserve">　</w:t>
            </w:r>
            <w:r w:rsidRPr="007A7746">
              <w:rPr>
                <w:bCs w:val="0"/>
                <w:color w:val="000000"/>
                <w:w w:val="15"/>
                <w:shd w:val="solid" w:color="000000" w:fill="000000"/>
                <w:fitText w:val="34" w:id="-693979888"/>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888"/>
                <w14:textFill>
                  <w14:solidFill>
                    <w14:srgbClr w14:val="000000">
                      <w14:alpha w14:val="100000"/>
                    </w14:srgbClr>
                  </w14:solidFill>
                </w14:textFill>
              </w:rPr>
              <w:t xml:space="preserve">　</w:t>
            </w:r>
            <w:r w:rsidR="0054063F" w:rsidRPr="009F7FF9">
              <w:rPr>
                <w:bCs w:val="0"/>
                <w:vertAlign w:val="superscript"/>
              </w:rPr>
              <w:t>9</w:t>
            </w:r>
          </w:p>
        </w:tc>
        <w:tc>
          <w:tcPr>
            <w:tcW w:w="637" w:type="pct"/>
            <w:shd w:val="clear" w:color="auto" w:fill="auto"/>
            <w:vAlign w:val="center"/>
          </w:tcPr>
          <w:p w14:paraId="31423C98" w14:textId="4C9E73CF" w:rsidR="0004729F" w:rsidRPr="009F7FF9" w:rsidRDefault="007A7746" w:rsidP="00D71587">
            <w:pPr>
              <w:pStyle w:val="TableText0"/>
              <w:jc w:val="center"/>
              <w:rPr>
                <w:highlight w:val="darkGray"/>
              </w:rPr>
            </w:pPr>
            <w:r w:rsidRPr="007A7746">
              <w:rPr>
                <w:bCs w:val="0"/>
                <w:color w:val="000000"/>
                <w:spacing w:val="167"/>
                <w:shd w:val="solid" w:color="000000" w:fill="000000"/>
                <w:fitText w:val="253" w:id="-693979904"/>
                <w14:textFill>
                  <w14:solidFill>
                    <w14:srgbClr w14:val="000000">
                      <w14:alpha w14:val="100000"/>
                    </w14:srgbClr>
                  </w14:solidFill>
                </w14:textFill>
              </w:rPr>
              <w:t>|</w:t>
            </w:r>
            <w:r w:rsidRPr="007A7746">
              <w:rPr>
                <w:bCs w:val="0"/>
                <w:color w:val="000000"/>
                <w:shd w:val="solid" w:color="000000" w:fill="000000"/>
                <w:fitText w:val="253" w:id="-693979904"/>
                <w14:textFill>
                  <w14:solidFill>
                    <w14:srgbClr w14:val="000000">
                      <w14:alpha w14:val="100000"/>
                    </w14:srgbClr>
                  </w14:solidFill>
                </w14:textFill>
              </w:rPr>
              <w:t>|</w:t>
            </w:r>
            <w:r w:rsidR="0054063F" w:rsidRPr="009F7FF9">
              <w:rPr>
                <w:bCs w:val="0"/>
                <w:vertAlign w:val="superscript"/>
              </w:rPr>
              <w:t>9</w:t>
            </w:r>
            <w:r w:rsidRPr="00B15864">
              <w:rPr>
                <w:rFonts w:hint="eastAsia"/>
                <w:bCs w:val="0"/>
                <w:color w:val="000000"/>
                <w:w w:val="41"/>
                <w:shd w:val="solid" w:color="000000" w:fill="000000"/>
                <w:fitText w:val="150" w:id="-693979903"/>
                <w:vertAlign w:val="superscript"/>
                <w14:textFill>
                  <w14:solidFill>
                    <w14:srgbClr w14:val="000000">
                      <w14:alpha w14:val="100000"/>
                    </w14:srgbClr>
                  </w14:solidFill>
                </w14:textFill>
              </w:rPr>
              <w:t xml:space="preserve">　</w:t>
            </w:r>
            <w:r w:rsidRPr="00B15864">
              <w:rPr>
                <w:bCs w:val="0"/>
                <w:color w:val="000000"/>
                <w:w w:val="41"/>
                <w:shd w:val="solid" w:color="000000" w:fill="000000"/>
                <w:fitText w:val="150" w:id="-693979903"/>
                <w14:textFill>
                  <w14:solidFill>
                    <w14:srgbClr w14:val="000000">
                      <w14:alpha w14:val="100000"/>
                    </w14:srgbClr>
                  </w14:solidFill>
                </w14:textFill>
              </w:rPr>
              <w:t>|</w:t>
            </w:r>
            <w:r w:rsidRPr="00B15864">
              <w:rPr>
                <w:rFonts w:hint="eastAsia"/>
                <w:bCs w:val="0"/>
                <w:color w:val="000000"/>
                <w:spacing w:val="2"/>
                <w:w w:val="41"/>
                <w:shd w:val="solid" w:color="000000" w:fill="000000"/>
                <w:fitText w:val="150" w:id="-693979903"/>
                <w14:textFill>
                  <w14:solidFill>
                    <w14:srgbClr w14:val="000000">
                      <w14:alpha w14:val="100000"/>
                    </w14:srgbClr>
                  </w14:solidFill>
                </w14:textFill>
              </w:rPr>
              <w:t xml:space="preserve">　</w:t>
            </w:r>
          </w:p>
        </w:tc>
        <w:tc>
          <w:tcPr>
            <w:tcW w:w="637" w:type="pct"/>
            <w:shd w:val="clear" w:color="auto" w:fill="auto"/>
            <w:vAlign w:val="center"/>
          </w:tcPr>
          <w:p w14:paraId="551B4E30" w14:textId="674F459A" w:rsidR="0004729F" w:rsidRPr="009F7FF9" w:rsidRDefault="007A7746" w:rsidP="00D71587">
            <w:pPr>
              <w:pStyle w:val="TableText0"/>
              <w:jc w:val="center"/>
              <w:rPr>
                <w:highlight w:val="darkGray"/>
              </w:rPr>
            </w:pPr>
            <w:r w:rsidRPr="007A7746">
              <w:rPr>
                <w:rFonts w:hint="eastAsia"/>
                <w:bCs w:val="0"/>
                <w:color w:val="000000"/>
                <w:w w:val="15"/>
                <w:shd w:val="solid" w:color="000000" w:fill="000000"/>
                <w:fitText w:val="34" w:id="-693979902"/>
                <w14:textFill>
                  <w14:solidFill>
                    <w14:srgbClr w14:val="000000">
                      <w14:alpha w14:val="100000"/>
                    </w14:srgbClr>
                  </w14:solidFill>
                </w14:textFill>
              </w:rPr>
              <w:t xml:space="preserve">　</w:t>
            </w:r>
            <w:r w:rsidRPr="007A7746">
              <w:rPr>
                <w:bCs w:val="0"/>
                <w:color w:val="000000"/>
                <w:w w:val="15"/>
                <w:shd w:val="solid" w:color="000000" w:fill="000000"/>
                <w:fitText w:val="34" w:id="-693979902"/>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902"/>
                <w14:textFill>
                  <w14:solidFill>
                    <w14:srgbClr w14:val="000000">
                      <w14:alpha w14:val="100000"/>
                    </w14:srgbClr>
                  </w14:solidFill>
                </w14:textFill>
              </w:rPr>
              <w:t xml:space="preserve">　</w:t>
            </w:r>
            <w:r w:rsidR="0054063F" w:rsidRPr="009F7FF9">
              <w:rPr>
                <w:bCs w:val="0"/>
                <w:vertAlign w:val="superscript"/>
              </w:rPr>
              <w:t>9</w:t>
            </w:r>
          </w:p>
        </w:tc>
        <w:tc>
          <w:tcPr>
            <w:tcW w:w="638" w:type="pct"/>
            <w:vAlign w:val="center"/>
          </w:tcPr>
          <w:p w14:paraId="13935F68" w14:textId="01F9BD59" w:rsidR="0004729F" w:rsidRPr="009F7FF9" w:rsidRDefault="007A7746" w:rsidP="00D71587">
            <w:pPr>
              <w:pStyle w:val="TableText0"/>
              <w:jc w:val="center"/>
              <w:rPr>
                <w:highlight w:val="darkGray"/>
              </w:rPr>
            </w:pPr>
            <w:r w:rsidRPr="007A7746">
              <w:rPr>
                <w:rFonts w:hint="eastAsia"/>
                <w:bCs w:val="0"/>
                <w:color w:val="000000"/>
                <w:w w:val="15"/>
                <w:shd w:val="solid" w:color="000000" w:fill="000000"/>
                <w:fitText w:val="34" w:id="-693979901"/>
                <w14:textFill>
                  <w14:solidFill>
                    <w14:srgbClr w14:val="000000">
                      <w14:alpha w14:val="100000"/>
                    </w14:srgbClr>
                  </w14:solidFill>
                </w14:textFill>
              </w:rPr>
              <w:t xml:space="preserve">　</w:t>
            </w:r>
            <w:r w:rsidRPr="007A7746">
              <w:rPr>
                <w:bCs w:val="0"/>
                <w:color w:val="000000"/>
                <w:w w:val="15"/>
                <w:shd w:val="solid" w:color="000000" w:fill="000000"/>
                <w:fitText w:val="34" w:id="-693979901"/>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901"/>
                <w14:textFill>
                  <w14:solidFill>
                    <w14:srgbClr w14:val="000000">
                      <w14:alpha w14:val="100000"/>
                    </w14:srgbClr>
                  </w14:solidFill>
                </w14:textFill>
              </w:rPr>
              <w:t xml:space="preserve">　</w:t>
            </w:r>
            <w:r w:rsidR="0054063F" w:rsidRPr="009F7FF9">
              <w:rPr>
                <w:bCs w:val="0"/>
                <w:vertAlign w:val="superscript"/>
              </w:rPr>
              <w:t>9</w:t>
            </w:r>
          </w:p>
        </w:tc>
      </w:tr>
      <w:tr w:rsidR="0004729F" w:rsidRPr="004D75BF" w14:paraId="0B1EC4EC" w14:textId="77777777" w:rsidTr="589E218A">
        <w:tc>
          <w:tcPr>
            <w:tcW w:w="5000" w:type="pct"/>
            <w:gridSpan w:val="7"/>
            <w:shd w:val="clear" w:color="auto" w:fill="auto"/>
            <w:vAlign w:val="center"/>
          </w:tcPr>
          <w:p w14:paraId="3576015B" w14:textId="77777777" w:rsidR="0004729F" w:rsidRPr="004D75BF" w:rsidRDefault="0004729F" w:rsidP="00D71587">
            <w:pPr>
              <w:pStyle w:val="In-tableHeading"/>
              <w:rPr>
                <w:lang w:val="en-AU"/>
              </w:rPr>
            </w:pPr>
            <w:r w:rsidRPr="004D75BF">
              <w:rPr>
                <w:lang w:val="en-AU"/>
              </w:rPr>
              <w:t>Net financial implications</w:t>
            </w:r>
          </w:p>
        </w:tc>
      </w:tr>
      <w:tr w:rsidR="0004729F" w:rsidRPr="004D75BF" w14:paraId="6CF2D6E2" w14:textId="77777777" w:rsidTr="589E218A">
        <w:tc>
          <w:tcPr>
            <w:tcW w:w="1177" w:type="pct"/>
            <w:shd w:val="clear" w:color="auto" w:fill="auto"/>
            <w:vAlign w:val="center"/>
          </w:tcPr>
          <w:p w14:paraId="36754270" w14:textId="77777777" w:rsidR="0004729F" w:rsidRPr="00AB09B9" w:rsidRDefault="0004729F" w:rsidP="00D71587">
            <w:pPr>
              <w:pStyle w:val="TableText0"/>
              <w:rPr>
                <w:sz w:val="19"/>
                <w:szCs w:val="19"/>
              </w:rPr>
            </w:pPr>
            <w:r w:rsidRPr="00AB09B9">
              <w:rPr>
                <w:sz w:val="19"/>
                <w:szCs w:val="19"/>
              </w:rPr>
              <w:t>Net cost to PBS/RPBS</w:t>
            </w:r>
          </w:p>
        </w:tc>
        <w:tc>
          <w:tcPr>
            <w:tcW w:w="637" w:type="pct"/>
            <w:shd w:val="clear" w:color="auto" w:fill="auto"/>
            <w:vAlign w:val="center"/>
          </w:tcPr>
          <w:p w14:paraId="4B829F13" w14:textId="6989E6FA" w:rsidR="0004729F" w:rsidRPr="00243688" w:rsidRDefault="007A7746" w:rsidP="00D71587">
            <w:pPr>
              <w:pStyle w:val="TableText0"/>
              <w:jc w:val="center"/>
              <w:rPr>
                <w:highlight w:val="darkGray"/>
              </w:rPr>
            </w:pPr>
            <w:r w:rsidRPr="007A7746">
              <w:rPr>
                <w:rFonts w:hint="eastAsia"/>
                <w:color w:val="000000"/>
                <w:w w:val="15"/>
                <w:shd w:val="solid" w:color="000000" w:fill="000000"/>
                <w:fitText w:val="35" w:id="-693979900"/>
                <w14:textFill>
                  <w14:solidFill>
                    <w14:srgbClr w14:val="000000">
                      <w14:alpha w14:val="100000"/>
                    </w14:srgbClr>
                  </w14:solidFill>
                </w14:textFill>
              </w:rPr>
              <w:t xml:space="preserve">　</w:t>
            </w:r>
            <w:r w:rsidRPr="007A7746">
              <w:rPr>
                <w:color w:val="000000"/>
                <w:w w:val="15"/>
                <w:shd w:val="solid" w:color="000000" w:fill="000000"/>
                <w:fitText w:val="35" w:id="-693979900"/>
                <w14:textFill>
                  <w14:solidFill>
                    <w14:srgbClr w14:val="000000">
                      <w14:alpha w14:val="100000"/>
                    </w14:srgbClr>
                  </w14:solidFill>
                </w14:textFill>
              </w:rPr>
              <w:t>|</w:t>
            </w:r>
            <w:r w:rsidRPr="007A7746">
              <w:rPr>
                <w:rFonts w:hint="eastAsia"/>
                <w:color w:val="000000"/>
                <w:spacing w:val="-30"/>
                <w:w w:val="15"/>
                <w:shd w:val="solid" w:color="000000" w:fill="000000"/>
                <w:fitText w:val="35" w:id="-693979900"/>
                <w14:textFill>
                  <w14:solidFill>
                    <w14:srgbClr w14:val="000000">
                      <w14:alpha w14:val="100000"/>
                    </w14:srgbClr>
                  </w14:solidFill>
                </w14:textFill>
              </w:rPr>
              <w:t xml:space="preserve">　</w:t>
            </w:r>
            <w:r w:rsidR="000B582F" w:rsidRPr="009F7FF9">
              <w:rPr>
                <w:bCs w:val="0"/>
                <w:vertAlign w:val="superscript"/>
              </w:rPr>
              <w:t>9</w:t>
            </w:r>
          </w:p>
        </w:tc>
        <w:tc>
          <w:tcPr>
            <w:tcW w:w="637" w:type="pct"/>
            <w:shd w:val="clear" w:color="auto" w:fill="auto"/>
            <w:vAlign w:val="center"/>
          </w:tcPr>
          <w:p w14:paraId="6D1D7451" w14:textId="44FE828F" w:rsidR="0004729F" w:rsidRPr="00243688" w:rsidRDefault="007A7746" w:rsidP="00D71587">
            <w:pPr>
              <w:pStyle w:val="TableText0"/>
              <w:jc w:val="center"/>
              <w:rPr>
                <w:highlight w:val="darkGray"/>
              </w:rPr>
            </w:pPr>
            <w:r w:rsidRPr="007A7746">
              <w:rPr>
                <w:rFonts w:hint="eastAsia"/>
                <w:color w:val="000000"/>
                <w:w w:val="15"/>
                <w:shd w:val="solid" w:color="000000" w:fill="000000"/>
                <w:fitText w:val="35" w:id="-693979899"/>
                <w14:textFill>
                  <w14:solidFill>
                    <w14:srgbClr w14:val="000000">
                      <w14:alpha w14:val="100000"/>
                    </w14:srgbClr>
                  </w14:solidFill>
                </w14:textFill>
              </w:rPr>
              <w:t xml:space="preserve">　</w:t>
            </w:r>
            <w:r w:rsidRPr="007A7746">
              <w:rPr>
                <w:color w:val="000000"/>
                <w:w w:val="15"/>
                <w:shd w:val="solid" w:color="000000" w:fill="000000"/>
                <w:fitText w:val="35" w:id="-693979899"/>
                <w14:textFill>
                  <w14:solidFill>
                    <w14:srgbClr w14:val="000000">
                      <w14:alpha w14:val="100000"/>
                    </w14:srgbClr>
                  </w14:solidFill>
                </w14:textFill>
              </w:rPr>
              <w:t>|</w:t>
            </w:r>
            <w:r w:rsidRPr="007A7746">
              <w:rPr>
                <w:rFonts w:hint="eastAsia"/>
                <w:color w:val="000000"/>
                <w:spacing w:val="-30"/>
                <w:w w:val="15"/>
                <w:shd w:val="solid" w:color="000000" w:fill="000000"/>
                <w:fitText w:val="35" w:id="-693979899"/>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1E042E28" w14:textId="38B1F183" w:rsidR="0004729F" w:rsidRPr="00243688" w:rsidRDefault="007A7746" w:rsidP="00D71587">
            <w:pPr>
              <w:pStyle w:val="TableText0"/>
              <w:jc w:val="center"/>
              <w:rPr>
                <w:highlight w:val="darkGray"/>
              </w:rPr>
            </w:pPr>
            <w:r w:rsidRPr="007A7746">
              <w:rPr>
                <w:rFonts w:hint="eastAsia"/>
                <w:color w:val="000000"/>
                <w:w w:val="15"/>
                <w:shd w:val="solid" w:color="000000" w:fill="000000"/>
                <w:fitText w:val="34" w:id="-693979898"/>
                <w14:textFill>
                  <w14:solidFill>
                    <w14:srgbClr w14:val="000000">
                      <w14:alpha w14:val="100000"/>
                    </w14:srgbClr>
                  </w14:solidFill>
                </w14:textFill>
              </w:rPr>
              <w:t xml:space="preserve">　</w:t>
            </w:r>
            <w:r w:rsidRPr="007A7746">
              <w:rPr>
                <w:color w:val="000000"/>
                <w:w w:val="15"/>
                <w:shd w:val="solid" w:color="000000" w:fill="000000"/>
                <w:fitText w:val="34" w:id="-693979898"/>
                <w14:textFill>
                  <w14:solidFill>
                    <w14:srgbClr w14:val="000000">
                      <w14:alpha w14:val="100000"/>
                    </w14:srgbClr>
                  </w14:solidFill>
                </w14:textFill>
              </w:rPr>
              <w:t>|</w:t>
            </w:r>
            <w:r w:rsidRPr="007A7746">
              <w:rPr>
                <w:rFonts w:hint="eastAsia"/>
                <w:color w:val="000000"/>
                <w:spacing w:val="-31"/>
                <w:w w:val="15"/>
                <w:shd w:val="solid" w:color="000000" w:fill="000000"/>
                <w:fitText w:val="34" w:id="-693979898"/>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216B6935" w14:textId="313E6554" w:rsidR="0004729F" w:rsidRPr="00243688" w:rsidRDefault="007A7746" w:rsidP="00D71587">
            <w:pPr>
              <w:pStyle w:val="TableText0"/>
              <w:jc w:val="center"/>
              <w:rPr>
                <w:highlight w:val="darkGray"/>
              </w:rPr>
            </w:pPr>
            <w:r w:rsidRPr="007A7746">
              <w:rPr>
                <w:rFonts w:hint="eastAsia"/>
                <w:color w:val="000000"/>
                <w:w w:val="15"/>
                <w:shd w:val="solid" w:color="000000" w:fill="000000"/>
                <w:fitText w:val="34" w:id="-693979897"/>
                <w14:textFill>
                  <w14:solidFill>
                    <w14:srgbClr w14:val="000000">
                      <w14:alpha w14:val="100000"/>
                    </w14:srgbClr>
                  </w14:solidFill>
                </w14:textFill>
              </w:rPr>
              <w:t xml:space="preserve">　</w:t>
            </w:r>
            <w:r w:rsidRPr="007A7746">
              <w:rPr>
                <w:color w:val="000000"/>
                <w:w w:val="15"/>
                <w:shd w:val="solid" w:color="000000" w:fill="000000"/>
                <w:fitText w:val="34" w:id="-693979897"/>
                <w14:textFill>
                  <w14:solidFill>
                    <w14:srgbClr w14:val="000000">
                      <w14:alpha w14:val="100000"/>
                    </w14:srgbClr>
                  </w14:solidFill>
                </w14:textFill>
              </w:rPr>
              <w:t>|</w:t>
            </w:r>
            <w:r w:rsidRPr="007A7746">
              <w:rPr>
                <w:rFonts w:hint="eastAsia"/>
                <w:color w:val="000000"/>
                <w:spacing w:val="-31"/>
                <w:w w:val="15"/>
                <w:shd w:val="solid" w:color="000000" w:fill="000000"/>
                <w:fitText w:val="34" w:id="-693979897"/>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30AFE455" w14:textId="7AE7C2F7" w:rsidR="0004729F" w:rsidRPr="00243688" w:rsidRDefault="007A7746" w:rsidP="00D71587">
            <w:pPr>
              <w:pStyle w:val="TableText0"/>
              <w:jc w:val="center"/>
              <w:rPr>
                <w:highlight w:val="darkGray"/>
              </w:rPr>
            </w:pPr>
            <w:r w:rsidRPr="007A7746">
              <w:rPr>
                <w:rFonts w:hint="eastAsia"/>
                <w:color w:val="000000"/>
                <w:w w:val="15"/>
                <w:shd w:val="solid" w:color="000000" w:fill="000000"/>
                <w:fitText w:val="34" w:id="-693979896"/>
                <w14:textFill>
                  <w14:solidFill>
                    <w14:srgbClr w14:val="000000">
                      <w14:alpha w14:val="100000"/>
                    </w14:srgbClr>
                  </w14:solidFill>
                </w14:textFill>
              </w:rPr>
              <w:t xml:space="preserve">　</w:t>
            </w:r>
            <w:r w:rsidRPr="007A7746">
              <w:rPr>
                <w:color w:val="000000"/>
                <w:w w:val="15"/>
                <w:shd w:val="solid" w:color="000000" w:fill="000000"/>
                <w:fitText w:val="34" w:id="-693979896"/>
                <w14:textFill>
                  <w14:solidFill>
                    <w14:srgbClr w14:val="000000">
                      <w14:alpha w14:val="100000"/>
                    </w14:srgbClr>
                  </w14:solidFill>
                </w14:textFill>
              </w:rPr>
              <w:t>|</w:t>
            </w:r>
            <w:r w:rsidRPr="007A7746">
              <w:rPr>
                <w:rFonts w:hint="eastAsia"/>
                <w:color w:val="000000"/>
                <w:spacing w:val="-31"/>
                <w:w w:val="15"/>
                <w:shd w:val="solid" w:color="000000" w:fill="000000"/>
                <w:fitText w:val="34" w:id="-693979896"/>
                <w14:textFill>
                  <w14:solidFill>
                    <w14:srgbClr w14:val="000000">
                      <w14:alpha w14:val="100000"/>
                    </w14:srgbClr>
                  </w14:solidFill>
                </w14:textFill>
              </w:rPr>
              <w:t xml:space="preserve">　</w:t>
            </w:r>
            <w:r w:rsidR="009F7FF9" w:rsidRPr="009F7FF9">
              <w:rPr>
                <w:bCs w:val="0"/>
                <w:vertAlign w:val="superscript"/>
              </w:rPr>
              <w:t>9</w:t>
            </w:r>
          </w:p>
        </w:tc>
        <w:tc>
          <w:tcPr>
            <w:tcW w:w="638" w:type="pct"/>
            <w:vAlign w:val="center"/>
          </w:tcPr>
          <w:p w14:paraId="66D74EB1" w14:textId="5CAA0F78" w:rsidR="0004729F" w:rsidRPr="00243688" w:rsidRDefault="007A7746" w:rsidP="00D71587">
            <w:pPr>
              <w:pStyle w:val="TableText0"/>
              <w:jc w:val="center"/>
              <w:rPr>
                <w:highlight w:val="darkGray"/>
              </w:rPr>
            </w:pPr>
            <w:r w:rsidRPr="007A7746">
              <w:rPr>
                <w:rFonts w:hint="eastAsia"/>
                <w:color w:val="000000"/>
                <w:w w:val="15"/>
                <w:shd w:val="solid" w:color="000000" w:fill="000000"/>
                <w:fitText w:val="34" w:id="-693979895"/>
                <w14:textFill>
                  <w14:solidFill>
                    <w14:srgbClr w14:val="000000">
                      <w14:alpha w14:val="100000"/>
                    </w14:srgbClr>
                  </w14:solidFill>
                </w14:textFill>
              </w:rPr>
              <w:t xml:space="preserve">　</w:t>
            </w:r>
            <w:r w:rsidRPr="007A7746">
              <w:rPr>
                <w:color w:val="000000"/>
                <w:w w:val="15"/>
                <w:shd w:val="solid" w:color="000000" w:fill="000000"/>
                <w:fitText w:val="34" w:id="-693979895"/>
                <w14:textFill>
                  <w14:solidFill>
                    <w14:srgbClr w14:val="000000">
                      <w14:alpha w14:val="100000"/>
                    </w14:srgbClr>
                  </w14:solidFill>
                </w14:textFill>
              </w:rPr>
              <w:t>|</w:t>
            </w:r>
            <w:r w:rsidRPr="007A7746">
              <w:rPr>
                <w:rFonts w:hint="eastAsia"/>
                <w:color w:val="000000"/>
                <w:spacing w:val="-31"/>
                <w:w w:val="15"/>
                <w:shd w:val="solid" w:color="000000" w:fill="000000"/>
                <w:fitText w:val="34" w:id="-693979895"/>
                <w14:textFill>
                  <w14:solidFill>
                    <w14:srgbClr w14:val="000000">
                      <w14:alpha w14:val="100000"/>
                    </w14:srgbClr>
                  </w14:solidFill>
                </w14:textFill>
              </w:rPr>
              <w:t xml:space="preserve">　</w:t>
            </w:r>
            <w:r w:rsidR="009F7FF9" w:rsidRPr="009F7FF9">
              <w:rPr>
                <w:bCs w:val="0"/>
                <w:vertAlign w:val="superscript"/>
              </w:rPr>
              <w:t>9</w:t>
            </w:r>
          </w:p>
        </w:tc>
      </w:tr>
      <w:tr w:rsidR="0004729F" w:rsidRPr="004D75BF" w14:paraId="7C8ACDF2" w14:textId="77777777" w:rsidTr="589E218A">
        <w:tc>
          <w:tcPr>
            <w:tcW w:w="1177" w:type="pct"/>
            <w:shd w:val="clear" w:color="auto" w:fill="auto"/>
            <w:vAlign w:val="center"/>
          </w:tcPr>
          <w:p w14:paraId="3B2A7C3C" w14:textId="77777777" w:rsidR="0004729F" w:rsidRPr="004D75BF" w:rsidRDefault="0004729F" w:rsidP="00D71587">
            <w:pPr>
              <w:pStyle w:val="TableText0"/>
              <w:rPr>
                <w:rFonts w:ascii="Times" w:hAnsi="Times"/>
              </w:rPr>
            </w:pPr>
            <w:r w:rsidRPr="004D75BF">
              <w:rPr>
                <w:sz w:val="19"/>
                <w:szCs w:val="19"/>
              </w:rPr>
              <w:t>Net cost to MBS</w:t>
            </w:r>
          </w:p>
        </w:tc>
        <w:tc>
          <w:tcPr>
            <w:tcW w:w="637" w:type="pct"/>
            <w:shd w:val="clear" w:color="auto" w:fill="auto"/>
          </w:tcPr>
          <w:p w14:paraId="67ECE56F" w14:textId="67B98C4A" w:rsidR="0004729F" w:rsidRPr="009F7FF9" w:rsidRDefault="007A7746" w:rsidP="00D71587">
            <w:pPr>
              <w:pStyle w:val="TableText0"/>
              <w:jc w:val="center"/>
              <w:rPr>
                <w:highlight w:val="darkGray"/>
              </w:rPr>
            </w:pPr>
            <w:r w:rsidRPr="007A7746">
              <w:rPr>
                <w:rFonts w:hint="eastAsia"/>
                <w:color w:val="000000"/>
                <w:w w:val="15"/>
                <w:shd w:val="solid" w:color="000000" w:fill="000000"/>
                <w:fitText w:val="58" w:id="-693979894"/>
                <w14:textFill>
                  <w14:solidFill>
                    <w14:srgbClr w14:val="000000">
                      <w14:alpha w14:val="100000"/>
                    </w14:srgbClr>
                  </w14:solidFill>
                </w14:textFill>
              </w:rPr>
              <w:t xml:space="preserve">　</w:t>
            </w:r>
            <w:r w:rsidRPr="007A7746">
              <w:rPr>
                <w:color w:val="000000"/>
                <w:w w:val="15"/>
                <w:shd w:val="solid" w:color="000000" w:fill="000000"/>
                <w:fitText w:val="58" w:id="-693979894"/>
                <w14:textFill>
                  <w14:solidFill>
                    <w14:srgbClr w14:val="000000">
                      <w14:alpha w14:val="100000"/>
                    </w14:srgbClr>
                  </w14:solidFill>
                </w14:textFill>
              </w:rPr>
              <w:t>|</w:t>
            </w:r>
            <w:r w:rsidRPr="007A7746">
              <w:rPr>
                <w:rFonts w:hint="eastAsia"/>
                <w:color w:val="000000"/>
                <w:spacing w:val="-7"/>
                <w:w w:val="15"/>
                <w:shd w:val="solid" w:color="000000" w:fill="000000"/>
                <w:fitText w:val="58" w:id="-693979894"/>
                <w14:textFill>
                  <w14:solidFill>
                    <w14:srgbClr w14:val="000000">
                      <w14:alpha w14:val="100000"/>
                    </w14:srgbClr>
                  </w14:solidFill>
                </w14:textFill>
              </w:rPr>
              <w:t xml:space="preserve">　</w:t>
            </w:r>
            <w:r w:rsidR="0085570C" w:rsidRPr="0085570C">
              <w:rPr>
                <w:vertAlign w:val="superscript"/>
              </w:rPr>
              <w:t>10</w:t>
            </w:r>
          </w:p>
        </w:tc>
        <w:tc>
          <w:tcPr>
            <w:tcW w:w="637" w:type="pct"/>
            <w:shd w:val="clear" w:color="auto" w:fill="auto"/>
          </w:tcPr>
          <w:p w14:paraId="062AB2C9" w14:textId="23892AB6" w:rsidR="0004729F" w:rsidRPr="009F7FF9" w:rsidRDefault="007A7746" w:rsidP="00D71587">
            <w:pPr>
              <w:pStyle w:val="TableText0"/>
              <w:jc w:val="center"/>
              <w:rPr>
                <w:highlight w:val="darkGray"/>
              </w:rPr>
            </w:pPr>
            <w:r w:rsidRPr="007A7746">
              <w:rPr>
                <w:rFonts w:hint="eastAsia"/>
                <w:color w:val="000000"/>
                <w:w w:val="15"/>
                <w:shd w:val="solid" w:color="000000" w:fill="000000"/>
                <w:fitText w:val="58" w:id="-693979893"/>
                <w14:textFill>
                  <w14:solidFill>
                    <w14:srgbClr w14:val="000000">
                      <w14:alpha w14:val="100000"/>
                    </w14:srgbClr>
                  </w14:solidFill>
                </w14:textFill>
              </w:rPr>
              <w:t xml:space="preserve">　</w:t>
            </w:r>
            <w:r w:rsidRPr="007A7746">
              <w:rPr>
                <w:color w:val="000000"/>
                <w:w w:val="15"/>
                <w:shd w:val="solid" w:color="000000" w:fill="000000"/>
                <w:fitText w:val="58" w:id="-693979893"/>
                <w14:textFill>
                  <w14:solidFill>
                    <w14:srgbClr w14:val="000000">
                      <w14:alpha w14:val="100000"/>
                    </w14:srgbClr>
                  </w14:solidFill>
                </w14:textFill>
              </w:rPr>
              <w:t>|</w:t>
            </w:r>
            <w:r w:rsidRPr="007A7746">
              <w:rPr>
                <w:rFonts w:hint="eastAsia"/>
                <w:color w:val="000000"/>
                <w:spacing w:val="-7"/>
                <w:w w:val="15"/>
                <w:shd w:val="solid" w:color="000000" w:fill="000000"/>
                <w:fitText w:val="58" w:id="-693979893"/>
                <w14:textFill>
                  <w14:solidFill>
                    <w14:srgbClr w14:val="000000">
                      <w14:alpha w14:val="100000"/>
                    </w14:srgbClr>
                  </w14:solidFill>
                </w14:textFill>
              </w:rPr>
              <w:t xml:space="preserve">　</w:t>
            </w:r>
            <w:r w:rsidR="0085570C" w:rsidRPr="0085570C">
              <w:rPr>
                <w:vertAlign w:val="superscript"/>
              </w:rPr>
              <w:t>10</w:t>
            </w:r>
          </w:p>
        </w:tc>
        <w:tc>
          <w:tcPr>
            <w:tcW w:w="637" w:type="pct"/>
            <w:shd w:val="clear" w:color="auto" w:fill="auto"/>
          </w:tcPr>
          <w:p w14:paraId="2F198C3B" w14:textId="149616E8" w:rsidR="0004729F" w:rsidRPr="009F7FF9" w:rsidRDefault="007A7746" w:rsidP="00D71587">
            <w:pPr>
              <w:pStyle w:val="TableText0"/>
              <w:jc w:val="center"/>
              <w:rPr>
                <w:highlight w:val="darkGray"/>
              </w:rPr>
            </w:pPr>
            <w:r w:rsidRPr="007A7746">
              <w:rPr>
                <w:rFonts w:hint="eastAsia"/>
                <w:color w:val="000000"/>
                <w:w w:val="15"/>
                <w:shd w:val="solid" w:color="000000" w:fill="000000"/>
                <w:fitText w:val="57" w:id="-693979892"/>
                <w14:textFill>
                  <w14:solidFill>
                    <w14:srgbClr w14:val="000000">
                      <w14:alpha w14:val="100000"/>
                    </w14:srgbClr>
                  </w14:solidFill>
                </w14:textFill>
              </w:rPr>
              <w:t xml:space="preserve">　</w:t>
            </w:r>
            <w:r w:rsidRPr="007A7746">
              <w:rPr>
                <w:color w:val="000000"/>
                <w:w w:val="15"/>
                <w:shd w:val="solid" w:color="000000" w:fill="000000"/>
                <w:fitText w:val="57" w:id="-693979892"/>
                <w14:textFill>
                  <w14:solidFill>
                    <w14:srgbClr w14:val="000000">
                      <w14:alpha w14:val="100000"/>
                    </w14:srgbClr>
                  </w14:solidFill>
                </w14:textFill>
              </w:rPr>
              <w:t>|</w:t>
            </w:r>
            <w:r w:rsidRPr="007A7746">
              <w:rPr>
                <w:rFonts w:hint="eastAsia"/>
                <w:color w:val="000000"/>
                <w:spacing w:val="-8"/>
                <w:w w:val="15"/>
                <w:shd w:val="solid" w:color="000000" w:fill="000000"/>
                <w:fitText w:val="57" w:id="-693979892"/>
                <w14:textFill>
                  <w14:solidFill>
                    <w14:srgbClr w14:val="000000">
                      <w14:alpha w14:val="100000"/>
                    </w14:srgbClr>
                  </w14:solidFill>
                </w14:textFill>
              </w:rPr>
              <w:t xml:space="preserve">　</w:t>
            </w:r>
            <w:r w:rsidR="0085570C" w:rsidRPr="0085570C">
              <w:rPr>
                <w:vertAlign w:val="superscript"/>
              </w:rPr>
              <w:t>10</w:t>
            </w:r>
          </w:p>
        </w:tc>
        <w:tc>
          <w:tcPr>
            <w:tcW w:w="637" w:type="pct"/>
            <w:shd w:val="clear" w:color="auto" w:fill="auto"/>
          </w:tcPr>
          <w:p w14:paraId="02258AA7" w14:textId="04CFFF72" w:rsidR="0004729F" w:rsidRPr="009F7FF9" w:rsidRDefault="007A7746" w:rsidP="00D71587">
            <w:pPr>
              <w:pStyle w:val="TableText0"/>
              <w:jc w:val="center"/>
              <w:rPr>
                <w:highlight w:val="darkGray"/>
              </w:rPr>
            </w:pPr>
            <w:r w:rsidRPr="007A7746">
              <w:rPr>
                <w:rFonts w:hint="eastAsia"/>
                <w:color w:val="000000"/>
                <w:w w:val="15"/>
                <w:shd w:val="solid" w:color="000000" w:fill="000000"/>
                <w:fitText w:val="57" w:id="-693979891"/>
                <w14:textFill>
                  <w14:solidFill>
                    <w14:srgbClr w14:val="000000">
                      <w14:alpha w14:val="100000"/>
                    </w14:srgbClr>
                  </w14:solidFill>
                </w14:textFill>
              </w:rPr>
              <w:t xml:space="preserve">　</w:t>
            </w:r>
            <w:r w:rsidRPr="007A7746">
              <w:rPr>
                <w:color w:val="000000"/>
                <w:w w:val="15"/>
                <w:shd w:val="solid" w:color="000000" w:fill="000000"/>
                <w:fitText w:val="57" w:id="-693979891"/>
                <w14:textFill>
                  <w14:solidFill>
                    <w14:srgbClr w14:val="000000">
                      <w14:alpha w14:val="100000"/>
                    </w14:srgbClr>
                  </w14:solidFill>
                </w14:textFill>
              </w:rPr>
              <w:t>|</w:t>
            </w:r>
            <w:r w:rsidRPr="007A7746">
              <w:rPr>
                <w:rFonts w:hint="eastAsia"/>
                <w:color w:val="000000"/>
                <w:spacing w:val="-8"/>
                <w:w w:val="15"/>
                <w:shd w:val="solid" w:color="000000" w:fill="000000"/>
                <w:fitText w:val="57" w:id="-693979891"/>
                <w14:textFill>
                  <w14:solidFill>
                    <w14:srgbClr w14:val="000000">
                      <w14:alpha w14:val="100000"/>
                    </w14:srgbClr>
                  </w14:solidFill>
                </w14:textFill>
              </w:rPr>
              <w:t xml:space="preserve">　</w:t>
            </w:r>
            <w:r w:rsidR="0085570C" w:rsidRPr="0085570C">
              <w:rPr>
                <w:vertAlign w:val="superscript"/>
              </w:rPr>
              <w:t>10</w:t>
            </w:r>
          </w:p>
        </w:tc>
        <w:tc>
          <w:tcPr>
            <w:tcW w:w="637" w:type="pct"/>
            <w:shd w:val="clear" w:color="auto" w:fill="auto"/>
          </w:tcPr>
          <w:p w14:paraId="7544ECA0" w14:textId="6E830E73" w:rsidR="0004729F" w:rsidRPr="009F7FF9" w:rsidRDefault="007A7746" w:rsidP="00D71587">
            <w:pPr>
              <w:pStyle w:val="TableText0"/>
              <w:jc w:val="center"/>
              <w:rPr>
                <w:highlight w:val="darkGray"/>
              </w:rPr>
            </w:pPr>
            <w:r w:rsidRPr="007A7746">
              <w:rPr>
                <w:rFonts w:hint="eastAsia"/>
                <w:color w:val="000000"/>
                <w:w w:val="15"/>
                <w:shd w:val="solid" w:color="000000" w:fill="000000"/>
                <w:fitText w:val="57" w:id="-693979890"/>
                <w14:textFill>
                  <w14:solidFill>
                    <w14:srgbClr w14:val="000000">
                      <w14:alpha w14:val="100000"/>
                    </w14:srgbClr>
                  </w14:solidFill>
                </w14:textFill>
              </w:rPr>
              <w:t xml:space="preserve">　</w:t>
            </w:r>
            <w:r w:rsidRPr="007A7746">
              <w:rPr>
                <w:color w:val="000000"/>
                <w:w w:val="15"/>
                <w:shd w:val="solid" w:color="000000" w:fill="000000"/>
                <w:fitText w:val="57" w:id="-693979890"/>
                <w14:textFill>
                  <w14:solidFill>
                    <w14:srgbClr w14:val="000000">
                      <w14:alpha w14:val="100000"/>
                    </w14:srgbClr>
                  </w14:solidFill>
                </w14:textFill>
              </w:rPr>
              <w:t>|</w:t>
            </w:r>
            <w:r w:rsidRPr="007A7746">
              <w:rPr>
                <w:rFonts w:hint="eastAsia"/>
                <w:color w:val="000000"/>
                <w:spacing w:val="-8"/>
                <w:w w:val="15"/>
                <w:shd w:val="solid" w:color="000000" w:fill="000000"/>
                <w:fitText w:val="57" w:id="-693979890"/>
                <w14:textFill>
                  <w14:solidFill>
                    <w14:srgbClr w14:val="000000">
                      <w14:alpha w14:val="100000"/>
                    </w14:srgbClr>
                  </w14:solidFill>
                </w14:textFill>
              </w:rPr>
              <w:t xml:space="preserve">　</w:t>
            </w:r>
            <w:r w:rsidR="0085570C" w:rsidRPr="0085570C">
              <w:rPr>
                <w:vertAlign w:val="superscript"/>
              </w:rPr>
              <w:t>10</w:t>
            </w:r>
          </w:p>
        </w:tc>
        <w:tc>
          <w:tcPr>
            <w:tcW w:w="638" w:type="pct"/>
          </w:tcPr>
          <w:p w14:paraId="7036ACA9" w14:textId="2A11C73B" w:rsidR="0004729F" w:rsidRPr="009F7FF9" w:rsidRDefault="007A7746" w:rsidP="00D71587">
            <w:pPr>
              <w:pStyle w:val="TableText0"/>
              <w:jc w:val="center"/>
              <w:rPr>
                <w:highlight w:val="darkGray"/>
              </w:rPr>
            </w:pPr>
            <w:r w:rsidRPr="007A7746">
              <w:rPr>
                <w:rFonts w:hint="eastAsia"/>
                <w:color w:val="000000"/>
                <w:w w:val="15"/>
                <w:shd w:val="solid" w:color="000000" w:fill="000000"/>
                <w:fitText w:val="57" w:id="-693979889"/>
                <w14:textFill>
                  <w14:solidFill>
                    <w14:srgbClr w14:val="000000">
                      <w14:alpha w14:val="100000"/>
                    </w14:srgbClr>
                  </w14:solidFill>
                </w14:textFill>
              </w:rPr>
              <w:t xml:space="preserve">　</w:t>
            </w:r>
            <w:r w:rsidRPr="007A7746">
              <w:rPr>
                <w:color w:val="000000"/>
                <w:w w:val="15"/>
                <w:shd w:val="solid" w:color="000000" w:fill="000000"/>
                <w:fitText w:val="57" w:id="-693979889"/>
                <w14:textFill>
                  <w14:solidFill>
                    <w14:srgbClr w14:val="000000">
                      <w14:alpha w14:val="100000"/>
                    </w14:srgbClr>
                  </w14:solidFill>
                </w14:textFill>
              </w:rPr>
              <w:t>|</w:t>
            </w:r>
            <w:r w:rsidRPr="007A7746">
              <w:rPr>
                <w:rFonts w:hint="eastAsia"/>
                <w:color w:val="000000"/>
                <w:spacing w:val="-8"/>
                <w:w w:val="15"/>
                <w:shd w:val="solid" w:color="000000" w:fill="000000"/>
                <w:fitText w:val="57" w:id="-693979889"/>
                <w14:textFill>
                  <w14:solidFill>
                    <w14:srgbClr w14:val="000000">
                      <w14:alpha w14:val="100000"/>
                    </w14:srgbClr>
                  </w14:solidFill>
                </w14:textFill>
              </w:rPr>
              <w:t xml:space="preserve">　</w:t>
            </w:r>
            <w:r w:rsidR="0085570C" w:rsidRPr="0085570C">
              <w:rPr>
                <w:vertAlign w:val="superscript"/>
              </w:rPr>
              <w:t>10</w:t>
            </w:r>
          </w:p>
        </w:tc>
      </w:tr>
      <w:tr w:rsidR="0004729F" w:rsidRPr="004D75BF" w14:paraId="037C8304" w14:textId="77777777" w:rsidTr="589E218A">
        <w:tc>
          <w:tcPr>
            <w:tcW w:w="1177" w:type="pct"/>
            <w:shd w:val="clear" w:color="auto" w:fill="auto"/>
            <w:vAlign w:val="center"/>
          </w:tcPr>
          <w:p w14:paraId="740BB52C" w14:textId="77777777" w:rsidR="0004729F" w:rsidRPr="004D75BF" w:rsidRDefault="0004729F" w:rsidP="00D71587">
            <w:pPr>
              <w:pStyle w:val="TableText0"/>
              <w:rPr>
                <w:sz w:val="19"/>
                <w:szCs w:val="19"/>
              </w:rPr>
            </w:pPr>
            <w:r w:rsidRPr="004D75BF">
              <w:rPr>
                <w:sz w:val="19"/>
                <w:szCs w:val="19"/>
              </w:rPr>
              <w:t>Net cost to the health budget</w:t>
            </w:r>
          </w:p>
        </w:tc>
        <w:tc>
          <w:tcPr>
            <w:tcW w:w="637" w:type="pct"/>
            <w:shd w:val="clear" w:color="auto" w:fill="auto"/>
            <w:vAlign w:val="center"/>
          </w:tcPr>
          <w:p w14:paraId="0032475C" w14:textId="40AC12C5" w:rsidR="0004729F" w:rsidRPr="00243688" w:rsidRDefault="007A7746" w:rsidP="00D71587">
            <w:pPr>
              <w:pStyle w:val="TableText0"/>
              <w:jc w:val="center"/>
              <w:rPr>
                <w:highlight w:val="darkGray"/>
              </w:rPr>
            </w:pPr>
            <w:r w:rsidRPr="007A7746">
              <w:rPr>
                <w:rFonts w:hint="eastAsia"/>
                <w:bCs w:val="0"/>
                <w:color w:val="000000"/>
                <w:w w:val="15"/>
                <w:shd w:val="solid" w:color="000000" w:fill="000000"/>
                <w:fitText w:val="35" w:id="-693979888"/>
                <w14:textFill>
                  <w14:solidFill>
                    <w14:srgbClr w14:val="000000">
                      <w14:alpha w14:val="100000"/>
                    </w14:srgbClr>
                  </w14:solidFill>
                </w14:textFill>
              </w:rPr>
              <w:t xml:space="preserve">　</w:t>
            </w:r>
            <w:r w:rsidRPr="007A7746">
              <w:rPr>
                <w:bCs w:val="0"/>
                <w:color w:val="000000"/>
                <w:w w:val="15"/>
                <w:shd w:val="solid" w:color="000000" w:fill="000000"/>
                <w:fitText w:val="35" w:id="-693979888"/>
                <w14:textFill>
                  <w14:solidFill>
                    <w14:srgbClr w14:val="000000">
                      <w14:alpha w14:val="100000"/>
                    </w14:srgbClr>
                  </w14:solidFill>
                </w14:textFill>
              </w:rPr>
              <w:t>|</w:t>
            </w:r>
            <w:r w:rsidRPr="007A7746">
              <w:rPr>
                <w:rFonts w:hint="eastAsia"/>
                <w:bCs w:val="0"/>
                <w:color w:val="000000"/>
                <w:spacing w:val="-30"/>
                <w:w w:val="15"/>
                <w:shd w:val="solid" w:color="000000" w:fill="000000"/>
                <w:fitText w:val="35" w:id="-693979888"/>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23E836F7" w14:textId="1A49FDE1" w:rsidR="0004729F" w:rsidRPr="00243688" w:rsidRDefault="007A7746" w:rsidP="00D71587">
            <w:pPr>
              <w:pStyle w:val="TableText0"/>
              <w:jc w:val="center"/>
              <w:rPr>
                <w:highlight w:val="darkGray"/>
              </w:rPr>
            </w:pPr>
            <w:r w:rsidRPr="007A7746">
              <w:rPr>
                <w:rFonts w:hint="eastAsia"/>
                <w:bCs w:val="0"/>
                <w:color w:val="000000"/>
                <w:w w:val="15"/>
                <w:shd w:val="solid" w:color="000000" w:fill="000000"/>
                <w:fitText w:val="35" w:id="-693979904"/>
                <w14:textFill>
                  <w14:solidFill>
                    <w14:srgbClr w14:val="000000">
                      <w14:alpha w14:val="100000"/>
                    </w14:srgbClr>
                  </w14:solidFill>
                </w14:textFill>
              </w:rPr>
              <w:t xml:space="preserve">　</w:t>
            </w:r>
            <w:r w:rsidRPr="007A7746">
              <w:rPr>
                <w:bCs w:val="0"/>
                <w:color w:val="000000"/>
                <w:w w:val="15"/>
                <w:shd w:val="solid" w:color="000000" w:fill="000000"/>
                <w:fitText w:val="35" w:id="-693979904"/>
                <w14:textFill>
                  <w14:solidFill>
                    <w14:srgbClr w14:val="000000">
                      <w14:alpha w14:val="100000"/>
                    </w14:srgbClr>
                  </w14:solidFill>
                </w14:textFill>
              </w:rPr>
              <w:t>|</w:t>
            </w:r>
            <w:r w:rsidRPr="007A7746">
              <w:rPr>
                <w:rFonts w:hint="eastAsia"/>
                <w:bCs w:val="0"/>
                <w:color w:val="000000"/>
                <w:spacing w:val="-30"/>
                <w:w w:val="15"/>
                <w:shd w:val="solid" w:color="000000" w:fill="000000"/>
                <w:fitText w:val="35" w:id="-693979904"/>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1E917175" w14:textId="779EEEED" w:rsidR="0004729F" w:rsidRPr="00243688" w:rsidRDefault="007A7746" w:rsidP="00D71587">
            <w:pPr>
              <w:pStyle w:val="TableText0"/>
              <w:jc w:val="center"/>
              <w:rPr>
                <w:highlight w:val="darkGray"/>
              </w:rPr>
            </w:pPr>
            <w:r w:rsidRPr="007A7746">
              <w:rPr>
                <w:rFonts w:hint="eastAsia"/>
                <w:bCs w:val="0"/>
                <w:color w:val="000000"/>
                <w:w w:val="15"/>
                <w:shd w:val="solid" w:color="000000" w:fill="000000"/>
                <w:fitText w:val="34" w:id="-693979903"/>
                <w14:textFill>
                  <w14:solidFill>
                    <w14:srgbClr w14:val="000000">
                      <w14:alpha w14:val="100000"/>
                    </w14:srgbClr>
                  </w14:solidFill>
                </w14:textFill>
              </w:rPr>
              <w:t xml:space="preserve">　</w:t>
            </w:r>
            <w:r w:rsidRPr="007A7746">
              <w:rPr>
                <w:bCs w:val="0"/>
                <w:color w:val="000000"/>
                <w:w w:val="15"/>
                <w:shd w:val="solid" w:color="000000" w:fill="000000"/>
                <w:fitText w:val="34" w:id="-693979903"/>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903"/>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4CBA618E" w14:textId="279178ED" w:rsidR="0004729F" w:rsidRPr="00243688" w:rsidRDefault="007A7746" w:rsidP="00D71587">
            <w:pPr>
              <w:pStyle w:val="TableText0"/>
              <w:jc w:val="center"/>
              <w:rPr>
                <w:highlight w:val="darkGray"/>
              </w:rPr>
            </w:pPr>
            <w:r w:rsidRPr="007A7746">
              <w:rPr>
                <w:rFonts w:hint="eastAsia"/>
                <w:bCs w:val="0"/>
                <w:color w:val="000000"/>
                <w:w w:val="15"/>
                <w:shd w:val="solid" w:color="000000" w:fill="000000"/>
                <w:fitText w:val="34" w:id="-693979902"/>
                <w14:textFill>
                  <w14:solidFill>
                    <w14:srgbClr w14:val="000000">
                      <w14:alpha w14:val="100000"/>
                    </w14:srgbClr>
                  </w14:solidFill>
                </w14:textFill>
              </w:rPr>
              <w:t xml:space="preserve">　</w:t>
            </w:r>
            <w:r w:rsidRPr="007A7746">
              <w:rPr>
                <w:bCs w:val="0"/>
                <w:color w:val="000000"/>
                <w:w w:val="15"/>
                <w:shd w:val="solid" w:color="000000" w:fill="000000"/>
                <w:fitText w:val="34" w:id="-693979902"/>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902"/>
                <w14:textFill>
                  <w14:solidFill>
                    <w14:srgbClr w14:val="000000">
                      <w14:alpha w14:val="100000"/>
                    </w14:srgbClr>
                  </w14:solidFill>
                </w14:textFill>
              </w:rPr>
              <w:t xml:space="preserve">　</w:t>
            </w:r>
            <w:r w:rsidR="009F7FF9" w:rsidRPr="009F7FF9">
              <w:rPr>
                <w:bCs w:val="0"/>
                <w:vertAlign w:val="superscript"/>
              </w:rPr>
              <w:t>9</w:t>
            </w:r>
          </w:p>
        </w:tc>
        <w:tc>
          <w:tcPr>
            <w:tcW w:w="637" w:type="pct"/>
            <w:shd w:val="clear" w:color="auto" w:fill="auto"/>
            <w:vAlign w:val="center"/>
          </w:tcPr>
          <w:p w14:paraId="253D6C70" w14:textId="07F4FBF1" w:rsidR="0004729F" w:rsidRPr="00243688" w:rsidRDefault="007A7746" w:rsidP="00D71587">
            <w:pPr>
              <w:pStyle w:val="TableText0"/>
              <w:jc w:val="center"/>
              <w:rPr>
                <w:highlight w:val="darkGray"/>
              </w:rPr>
            </w:pPr>
            <w:r w:rsidRPr="007A7746">
              <w:rPr>
                <w:rFonts w:hint="eastAsia"/>
                <w:bCs w:val="0"/>
                <w:color w:val="000000"/>
                <w:w w:val="15"/>
                <w:shd w:val="solid" w:color="000000" w:fill="000000"/>
                <w:fitText w:val="34" w:id="-693979901"/>
                <w14:textFill>
                  <w14:solidFill>
                    <w14:srgbClr w14:val="000000">
                      <w14:alpha w14:val="100000"/>
                    </w14:srgbClr>
                  </w14:solidFill>
                </w14:textFill>
              </w:rPr>
              <w:t xml:space="preserve">　</w:t>
            </w:r>
            <w:r w:rsidRPr="007A7746">
              <w:rPr>
                <w:bCs w:val="0"/>
                <w:color w:val="000000"/>
                <w:w w:val="15"/>
                <w:shd w:val="solid" w:color="000000" w:fill="000000"/>
                <w:fitText w:val="34" w:id="-693979901"/>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901"/>
                <w14:textFill>
                  <w14:solidFill>
                    <w14:srgbClr w14:val="000000">
                      <w14:alpha w14:val="100000"/>
                    </w14:srgbClr>
                  </w14:solidFill>
                </w14:textFill>
              </w:rPr>
              <w:t xml:space="preserve">　</w:t>
            </w:r>
            <w:r w:rsidR="009F7FF9" w:rsidRPr="009F7FF9">
              <w:rPr>
                <w:bCs w:val="0"/>
                <w:vertAlign w:val="superscript"/>
              </w:rPr>
              <w:t>9</w:t>
            </w:r>
          </w:p>
        </w:tc>
        <w:tc>
          <w:tcPr>
            <w:tcW w:w="638" w:type="pct"/>
            <w:vAlign w:val="center"/>
          </w:tcPr>
          <w:p w14:paraId="4075D516" w14:textId="0FA0EF44" w:rsidR="0004729F" w:rsidRPr="00243688" w:rsidRDefault="007A7746" w:rsidP="00D71587">
            <w:pPr>
              <w:pStyle w:val="TableText0"/>
              <w:jc w:val="center"/>
              <w:rPr>
                <w:highlight w:val="darkGray"/>
              </w:rPr>
            </w:pPr>
            <w:r w:rsidRPr="007A7746">
              <w:rPr>
                <w:rFonts w:hint="eastAsia"/>
                <w:bCs w:val="0"/>
                <w:color w:val="000000"/>
                <w:w w:val="15"/>
                <w:shd w:val="solid" w:color="000000" w:fill="000000"/>
                <w:fitText w:val="34" w:id="-693979900"/>
                <w14:textFill>
                  <w14:solidFill>
                    <w14:srgbClr w14:val="000000">
                      <w14:alpha w14:val="100000"/>
                    </w14:srgbClr>
                  </w14:solidFill>
                </w14:textFill>
              </w:rPr>
              <w:t xml:space="preserve">　</w:t>
            </w:r>
            <w:r w:rsidRPr="007A7746">
              <w:rPr>
                <w:bCs w:val="0"/>
                <w:color w:val="000000"/>
                <w:w w:val="15"/>
                <w:shd w:val="solid" w:color="000000" w:fill="000000"/>
                <w:fitText w:val="34" w:id="-693979900"/>
                <w14:textFill>
                  <w14:solidFill>
                    <w14:srgbClr w14:val="000000">
                      <w14:alpha w14:val="100000"/>
                    </w14:srgbClr>
                  </w14:solidFill>
                </w14:textFill>
              </w:rPr>
              <w:t>|</w:t>
            </w:r>
            <w:r w:rsidRPr="007A7746">
              <w:rPr>
                <w:rFonts w:hint="eastAsia"/>
                <w:bCs w:val="0"/>
                <w:color w:val="000000"/>
                <w:spacing w:val="-31"/>
                <w:w w:val="15"/>
                <w:shd w:val="solid" w:color="000000" w:fill="000000"/>
                <w:fitText w:val="34" w:id="-693979900"/>
                <w14:textFill>
                  <w14:solidFill>
                    <w14:srgbClr w14:val="000000">
                      <w14:alpha w14:val="100000"/>
                    </w14:srgbClr>
                  </w14:solidFill>
                </w14:textFill>
              </w:rPr>
              <w:t xml:space="preserve">　</w:t>
            </w:r>
            <w:r w:rsidR="009F7FF9" w:rsidRPr="009F7FF9">
              <w:rPr>
                <w:bCs w:val="0"/>
                <w:vertAlign w:val="superscript"/>
              </w:rPr>
              <w:t>9</w:t>
            </w:r>
          </w:p>
        </w:tc>
      </w:tr>
    </w:tbl>
    <w:p w14:paraId="5ABAD1A5" w14:textId="77777777" w:rsidR="0004729F" w:rsidRPr="004D75BF" w:rsidRDefault="0004729F" w:rsidP="00D71587">
      <w:pPr>
        <w:pStyle w:val="TableFigureFooter"/>
        <w:keepNext/>
        <w:widowControl/>
      </w:pPr>
      <w:r w:rsidRPr="004D75BF">
        <w:t>Source: Compiled from Section 4 of the submission.</w:t>
      </w:r>
    </w:p>
    <w:p w14:paraId="4C0992B0" w14:textId="77777777" w:rsidR="0004729F" w:rsidRPr="004D75BF" w:rsidRDefault="0004729F" w:rsidP="00D71587">
      <w:pPr>
        <w:pStyle w:val="TableFigureFooter"/>
        <w:keepNext/>
        <w:widowControl/>
        <w:rPr>
          <w:rStyle w:val="CommentReference"/>
          <w:b w:val="0"/>
          <w:bCs w:val="0"/>
          <w:sz w:val="18"/>
          <w:szCs w:val="18"/>
        </w:rPr>
      </w:pPr>
      <w:r w:rsidRPr="589E218A">
        <w:t>A+L = amivantamab plus lazertinib, MBS = Medicare Benefits Schedule, PBS = Pharmaceutical Benefits Scheme, RPBS = Repatriation Pharmaceutical Benefits Scheme.</w:t>
      </w:r>
    </w:p>
    <w:p w14:paraId="264D4B6C" w14:textId="77777777" w:rsidR="0004729F" w:rsidRPr="004D75BF" w:rsidRDefault="0004729F" w:rsidP="00D71587">
      <w:pPr>
        <w:pStyle w:val="TableFigureFooter"/>
        <w:keepNext/>
        <w:widowControl/>
      </w:pPr>
      <w:r w:rsidRPr="589E218A">
        <w:rPr>
          <w:vertAlign w:val="superscript"/>
        </w:rPr>
        <w:t>a</w:t>
      </w:r>
      <w:r w:rsidRPr="589E218A">
        <w:t xml:space="preserve"> Assuming 33.81 scripts per year in the first 4-week treatment cycle, then 16.91 scripts per year in subsequent cycles as estimated by the submission.</w:t>
      </w:r>
    </w:p>
    <w:p w14:paraId="7E532DC5" w14:textId="77777777" w:rsidR="0004729F" w:rsidRDefault="0004729F" w:rsidP="00D71587">
      <w:pPr>
        <w:pStyle w:val="TableFigureFooter"/>
        <w:keepNext/>
        <w:widowControl/>
      </w:pPr>
      <w:r w:rsidRPr="004D75BF">
        <w:rPr>
          <w:vertAlign w:val="superscript"/>
        </w:rPr>
        <w:t>b</w:t>
      </w:r>
      <w:r w:rsidRPr="004D75BF">
        <w:t xml:space="preserve"> Assuming 9.96 scripts per year as estimated by the submission.</w:t>
      </w:r>
    </w:p>
    <w:p w14:paraId="21BE4E3A" w14:textId="0B515AFA" w:rsidR="00090B46" w:rsidRDefault="00090B46" w:rsidP="00D71587">
      <w:pPr>
        <w:pStyle w:val="TableFigureFooter"/>
        <w:keepNext/>
        <w:widowControl/>
      </w:pPr>
      <w:r w:rsidRPr="00090B46">
        <w:rPr>
          <w:vertAlign w:val="superscript"/>
        </w:rPr>
        <w:t>c</w:t>
      </w:r>
      <w:r>
        <w:t xml:space="preserve"> The submission </w:t>
      </w:r>
      <w:r w:rsidR="00D62F29">
        <w:t xml:space="preserve">incorrectly omitted initial scripts </w:t>
      </w:r>
      <w:r w:rsidR="00A63EFF">
        <w:t>for lazertinib in the calculations.</w:t>
      </w:r>
    </w:p>
    <w:p w14:paraId="13CA48FC" w14:textId="77777777" w:rsidR="00BF162A" w:rsidRDefault="00A87383" w:rsidP="00D71587">
      <w:pPr>
        <w:pStyle w:val="TableFigureFooter"/>
        <w:keepNext/>
        <w:widowControl/>
      </w:pPr>
      <w:r w:rsidRPr="00A87383">
        <w:rPr>
          <w:vertAlign w:val="superscript"/>
        </w:rPr>
        <w:t>d</w:t>
      </w:r>
      <w:r w:rsidR="00DA4924">
        <w:t xml:space="preserve"> Twenty</w:t>
      </w:r>
      <w:r>
        <w:t>-</w:t>
      </w:r>
      <w:r w:rsidR="00DA4924">
        <w:t>nine g</w:t>
      </w:r>
      <w:r w:rsidR="00DA4924" w:rsidRPr="00DA4924">
        <w:t xml:space="preserve">randfathered patients </w:t>
      </w:r>
      <w:r w:rsidR="00DA4924" w:rsidRPr="00B45AE2">
        <w:t>have been included</w:t>
      </w:r>
      <w:r w:rsidR="00DA4924" w:rsidRPr="00DA4924">
        <w:t xml:space="preserve"> in the </w:t>
      </w:r>
      <w:r w:rsidR="005D2E5D">
        <w:t>financial totals shown in the table</w:t>
      </w:r>
      <w:r w:rsidR="00DA4924" w:rsidRPr="00DA4924">
        <w:t>.</w:t>
      </w:r>
      <w:r w:rsidR="0086752C">
        <w:t xml:space="preserve"> The evaluation </w:t>
      </w:r>
      <w:r w:rsidR="006E1E6A">
        <w:t>noted</w:t>
      </w:r>
      <w:r w:rsidR="0086752C">
        <w:t xml:space="preserve"> that grandfathered patients should not have been </w:t>
      </w:r>
      <w:r w:rsidR="00445A62">
        <w:t>incorporated as a separate cohort</w:t>
      </w:r>
      <w:r w:rsidR="00E2014E">
        <w:t>, as they would already have been included in the estimate for the A+L market share</w:t>
      </w:r>
      <w:r w:rsidR="00400610">
        <w:t xml:space="preserve"> and have thus been double-counted</w:t>
      </w:r>
    </w:p>
    <w:p w14:paraId="455B94E4" w14:textId="77777777" w:rsidR="00BF162A" w:rsidRPr="00306653" w:rsidRDefault="00BF162A" w:rsidP="00D71587">
      <w:pPr>
        <w:pStyle w:val="TableFigureFooter"/>
        <w:keepNext/>
        <w:widowControl/>
        <w:rPr>
          <w:i/>
          <w:iCs/>
        </w:rPr>
      </w:pPr>
      <w:r w:rsidRPr="00306653">
        <w:rPr>
          <w:i/>
          <w:iCs/>
        </w:rPr>
        <w:t xml:space="preserve">The redacted values correspond to the following ranges: </w:t>
      </w:r>
    </w:p>
    <w:p w14:paraId="75CCB975" w14:textId="615D1A13" w:rsidR="00BF162A" w:rsidRPr="00306653" w:rsidRDefault="00860AD0" w:rsidP="00D71587">
      <w:pPr>
        <w:pStyle w:val="TableFigureFooter"/>
        <w:keepNext/>
        <w:widowControl/>
        <w:rPr>
          <w:i/>
          <w:iCs/>
        </w:rPr>
      </w:pPr>
      <w:r w:rsidRPr="00306653">
        <w:rPr>
          <w:i/>
          <w:iCs/>
          <w:vertAlign w:val="superscript"/>
        </w:rPr>
        <w:t>1</w:t>
      </w:r>
      <w:r w:rsidR="00BF162A" w:rsidRPr="00306653">
        <w:rPr>
          <w:i/>
          <w:iCs/>
        </w:rPr>
        <w:t xml:space="preserve"> 500 to &lt; 5,000</w:t>
      </w:r>
    </w:p>
    <w:p w14:paraId="73DA36C3" w14:textId="72B69D5D" w:rsidR="00A13D42" w:rsidRPr="00306653" w:rsidRDefault="00FD7C9F" w:rsidP="00D71587">
      <w:pPr>
        <w:pStyle w:val="TableFigureFooter"/>
        <w:keepNext/>
        <w:widowControl/>
        <w:rPr>
          <w:i/>
          <w:iCs/>
        </w:rPr>
      </w:pPr>
      <w:r w:rsidRPr="00306653">
        <w:rPr>
          <w:i/>
          <w:iCs/>
          <w:vertAlign w:val="superscript"/>
        </w:rPr>
        <w:t>2</w:t>
      </w:r>
      <w:r w:rsidR="007A368B">
        <w:rPr>
          <w:i/>
          <w:iCs/>
          <w:vertAlign w:val="superscript"/>
        </w:rPr>
        <w:t xml:space="preserve"> </w:t>
      </w:r>
      <w:r w:rsidRPr="00306653">
        <w:rPr>
          <w:i/>
          <w:iCs/>
        </w:rPr>
        <w:t>&lt; 500</w:t>
      </w:r>
    </w:p>
    <w:p w14:paraId="5C699AD5" w14:textId="773BF09F" w:rsidR="00C44004" w:rsidRPr="00306653" w:rsidRDefault="00A13D42" w:rsidP="00D71587">
      <w:pPr>
        <w:pStyle w:val="TableFigureFooter"/>
        <w:keepNext/>
        <w:widowControl/>
        <w:rPr>
          <w:i/>
          <w:iCs/>
        </w:rPr>
      </w:pPr>
      <w:r w:rsidRPr="00306653">
        <w:rPr>
          <w:i/>
          <w:iCs/>
          <w:vertAlign w:val="superscript"/>
        </w:rPr>
        <w:t>3</w:t>
      </w:r>
      <w:r w:rsidR="007A368B">
        <w:rPr>
          <w:i/>
          <w:iCs/>
        </w:rPr>
        <w:t xml:space="preserve"> </w:t>
      </w:r>
      <w:r w:rsidRPr="00306653">
        <w:rPr>
          <w:i/>
          <w:iCs/>
        </w:rPr>
        <w:t>10,000 to &lt; 20,000</w:t>
      </w:r>
    </w:p>
    <w:p w14:paraId="4C0EEAD0" w14:textId="77777777" w:rsidR="00682C98" w:rsidRPr="00306653" w:rsidRDefault="00C44004" w:rsidP="00D71587">
      <w:pPr>
        <w:pStyle w:val="TableFigureFooter"/>
        <w:keepNext/>
        <w:widowControl/>
        <w:rPr>
          <w:i/>
          <w:iCs/>
        </w:rPr>
      </w:pPr>
      <w:r w:rsidRPr="00306653">
        <w:rPr>
          <w:i/>
          <w:iCs/>
          <w:vertAlign w:val="superscript"/>
        </w:rPr>
        <w:t>4</w:t>
      </w:r>
      <w:r w:rsidRPr="00306653">
        <w:rPr>
          <w:i/>
          <w:iCs/>
        </w:rPr>
        <w:t xml:space="preserve"> 20,000 to &lt; 30,000</w:t>
      </w:r>
      <w:bookmarkStart w:id="125" w:name="_Hlk113629206"/>
    </w:p>
    <w:p w14:paraId="7826326A" w14:textId="77777777" w:rsidR="00FD6A63" w:rsidRPr="00306653" w:rsidRDefault="00682C98" w:rsidP="00D71587">
      <w:pPr>
        <w:pStyle w:val="TableFigureFooter"/>
        <w:keepNext/>
        <w:widowControl/>
        <w:rPr>
          <w:i/>
          <w:iCs/>
        </w:rPr>
      </w:pPr>
      <w:r w:rsidRPr="00306653">
        <w:rPr>
          <w:i/>
          <w:iCs/>
          <w:vertAlign w:val="superscript"/>
        </w:rPr>
        <w:t>5</w:t>
      </w:r>
      <w:r w:rsidRPr="00306653">
        <w:rPr>
          <w:i/>
          <w:iCs/>
        </w:rPr>
        <w:t xml:space="preserve"> 5,000 to &lt; 10,000</w:t>
      </w:r>
      <w:bookmarkStart w:id="126" w:name="_Hlk113629074"/>
    </w:p>
    <w:p w14:paraId="54A61F9A" w14:textId="3F8DA32E" w:rsidR="00FD6A63" w:rsidRPr="00306653" w:rsidRDefault="00FD6A63" w:rsidP="00D71587">
      <w:pPr>
        <w:pStyle w:val="TableFigureFooter"/>
        <w:keepNext/>
        <w:widowControl/>
        <w:rPr>
          <w:i/>
          <w:iCs/>
        </w:rPr>
      </w:pPr>
      <w:r w:rsidRPr="00306653">
        <w:rPr>
          <w:i/>
          <w:iCs/>
          <w:vertAlign w:val="superscript"/>
        </w:rPr>
        <w:t>6</w:t>
      </w:r>
      <w:r w:rsidRPr="00306653">
        <w:rPr>
          <w:i/>
          <w:iCs/>
        </w:rPr>
        <w:t xml:space="preserve"> $40 million to &lt; $50 million</w:t>
      </w:r>
    </w:p>
    <w:p w14:paraId="55CEF4C7" w14:textId="42F6EB0D" w:rsidR="003479E0" w:rsidRPr="00306653" w:rsidRDefault="00D54481" w:rsidP="00D71587">
      <w:pPr>
        <w:pStyle w:val="TableFigureFooter"/>
        <w:keepNext/>
        <w:widowControl/>
        <w:rPr>
          <w:i/>
          <w:iCs/>
        </w:rPr>
      </w:pPr>
      <w:bookmarkStart w:id="127" w:name="_Hlk113629230"/>
      <w:bookmarkEnd w:id="126"/>
      <w:r w:rsidRPr="00306653">
        <w:rPr>
          <w:i/>
          <w:iCs/>
          <w:vertAlign w:val="superscript"/>
        </w:rPr>
        <w:t>7</w:t>
      </w:r>
      <w:r w:rsidRPr="00306653">
        <w:rPr>
          <w:i/>
          <w:iCs/>
        </w:rPr>
        <w:t xml:space="preserve"> </w:t>
      </w:r>
      <w:r w:rsidR="00FD6A63" w:rsidRPr="00306653">
        <w:rPr>
          <w:i/>
          <w:iCs/>
        </w:rPr>
        <w:t>$90 million to &lt; $100 million</w:t>
      </w:r>
      <w:bookmarkStart w:id="128" w:name="_Hlk113629257"/>
    </w:p>
    <w:p w14:paraId="0F84144E" w14:textId="77777777" w:rsidR="0085570C" w:rsidRPr="00306653" w:rsidRDefault="003479E0" w:rsidP="00D71587">
      <w:pPr>
        <w:pStyle w:val="TableFigureFooter"/>
        <w:keepNext/>
        <w:widowControl/>
        <w:rPr>
          <w:rFonts w:ascii="Arial" w:hAnsi="Arial"/>
          <w:i/>
          <w:iCs/>
          <w:color w:val="333333"/>
          <w:sz w:val="21"/>
          <w:szCs w:val="21"/>
        </w:rPr>
      </w:pPr>
      <w:r w:rsidRPr="00306653">
        <w:rPr>
          <w:i/>
          <w:iCs/>
          <w:vertAlign w:val="superscript"/>
        </w:rPr>
        <w:t>8</w:t>
      </w:r>
      <w:r w:rsidRPr="00306653">
        <w:rPr>
          <w:i/>
          <w:iCs/>
        </w:rPr>
        <w:t xml:space="preserve"> $100 million to &lt; $200 million</w:t>
      </w:r>
      <w:bookmarkStart w:id="129" w:name="_Hlk113629082"/>
      <w:r w:rsidR="0085570C" w:rsidRPr="00306653">
        <w:rPr>
          <w:rFonts w:ascii="Arial" w:hAnsi="Arial"/>
          <w:i/>
          <w:iCs/>
          <w:color w:val="333333"/>
          <w:sz w:val="21"/>
          <w:szCs w:val="21"/>
        </w:rPr>
        <w:t xml:space="preserve"> </w:t>
      </w:r>
    </w:p>
    <w:p w14:paraId="360B9EB8" w14:textId="647F85BE" w:rsidR="0085570C" w:rsidRPr="00306653" w:rsidRDefault="0085570C" w:rsidP="00D71587">
      <w:pPr>
        <w:pStyle w:val="TableFigureFooter"/>
        <w:keepNext/>
        <w:widowControl/>
        <w:rPr>
          <w:i/>
          <w:iCs/>
        </w:rPr>
      </w:pPr>
      <w:r w:rsidRPr="00306653">
        <w:rPr>
          <w:i/>
          <w:iCs/>
          <w:vertAlign w:val="superscript"/>
        </w:rPr>
        <w:t>9</w:t>
      </w:r>
      <w:r w:rsidRPr="00306653">
        <w:rPr>
          <w:rFonts w:ascii="Arial" w:hAnsi="Arial"/>
          <w:i/>
          <w:iCs/>
          <w:color w:val="333333"/>
          <w:sz w:val="21"/>
          <w:szCs w:val="21"/>
        </w:rPr>
        <w:t xml:space="preserve"> </w:t>
      </w:r>
      <w:r w:rsidRPr="00306653">
        <w:rPr>
          <w:i/>
          <w:iCs/>
        </w:rPr>
        <w:t>net cost saving</w:t>
      </w:r>
    </w:p>
    <w:bookmarkEnd w:id="125"/>
    <w:bookmarkEnd w:id="127"/>
    <w:bookmarkEnd w:id="128"/>
    <w:bookmarkEnd w:id="129"/>
    <w:p w14:paraId="2ACBC4C3" w14:textId="68EBD465" w:rsidR="00DA4924" w:rsidRPr="00306653" w:rsidRDefault="0085570C" w:rsidP="007A7746">
      <w:pPr>
        <w:pStyle w:val="TableFigureFooter"/>
        <w:rPr>
          <w:i/>
          <w:iCs/>
        </w:rPr>
      </w:pPr>
      <w:r w:rsidRPr="00306653">
        <w:rPr>
          <w:i/>
          <w:iCs/>
          <w:vertAlign w:val="superscript"/>
        </w:rPr>
        <w:t>10</w:t>
      </w:r>
      <w:r w:rsidR="00BF162A" w:rsidRPr="00306653">
        <w:rPr>
          <w:i/>
          <w:iCs/>
        </w:rPr>
        <w:t xml:space="preserve"> $0 to &lt; $10 million</w:t>
      </w:r>
    </w:p>
    <w:p w14:paraId="242664AC" w14:textId="153E6476" w:rsidR="0004729F" w:rsidRPr="00073031" w:rsidRDefault="0004729F" w:rsidP="00073031">
      <w:pPr>
        <w:pStyle w:val="3-BodyText"/>
        <w:ind w:left="709" w:hanging="709"/>
        <w:rPr>
          <w:color w:val="0066FF"/>
        </w:rPr>
      </w:pPr>
      <w:bookmarkStart w:id="130" w:name="_Ref195116795"/>
      <w:r>
        <w:t xml:space="preserve">The submission sourced recent 100% PBS data (2019−2023) </w:t>
      </w:r>
      <w:r w:rsidR="00BB2763">
        <w:t>fr</w:t>
      </w:r>
      <w:r w:rsidR="482A89B1">
        <w:t>o</w:t>
      </w:r>
      <w:r w:rsidR="00BB2763">
        <w:t>m the DUSC Secretariat</w:t>
      </w:r>
      <w:r>
        <w:t xml:space="preserve"> on </w:t>
      </w:r>
      <w:r w:rsidRPr="62B7C584">
        <w:rPr>
          <w:i/>
          <w:iCs/>
        </w:rPr>
        <w:t>EGFR</w:t>
      </w:r>
      <w:r>
        <w:t xml:space="preserve"> TKI therapies </w:t>
      </w:r>
      <w:bookmarkStart w:id="131" w:name="_Hlk188363752"/>
      <w:r>
        <w:t>(afa</w:t>
      </w:r>
      <w:r w:rsidRPr="62B7C584">
        <w:rPr>
          <w:rFonts w:ascii="Calibri" w:eastAsia="Calibri" w:hAnsi="Calibri" w:cs="Calibri"/>
        </w:rPr>
        <w:t>ti</w:t>
      </w:r>
      <w:r>
        <w:t>nib, erlo</w:t>
      </w:r>
      <w:r w:rsidRPr="62B7C584">
        <w:rPr>
          <w:rFonts w:ascii="Calibri" w:eastAsia="Calibri" w:hAnsi="Calibri" w:cs="Calibri"/>
        </w:rPr>
        <w:t>ti</w:t>
      </w:r>
      <w:r>
        <w:t>nib, gefi</w:t>
      </w:r>
      <w:r w:rsidRPr="62B7C584">
        <w:rPr>
          <w:rFonts w:ascii="Calibri" w:eastAsia="Calibri" w:hAnsi="Calibri" w:cs="Calibri"/>
        </w:rPr>
        <w:t>ti</w:t>
      </w:r>
      <w:r>
        <w:t>nib and osimer</w:t>
      </w:r>
      <w:r w:rsidRPr="62B7C584">
        <w:rPr>
          <w:rFonts w:ascii="Calibri" w:eastAsia="Calibri" w:hAnsi="Calibri" w:cs="Calibri"/>
        </w:rPr>
        <w:t>ti</w:t>
      </w:r>
      <w:r>
        <w:t>nib)</w:t>
      </w:r>
      <w:bookmarkEnd w:id="131"/>
      <w:r>
        <w:t xml:space="preserve"> used for the first-line treatment of </w:t>
      </w:r>
      <w:r w:rsidR="00F639C0" w:rsidRPr="62B7C584">
        <w:rPr>
          <w:i/>
          <w:iCs/>
        </w:rPr>
        <w:t>EGFR</w:t>
      </w:r>
      <w:r>
        <w:t xml:space="preserve">m NSCLC to estimate patients in population 1. The submission applied a power regression to the 2019−2023 data to predict </w:t>
      </w:r>
      <w:r w:rsidRPr="62B7C584">
        <w:rPr>
          <w:i/>
          <w:iCs/>
        </w:rPr>
        <w:t>EGFRm</w:t>
      </w:r>
      <w:r>
        <w:t xml:space="preserve"> TKI first-line </w:t>
      </w:r>
      <w:r w:rsidR="00F639C0" w:rsidRPr="62B7C584">
        <w:rPr>
          <w:i/>
          <w:iCs/>
        </w:rPr>
        <w:t>EGFR</w:t>
      </w:r>
      <w:r>
        <w:t>m NSCLC initiations in 2023−30. The submission noted that this regression was chosen given it fitted the data well (r</w:t>
      </w:r>
      <w:r w:rsidRPr="62B7C584">
        <w:rPr>
          <w:vertAlign w:val="superscript"/>
        </w:rPr>
        <w:t>2</w:t>
      </w:r>
      <w:r>
        <w:t xml:space="preserve"> = 0.67) and was visually plausible. </w:t>
      </w:r>
      <w:r w:rsidR="00D64DBD">
        <w:t>The evaluation considered that t</w:t>
      </w:r>
      <w:r>
        <w:t>his was uncertain. Fitting the exponential, linear and polynomial functions yielded higher r</w:t>
      </w:r>
      <w:r w:rsidRPr="62B7C584">
        <w:rPr>
          <w:vertAlign w:val="superscript"/>
        </w:rPr>
        <w:t>2</w:t>
      </w:r>
      <w:r>
        <w:t xml:space="preserve"> of 0.724, 0.721, and 0.726, respectively. These 3 functions also predicted higher patient numbers compared to the power extrapolation. Furthermore, the power extrapolation formula applied in the financial estimates model was inconsistent with the power extrapolation reported </w:t>
      </w:r>
      <w:r w:rsidR="00055721">
        <w:t xml:space="preserve">in the main body of </w:t>
      </w:r>
      <w:r>
        <w:t xml:space="preserve">the submission. The extrapolation used by the submission and other extrapolations </w:t>
      </w:r>
      <w:r w:rsidR="008F578A">
        <w:t>undertaken</w:t>
      </w:r>
      <w:r>
        <w:t xml:space="preserve"> during the evaluation are presented in </w:t>
      </w:r>
      <w:r>
        <w:fldChar w:fldCharType="begin"/>
      </w:r>
      <w:r>
        <w:instrText xml:space="preserve"> REF _Ref185946108 \h </w:instrText>
      </w:r>
      <w:r>
        <w:fldChar w:fldCharType="separate"/>
      </w:r>
      <w:r w:rsidR="00184F9A" w:rsidRPr="589E218A">
        <w:t xml:space="preserve">Figure </w:t>
      </w:r>
      <w:r w:rsidR="00184F9A">
        <w:rPr>
          <w:noProof/>
        </w:rPr>
        <w:t>6</w:t>
      </w:r>
      <w:r w:rsidR="00184F9A" w:rsidRPr="589E218A">
        <w:t xml:space="preserve">. </w:t>
      </w:r>
      <w:r>
        <w:fldChar w:fldCharType="end"/>
      </w:r>
      <w:bookmarkEnd w:id="130"/>
    </w:p>
    <w:p w14:paraId="6FF0EABB" w14:textId="6931961D" w:rsidR="0004729F" w:rsidRPr="004D75BF" w:rsidRDefault="00E9720E" w:rsidP="0004729F">
      <w:pPr>
        <w:pStyle w:val="TableFigureHeading"/>
      </w:pPr>
      <w:bookmarkStart w:id="132" w:name="_Ref185946108"/>
      <w:r w:rsidRPr="589E218A">
        <w:t xml:space="preserve">Figure </w:t>
      </w:r>
      <w:r w:rsidR="001B4556">
        <w:fldChar w:fldCharType="begin"/>
      </w:r>
      <w:r w:rsidR="001B4556">
        <w:instrText xml:space="preserve"> SEQ Figure \* ARABIC </w:instrText>
      </w:r>
      <w:r w:rsidR="001B4556">
        <w:fldChar w:fldCharType="separate"/>
      </w:r>
      <w:r w:rsidR="00184F9A">
        <w:rPr>
          <w:noProof/>
        </w:rPr>
        <w:t>6</w:t>
      </w:r>
      <w:r w:rsidR="001B4556">
        <w:rPr>
          <w:noProof/>
        </w:rPr>
        <w:fldChar w:fldCharType="end"/>
      </w:r>
      <w:r w:rsidR="00BD42A5" w:rsidRPr="589E218A">
        <w:t>.</w:t>
      </w:r>
      <w:r w:rsidRPr="589E218A">
        <w:t xml:space="preserve"> </w:t>
      </w:r>
      <w:bookmarkEnd w:id="132"/>
      <w:r w:rsidR="0004729F" w:rsidRPr="589E218A">
        <w:t xml:space="preserve">Number of incident first-line </w:t>
      </w:r>
      <w:r w:rsidR="00F639C0" w:rsidRPr="589E218A">
        <w:rPr>
          <w:i/>
          <w:iCs/>
        </w:rPr>
        <w:t>EGFR</w:t>
      </w:r>
      <w:r w:rsidR="0004729F" w:rsidRPr="589E218A">
        <w:t>m NSCLC patients before accounting for adjuvant osimertinib impact</w:t>
      </w:r>
    </w:p>
    <w:p w14:paraId="0869F662" w14:textId="283B93E2" w:rsidR="0004729F" w:rsidRPr="004D75BF" w:rsidRDefault="00962A19" w:rsidP="0004729F">
      <w:pPr>
        <w:pStyle w:val="TableFigureHeading"/>
      </w:pPr>
      <w:r>
        <w:rPr>
          <w:noProof/>
        </w:rPr>
        <w:drawing>
          <wp:inline distT="0" distB="0" distL="0" distR="0" wp14:anchorId="384E8037" wp14:editId="46BDFA3F">
            <wp:extent cx="5728970" cy="2094865"/>
            <wp:effectExtent l="0" t="0" r="5080" b="635"/>
            <wp:docPr id="912327346" name="Picture 1" descr="Figure 6. Number of incident first-line EGFRm NSCLC patients before accounting for adjuvant osimertinib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27346" name="Picture 1" descr="Figure 6. Number of incident first-line EGFRm NSCLC patients before accounting for adjuvant osimertinib impa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970" cy="2094865"/>
                    </a:xfrm>
                    <a:prstGeom prst="rect">
                      <a:avLst/>
                    </a:prstGeom>
                    <a:noFill/>
                    <a:ln>
                      <a:noFill/>
                    </a:ln>
                  </pic:spPr>
                </pic:pic>
              </a:graphicData>
            </a:graphic>
          </wp:inline>
        </w:drawing>
      </w:r>
    </w:p>
    <w:p w14:paraId="641DB72F" w14:textId="77777777" w:rsidR="0004729F" w:rsidRPr="004D75BF" w:rsidRDefault="0004729F" w:rsidP="007A7746">
      <w:pPr>
        <w:pStyle w:val="TableFigureFooter"/>
      </w:pPr>
      <w:r w:rsidRPr="004D75BF">
        <w:t>Source: Compiled in the evaluation.</w:t>
      </w:r>
    </w:p>
    <w:p w14:paraId="63097F02" w14:textId="61F2FECB" w:rsidR="0004729F" w:rsidRPr="004D75BF" w:rsidRDefault="00F639C0" w:rsidP="007A7746">
      <w:pPr>
        <w:pStyle w:val="TableFigureFooter"/>
      </w:pPr>
      <w:r w:rsidRPr="00F639C0">
        <w:rPr>
          <w:i/>
        </w:rPr>
        <w:t>EGFR</w:t>
      </w:r>
      <w:r w:rsidR="0004729F" w:rsidRPr="004D75BF">
        <w:t>m = epidermal growth factor receptor mutation, NSCLC = non-small cell lung cancer, PBS = Pharmaceutical Benefits Scheme.</w:t>
      </w:r>
    </w:p>
    <w:p w14:paraId="7E5A5002" w14:textId="20679624" w:rsidR="0004729F" w:rsidRPr="004D75BF" w:rsidRDefault="0004729F" w:rsidP="003576D0">
      <w:pPr>
        <w:pStyle w:val="3-BodyText"/>
        <w:ind w:left="709" w:hanging="709"/>
      </w:pPr>
      <w:r w:rsidRPr="589E218A">
        <w:t>The submission noted that the listing of osimertinib</w:t>
      </w:r>
      <w:r w:rsidR="00E05A42">
        <w:t xml:space="preserve"> in the adjuvant setting</w:t>
      </w:r>
      <w:r w:rsidRPr="589E218A">
        <w:t xml:space="preserve"> would slow the growth rate of patient initiators in population 1, </w:t>
      </w:r>
      <w:r w:rsidR="00905E43" w:rsidRPr="589E218A">
        <w:t>given its</w:t>
      </w:r>
      <w:r w:rsidRPr="589E218A">
        <w:t xml:space="preserve"> efficacy in the stage IB-IIIA setting. To account for this, the submission adjusted the estimates</w:t>
      </w:r>
      <w:r w:rsidR="00166CA3" w:rsidRPr="589E218A">
        <w:t xml:space="preserve"> of the annual growth</w:t>
      </w:r>
      <w:r w:rsidRPr="589E218A">
        <w:t>. The submission applied a 55% reduction in growth each year as it was approximately equal to the estimated number of patients in population 2 each year</w:t>
      </w:r>
      <w:r w:rsidR="00B31FEE" w:rsidRPr="589E218A">
        <w:t>;</w:t>
      </w:r>
      <w:r w:rsidRPr="589E218A">
        <w:t xml:space="preserve"> </w:t>
      </w:r>
      <w:r w:rsidR="00B31FEE" w:rsidRPr="00214225">
        <w:t xml:space="preserve">however, </w:t>
      </w:r>
      <w:r w:rsidR="00BC1480" w:rsidRPr="00214225">
        <w:t xml:space="preserve">the evaluation considered </w:t>
      </w:r>
      <w:r w:rsidR="00B31FEE" w:rsidRPr="00214225">
        <w:t>t</w:t>
      </w:r>
      <w:r w:rsidRPr="00214225">
        <w:t xml:space="preserve">his assumption </w:t>
      </w:r>
      <w:r w:rsidR="00BC1480" w:rsidRPr="00214225">
        <w:t xml:space="preserve">to be </w:t>
      </w:r>
      <w:r w:rsidRPr="00214225">
        <w:t>unsupported and uncertain.</w:t>
      </w:r>
      <w:r w:rsidR="009932F1" w:rsidRPr="00214225">
        <w:t xml:space="preserve"> The PSCR clarified the</w:t>
      </w:r>
      <w:r w:rsidR="001340B7" w:rsidRPr="00214225">
        <w:t xml:space="preserve"> </w:t>
      </w:r>
      <w:r w:rsidR="009932F1" w:rsidRPr="00214225">
        <w:t xml:space="preserve">magnitude of the reduction in the growth rate was estimated to be 55% by calibrating the </w:t>
      </w:r>
      <w:r w:rsidR="001340B7" w:rsidRPr="00214225">
        <w:t>percent</w:t>
      </w:r>
      <w:r w:rsidR="009932F1" w:rsidRPr="00214225">
        <w:t xml:space="preserve"> reduction against the number of adjuvant-osimertinib experienced patients who were expected to progress to the first line metastatic setting over the 6-year forward estimates period.</w:t>
      </w:r>
      <w:r w:rsidR="00625248">
        <w:rPr>
          <w:i/>
          <w:iCs/>
        </w:rPr>
        <w:t xml:space="preserve"> </w:t>
      </w:r>
      <w:r>
        <w:fldChar w:fldCharType="begin"/>
      </w:r>
      <w:r w:rsidRPr="589E218A">
        <w:rPr>
          <w:i/>
          <w:iCs/>
        </w:rPr>
        <w:instrText xml:space="preserve"> REF _Ref185946279 \h </w:instrText>
      </w:r>
      <w:r>
        <w:fldChar w:fldCharType="separate"/>
      </w:r>
      <w:r w:rsidR="00184F9A" w:rsidRPr="589E218A">
        <w:t xml:space="preserve">Figure </w:t>
      </w:r>
      <w:r w:rsidR="00184F9A">
        <w:rPr>
          <w:noProof/>
        </w:rPr>
        <w:t>7</w:t>
      </w:r>
      <w:r>
        <w:fldChar w:fldCharType="end"/>
      </w:r>
      <w:r w:rsidRPr="589E218A">
        <w:t xml:space="preserve"> represents the difference in patient numbers when using the growth rate adjustment.</w:t>
      </w:r>
    </w:p>
    <w:p w14:paraId="69BC4639" w14:textId="339054D8" w:rsidR="0004729F" w:rsidRPr="004D75BF" w:rsidRDefault="00BD42A5" w:rsidP="0004729F">
      <w:pPr>
        <w:pStyle w:val="TableFigureHeading"/>
      </w:pPr>
      <w:bookmarkStart w:id="133" w:name="_Ref185946279"/>
      <w:r w:rsidRPr="589E218A">
        <w:t xml:space="preserve">Figure </w:t>
      </w:r>
      <w:r w:rsidR="001B4556">
        <w:fldChar w:fldCharType="begin"/>
      </w:r>
      <w:r w:rsidR="001B4556">
        <w:instrText xml:space="preserve"> SEQ Figure \* ARABIC </w:instrText>
      </w:r>
      <w:r w:rsidR="001B4556">
        <w:fldChar w:fldCharType="separate"/>
      </w:r>
      <w:r w:rsidR="00184F9A">
        <w:rPr>
          <w:noProof/>
        </w:rPr>
        <w:t>7</w:t>
      </w:r>
      <w:r w:rsidR="001B4556">
        <w:rPr>
          <w:noProof/>
        </w:rPr>
        <w:fldChar w:fldCharType="end"/>
      </w:r>
      <w:bookmarkEnd w:id="133"/>
      <w:r w:rsidR="0004729F" w:rsidRPr="589E218A">
        <w:t xml:space="preserve">: Number of incident first-line </w:t>
      </w:r>
      <w:r w:rsidR="00F639C0" w:rsidRPr="589E218A">
        <w:rPr>
          <w:i/>
          <w:iCs/>
        </w:rPr>
        <w:t>EGFR</w:t>
      </w:r>
      <w:r w:rsidR="0004729F" w:rsidRPr="589E218A">
        <w:t>m NSCLC patients adjusted for prior adjuvant osimertinib use</w:t>
      </w:r>
    </w:p>
    <w:p w14:paraId="76DEEF51" w14:textId="77777777" w:rsidR="0004729F" w:rsidRPr="004D75BF" w:rsidRDefault="0004729F" w:rsidP="0004729F">
      <w:pPr>
        <w:pStyle w:val="TableFigureHeading"/>
      </w:pPr>
      <w:r w:rsidRPr="004D75BF">
        <w:rPr>
          <w:noProof/>
        </w:rPr>
        <w:drawing>
          <wp:inline distT="0" distB="0" distL="0" distR="0" wp14:anchorId="6062DD7E" wp14:editId="2BCD99B9">
            <wp:extent cx="5628904" cy="3517854"/>
            <wp:effectExtent l="0" t="0" r="0" b="6985"/>
            <wp:docPr id="246735307" name="Picture 2" descr="Figure 7: Number of incident first-line EGFRm NSCLC patients adjusted for prior adjuvant osimertinib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35307" name="Picture 2" descr="Figure 7: Number of incident first-line EGFRm NSCLC patients adjusted for prior adjuvant osimertinib use"/>
                    <pic:cNvPicPr/>
                  </pic:nvPicPr>
                  <pic:blipFill>
                    <a:blip r:embed="rId17">
                      <a:extLst>
                        <a:ext uri="{28A0092B-C50C-407E-A947-70E740481C1C}">
                          <a14:useLocalDpi xmlns:a14="http://schemas.microsoft.com/office/drawing/2010/main" val="0"/>
                        </a:ext>
                      </a:extLst>
                    </a:blip>
                    <a:stretch>
                      <a:fillRect/>
                    </a:stretch>
                  </pic:blipFill>
                  <pic:spPr bwMode="auto">
                    <a:xfrm>
                      <a:off x="0" y="0"/>
                      <a:ext cx="5669219" cy="3543049"/>
                    </a:xfrm>
                    <a:prstGeom prst="rect">
                      <a:avLst/>
                    </a:prstGeom>
                    <a:noFill/>
                  </pic:spPr>
                </pic:pic>
              </a:graphicData>
            </a:graphic>
          </wp:inline>
        </w:drawing>
      </w:r>
    </w:p>
    <w:p w14:paraId="618FE4DE" w14:textId="77777777" w:rsidR="0004729F" w:rsidRPr="004D75BF" w:rsidRDefault="0004729F" w:rsidP="007A7746">
      <w:pPr>
        <w:pStyle w:val="TableFigureFooter"/>
      </w:pPr>
      <w:r w:rsidRPr="004D75BF">
        <w:t>Source: Figure 4.2, p222 of the submission.</w:t>
      </w:r>
    </w:p>
    <w:p w14:paraId="48E6C5F0" w14:textId="52387F9B" w:rsidR="0004729F" w:rsidRPr="004D75BF" w:rsidRDefault="0004729F" w:rsidP="007A7746">
      <w:pPr>
        <w:pStyle w:val="TableFigureFooter"/>
      </w:pPr>
      <w:r w:rsidRPr="004D75BF">
        <w:t xml:space="preserve">1L = first-line, </w:t>
      </w:r>
      <w:r w:rsidR="00F639C0" w:rsidRPr="00F639C0">
        <w:rPr>
          <w:i/>
        </w:rPr>
        <w:t>EGFR</w:t>
      </w:r>
      <w:r w:rsidRPr="004D75BF">
        <w:t>m = epidermal growth factor receptor mutation, NSCLC = non-small cell lung cancer.</w:t>
      </w:r>
    </w:p>
    <w:p w14:paraId="58446878" w14:textId="4E3F96CA" w:rsidR="0004729F" w:rsidRPr="00F37D12" w:rsidRDefault="0004729F" w:rsidP="003576D0">
      <w:pPr>
        <w:pStyle w:val="3-BodyText"/>
        <w:ind w:left="709" w:hanging="709"/>
      </w:pPr>
      <w:r w:rsidRPr="589E218A">
        <w:t xml:space="preserve">The submission applied differential uptake rates for populations 1 and 2 given different clinical profiles and circumstances. </w:t>
      </w:r>
      <w:r w:rsidR="0000249F" w:rsidRPr="00214225">
        <w:t>The evaluation considered that</w:t>
      </w:r>
      <w:r w:rsidR="0000249F" w:rsidRPr="589E218A">
        <w:t xml:space="preserve"> t</w:t>
      </w:r>
      <w:r w:rsidRPr="589E218A">
        <w:t xml:space="preserve">his was reasonable. For population 1, the submission assumed an A+L uptake of </w:t>
      </w:r>
      <w:r w:rsidR="007A7746" w:rsidRPr="00184F9A">
        <w:rPr>
          <w:color w:val="000000"/>
          <w:w w:val="15"/>
          <w:shd w:val="solid" w:color="000000" w:fill="000000"/>
          <w:fitText w:val="-20" w:id="-693979899"/>
          <w14:textFill>
            <w14:solidFill>
              <w14:srgbClr w14:val="000000">
                <w14:alpha w14:val="100000"/>
              </w14:srgbClr>
            </w14:solidFill>
          </w14:textFill>
        </w:rPr>
        <w:t>|</w:t>
      </w:r>
      <w:r w:rsidR="00094673" w:rsidRPr="00184F9A">
        <w:rPr>
          <w:color w:val="000000"/>
          <w:w w:val="15"/>
          <w:shd w:val="solid" w:color="000000" w:fill="000000"/>
          <w:fitText w:val="-20" w:id="-693979899"/>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899"/>
          <w14:textFill>
            <w14:solidFill>
              <w14:srgbClr w14:val="000000">
                <w14:alpha w14:val="100000"/>
              </w14:srgbClr>
            </w14:solidFill>
          </w14:textFill>
        </w:rPr>
        <w:t>|</w:t>
      </w:r>
      <w:r w:rsidRPr="589E218A">
        <w:t>% in Year</w:t>
      </w:r>
      <w:r w:rsidR="00073031">
        <w:t> </w:t>
      </w:r>
      <w:r w:rsidRPr="589E218A">
        <w:t xml:space="preserve">1, </w:t>
      </w:r>
      <w:r w:rsidR="007A7746" w:rsidRPr="00184F9A">
        <w:rPr>
          <w:color w:val="000000"/>
          <w:w w:val="15"/>
          <w:shd w:val="solid" w:color="000000" w:fill="000000"/>
          <w:fitText w:val="-20" w:id="-693979898"/>
          <w14:textFill>
            <w14:solidFill>
              <w14:srgbClr w14:val="000000">
                <w14:alpha w14:val="100000"/>
              </w14:srgbClr>
            </w14:solidFill>
          </w14:textFill>
        </w:rPr>
        <w:t>|</w:t>
      </w:r>
      <w:r w:rsidR="00094673" w:rsidRPr="00184F9A">
        <w:rPr>
          <w:color w:val="000000"/>
          <w:w w:val="15"/>
          <w:shd w:val="solid" w:color="000000" w:fill="000000"/>
          <w:fitText w:val="-20" w:id="-693979898"/>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898"/>
          <w14:textFill>
            <w14:solidFill>
              <w14:srgbClr w14:val="000000">
                <w14:alpha w14:val="100000"/>
              </w14:srgbClr>
            </w14:solidFill>
          </w14:textFill>
        </w:rPr>
        <w:t>|</w:t>
      </w:r>
      <w:r w:rsidRPr="589E218A">
        <w:t xml:space="preserve">% in Year 2, </w:t>
      </w:r>
      <w:r w:rsidR="007A7746" w:rsidRPr="00184F9A">
        <w:rPr>
          <w:color w:val="000000"/>
          <w:w w:val="15"/>
          <w:shd w:val="solid" w:color="000000" w:fill="000000"/>
          <w:fitText w:val="-20" w:id="-693979897"/>
          <w14:textFill>
            <w14:solidFill>
              <w14:srgbClr w14:val="000000">
                <w14:alpha w14:val="100000"/>
              </w14:srgbClr>
            </w14:solidFill>
          </w14:textFill>
        </w:rPr>
        <w:t>|</w:t>
      </w:r>
      <w:r w:rsidR="00094673" w:rsidRPr="00184F9A">
        <w:rPr>
          <w:color w:val="000000"/>
          <w:w w:val="15"/>
          <w:shd w:val="solid" w:color="000000" w:fill="000000"/>
          <w:fitText w:val="-20" w:id="-693979897"/>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897"/>
          <w14:textFill>
            <w14:solidFill>
              <w14:srgbClr w14:val="000000">
                <w14:alpha w14:val="100000"/>
              </w14:srgbClr>
            </w14:solidFill>
          </w14:textFill>
        </w:rPr>
        <w:t>|</w:t>
      </w:r>
      <w:r w:rsidRPr="589E218A">
        <w:t xml:space="preserve">% in Year 3, and </w:t>
      </w:r>
      <w:r w:rsidR="007A7746" w:rsidRPr="00184F9A">
        <w:rPr>
          <w:color w:val="000000"/>
          <w:w w:val="15"/>
          <w:shd w:val="solid" w:color="000000" w:fill="000000"/>
          <w:fitText w:val="-20" w:id="-693979896"/>
          <w14:textFill>
            <w14:solidFill>
              <w14:srgbClr w14:val="000000">
                <w14:alpha w14:val="100000"/>
              </w14:srgbClr>
            </w14:solidFill>
          </w14:textFill>
        </w:rPr>
        <w:t>|</w:t>
      </w:r>
      <w:r w:rsidR="00094673" w:rsidRPr="00184F9A">
        <w:rPr>
          <w:color w:val="000000"/>
          <w:w w:val="15"/>
          <w:shd w:val="solid" w:color="000000" w:fill="000000"/>
          <w:fitText w:val="-20" w:id="-693979896"/>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896"/>
          <w14:textFill>
            <w14:solidFill>
              <w14:srgbClr w14:val="000000">
                <w14:alpha w14:val="100000"/>
              </w14:srgbClr>
            </w14:solidFill>
          </w14:textFill>
        </w:rPr>
        <w:t>|</w:t>
      </w:r>
      <w:r w:rsidRPr="589E218A">
        <w:t xml:space="preserve">% in Years 4−6 sourced from expert clinical advice from an advisory board based on superior efficacy of A+L compared to osimertinib. </w:t>
      </w:r>
      <w:r w:rsidR="003C10F6" w:rsidRPr="589E218A">
        <w:t xml:space="preserve">For population 2, the submission proposed an uptake of </w:t>
      </w:r>
      <w:r w:rsidR="007A7746" w:rsidRPr="00184F9A">
        <w:rPr>
          <w:color w:val="000000"/>
          <w:w w:val="15"/>
          <w:shd w:val="solid" w:color="000000" w:fill="000000"/>
          <w:fitText w:val="-20" w:id="-693979895"/>
          <w14:textFill>
            <w14:solidFill>
              <w14:srgbClr w14:val="000000">
                <w14:alpha w14:val="100000"/>
              </w14:srgbClr>
            </w14:solidFill>
          </w14:textFill>
        </w:rPr>
        <w:t>|</w:t>
      </w:r>
      <w:r w:rsidR="00094673" w:rsidRPr="00184F9A">
        <w:rPr>
          <w:color w:val="000000"/>
          <w:w w:val="15"/>
          <w:shd w:val="solid" w:color="000000" w:fill="000000"/>
          <w:fitText w:val="-20" w:id="-693979895"/>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895"/>
          <w14:textFill>
            <w14:solidFill>
              <w14:srgbClr w14:val="000000">
                <w14:alpha w14:val="100000"/>
              </w14:srgbClr>
            </w14:solidFill>
          </w14:textFill>
        </w:rPr>
        <w:t>|</w:t>
      </w:r>
      <w:r w:rsidR="003C10F6" w:rsidRPr="589E218A">
        <w:t xml:space="preserve">% given that these patients could not be re-treated with osimertinib on the PBS, and it represents the most effective treatment compared to carboplatin plus pemetrexed or ABCP based on an advisory board consensus. </w:t>
      </w:r>
      <w:r w:rsidRPr="589E218A">
        <w:t>Th</w:t>
      </w:r>
      <w:r w:rsidR="002B6F5C" w:rsidRPr="589E218A">
        <w:t>e submission did not provide details of how the expert opinion was sought</w:t>
      </w:r>
      <w:r w:rsidRPr="589E218A">
        <w:t xml:space="preserve">. </w:t>
      </w:r>
      <w:r w:rsidR="00F37D12" w:rsidRPr="00F37D12">
        <w:t>The ESC considered the uptake to be substantially overestimated</w:t>
      </w:r>
      <w:r w:rsidR="007505BD">
        <w:t>,</w:t>
      </w:r>
      <w:r w:rsidR="00F37D12" w:rsidRPr="00F37D12">
        <w:t xml:space="preserve"> noting the toxicity of A+L and that the NCCN guidelines recommend osimertinib as the preferred treatment over A+L.</w:t>
      </w:r>
      <w:r w:rsidR="0093385E">
        <w:t xml:space="preserve"> The PBAC noted that, in contrast to the </w:t>
      </w:r>
      <w:r w:rsidR="00800E24">
        <w:t>claim</w:t>
      </w:r>
      <w:r w:rsidR="0093385E">
        <w:t xml:space="preserve"> in the pre-PBAC response </w:t>
      </w:r>
      <w:r w:rsidR="000C16B5">
        <w:t xml:space="preserve">that the NCCN had changed </w:t>
      </w:r>
      <w:r w:rsidR="00BA47B3">
        <w:t>its treatment preferences</w:t>
      </w:r>
      <w:r w:rsidR="00835FD5">
        <w:t>,</w:t>
      </w:r>
      <w:r w:rsidR="0093385E">
        <w:t xml:space="preserve"> </w:t>
      </w:r>
      <w:r w:rsidR="008C17E8">
        <w:t>the January 2025 update</w:t>
      </w:r>
      <w:r w:rsidR="00392334">
        <w:t xml:space="preserve"> to the NSCLC guidelines</w:t>
      </w:r>
      <w:r w:rsidR="008C17E8">
        <w:t xml:space="preserve"> </w:t>
      </w:r>
      <w:r w:rsidR="00835FD5">
        <w:t xml:space="preserve">maintains </w:t>
      </w:r>
      <w:r w:rsidR="003D5171">
        <w:t>the</w:t>
      </w:r>
      <w:r w:rsidR="00835FD5">
        <w:t xml:space="preserve"> recommendation </w:t>
      </w:r>
      <w:r w:rsidR="003A5837">
        <w:t>to use osimertinib as the preferred</w:t>
      </w:r>
      <w:r w:rsidR="00C039A7">
        <w:t xml:space="preserve"> 1L</w:t>
      </w:r>
      <w:r w:rsidR="003A5837">
        <w:t xml:space="preserve"> </w:t>
      </w:r>
      <w:r w:rsidR="003A6294">
        <w:t>treatment for advanced/metastatic disease</w:t>
      </w:r>
      <w:r w:rsidR="00D440C7">
        <w:t xml:space="preserve"> with</w:t>
      </w:r>
      <w:r w:rsidR="001206C0">
        <w:t xml:space="preserve"> </w:t>
      </w:r>
      <w:r w:rsidR="001206C0" w:rsidRPr="001206C0">
        <w:rPr>
          <w:i/>
          <w:iCs/>
        </w:rPr>
        <w:t>EGFR</w:t>
      </w:r>
      <w:r w:rsidR="00D440C7">
        <w:t xml:space="preserve"> </w:t>
      </w:r>
      <w:r w:rsidR="00BC074B" w:rsidRPr="0015297B">
        <w:t>exon 19 deletions or exon 21 L858R substitution</w:t>
      </w:r>
      <w:r w:rsidR="001206C0">
        <w:t>.</w:t>
      </w:r>
    </w:p>
    <w:p w14:paraId="71C541F7" w14:textId="72917DE8" w:rsidR="0004729F" w:rsidRPr="004D75BF" w:rsidRDefault="0004729F" w:rsidP="003576D0">
      <w:pPr>
        <w:pStyle w:val="3-BodyText"/>
        <w:ind w:left="709" w:hanging="709"/>
      </w:pPr>
      <w:r w:rsidRPr="589E218A">
        <w:t xml:space="preserve">The submission anticipated that there will be a small number of patients who will receive access to A+L prior to PBS listing through a planned expanded access program. For the financial estimates, grandfathered patients were included by the submission in addition to populations 1 and 2. The submission noted that </w:t>
      </w:r>
      <w:r w:rsidR="00BE2952">
        <w:t>&lt;</w:t>
      </w:r>
      <w:r w:rsidR="00402E4D">
        <w:t> </w:t>
      </w:r>
      <w:r w:rsidR="00BE2952">
        <w:t>500</w:t>
      </w:r>
      <w:r w:rsidRPr="589E218A">
        <w:t xml:space="preserve"> grandfathered patients would be included in Year 1. </w:t>
      </w:r>
      <w:r w:rsidR="004D6623" w:rsidRPr="00214225">
        <w:t>The evaluation considered that</w:t>
      </w:r>
      <w:r w:rsidR="004D6623" w:rsidRPr="589E218A">
        <w:t xml:space="preserve"> i</w:t>
      </w:r>
      <w:r w:rsidRPr="589E218A">
        <w:t>nclusion of the grandfathered patients was not appropriate and would double count those patients</w:t>
      </w:r>
      <w:r w:rsidR="00B610D2" w:rsidRPr="589E218A">
        <w:t>,</w:t>
      </w:r>
      <w:r w:rsidRPr="589E218A">
        <w:t xml:space="preserve"> given that they would already form part of populations 1 and 2. </w:t>
      </w:r>
    </w:p>
    <w:p w14:paraId="37808F2D" w14:textId="24AAA68C" w:rsidR="0004729F" w:rsidRPr="00F345AD" w:rsidRDefault="0004729F" w:rsidP="003576D0">
      <w:pPr>
        <w:pStyle w:val="3-BodyText"/>
        <w:ind w:left="709" w:hanging="709"/>
        <w:rPr>
          <w:i/>
          <w:iCs/>
        </w:rPr>
      </w:pPr>
      <w:r w:rsidRPr="004D75BF">
        <w:t xml:space="preserve">The submission applied </w:t>
      </w:r>
      <w:r w:rsidRPr="00F345AD">
        <w:t xml:space="preserve">compliance estimated from MARIPOSA as per </w:t>
      </w:r>
      <w:r w:rsidRPr="00F345AD">
        <w:fldChar w:fldCharType="begin"/>
      </w:r>
      <w:r w:rsidRPr="00F345AD">
        <w:instrText xml:space="preserve"> REF _Ref185933804 \h </w:instrText>
      </w:r>
      <w:r w:rsidR="00F345AD">
        <w:instrText xml:space="preserve"> \* MERGEFORMAT </w:instrText>
      </w:r>
      <w:r w:rsidRPr="00F345AD">
        <w:fldChar w:fldCharType="separate"/>
      </w:r>
      <w:r w:rsidR="00184F9A" w:rsidRPr="004D75BF">
        <w:t xml:space="preserve">Table </w:t>
      </w:r>
      <w:r w:rsidR="00184F9A">
        <w:rPr>
          <w:noProof/>
        </w:rPr>
        <w:t>9</w:t>
      </w:r>
      <w:r w:rsidRPr="00F345AD">
        <w:fldChar w:fldCharType="end"/>
      </w:r>
      <w:r w:rsidR="004F338E" w:rsidRPr="00F345AD">
        <w:t>,</w:t>
      </w:r>
      <w:r w:rsidRPr="00F345AD">
        <w:t xml:space="preserve"> consistent with the economic model</w:t>
      </w:r>
      <w:r w:rsidR="00934AF5" w:rsidRPr="00F345AD">
        <w:t xml:space="preserve"> (multiplying the proportion of doses not skipped with the dose reduction </w:t>
      </w:r>
      <w:r w:rsidR="00C94ACE" w:rsidRPr="00F345AD">
        <w:t>[</w:t>
      </w:r>
      <w:r w:rsidR="00934AF5" w:rsidRPr="00F345AD">
        <w:t>proportion of non-skipped doses received</w:t>
      </w:r>
      <w:r w:rsidR="00C94ACE" w:rsidRPr="00F345AD">
        <w:t>]</w:t>
      </w:r>
      <w:r w:rsidR="00934AF5" w:rsidRPr="00F345AD">
        <w:t xml:space="preserve"> from the MARIPOSA trial</w:t>
      </w:r>
      <w:r w:rsidR="0007025C" w:rsidRPr="00F345AD">
        <w:t>)</w:t>
      </w:r>
      <w:r w:rsidR="00626172" w:rsidRPr="00F345AD">
        <w:t xml:space="preserve"> (</w:t>
      </w:r>
      <w:r w:rsidRPr="00F345AD">
        <w:t xml:space="preserve">paragraphs </w:t>
      </w:r>
      <w:r w:rsidRPr="00F345AD">
        <w:fldChar w:fldCharType="begin"/>
      </w:r>
      <w:r w:rsidRPr="00F345AD">
        <w:instrText xml:space="preserve"> REF _Ref185946651 \r \h </w:instrText>
      </w:r>
      <w:r w:rsidR="00214225" w:rsidRPr="00F345AD">
        <w:instrText xml:space="preserve"> \* MERGEFORMAT </w:instrText>
      </w:r>
      <w:r w:rsidRPr="00F345AD">
        <w:fldChar w:fldCharType="separate"/>
      </w:r>
      <w:r w:rsidR="00184F9A">
        <w:t>6.52</w:t>
      </w:r>
      <w:r w:rsidRPr="00F345AD">
        <w:fldChar w:fldCharType="end"/>
      </w:r>
      <w:r w:rsidRPr="00F345AD">
        <w:t xml:space="preserve"> and </w:t>
      </w:r>
      <w:r w:rsidRPr="00F345AD">
        <w:fldChar w:fldCharType="begin"/>
      </w:r>
      <w:r w:rsidRPr="00F345AD">
        <w:instrText xml:space="preserve"> REF _Ref185946656 \r \h </w:instrText>
      </w:r>
      <w:r w:rsidR="00214225" w:rsidRPr="00F345AD">
        <w:instrText xml:space="preserve"> \* MERGEFORMAT </w:instrText>
      </w:r>
      <w:r w:rsidRPr="00F345AD">
        <w:fldChar w:fldCharType="separate"/>
      </w:r>
      <w:r w:rsidR="00184F9A">
        <w:t>6.53</w:t>
      </w:r>
      <w:r w:rsidRPr="00F345AD">
        <w:fldChar w:fldCharType="end"/>
      </w:r>
      <w:r w:rsidR="00626172" w:rsidRPr="00F345AD">
        <w:t>)</w:t>
      </w:r>
      <w:r w:rsidRPr="00F345AD">
        <w:t xml:space="preserve">. </w:t>
      </w:r>
      <w:r w:rsidR="00A05EBE" w:rsidRPr="00F345AD">
        <w:t>However, t</w:t>
      </w:r>
      <w:r w:rsidRPr="00F345AD">
        <w:t xml:space="preserve">he financial model was sensitive to applying compliance </w:t>
      </w:r>
      <w:r w:rsidR="004F338E" w:rsidRPr="00F345AD">
        <w:t>calculated during the evaluation</w:t>
      </w:r>
      <w:r w:rsidR="004A19E3" w:rsidRPr="00F345AD">
        <w:t xml:space="preserve"> from the CSR</w:t>
      </w:r>
      <w:r w:rsidR="004F338E" w:rsidRPr="00F345AD">
        <w:t xml:space="preserve"> in </w:t>
      </w:r>
      <w:r w:rsidRPr="00F345AD">
        <w:fldChar w:fldCharType="begin"/>
      </w:r>
      <w:r w:rsidRPr="00F345AD">
        <w:instrText xml:space="preserve"> REF _Ref185934001 \h  \* MERGEFORMAT </w:instrText>
      </w:r>
      <w:r w:rsidRPr="00F345AD">
        <w:fldChar w:fldCharType="separate"/>
      </w:r>
      <w:r w:rsidR="00184F9A" w:rsidRPr="004D75BF">
        <w:t>Table</w:t>
      </w:r>
      <w:r w:rsidR="00184F9A" w:rsidRPr="004D75BF">
        <w:rPr>
          <w:noProof/>
        </w:rPr>
        <w:t xml:space="preserve"> </w:t>
      </w:r>
      <w:r w:rsidR="00184F9A">
        <w:rPr>
          <w:noProof/>
        </w:rPr>
        <w:t>10</w:t>
      </w:r>
      <w:r w:rsidRPr="00F345AD">
        <w:fldChar w:fldCharType="end"/>
      </w:r>
      <w:r w:rsidR="00F345AD" w:rsidRPr="00F345AD">
        <w:t>, as shown in the sensitivity analyses in</w:t>
      </w:r>
      <w:r w:rsidR="00356ECD" w:rsidRPr="00F345AD">
        <w:t xml:space="preserve"> </w:t>
      </w:r>
      <w:r w:rsidR="00356ECD" w:rsidRPr="00F345AD">
        <w:rPr>
          <w:rFonts w:cstheme="minorHAnsi"/>
          <w:b/>
          <w:bCs/>
          <w:szCs w:val="24"/>
        </w:rPr>
        <w:fldChar w:fldCharType="begin"/>
      </w:r>
      <w:r w:rsidR="00356ECD" w:rsidRPr="00F345AD">
        <w:rPr>
          <w:rFonts w:cstheme="minorHAnsi"/>
          <w:b/>
          <w:bCs/>
          <w:szCs w:val="24"/>
        </w:rPr>
        <w:instrText xml:space="preserve"> REF _Ref187396411 \h  \* MERGEFORMAT </w:instrText>
      </w:r>
      <w:r w:rsidR="00356ECD" w:rsidRPr="00F345AD">
        <w:rPr>
          <w:rFonts w:cstheme="minorHAnsi"/>
          <w:b/>
          <w:bCs/>
          <w:szCs w:val="24"/>
        </w:rPr>
      </w:r>
      <w:r w:rsidR="00356ECD" w:rsidRPr="00F345AD">
        <w:rPr>
          <w:rFonts w:cstheme="minorHAnsi"/>
          <w:b/>
          <w:bCs/>
          <w:szCs w:val="24"/>
        </w:rPr>
        <w:fldChar w:fldCharType="separate"/>
      </w:r>
      <w:r w:rsidR="00184F9A" w:rsidRPr="00184F9A">
        <w:rPr>
          <w:rStyle w:val="CommentReference"/>
          <w:rFonts w:asciiTheme="minorHAnsi" w:hAnsiTheme="minorHAnsi" w:cstheme="minorHAnsi"/>
          <w:b w:val="0"/>
          <w:bCs/>
          <w:sz w:val="24"/>
          <w:szCs w:val="24"/>
        </w:rPr>
        <w:t xml:space="preserve">Table </w:t>
      </w:r>
      <w:r w:rsidR="00184F9A" w:rsidRPr="00184F9A">
        <w:rPr>
          <w:rStyle w:val="CommentReference"/>
          <w:rFonts w:asciiTheme="minorHAnsi" w:hAnsiTheme="minorHAnsi" w:cstheme="minorHAnsi"/>
          <w:b w:val="0"/>
          <w:bCs/>
          <w:noProof/>
          <w:sz w:val="24"/>
          <w:szCs w:val="24"/>
        </w:rPr>
        <w:t>19</w:t>
      </w:r>
      <w:r w:rsidR="00356ECD" w:rsidRPr="00F345AD">
        <w:rPr>
          <w:rFonts w:cstheme="minorHAnsi"/>
          <w:b/>
          <w:bCs/>
          <w:szCs w:val="24"/>
        </w:rPr>
        <w:fldChar w:fldCharType="end"/>
      </w:r>
      <w:r w:rsidR="00F345AD" w:rsidRPr="00F345AD">
        <w:t xml:space="preserve"> below</w:t>
      </w:r>
      <w:r w:rsidRPr="00F345AD">
        <w:t>.</w:t>
      </w:r>
    </w:p>
    <w:p w14:paraId="5A01814B" w14:textId="2D84AB6A" w:rsidR="0004729F" w:rsidRPr="004D75BF" w:rsidRDefault="0004729F" w:rsidP="003576D0">
      <w:pPr>
        <w:pStyle w:val="3-BodyText"/>
        <w:ind w:left="709" w:hanging="709"/>
      </w:pPr>
      <w:bookmarkStart w:id="134" w:name="_Hlk188364847"/>
      <w:r w:rsidRPr="589E218A">
        <w:t xml:space="preserve">The submission considered cost-offsets for the reduced utilisation of osimertinib in locally advanced or metastatic </w:t>
      </w:r>
      <w:r w:rsidR="00F639C0" w:rsidRPr="589E218A">
        <w:rPr>
          <w:i/>
          <w:iCs/>
        </w:rPr>
        <w:t>EGFR</w:t>
      </w:r>
      <w:r w:rsidRPr="589E218A">
        <w:t>m NSCLC, but did not consider co</w:t>
      </w:r>
      <w:r w:rsidR="00500D91">
        <w:t>-</w:t>
      </w:r>
      <w:r w:rsidRPr="589E218A">
        <w:t>medications costs and subsequent therapies. This was inconsistent with the economic model. However, given the unit cost of co</w:t>
      </w:r>
      <w:r w:rsidR="00500D91">
        <w:t>-</w:t>
      </w:r>
      <w:r w:rsidRPr="589E218A">
        <w:t>medications and subsequent treatment, mainly carboplatin + pemetrexed, the impact of not including these would be expected to be low</w:t>
      </w:r>
      <w:bookmarkEnd w:id="134"/>
      <w:r w:rsidRPr="589E218A">
        <w:t>.</w:t>
      </w:r>
    </w:p>
    <w:p w14:paraId="06CA132F" w14:textId="4525D85E" w:rsidR="0004729F" w:rsidRPr="004D75BF" w:rsidRDefault="0004729F" w:rsidP="003576D0">
      <w:pPr>
        <w:pStyle w:val="3-BodyText"/>
        <w:ind w:left="709" w:hanging="709"/>
      </w:pPr>
      <w:r w:rsidRPr="589E218A">
        <w:t xml:space="preserve">The submission accounted for the expected increased usage in the PBS/RPBS of rivaroxaban for VTE prophylaxis. Rivaroxaban is listed in the PBS for the prevention of stroke or systemic embolism in the context of total knee or hip replacement, history of venous embolism, history of pulmonary embolism, and non-valvular atrial fibrillation. Therefore, rivaroxaban treatment costs </w:t>
      </w:r>
      <w:r w:rsidR="00E82CD4" w:rsidRPr="589E218A">
        <w:t xml:space="preserve">for use in patients with NSCLC </w:t>
      </w:r>
      <w:r w:rsidRPr="589E218A">
        <w:t>would likely not fall on the PBS/RPBS. Instead, rivaroxaban costs would be borne by State and Territory Governments or patients.</w:t>
      </w:r>
    </w:p>
    <w:p w14:paraId="114EABFF" w14:textId="324CFE25" w:rsidR="0004729F" w:rsidRPr="004D75BF" w:rsidRDefault="0004729F" w:rsidP="003576D0">
      <w:pPr>
        <w:pStyle w:val="3-BodyText"/>
        <w:ind w:left="709" w:hanging="709"/>
      </w:pPr>
      <w:r>
        <w:fldChar w:fldCharType="begin"/>
      </w:r>
      <w:r>
        <w:instrText xml:space="preserve"> REF _Ref187396411 \h  \* MERGEFORMAT </w:instrText>
      </w:r>
      <w:r>
        <w:fldChar w:fldCharType="separate"/>
      </w:r>
      <w:r w:rsidR="00184F9A" w:rsidRPr="00184F9A">
        <w:rPr>
          <w:rStyle w:val="CommentReference"/>
          <w:rFonts w:asciiTheme="minorHAnsi" w:hAnsiTheme="minorHAnsi"/>
          <w:b w:val="0"/>
          <w:sz w:val="24"/>
          <w:szCs w:val="24"/>
        </w:rPr>
        <w:t>Table 19</w:t>
      </w:r>
      <w:r>
        <w:fldChar w:fldCharType="end"/>
      </w:r>
      <w:r w:rsidRPr="589E218A">
        <w:t xml:space="preserve"> presents key sensitivity analysis in the financial impact of listing A+L to PBS/RPBS using A+L effective price and osimertinib published price.</w:t>
      </w:r>
    </w:p>
    <w:p w14:paraId="122918C7" w14:textId="21225A45" w:rsidR="0004729F" w:rsidRPr="004D75BF" w:rsidRDefault="0004729F" w:rsidP="00402E4D">
      <w:pPr>
        <w:pStyle w:val="Caption"/>
        <w:rPr>
          <w:rStyle w:val="CommentReference"/>
          <w:b/>
        </w:rPr>
      </w:pPr>
      <w:bookmarkStart w:id="135" w:name="_Ref187396411"/>
      <w:r w:rsidRPr="589E218A">
        <w:rPr>
          <w:rStyle w:val="CommentReference"/>
          <w:b/>
        </w:rPr>
        <w:t xml:space="preserve">Table </w:t>
      </w:r>
      <w:r w:rsidRPr="589E218A">
        <w:rPr>
          <w:rStyle w:val="CommentReference"/>
          <w:b/>
        </w:rPr>
        <w:fldChar w:fldCharType="begin"/>
      </w:r>
      <w:r w:rsidRPr="589E218A">
        <w:rPr>
          <w:rStyle w:val="CommentReference"/>
          <w:b/>
        </w:rPr>
        <w:instrText xml:space="preserve"> SEQ Table \* ARABIC </w:instrText>
      </w:r>
      <w:r w:rsidRPr="589E218A">
        <w:rPr>
          <w:rStyle w:val="CommentReference"/>
          <w:b/>
        </w:rPr>
        <w:fldChar w:fldCharType="separate"/>
      </w:r>
      <w:r w:rsidR="00184F9A">
        <w:rPr>
          <w:rStyle w:val="CommentReference"/>
          <w:b/>
          <w:noProof/>
        </w:rPr>
        <w:t>19</w:t>
      </w:r>
      <w:r w:rsidRPr="589E218A">
        <w:rPr>
          <w:rStyle w:val="CommentReference"/>
          <w:b/>
        </w:rPr>
        <w:fldChar w:fldCharType="end"/>
      </w:r>
      <w:bookmarkEnd w:id="135"/>
      <w:r w:rsidRPr="589E218A">
        <w:rPr>
          <w:rStyle w:val="CommentReference"/>
          <w:b/>
        </w:rPr>
        <w:t>: Financial impact key sensitivity analyses, cost to PBS/RPBS A+L effective price and osimertinib published price</w:t>
      </w:r>
    </w:p>
    <w:tbl>
      <w:tblPr>
        <w:tblW w:w="5000" w:type="pct"/>
        <w:tblLayout w:type="fixed"/>
        <w:tblCellMar>
          <w:left w:w="28" w:type="dxa"/>
          <w:right w:w="28" w:type="dxa"/>
        </w:tblCellMar>
        <w:tblLook w:val="04A0" w:firstRow="1" w:lastRow="0" w:firstColumn="1" w:lastColumn="0" w:noHBand="0" w:noVBand="1"/>
        <w:tblCaption w:val="Table 19: Financial impact key sensitivity analyses, cost to PBS/RPBS A+L effective price and osimertinib published price"/>
      </w:tblPr>
      <w:tblGrid>
        <w:gridCol w:w="2546"/>
        <w:gridCol w:w="994"/>
        <w:gridCol w:w="994"/>
        <w:gridCol w:w="994"/>
        <w:gridCol w:w="1001"/>
        <w:gridCol w:w="992"/>
        <w:gridCol w:w="995"/>
        <w:gridCol w:w="501"/>
      </w:tblGrid>
      <w:tr w:rsidR="00402E4D" w:rsidRPr="002553A6" w14:paraId="3B8EC321" w14:textId="77777777" w:rsidTr="00402E4D">
        <w:trPr>
          <w:trHeight w:val="29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8342D" w14:textId="77777777" w:rsidR="0004729F" w:rsidRPr="002553A6" w:rsidRDefault="0004729F" w:rsidP="00402E4D">
            <w:pPr>
              <w:pStyle w:val="TableFigureHeading"/>
              <w:keepLines/>
              <w:jc w:val="center"/>
              <w:rPr>
                <w:highlight w:val="yellow"/>
              </w:rPr>
            </w:pPr>
            <w:r w:rsidRPr="002553A6">
              <w:t>Cost to PBS/RPBS</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48E690CB" w14:textId="77777777" w:rsidR="0004729F" w:rsidRPr="002553A6" w:rsidRDefault="0004729F" w:rsidP="00402E4D">
            <w:pPr>
              <w:pStyle w:val="TableFigureHeading"/>
              <w:keepLines/>
              <w:jc w:val="center"/>
            </w:pPr>
            <w:r w:rsidRPr="002553A6">
              <w:t>2025</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504D8B8B" w14:textId="77777777" w:rsidR="0004729F" w:rsidRPr="002553A6" w:rsidRDefault="0004729F" w:rsidP="00402E4D">
            <w:pPr>
              <w:pStyle w:val="TableFigureHeading"/>
              <w:keepLines/>
              <w:jc w:val="center"/>
            </w:pPr>
            <w:r w:rsidRPr="002553A6">
              <w:t>2026</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49EF3E7E" w14:textId="77777777" w:rsidR="0004729F" w:rsidRPr="002553A6" w:rsidRDefault="0004729F" w:rsidP="00402E4D">
            <w:pPr>
              <w:pStyle w:val="TableFigureHeading"/>
              <w:keepLines/>
              <w:jc w:val="center"/>
            </w:pPr>
            <w:r w:rsidRPr="002553A6">
              <w:t>2027</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14:paraId="7A3D504C" w14:textId="77777777" w:rsidR="0004729F" w:rsidRPr="002553A6" w:rsidRDefault="0004729F" w:rsidP="00402E4D">
            <w:pPr>
              <w:pStyle w:val="TableFigureHeading"/>
              <w:keepLines/>
              <w:jc w:val="center"/>
            </w:pPr>
            <w:r w:rsidRPr="002553A6">
              <w:t>2028</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1D3E5C5D" w14:textId="77777777" w:rsidR="0004729F" w:rsidRPr="002553A6" w:rsidRDefault="0004729F" w:rsidP="00402E4D">
            <w:pPr>
              <w:pStyle w:val="TableFigureHeading"/>
              <w:keepLines/>
              <w:jc w:val="center"/>
            </w:pPr>
            <w:r w:rsidRPr="002553A6">
              <w:t>2029</w:t>
            </w:r>
          </w:p>
        </w:tc>
        <w:tc>
          <w:tcPr>
            <w:tcW w:w="552" w:type="pct"/>
            <w:tcBorders>
              <w:top w:val="single" w:sz="4" w:space="0" w:color="auto"/>
              <w:left w:val="nil"/>
              <w:bottom w:val="single" w:sz="4" w:space="0" w:color="auto"/>
              <w:right w:val="single" w:sz="4" w:space="0" w:color="auto"/>
            </w:tcBorders>
            <w:shd w:val="clear" w:color="auto" w:fill="auto"/>
            <w:noWrap/>
            <w:vAlign w:val="center"/>
            <w:hideMark/>
          </w:tcPr>
          <w:p w14:paraId="7C6A0CDC" w14:textId="77777777" w:rsidR="0004729F" w:rsidRPr="002553A6" w:rsidRDefault="0004729F" w:rsidP="00402E4D">
            <w:pPr>
              <w:pStyle w:val="TableFigureHeading"/>
              <w:keepLines/>
              <w:jc w:val="center"/>
            </w:pPr>
            <w:r w:rsidRPr="002553A6">
              <w:t>2030</w:t>
            </w:r>
          </w:p>
        </w:tc>
        <w:tc>
          <w:tcPr>
            <w:tcW w:w="278" w:type="pct"/>
            <w:tcBorders>
              <w:top w:val="single" w:sz="4" w:space="0" w:color="auto"/>
              <w:left w:val="single" w:sz="4" w:space="0" w:color="auto"/>
              <w:bottom w:val="single" w:sz="4" w:space="0" w:color="auto"/>
              <w:right w:val="single" w:sz="4" w:space="0" w:color="auto"/>
            </w:tcBorders>
            <w:vAlign w:val="center"/>
          </w:tcPr>
          <w:p w14:paraId="0B7C5327" w14:textId="77777777" w:rsidR="0004729F" w:rsidRPr="002553A6" w:rsidRDefault="0004729F" w:rsidP="00402E4D">
            <w:pPr>
              <w:pStyle w:val="TableFigureHeading"/>
              <w:keepLines/>
              <w:jc w:val="center"/>
            </w:pPr>
            <w:r w:rsidRPr="002553A6">
              <w:t xml:space="preserve">% </w:t>
            </w:r>
          </w:p>
        </w:tc>
      </w:tr>
      <w:tr w:rsidR="00402E4D" w:rsidRPr="002553A6" w14:paraId="31F96732" w14:textId="77777777" w:rsidTr="00402E4D">
        <w:trPr>
          <w:trHeight w:val="24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E09929" w14:textId="77777777" w:rsidR="0004729F" w:rsidRPr="002553A6" w:rsidRDefault="0004729F" w:rsidP="00402E4D">
            <w:pPr>
              <w:pStyle w:val="TableText0"/>
            </w:pPr>
            <w:r w:rsidRPr="002553A6">
              <w:t>Base case</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3960A15F" w14:textId="294EE8F5" w:rsidR="0004729F" w:rsidRPr="00B00A1B" w:rsidRDefault="007A7746" w:rsidP="00402E4D">
            <w:pPr>
              <w:pStyle w:val="TableText0"/>
              <w:jc w:val="center"/>
              <w:rPr>
                <w:highlight w:val="darkGray"/>
                <w:vertAlign w:val="superscript"/>
              </w:rPr>
            </w:pPr>
            <w:r w:rsidRPr="007A7746">
              <w:rPr>
                <w:rFonts w:hint="eastAsia"/>
                <w:color w:val="000000"/>
                <w:w w:val="15"/>
                <w:shd w:val="solid" w:color="000000" w:fill="000000"/>
                <w:fitText w:val="34" w:id="-693979894"/>
                <w14:textFill>
                  <w14:solidFill>
                    <w14:srgbClr w14:val="000000">
                      <w14:alpha w14:val="100000"/>
                    </w14:srgbClr>
                  </w14:solidFill>
                </w14:textFill>
              </w:rPr>
              <w:t xml:space="preserve">　</w:t>
            </w:r>
            <w:r w:rsidRPr="007A7746">
              <w:rPr>
                <w:color w:val="000000"/>
                <w:w w:val="15"/>
                <w:shd w:val="solid" w:color="000000" w:fill="000000"/>
                <w:fitText w:val="34" w:id="-693979894"/>
                <w14:textFill>
                  <w14:solidFill>
                    <w14:srgbClr w14:val="000000">
                      <w14:alpha w14:val="100000"/>
                    </w14:srgbClr>
                  </w14:solidFill>
                </w14:textFill>
              </w:rPr>
              <w:t>|</w:t>
            </w:r>
            <w:r w:rsidRPr="007A7746">
              <w:rPr>
                <w:rFonts w:hint="eastAsia"/>
                <w:color w:val="000000"/>
                <w:spacing w:val="-31"/>
                <w:w w:val="15"/>
                <w:shd w:val="solid" w:color="000000" w:fill="000000"/>
                <w:fitText w:val="34" w:id="-693979894"/>
                <w14:textFill>
                  <w14:solidFill>
                    <w14:srgbClr w14:val="000000">
                      <w14:alpha w14:val="100000"/>
                    </w14:srgbClr>
                  </w14:solidFill>
                </w14:textFill>
              </w:rPr>
              <w:t xml:space="preserve">　</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4B1B8D82" w14:textId="203C1212"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7B107F74" w14:textId="6ADFB56D"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5" w:id="-693979893"/>
                <w14:textFill>
                  <w14:solidFill>
                    <w14:srgbClr w14:val="000000">
                      <w14:alpha w14:val="100000"/>
                    </w14:srgbClr>
                  </w14:solidFill>
                </w14:textFill>
              </w:rPr>
              <w:t xml:space="preserve">　</w:t>
            </w:r>
            <w:r w:rsidRPr="007A7746">
              <w:rPr>
                <w:color w:val="000000"/>
                <w:w w:val="15"/>
                <w:shd w:val="solid" w:color="000000" w:fill="000000"/>
                <w:fitText w:val="35" w:id="-693979893"/>
                <w14:textFill>
                  <w14:solidFill>
                    <w14:srgbClr w14:val="000000">
                      <w14:alpha w14:val="100000"/>
                    </w14:srgbClr>
                  </w14:solidFill>
                </w14:textFill>
              </w:rPr>
              <w:t>|</w:t>
            </w:r>
            <w:r w:rsidRPr="007A7746">
              <w:rPr>
                <w:rFonts w:hint="eastAsia"/>
                <w:color w:val="000000"/>
                <w:spacing w:val="-30"/>
                <w:w w:val="15"/>
                <w:shd w:val="solid" w:color="000000" w:fill="000000"/>
                <w:fitText w:val="35" w:id="-693979893"/>
                <w14:textFill>
                  <w14:solidFill>
                    <w14:srgbClr w14:val="000000">
                      <w14:alpha w14:val="100000"/>
                    </w14:srgbClr>
                  </w14:solidFill>
                </w14:textFill>
              </w:rPr>
              <w:t xml:space="preserve">　</w:t>
            </w:r>
            <w:r w:rsidR="00B00A1B" w:rsidRPr="00B00A1B">
              <w:rPr>
                <w:vertAlign w:val="superscript"/>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42F66D11" w14:textId="707F5766"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2C6A49" w:rsidRPr="00B00A1B">
              <w:rPr>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vAlign w:val="center"/>
          </w:tcPr>
          <w:p w14:paraId="02C2FC9F" w14:textId="695889C3"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892"/>
                <w14:textFill>
                  <w14:solidFill>
                    <w14:srgbClr w14:val="000000">
                      <w14:alpha w14:val="100000"/>
                    </w14:srgbClr>
                  </w14:solidFill>
                </w14:textFill>
              </w:rPr>
              <w:t xml:space="preserve">　</w:t>
            </w:r>
            <w:r w:rsidRPr="007A7746">
              <w:rPr>
                <w:color w:val="000000"/>
                <w:w w:val="15"/>
                <w:shd w:val="solid" w:color="000000" w:fill="000000"/>
                <w:fitText w:val="34" w:id="-693979892"/>
                <w14:textFill>
                  <w14:solidFill>
                    <w14:srgbClr w14:val="000000">
                      <w14:alpha w14:val="100000"/>
                    </w14:srgbClr>
                  </w14:solidFill>
                </w14:textFill>
              </w:rPr>
              <w:t>|</w:t>
            </w:r>
            <w:r w:rsidRPr="007A7746">
              <w:rPr>
                <w:rFonts w:hint="eastAsia"/>
                <w:color w:val="000000"/>
                <w:spacing w:val="-31"/>
                <w:w w:val="15"/>
                <w:shd w:val="solid" w:color="000000" w:fill="000000"/>
                <w:fitText w:val="34" w:id="-693979892"/>
                <w14:textFill>
                  <w14:solidFill>
                    <w14:srgbClr w14:val="000000">
                      <w14:alpha w14:val="100000"/>
                    </w14:srgbClr>
                  </w14:solidFill>
                </w14:textFill>
              </w:rPr>
              <w:t xml:space="preserve">　</w:t>
            </w:r>
            <w:r w:rsidR="002C6A49" w:rsidRPr="00B00A1B">
              <w:rPr>
                <w:vertAlign w:val="superscript"/>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0D621244" w14:textId="3120133A"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891"/>
                <w14:textFill>
                  <w14:solidFill>
                    <w14:srgbClr w14:val="000000">
                      <w14:alpha w14:val="100000"/>
                    </w14:srgbClr>
                  </w14:solidFill>
                </w14:textFill>
              </w:rPr>
              <w:t xml:space="preserve">　</w:t>
            </w:r>
            <w:r w:rsidRPr="007A7746">
              <w:rPr>
                <w:color w:val="000000"/>
                <w:w w:val="15"/>
                <w:shd w:val="solid" w:color="000000" w:fill="000000"/>
                <w:fitText w:val="34" w:id="-693979891"/>
                <w14:textFill>
                  <w14:solidFill>
                    <w14:srgbClr w14:val="000000">
                      <w14:alpha w14:val="100000"/>
                    </w14:srgbClr>
                  </w14:solidFill>
                </w14:textFill>
              </w:rPr>
              <w:t>|</w:t>
            </w:r>
            <w:r w:rsidRPr="007A7746">
              <w:rPr>
                <w:rFonts w:hint="eastAsia"/>
                <w:color w:val="000000"/>
                <w:spacing w:val="-31"/>
                <w:w w:val="15"/>
                <w:shd w:val="solid" w:color="000000" w:fill="000000"/>
                <w:fitText w:val="34" w:id="-693979891"/>
                <w14:textFill>
                  <w14:solidFill>
                    <w14:srgbClr w14:val="000000">
                      <w14:alpha w14:val="100000"/>
                    </w14:srgbClr>
                  </w14:solidFill>
                </w14:textFill>
              </w:rPr>
              <w:t xml:space="preserve">　</w:t>
            </w:r>
            <w:r w:rsidR="002C6A49" w:rsidRPr="00B00A1B">
              <w:rPr>
                <w:vertAlign w:val="superscript"/>
              </w:rPr>
              <w:t>1</w:t>
            </w:r>
          </w:p>
        </w:tc>
        <w:tc>
          <w:tcPr>
            <w:tcW w:w="278" w:type="pct"/>
            <w:tcBorders>
              <w:top w:val="single" w:sz="4" w:space="0" w:color="auto"/>
              <w:left w:val="single" w:sz="4" w:space="0" w:color="auto"/>
              <w:bottom w:val="single" w:sz="4" w:space="0" w:color="auto"/>
              <w:right w:val="single" w:sz="4" w:space="0" w:color="auto"/>
            </w:tcBorders>
            <w:vAlign w:val="center"/>
          </w:tcPr>
          <w:p w14:paraId="06637E85" w14:textId="77777777" w:rsidR="0004729F" w:rsidRPr="002553A6" w:rsidRDefault="0004729F" w:rsidP="00402E4D">
            <w:pPr>
              <w:pStyle w:val="TableText0"/>
              <w:jc w:val="center"/>
            </w:pPr>
            <w:r w:rsidRPr="002553A6">
              <w:t>-</w:t>
            </w:r>
          </w:p>
        </w:tc>
      </w:tr>
      <w:tr w:rsidR="00402E4D" w:rsidRPr="002553A6" w14:paraId="1339C77A" w14:textId="77777777" w:rsidTr="00402E4D">
        <w:trPr>
          <w:trHeight w:val="24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47F8A974" w14:textId="04340B4C" w:rsidR="0004729F" w:rsidRPr="002553A6" w:rsidRDefault="0004729F" w:rsidP="00402E4D">
            <w:pPr>
              <w:pStyle w:val="TableText0"/>
            </w:pPr>
            <w:r w:rsidRPr="002553A6">
              <w:t>Uptake population 1 -</w:t>
            </w:r>
            <w:r w:rsidR="007A7746" w:rsidRPr="007A7746">
              <w:rPr>
                <w:color w:val="000000"/>
                <w:spacing w:val="54"/>
                <w:shd w:val="solid" w:color="000000" w:fill="000000"/>
                <w:fitText w:val="334" w:id="-693979890"/>
                <w14:textFill>
                  <w14:solidFill>
                    <w14:srgbClr w14:val="000000">
                      <w14:alpha w14:val="100000"/>
                    </w14:srgbClr>
                  </w14:solidFill>
                </w14:textFill>
              </w:rPr>
              <w:t>|||</w:t>
            </w:r>
            <w:r w:rsidR="007A7746" w:rsidRPr="007A7746">
              <w:rPr>
                <w:color w:val="000000"/>
                <w:spacing w:val="2"/>
                <w:shd w:val="solid" w:color="000000" w:fill="000000"/>
                <w:fitText w:val="334" w:id="-693979890"/>
                <w14:textFill>
                  <w14:solidFill>
                    <w14:srgbClr w14:val="000000">
                      <w14:alpha w14:val="100000"/>
                    </w14:srgbClr>
                  </w14:solidFill>
                </w14:textFill>
              </w:rPr>
              <w:t>|</w:t>
            </w:r>
            <w:r w:rsidRPr="002553A6">
              <w:t>%</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29899B23" w14:textId="25769710"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889"/>
                <w14:textFill>
                  <w14:solidFill>
                    <w14:srgbClr w14:val="000000">
                      <w14:alpha w14:val="100000"/>
                    </w14:srgbClr>
                  </w14:solidFill>
                </w14:textFill>
              </w:rPr>
              <w:t xml:space="preserve">　</w:t>
            </w:r>
            <w:r w:rsidRPr="007A7746">
              <w:rPr>
                <w:color w:val="000000"/>
                <w:w w:val="15"/>
                <w:shd w:val="solid" w:color="000000" w:fill="000000"/>
                <w:fitText w:val="34" w:id="-693979889"/>
                <w14:textFill>
                  <w14:solidFill>
                    <w14:srgbClr w14:val="000000">
                      <w14:alpha w14:val="100000"/>
                    </w14:srgbClr>
                  </w14:solidFill>
                </w14:textFill>
              </w:rPr>
              <w:t>|</w:t>
            </w:r>
            <w:r w:rsidRPr="007A7746">
              <w:rPr>
                <w:rFonts w:hint="eastAsia"/>
                <w:color w:val="000000"/>
                <w:spacing w:val="-31"/>
                <w:w w:val="15"/>
                <w:shd w:val="solid" w:color="000000" w:fill="000000"/>
                <w:fitText w:val="34" w:id="-693979889"/>
                <w14:textFill>
                  <w14:solidFill>
                    <w14:srgbClr w14:val="000000">
                      <w14:alpha w14:val="100000"/>
                    </w14:srgbClr>
                  </w14:solidFill>
                </w14:textFill>
              </w:rPr>
              <w:t xml:space="preserve">　</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1F1158F2" w14:textId="74955DCB"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778DFD79" w14:textId="531EFC6C"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5" w:id="-693979888"/>
                <w14:textFill>
                  <w14:solidFill>
                    <w14:srgbClr w14:val="000000">
                      <w14:alpha w14:val="100000"/>
                    </w14:srgbClr>
                  </w14:solidFill>
                </w14:textFill>
              </w:rPr>
              <w:t xml:space="preserve">　</w:t>
            </w:r>
            <w:r w:rsidRPr="007A7746">
              <w:rPr>
                <w:color w:val="000000"/>
                <w:w w:val="15"/>
                <w:shd w:val="solid" w:color="000000" w:fill="000000"/>
                <w:fitText w:val="35" w:id="-693979888"/>
                <w14:textFill>
                  <w14:solidFill>
                    <w14:srgbClr w14:val="000000">
                      <w14:alpha w14:val="100000"/>
                    </w14:srgbClr>
                  </w14:solidFill>
                </w14:textFill>
              </w:rPr>
              <w:t>|</w:t>
            </w:r>
            <w:r w:rsidRPr="007A7746">
              <w:rPr>
                <w:rFonts w:hint="eastAsia"/>
                <w:color w:val="000000"/>
                <w:spacing w:val="-30"/>
                <w:w w:val="15"/>
                <w:shd w:val="solid" w:color="000000" w:fill="000000"/>
                <w:fitText w:val="35" w:id="-693979888"/>
                <w14:textFill>
                  <w14:solidFill>
                    <w14:srgbClr w14:val="000000">
                      <w14:alpha w14:val="100000"/>
                    </w14:srgbClr>
                  </w14:solidFill>
                </w14:textFill>
              </w:rPr>
              <w:t xml:space="preserve">　</w:t>
            </w:r>
            <w:r w:rsidR="00B00A1B" w:rsidRPr="00B00A1B">
              <w:rPr>
                <w:vertAlign w:val="superscript"/>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1D4208B0" w14:textId="6BDF8058"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2C6A49" w:rsidRPr="00B00A1B">
              <w:rPr>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vAlign w:val="center"/>
          </w:tcPr>
          <w:p w14:paraId="095419FD" w14:textId="438868E4"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8"/>
                <w14:textFill>
                  <w14:solidFill>
                    <w14:srgbClr w14:val="000000">
                      <w14:alpha w14:val="100000"/>
                    </w14:srgbClr>
                  </w14:solidFill>
                </w14:textFill>
              </w:rPr>
              <w:t xml:space="preserve">　</w:t>
            </w:r>
            <w:r w:rsidRPr="007A7746">
              <w:rPr>
                <w:color w:val="000000"/>
                <w:w w:val="15"/>
                <w:shd w:val="solid" w:color="000000" w:fill="000000"/>
                <w:fitText w:val="34" w:id="-693979648"/>
                <w14:textFill>
                  <w14:solidFill>
                    <w14:srgbClr w14:val="000000">
                      <w14:alpha w14:val="100000"/>
                    </w14:srgbClr>
                  </w14:solidFill>
                </w14:textFill>
              </w:rPr>
              <w:t>|</w:t>
            </w:r>
            <w:r w:rsidRPr="007A7746">
              <w:rPr>
                <w:rFonts w:hint="eastAsia"/>
                <w:color w:val="000000"/>
                <w:spacing w:val="-31"/>
                <w:w w:val="15"/>
                <w:shd w:val="solid" w:color="000000" w:fill="000000"/>
                <w:fitText w:val="34" w:id="-693979648"/>
                <w14:textFill>
                  <w14:solidFill>
                    <w14:srgbClr w14:val="000000">
                      <w14:alpha w14:val="100000"/>
                    </w14:srgbClr>
                  </w14:solidFill>
                </w14:textFill>
              </w:rPr>
              <w:t xml:space="preserve">　</w:t>
            </w:r>
            <w:r w:rsidR="002C6A49" w:rsidRPr="00B00A1B">
              <w:rPr>
                <w:vertAlign w:val="superscript"/>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7A75AE69" w14:textId="3879F46F"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7"/>
                <w14:textFill>
                  <w14:solidFill>
                    <w14:srgbClr w14:val="000000">
                      <w14:alpha w14:val="100000"/>
                    </w14:srgbClr>
                  </w14:solidFill>
                </w14:textFill>
              </w:rPr>
              <w:t xml:space="preserve">　</w:t>
            </w:r>
            <w:r w:rsidRPr="007A7746">
              <w:rPr>
                <w:color w:val="000000"/>
                <w:w w:val="15"/>
                <w:shd w:val="solid" w:color="000000" w:fill="000000"/>
                <w:fitText w:val="34" w:id="-693979647"/>
                <w14:textFill>
                  <w14:solidFill>
                    <w14:srgbClr w14:val="000000">
                      <w14:alpha w14:val="100000"/>
                    </w14:srgbClr>
                  </w14:solidFill>
                </w14:textFill>
              </w:rPr>
              <w:t>|</w:t>
            </w:r>
            <w:r w:rsidRPr="007A7746">
              <w:rPr>
                <w:rFonts w:hint="eastAsia"/>
                <w:color w:val="000000"/>
                <w:spacing w:val="-31"/>
                <w:w w:val="15"/>
                <w:shd w:val="solid" w:color="000000" w:fill="000000"/>
                <w:fitText w:val="34" w:id="-693979647"/>
                <w14:textFill>
                  <w14:solidFill>
                    <w14:srgbClr w14:val="000000">
                      <w14:alpha w14:val="100000"/>
                    </w14:srgbClr>
                  </w14:solidFill>
                </w14:textFill>
              </w:rPr>
              <w:t xml:space="preserve">　</w:t>
            </w:r>
            <w:r w:rsidR="002C6A49" w:rsidRPr="00B00A1B">
              <w:rPr>
                <w:vertAlign w:val="superscript"/>
              </w:rPr>
              <w:t>1</w:t>
            </w:r>
          </w:p>
        </w:tc>
        <w:tc>
          <w:tcPr>
            <w:tcW w:w="278" w:type="pct"/>
            <w:tcBorders>
              <w:top w:val="single" w:sz="4" w:space="0" w:color="auto"/>
              <w:left w:val="single" w:sz="4" w:space="0" w:color="auto"/>
              <w:bottom w:val="single" w:sz="4" w:space="0" w:color="auto"/>
              <w:right w:val="single" w:sz="4" w:space="0" w:color="auto"/>
            </w:tcBorders>
            <w:vAlign w:val="center"/>
          </w:tcPr>
          <w:p w14:paraId="0FB0F87F" w14:textId="77777777" w:rsidR="0004729F" w:rsidRPr="002C6A49" w:rsidRDefault="0004729F" w:rsidP="00402E4D">
            <w:pPr>
              <w:pStyle w:val="TableText0"/>
              <w:jc w:val="center"/>
            </w:pPr>
            <w:r w:rsidRPr="002C6A49">
              <w:t>20%</w:t>
            </w:r>
          </w:p>
        </w:tc>
      </w:tr>
      <w:tr w:rsidR="00402E4D" w:rsidRPr="002553A6" w14:paraId="7BD9F39D" w14:textId="77777777" w:rsidTr="00402E4D">
        <w:trPr>
          <w:trHeight w:val="24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2AA654A9" w14:textId="7B332E55" w:rsidR="0004729F" w:rsidRPr="002553A6" w:rsidRDefault="0004729F" w:rsidP="00402E4D">
            <w:pPr>
              <w:pStyle w:val="TableText0"/>
              <w:rPr>
                <w:vertAlign w:val="superscript"/>
              </w:rPr>
            </w:pPr>
            <w:r w:rsidRPr="002553A6">
              <w:t xml:space="preserve">Uptake population 1 </w:t>
            </w:r>
            <w:r w:rsidRPr="002553A6" w:rsidDel="00A750C3">
              <w:t>+</w:t>
            </w:r>
            <w:r w:rsidR="007A7746" w:rsidRPr="007A7746">
              <w:rPr>
                <w:color w:val="000000"/>
                <w:spacing w:val="50"/>
                <w:shd w:val="solid" w:color="000000" w:fill="000000"/>
                <w:fitText w:val="322" w:id="-693979646"/>
                <w14:textFill>
                  <w14:solidFill>
                    <w14:srgbClr w14:val="000000">
                      <w14:alpha w14:val="100000"/>
                    </w14:srgbClr>
                  </w14:solidFill>
                </w14:textFill>
              </w:rPr>
              <w:t>|||</w:t>
            </w:r>
            <w:r w:rsidR="007A7746" w:rsidRPr="007A7746">
              <w:rPr>
                <w:color w:val="000000"/>
                <w:spacing w:val="2"/>
                <w:shd w:val="solid" w:color="000000" w:fill="000000"/>
                <w:fitText w:val="322" w:id="-693979646"/>
                <w14:textFill>
                  <w14:solidFill>
                    <w14:srgbClr w14:val="000000">
                      <w14:alpha w14:val="100000"/>
                    </w14:srgbClr>
                  </w14:solidFill>
                </w14:textFill>
              </w:rPr>
              <w:t>|</w:t>
            </w:r>
            <w:r w:rsidRPr="002553A6">
              <w:t>%</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4A0A99DB" w14:textId="35D0DF43"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5"/>
                <w14:textFill>
                  <w14:solidFill>
                    <w14:srgbClr w14:val="000000">
                      <w14:alpha w14:val="100000"/>
                    </w14:srgbClr>
                  </w14:solidFill>
                </w14:textFill>
              </w:rPr>
              <w:t xml:space="preserve">　</w:t>
            </w:r>
            <w:r w:rsidRPr="007A7746">
              <w:rPr>
                <w:color w:val="000000"/>
                <w:w w:val="15"/>
                <w:shd w:val="solid" w:color="000000" w:fill="000000"/>
                <w:fitText w:val="34" w:id="-693979645"/>
                <w14:textFill>
                  <w14:solidFill>
                    <w14:srgbClr w14:val="000000">
                      <w14:alpha w14:val="100000"/>
                    </w14:srgbClr>
                  </w14:solidFill>
                </w14:textFill>
              </w:rPr>
              <w:t>|</w:t>
            </w:r>
            <w:r w:rsidRPr="007A7746">
              <w:rPr>
                <w:rFonts w:hint="eastAsia"/>
                <w:color w:val="000000"/>
                <w:spacing w:val="-31"/>
                <w:w w:val="15"/>
                <w:shd w:val="solid" w:color="000000" w:fill="000000"/>
                <w:fitText w:val="34" w:id="-693979645"/>
                <w14:textFill>
                  <w14:solidFill>
                    <w14:srgbClr w14:val="000000">
                      <w14:alpha w14:val="100000"/>
                    </w14:srgbClr>
                  </w14:solidFill>
                </w14:textFill>
              </w:rPr>
              <w:t xml:space="preserve">　</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13BD44D2" w14:textId="107005B2"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5F05F318" w14:textId="4C0DEC0E"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5" w:id="-693979644"/>
                <w14:textFill>
                  <w14:solidFill>
                    <w14:srgbClr w14:val="000000">
                      <w14:alpha w14:val="100000"/>
                    </w14:srgbClr>
                  </w14:solidFill>
                </w14:textFill>
              </w:rPr>
              <w:t xml:space="preserve">　</w:t>
            </w:r>
            <w:r w:rsidRPr="007A7746">
              <w:rPr>
                <w:color w:val="000000"/>
                <w:w w:val="15"/>
                <w:shd w:val="solid" w:color="000000" w:fill="000000"/>
                <w:fitText w:val="35" w:id="-693979644"/>
                <w14:textFill>
                  <w14:solidFill>
                    <w14:srgbClr w14:val="000000">
                      <w14:alpha w14:val="100000"/>
                    </w14:srgbClr>
                  </w14:solidFill>
                </w14:textFill>
              </w:rPr>
              <w:t>|</w:t>
            </w:r>
            <w:r w:rsidRPr="007A7746">
              <w:rPr>
                <w:rFonts w:hint="eastAsia"/>
                <w:color w:val="000000"/>
                <w:spacing w:val="-30"/>
                <w:w w:val="15"/>
                <w:shd w:val="solid" w:color="000000" w:fill="000000"/>
                <w:fitText w:val="35" w:id="-693979644"/>
                <w14:textFill>
                  <w14:solidFill>
                    <w14:srgbClr w14:val="000000">
                      <w14:alpha w14:val="100000"/>
                    </w14:srgbClr>
                  </w14:solidFill>
                </w14:textFill>
              </w:rPr>
              <w:t xml:space="preserve">　</w:t>
            </w:r>
            <w:r w:rsidR="00B00A1B" w:rsidRPr="00B00A1B">
              <w:rPr>
                <w:vertAlign w:val="superscript"/>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024BD283" w14:textId="5FCDB849"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2C6A49" w:rsidRPr="00B00A1B">
              <w:rPr>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vAlign w:val="center"/>
          </w:tcPr>
          <w:p w14:paraId="31D7A98F" w14:textId="34747CCD"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3"/>
                <w14:textFill>
                  <w14:solidFill>
                    <w14:srgbClr w14:val="000000">
                      <w14:alpha w14:val="100000"/>
                    </w14:srgbClr>
                  </w14:solidFill>
                </w14:textFill>
              </w:rPr>
              <w:t xml:space="preserve">　</w:t>
            </w:r>
            <w:r w:rsidRPr="007A7746">
              <w:rPr>
                <w:color w:val="000000"/>
                <w:w w:val="15"/>
                <w:shd w:val="solid" w:color="000000" w:fill="000000"/>
                <w:fitText w:val="34" w:id="-693979643"/>
                <w14:textFill>
                  <w14:solidFill>
                    <w14:srgbClr w14:val="000000">
                      <w14:alpha w14:val="100000"/>
                    </w14:srgbClr>
                  </w14:solidFill>
                </w14:textFill>
              </w:rPr>
              <w:t>|</w:t>
            </w:r>
            <w:r w:rsidRPr="007A7746">
              <w:rPr>
                <w:rFonts w:hint="eastAsia"/>
                <w:color w:val="000000"/>
                <w:spacing w:val="-31"/>
                <w:w w:val="15"/>
                <w:shd w:val="solid" w:color="000000" w:fill="000000"/>
                <w:fitText w:val="34" w:id="-693979643"/>
                <w14:textFill>
                  <w14:solidFill>
                    <w14:srgbClr w14:val="000000">
                      <w14:alpha w14:val="100000"/>
                    </w14:srgbClr>
                  </w14:solidFill>
                </w14:textFill>
              </w:rPr>
              <w:t xml:space="preserve">　</w:t>
            </w:r>
            <w:r w:rsidR="002C6A49" w:rsidRPr="00B00A1B">
              <w:rPr>
                <w:vertAlign w:val="superscript"/>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39908EBF" w14:textId="4D86DB34"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2"/>
                <w14:textFill>
                  <w14:solidFill>
                    <w14:srgbClr w14:val="000000">
                      <w14:alpha w14:val="100000"/>
                    </w14:srgbClr>
                  </w14:solidFill>
                </w14:textFill>
              </w:rPr>
              <w:t xml:space="preserve">　</w:t>
            </w:r>
            <w:r w:rsidRPr="007A7746">
              <w:rPr>
                <w:color w:val="000000"/>
                <w:w w:val="15"/>
                <w:shd w:val="solid" w:color="000000" w:fill="000000"/>
                <w:fitText w:val="34" w:id="-693979642"/>
                <w14:textFill>
                  <w14:solidFill>
                    <w14:srgbClr w14:val="000000">
                      <w14:alpha w14:val="100000"/>
                    </w14:srgbClr>
                  </w14:solidFill>
                </w14:textFill>
              </w:rPr>
              <w:t>|</w:t>
            </w:r>
            <w:r w:rsidRPr="007A7746">
              <w:rPr>
                <w:rFonts w:hint="eastAsia"/>
                <w:color w:val="000000"/>
                <w:spacing w:val="-31"/>
                <w:w w:val="15"/>
                <w:shd w:val="solid" w:color="000000" w:fill="000000"/>
                <w:fitText w:val="34" w:id="-693979642"/>
                <w14:textFill>
                  <w14:solidFill>
                    <w14:srgbClr w14:val="000000">
                      <w14:alpha w14:val="100000"/>
                    </w14:srgbClr>
                  </w14:solidFill>
                </w14:textFill>
              </w:rPr>
              <w:t xml:space="preserve">　</w:t>
            </w:r>
            <w:r w:rsidR="002C6A49" w:rsidRPr="00B00A1B">
              <w:rPr>
                <w:vertAlign w:val="superscript"/>
              </w:rPr>
              <w:t>1</w:t>
            </w:r>
          </w:p>
        </w:tc>
        <w:tc>
          <w:tcPr>
            <w:tcW w:w="278" w:type="pct"/>
            <w:tcBorders>
              <w:top w:val="single" w:sz="4" w:space="0" w:color="auto"/>
              <w:left w:val="single" w:sz="4" w:space="0" w:color="auto"/>
              <w:bottom w:val="single" w:sz="4" w:space="0" w:color="auto"/>
              <w:right w:val="single" w:sz="4" w:space="0" w:color="auto"/>
            </w:tcBorders>
            <w:vAlign w:val="center"/>
          </w:tcPr>
          <w:p w14:paraId="79C0FDEA" w14:textId="77777777" w:rsidR="0004729F" w:rsidRPr="002C6A49" w:rsidRDefault="0004729F" w:rsidP="00402E4D">
            <w:pPr>
              <w:pStyle w:val="TableText0"/>
              <w:jc w:val="center"/>
            </w:pPr>
            <w:r w:rsidRPr="002C6A49">
              <w:t>-20%</w:t>
            </w:r>
          </w:p>
        </w:tc>
      </w:tr>
      <w:tr w:rsidR="00402E4D" w:rsidRPr="002553A6" w14:paraId="0DE29A16" w14:textId="77777777" w:rsidTr="00402E4D">
        <w:trPr>
          <w:trHeight w:val="24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7363C6BE" w14:textId="62F8921D" w:rsidR="0004729F" w:rsidRPr="002553A6" w:rsidRDefault="0004729F" w:rsidP="00402E4D">
            <w:pPr>
              <w:pStyle w:val="TableText0"/>
              <w:rPr>
                <w:vertAlign w:val="superscript"/>
              </w:rPr>
            </w:pPr>
            <w:r w:rsidRPr="002553A6">
              <w:t xml:space="preserve">Incident first-line </w:t>
            </w:r>
            <w:r w:rsidR="00F639C0" w:rsidRPr="002553A6">
              <w:t>EGFR</w:t>
            </w:r>
            <w:r w:rsidRPr="002553A6">
              <w:t>m NSCLC patients power extrapolation (decreased population 1 patients)</w:t>
            </w:r>
            <w:r w:rsidRPr="002553A6">
              <w:rPr>
                <w:vertAlign w:val="superscript"/>
              </w:rPr>
              <w:t>a</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55CC58D7" w14:textId="255A9D0D"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1"/>
                <w14:textFill>
                  <w14:solidFill>
                    <w14:srgbClr w14:val="000000">
                      <w14:alpha w14:val="100000"/>
                    </w14:srgbClr>
                  </w14:solidFill>
                </w14:textFill>
              </w:rPr>
              <w:t xml:space="preserve">　</w:t>
            </w:r>
            <w:r w:rsidRPr="007A7746">
              <w:rPr>
                <w:color w:val="000000"/>
                <w:w w:val="15"/>
                <w:shd w:val="solid" w:color="000000" w:fill="000000"/>
                <w:fitText w:val="34" w:id="-693979641"/>
                <w14:textFill>
                  <w14:solidFill>
                    <w14:srgbClr w14:val="000000">
                      <w14:alpha w14:val="100000"/>
                    </w14:srgbClr>
                  </w14:solidFill>
                </w14:textFill>
              </w:rPr>
              <w:t>|</w:t>
            </w:r>
            <w:r w:rsidRPr="007A7746">
              <w:rPr>
                <w:rFonts w:hint="eastAsia"/>
                <w:color w:val="000000"/>
                <w:spacing w:val="-31"/>
                <w:w w:val="15"/>
                <w:shd w:val="solid" w:color="000000" w:fill="000000"/>
                <w:fitText w:val="34" w:id="-693979641"/>
                <w14:textFill>
                  <w14:solidFill>
                    <w14:srgbClr w14:val="000000">
                      <w14:alpha w14:val="100000"/>
                    </w14:srgbClr>
                  </w14:solidFill>
                </w14:textFill>
              </w:rPr>
              <w:t xml:space="preserve">　</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1B7906A6" w14:textId="0483E700"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0D00E048" w14:textId="5D8302CC"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5" w:id="-693979640"/>
                <w14:textFill>
                  <w14:solidFill>
                    <w14:srgbClr w14:val="000000">
                      <w14:alpha w14:val="100000"/>
                    </w14:srgbClr>
                  </w14:solidFill>
                </w14:textFill>
              </w:rPr>
              <w:t xml:space="preserve">　</w:t>
            </w:r>
            <w:r w:rsidRPr="007A7746">
              <w:rPr>
                <w:color w:val="000000"/>
                <w:w w:val="15"/>
                <w:shd w:val="solid" w:color="000000" w:fill="000000"/>
                <w:fitText w:val="35" w:id="-693979640"/>
                <w14:textFill>
                  <w14:solidFill>
                    <w14:srgbClr w14:val="000000">
                      <w14:alpha w14:val="100000"/>
                    </w14:srgbClr>
                  </w14:solidFill>
                </w14:textFill>
              </w:rPr>
              <w:t>|</w:t>
            </w:r>
            <w:r w:rsidRPr="007A7746">
              <w:rPr>
                <w:rFonts w:hint="eastAsia"/>
                <w:color w:val="000000"/>
                <w:spacing w:val="-30"/>
                <w:w w:val="15"/>
                <w:shd w:val="solid" w:color="000000" w:fill="000000"/>
                <w:fitText w:val="35" w:id="-693979640"/>
                <w14:textFill>
                  <w14:solidFill>
                    <w14:srgbClr w14:val="000000">
                      <w14:alpha w14:val="100000"/>
                    </w14:srgbClr>
                  </w14:solidFill>
                </w14:textFill>
              </w:rPr>
              <w:t xml:space="preserve">　</w:t>
            </w:r>
            <w:r w:rsidR="00B00A1B" w:rsidRPr="00B00A1B">
              <w:rPr>
                <w:vertAlign w:val="superscript"/>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75A8D2B1" w14:textId="247AAA4D"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2C6A49" w:rsidRPr="00B00A1B">
              <w:rPr>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vAlign w:val="center"/>
          </w:tcPr>
          <w:p w14:paraId="68A7B467" w14:textId="5ECF60B1"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39"/>
                <w14:textFill>
                  <w14:solidFill>
                    <w14:srgbClr w14:val="000000">
                      <w14:alpha w14:val="100000"/>
                    </w14:srgbClr>
                  </w14:solidFill>
                </w14:textFill>
              </w:rPr>
              <w:t xml:space="preserve">　</w:t>
            </w:r>
            <w:r w:rsidRPr="007A7746">
              <w:rPr>
                <w:color w:val="000000"/>
                <w:w w:val="15"/>
                <w:shd w:val="solid" w:color="000000" w:fill="000000"/>
                <w:fitText w:val="34" w:id="-693979639"/>
                <w14:textFill>
                  <w14:solidFill>
                    <w14:srgbClr w14:val="000000">
                      <w14:alpha w14:val="100000"/>
                    </w14:srgbClr>
                  </w14:solidFill>
                </w14:textFill>
              </w:rPr>
              <w:t>|</w:t>
            </w:r>
            <w:r w:rsidRPr="007A7746">
              <w:rPr>
                <w:rFonts w:hint="eastAsia"/>
                <w:color w:val="000000"/>
                <w:spacing w:val="-31"/>
                <w:w w:val="15"/>
                <w:shd w:val="solid" w:color="000000" w:fill="000000"/>
                <w:fitText w:val="34" w:id="-693979639"/>
                <w14:textFill>
                  <w14:solidFill>
                    <w14:srgbClr w14:val="000000">
                      <w14:alpha w14:val="100000"/>
                    </w14:srgbClr>
                  </w14:solidFill>
                </w14:textFill>
              </w:rPr>
              <w:t xml:space="preserve">　</w:t>
            </w:r>
            <w:r w:rsidR="002C6A49" w:rsidRPr="00B00A1B">
              <w:rPr>
                <w:vertAlign w:val="superscript"/>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04C0C709" w14:textId="5EB4DCFA"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38"/>
                <w14:textFill>
                  <w14:solidFill>
                    <w14:srgbClr w14:val="000000">
                      <w14:alpha w14:val="100000"/>
                    </w14:srgbClr>
                  </w14:solidFill>
                </w14:textFill>
              </w:rPr>
              <w:t xml:space="preserve">　</w:t>
            </w:r>
            <w:r w:rsidRPr="007A7746">
              <w:rPr>
                <w:color w:val="000000"/>
                <w:w w:val="15"/>
                <w:shd w:val="solid" w:color="000000" w:fill="000000"/>
                <w:fitText w:val="34" w:id="-693979638"/>
                <w14:textFill>
                  <w14:solidFill>
                    <w14:srgbClr w14:val="000000">
                      <w14:alpha w14:val="100000"/>
                    </w14:srgbClr>
                  </w14:solidFill>
                </w14:textFill>
              </w:rPr>
              <w:t>|</w:t>
            </w:r>
            <w:r w:rsidRPr="007A7746">
              <w:rPr>
                <w:rFonts w:hint="eastAsia"/>
                <w:color w:val="000000"/>
                <w:spacing w:val="-31"/>
                <w:w w:val="15"/>
                <w:shd w:val="solid" w:color="000000" w:fill="000000"/>
                <w:fitText w:val="34" w:id="-693979638"/>
                <w14:textFill>
                  <w14:solidFill>
                    <w14:srgbClr w14:val="000000">
                      <w14:alpha w14:val="100000"/>
                    </w14:srgbClr>
                  </w14:solidFill>
                </w14:textFill>
              </w:rPr>
              <w:t xml:space="preserve">　</w:t>
            </w:r>
            <w:r w:rsidR="002C6A49" w:rsidRPr="00B00A1B">
              <w:rPr>
                <w:vertAlign w:val="superscript"/>
              </w:rPr>
              <w:t>1</w:t>
            </w:r>
          </w:p>
        </w:tc>
        <w:tc>
          <w:tcPr>
            <w:tcW w:w="278" w:type="pct"/>
            <w:tcBorders>
              <w:top w:val="single" w:sz="4" w:space="0" w:color="auto"/>
              <w:left w:val="single" w:sz="4" w:space="0" w:color="auto"/>
              <w:bottom w:val="single" w:sz="4" w:space="0" w:color="auto"/>
              <w:right w:val="single" w:sz="4" w:space="0" w:color="auto"/>
            </w:tcBorders>
            <w:vAlign w:val="center"/>
          </w:tcPr>
          <w:p w14:paraId="72A06228" w14:textId="77777777" w:rsidR="0004729F" w:rsidRPr="002C6A49" w:rsidRDefault="0004729F" w:rsidP="00402E4D">
            <w:pPr>
              <w:pStyle w:val="TableText0"/>
              <w:jc w:val="center"/>
            </w:pPr>
            <w:r w:rsidRPr="002C6A49">
              <w:t>6%</w:t>
            </w:r>
          </w:p>
        </w:tc>
      </w:tr>
      <w:tr w:rsidR="00402E4D" w:rsidRPr="002553A6" w14:paraId="24997D91" w14:textId="77777777" w:rsidTr="00402E4D">
        <w:trPr>
          <w:trHeight w:val="24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493DF3B7" w14:textId="2239E156" w:rsidR="0004729F" w:rsidRPr="002553A6" w:rsidRDefault="0004729F" w:rsidP="00402E4D">
            <w:pPr>
              <w:pStyle w:val="TableText0"/>
            </w:pPr>
            <w:r w:rsidRPr="002553A6">
              <w:t xml:space="preserve">Removal of grandfathered patients </w:t>
            </w:r>
            <w:r w:rsidRPr="002553A6">
              <w:rPr>
                <w:vertAlign w:val="superscript"/>
              </w:rPr>
              <w:t>b</w:t>
            </w:r>
            <w:r w:rsidRPr="002553A6">
              <w:t xml:space="preserve"> </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68BB9662" w14:textId="3D9019F9"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37"/>
                <w14:textFill>
                  <w14:solidFill>
                    <w14:srgbClr w14:val="000000">
                      <w14:alpha w14:val="100000"/>
                    </w14:srgbClr>
                  </w14:solidFill>
                </w14:textFill>
              </w:rPr>
              <w:t xml:space="preserve">　</w:t>
            </w:r>
            <w:r w:rsidRPr="007A7746">
              <w:rPr>
                <w:color w:val="000000"/>
                <w:w w:val="15"/>
                <w:shd w:val="solid" w:color="000000" w:fill="000000"/>
                <w:fitText w:val="34" w:id="-693979637"/>
                <w14:textFill>
                  <w14:solidFill>
                    <w14:srgbClr w14:val="000000">
                      <w14:alpha w14:val="100000"/>
                    </w14:srgbClr>
                  </w14:solidFill>
                </w14:textFill>
              </w:rPr>
              <w:t>|</w:t>
            </w:r>
            <w:r w:rsidRPr="007A7746">
              <w:rPr>
                <w:rFonts w:hint="eastAsia"/>
                <w:color w:val="000000"/>
                <w:spacing w:val="-31"/>
                <w:w w:val="15"/>
                <w:shd w:val="solid" w:color="000000" w:fill="000000"/>
                <w:fitText w:val="34" w:id="-693979637"/>
                <w14:textFill>
                  <w14:solidFill>
                    <w14:srgbClr w14:val="000000">
                      <w14:alpha w14:val="100000"/>
                    </w14:srgbClr>
                  </w14:solidFill>
                </w14:textFill>
              </w:rPr>
              <w:t xml:space="preserve">　</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7F8524CF" w14:textId="38095649"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31E21907" w14:textId="7AB09543"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5" w:id="-693979636"/>
                <w14:textFill>
                  <w14:solidFill>
                    <w14:srgbClr w14:val="000000">
                      <w14:alpha w14:val="100000"/>
                    </w14:srgbClr>
                  </w14:solidFill>
                </w14:textFill>
              </w:rPr>
              <w:t xml:space="preserve">　</w:t>
            </w:r>
            <w:r w:rsidRPr="007A7746">
              <w:rPr>
                <w:color w:val="000000"/>
                <w:w w:val="15"/>
                <w:shd w:val="solid" w:color="000000" w:fill="000000"/>
                <w:fitText w:val="35" w:id="-693979636"/>
                <w14:textFill>
                  <w14:solidFill>
                    <w14:srgbClr w14:val="000000">
                      <w14:alpha w14:val="100000"/>
                    </w14:srgbClr>
                  </w14:solidFill>
                </w14:textFill>
              </w:rPr>
              <w:t>|</w:t>
            </w:r>
            <w:r w:rsidRPr="007A7746">
              <w:rPr>
                <w:rFonts w:hint="eastAsia"/>
                <w:color w:val="000000"/>
                <w:spacing w:val="-30"/>
                <w:w w:val="15"/>
                <w:shd w:val="solid" w:color="000000" w:fill="000000"/>
                <w:fitText w:val="35" w:id="-693979636"/>
                <w14:textFill>
                  <w14:solidFill>
                    <w14:srgbClr w14:val="000000">
                      <w14:alpha w14:val="100000"/>
                    </w14:srgbClr>
                  </w14:solidFill>
                </w14:textFill>
              </w:rPr>
              <w:t xml:space="preserve">　</w:t>
            </w:r>
            <w:r w:rsidR="00B00A1B" w:rsidRPr="00B00A1B">
              <w:rPr>
                <w:vertAlign w:val="superscript"/>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49E6F6E3" w14:textId="42603F4A"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2C6A49" w:rsidRPr="00B00A1B">
              <w:rPr>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vAlign w:val="center"/>
          </w:tcPr>
          <w:p w14:paraId="3C9A3809" w14:textId="44186D4B"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35"/>
                <w14:textFill>
                  <w14:solidFill>
                    <w14:srgbClr w14:val="000000">
                      <w14:alpha w14:val="100000"/>
                    </w14:srgbClr>
                  </w14:solidFill>
                </w14:textFill>
              </w:rPr>
              <w:t xml:space="preserve">　</w:t>
            </w:r>
            <w:r w:rsidRPr="007A7746">
              <w:rPr>
                <w:color w:val="000000"/>
                <w:w w:val="15"/>
                <w:shd w:val="solid" w:color="000000" w:fill="000000"/>
                <w:fitText w:val="34" w:id="-693979635"/>
                <w14:textFill>
                  <w14:solidFill>
                    <w14:srgbClr w14:val="000000">
                      <w14:alpha w14:val="100000"/>
                    </w14:srgbClr>
                  </w14:solidFill>
                </w14:textFill>
              </w:rPr>
              <w:t>|</w:t>
            </w:r>
            <w:r w:rsidRPr="007A7746">
              <w:rPr>
                <w:rFonts w:hint="eastAsia"/>
                <w:color w:val="000000"/>
                <w:spacing w:val="-31"/>
                <w:w w:val="15"/>
                <w:shd w:val="solid" w:color="000000" w:fill="000000"/>
                <w:fitText w:val="34" w:id="-693979635"/>
                <w14:textFill>
                  <w14:solidFill>
                    <w14:srgbClr w14:val="000000">
                      <w14:alpha w14:val="100000"/>
                    </w14:srgbClr>
                  </w14:solidFill>
                </w14:textFill>
              </w:rPr>
              <w:t xml:space="preserve">　</w:t>
            </w:r>
            <w:r w:rsidR="002C6A49" w:rsidRPr="00B00A1B">
              <w:rPr>
                <w:vertAlign w:val="superscript"/>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03647562" w14:textId="72D4BDF7"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34"/>
                <w14:textFill>
                  <w14:solidFill>
                    <w14:srgbClr w14:val="000000">
                      <w14:alpha w14:val="100000"/>
                    </w14:srgbClr>
                  </w14:solidFill>
                </w14:textFill>
              </w:rPr>
              <w:t xml:space="preserve">　</w:t>
            </w:r>
            <w:r w:rsidRPr="007A7746">
              <w:rPr>
                <w:color w:val="000000"/>
                <w:w w:val="15"/>
                <w:shd w:val="solid" w:color="000000" w:fill="000000"/>
                <w:fitText w:val="34" w:id="-693979634"/>
                <w14:textFill>
                  <w14:solidFill>
                    <w14:srgbClr w14:val="000000">
                      <w14:alpha w14:val="100000"/>
                    </w14:srgbClr>
                  </w14:solidFill>
                </w14:textFill>
              </w:rPr>
              <w:t>|</w:t>
            </w:r>
            <w:r w:rsidRPr="007A7746">
              <w:rPr>
                <w:rFonts w:hint="eastAsia"/>
                <w:color w:val="000000"/>
                <w:spacing w:val="-31"/>
                <w:w w:val="15"/>
                <w:shd w:val="solid" w:color="000000" w:fill="000000"/>
                <w:fitText w:val="34" w:id="-693979634"/>
                <w14:textFill>
                  <w14:solidFill>
                    <w14:srgbClr w14:val="000000">
                      <w14:alpha w14:val="100000"/>
                    </w14:srgbClr>
                  </w14:solidFill>
                </w14:textFill>
              </w:rPr>
              <w:t xml:space="preserve">　</w:t>
            </w:r>
            <w:r w:rsidR="002C6A49" w:rsidRPr="00B00A1B">
              <w:rPr>
                <w:vertAlign w:val="superscript"/>
              </w:rPr>
              <w:t>1</w:t>
            </w:r>
          </w:p>
        </w:tc>
        <w:tc>
          <w:tcPr>
            <w:tcW w:w="278" w:type="pct"/>
            <w:tcBorders>
              <w:top w:val="single" w:sz="4" w:space="0" w:color="auto"/>
              <w:left w:val="single" w:sz="4" w:space="0" w:color="auto"/>
              <w:bottom w:val="single" w:sz="4" w:space="0" w:color="auto"/>
              <w:right w:val="single" w:sz="4" w:space="0" w:color="auto"/>
            </w:tcBorders>
            <w:vAlign w:val="center"/>
          </w:tcPr>
          <w:p w14:paraId="3FF7E859" w14:textId="77777777" w:rsidR="0004729F" w:rsidRPr="002C6A49" w:rsidRDefault="0004729F" w:rsidP="00402E4D">
            <w:pPr>
              <w:pStyle w:val="TableText0"/>
              <w:jc w:val="center"/>
            </w:pPr>
            <w:r w:rsidRPr="002C6A49">
              <w:t>-3%</w:t>
            </w:r>
          </w:p>
        </w:tc>
      </w:tr>
      <w:tr w:rsidR="00402E4D" w:rsidRPr="002553A6" w14:paraId="0F2E9C50" w14:textId="77777777" w:rsidTr="00402E4D">
        <w:trPr>
          <w:trHeight w:val="249"/>
        </w:trPr>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299EA43C" w14:textId="54A58276" w:rsidR="0004729F" w:rsidRPr="002553A6" w:rsidRDefault="0004729F" w:rsidP="00402E4D">
            <w:pPr>
              <w:pStyle w:val="TableText0"/>
            </w:pPr>
            <w:r w:rsidRPr="002553A6">
              <w:t xml:space="preserve">Compliance estimated in the evaluation </w:t>
            </w:r>
            <w:r w:rsidR="00FC0B1C">
              <w:rPr>
                <w:vertAlign w:val="superscript"/>
              </w:rPr>
              <w:t>c</w:t>
            </w:r>
            <w:r w:rsidRPr="002553A6">
              <w:t xml:space="preserve"> </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460F54B5" w14:textId="2BD800D5"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33"/>
                <w14:textFill>
                  <w14:solidFill>
                    <w14:srgbClr w14:val="000000">
                      <w14:alpha w14:val="100000"/>
                    </w14:srgbClr>
                  </w14:solidFill>
                </w14:textFill>
              </w:rPr>
              <w:t xml:space="preserve">　</w:t>
            </w:r>
            <w:r w:rsidRPr="007A7746">
              <w:rPr>
                <w:color w:val="000000"/>
                <w:w w:val="15"/>
                <w:shd w:val="solid" w:color="000000" w:fill="000000"/>
                <w:fitText w:val="34" w:id="-693979633"/>
                <w14:textFill>
                  <w14:solidFill>
                    <w14:srgbClr w14:val="000000">
                      <w14:alpha w14:val="100000"/>
                    </w14:srgbClr>
                  </w14:solidFill>
                </w14:textFill>
              </w:rPr>
              <w:t>|</w:t>
            </w:r>
            <w:r w:rsidRPr="007A7746">
              <w:rPr>
                <w:rFonts w:hint="eastAsia"/>
                <w:color w:val="000000"/>
                <w:spacing w:val="-31"/>
                <w:w w:val="15"/>
                <w:shd w:val="solid" w:color="000000" w:fill="000000"/>
                <w:fitText w:val="34" w:id="-693979633"/>
                <w14:textFill>
                  <w14:solidFill>
                    <w14:srgbClr w14:val="000000">
                      <w14:alpha w14:val="100000"/>
                    </w14:srgbClr>
                  </w14:solidFill>
                </w14:textFill>
              </w:rPr>
              <w:t xml:space="preserve">　</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55318576" w14:textId="31202576"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B00A1B" w:rsidRPr="00B00A1B">
              <w:rPr>
                <w:vertAlign w:val="superscript"/>
              </w:rPr>
              <w:t>1</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67D9D44F" w14:textId="583CA6C9"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5" w:id="-693979632"/>
                <w14:textFill>
                  <w14:solidFill>
                    <w14:srgbClr w14:val="000000">
                      <w14:alpha w14:val="100000"/>
                    </w14:srgbClr>
                  </w14:solidFill>
                </w14:textFill>
              </w:rPr>
              <w:t xml:space="preserve">　</w:t>
            </w:r>
            <w:r w:rsidRPr="007A7746">
              <w:rPr>
                <w:color w:val="000000"/>
                <w:w w:val="15"/>
                <w:shd w:val="solid" w:color="000000" w:fill="000000"/>
                <w:fitText w:val="35" w:id="-693979632"/>
                <w14:textFill>
                  <w14:solidFill>
                    <w14:srgbClr w14:val="000000">
                      <w14:alpha w14:val="100000"/>
                    </w14:srgbClr>
                  </w14:solidFill>
                </w14:textFill>
              </w:rPr>
              <w:t>|</w:t>
            </w:r>
            <w:r w:rsidRPr="007A7746">
              <w:rPr>
                <w:rFonts w:hint="eastAsia"/>
                <w:color w:val="000000"/>
                <w:spacing w:val="-30"/>
                <w:w w:val="15"/>
                <w:shd w:val="solid" w:color="000000" w:fill="000000"/>
                <w:fitText w:val="35" w:id="-693979632"/>
                <w14:textFill>
                  <w14:solidFill>
                    <w14:srgbClr w14:val="000000">
                      <w14:alpha w14:val="100000"/>
                    </w14:srgbClr>
                  </w14:solidFill>
                </w14:textFill>
              </w:rPr>
              <w:t xml:space="preserve">　</w:t>
            </w:r>
            <w:r w:rsidR="00B00A1B" w:rsidRPr="00B00A1B">
              <w:rPr>
                <w:vertAlign w:val="superscript"/>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14:paraId="2AB2CFBD" w14:textId="665769E4" w:rsidR="0004729F" w:rsidRPr="001D12CC" w:rsidRDefault="007A7746" w:rsidP="00402E4D">
            <w:pPr>
              <w:pStyle w:val="TableText0"/>
              <w:jc w:val="center"/>
              <w:rPr>
                <w:highlight w:val="darkGray"/>
              </w:rPr>
            </w:pPr>
            <w:r w:rsidRPr="007A7746">
              <w:rPr>
                <w:color w:val="000000"/>
                <w:shd w:val="solid" w:color="000000" w:fill="000000"/>
                <w14:textFill>
                  <w14:solidFill>
                    <w14:srgbClr w14:val="000000">
                      <w14:alpha w14:val="100000"/>
                    </w14:srgbClr>
                  </w14:solidFill>
                </w14:textFill>
              </w:rPr>
              <w:t>|</w:t>
            </w:r>
            <w:r w:rsidR="002C6A49" w:rsidRPr="00B00A1B">
              <w:rPr>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vAlign w:val="center"/>
          </w:tcPr>
          <w:p w14:paraId="28D854DC" w14:textId="4E78160F"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8"/>
                <w14:textFill>
                  <w14:solidFill>
                    <w14:srgbClr w14:val="000000">
                      <w14:alpha w14:val="100000"/>
                    </w14:srgbClr>
                  </w14:solidFill>
                </w14:textFill>
              </w:rPr>
              <w:t xml:space="preserve">　</w:t>
            </w:r>
            <w:r w:rsidRPr="007A7746">
              <w:rPr>
                <w:color w:val="000000"/>
                <w:w w:val="15"/>
                <w:shd w:val="solid" w:color="000000" w:fill="000000"/>
                <w:fitText w:val="34" w:id="-693979648"/>
                <w14:textFill>
                  <w14:solidFill>
                    <w14:srgbClr w14:val="000000">
                      <w14:alpha w14:val="100000"/>
                    </w14:srgbClr>
                  </w14:solidFill>
                </w14:textFill>
              </w:rPr>
              <w:t>|</w:t>
            </w:r>
            <w:r w:rsidRPr="007A7746">
              <w:rPr>
                <w:rFonts w:hint="eastAsia"/>
                <w:color w:val="000000"/>
                <w:spacing w:val="-31"/>
                <w:w w:val="15"/>
                <w:shd w:val="solid" w:color="000000" w:fill="000000"/>
                <w:fitText w:val="34" w:id="-693979648"/>
                <w14:textFill>
                  <w14:solidFill>
                    <w14:srgbClr w14:val="000000">
                      <w14:alpha w14:val="100000"/>
                    </w14:srgbClr>
                  </w14:solidFill>
                </w14:textFill>
              </w:rPr>
              <w:t xml:space="preserve">　</w:t>
            </w:r>
            <w:r w:rsidR="002C6A49" w:rsidRPr="00B00A1B">
              <w:rPr>
                <w:vertAlign w:val="superscript"/>
              </w:rPr>
              <w:t>1</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0E3C558A" w14:textId="09C3E112" w:rsidR="0004729F" w:rsidRPr="001D12CC" w:rsidRDefault="007A7746" w:rsidP="00402E4D">
            <w:pPr>
              <w:pStyle w:val="TableText0"/>
              <w:jc w:val="center"/>
              <w:rPr>
                <w:highlight w:val="darkGray"/>
              </w:rPr>
            </w:pPr>
            <w:r w:rsidRPr="007A7746">
              <w:rPr>
                <w:rFonts w:hint="eastAsia"/>
                <w:color w:val="000000"/>
                <w:w w:val="15"/>
                <w:shd w:val="solid" w:color="000000" w:fill="000000"/>
                <w:fitText w:val="34" w:id="-693979647"/>
                <w14:textFill>
                  <w14:solidFill>
                    <w14:srgbClr w14:val="000000">
                      <w14:alpha w14:val="100000"/>
                    </w14:srgbClr>
                  </w14:solidFill>
                </w14:textFill>
              </w:rPr>
              <w:t xml:space="preserve">　</w:t>
            </w:r>
            <w:r w:rsidRPr="007A7746">
              <w:rPr>
                <w:color w:val="000000"/>
                <w:w w:val="15"/>
                <w:shd w:val="solid" w:color="000000" w:fill="000000"/>
                <w:fitText w:val="34" w:id="-693979647"/>
                <w14:textFill>
                  <w14:solidFill>
                    <w14:srgbClr w14:val="000000">
                      <w14:alpha w14:val="100000"/>
                    </w14:srgbClr>
                  </w14:solidFill>
                </w14:textFill>
              </w:rPr>
              <w:t>|</w:t>
            </w:r>
            <w:r w:rsidRPr="007A7746">
              <w:rPr>
                <w:rFonts w:hint="eastAsia"/>
                <w:color w:val="000000"/>
                <w:spacing w:val="-31"/>
                <w:w w:val="15"/>
                <w:shd w:val="solid" w:color="000000" w:fill="000000"/>
                <w:fitText w:val="34" w:id="-693979647"/>
                <w14:textFill>
                  <w14:solidFill>
                    <w14:srgbClr w14:val="000000">
                      <w14:alpha w14:val="100000"/>
                    </w14:srgbClr>
                  </w14:solidFill>
                </w14:textFill>
              </w:rPr>
              <w:t xml:space="preserve">　</w:t>
            </w:r>
            <w:r w:rsidR="002C6A49" w:rsidRPr="00B00A1B">
              <w:rPr>
                <w:vertAlign w:val="superscript"/>
              </w:rPr>
              <w:t>1</w:t>
            </w:r>
          </w:p>
        </w:tc>
        <w:tc>
          <w:tcPr>
            <w:tcW w:w="278" w:type="pct"/>
            <w:tcBorders>
              <w:top w:val="single" w:sz="4" w:space="0" w:color="auto"/>
              <w:left w:val="single" w:sz="4" w:space="0" w:color="auto"/>
              <w:bottom w:val="single" w:sz="4" w:space="0" w:color="auto"/>
              <w:right w:val="single" w:sz="4" w:space="0" w:color="auto"/>
            </w:tcBorders>
            <w:vAlign w:val="center"/>
          </w:tcPr>
          <w:p w14:paraId="3BAA4BE6" w14:textId="77777777" w:rsidR="0004729F" w:rsidRPr="002C6A49" w:rsidRDefault="0004729F" w:rsidP="00402E4D">
            <w:pPr>
              <w:pStyle w:val="TableText0"/>
              <w:jc w:val="center"/>
            </w:pPr>
            <w:r w:rsidRPr="002C6A49">
              <w:t>49%</w:t>
            </w:r>
          </w:p>
        </w:tc>
      </w:tr>
    </w:tbl>
    <w:p w14:paraId="682E1A9E" w14:textId="538FE22F" w:rsidR="0004729F" w:rsidRPr="004D75BF" w:rsidRDefault="0004729F" w:rsidP="00402E4D">
      <w:pPr>
        <w:pStyle w:val="TableFigureFooter"/>
        <w:keepNext/>
        <w:widowControl/>
      </w:pPr>
      <w:r w:rsidRPr="004D75BF">
        <w:t xml:space="preserve">Source: Compiled from Section 4.6 of the submission. </w:t>
      </w:r>
    </w:p>
    <w:p w14:paraId="4BC0176F" w14:textId="08D269F0" w:rsidR="0004729F" w:rsidRPr="004D75BF" w:rsidRDefault="0004729F" w:rsidP="00402E4D">
      <w:pPr>
        <w:pStyle w:val="TableFigureFooter"/>
        <w:keepNext/>
        <w:widowControl/>
      </w:pPr>
      <w:r w:rsidRPr="589E218A">
        <w:t xml:space="preserve">A+L = amivantamab plus lazertinib, </w:t>
      </w:r>
      <w:r w:rsidR="00F639C0" w:rsidRPr="589E218A">
        <w:rPr>
          <w:i/>
          <w:iCs/>
        </w:rPr>
        <w:t>EGFR</w:t>
      </w:r>
      <w:r w:rsidRPr="589E218A">
        <w:t>m = endothelial growth factor receptor mutation, NSCLC = non-small cell lung cancer, PBS = Pharmaceutical Benefits Scheme, RPBS = Repatriation Pharmaceutical Benefits Scheme.</w:t>
      </w:r>
    </w:p>
    <w:p w14:paraId="234FD6B7" w14:textId="6B4F5912" w:rsidR="0004729F" w:rsidRPr="004D75BF" w:rsidRDefault="0004729F" w:rsidP="00402E4D">
      <w:pPr>
        <w:pStyle w:val="TableFigureFooter"/>
        <w:keepNext/>
        <w:widowControl/>
      </w:pPr>
      <w:r w:rsidRPr="589E218A">
        <w:rPr>
          <w:vertAlign w:val="superscript"/>
        </w:rPr>
        <w:t xml:space="preserve">a </w:t>
      </w:r>
      <w:r w:rsidRPr="589E218A">
        <w:t xml:space="preserve">Changed formulas in cells H6:N6 for y = 800.62x0.2137, and changed cells I21:N21 to account for the 55% reduction in growth rate, tab ‘1L </w:t>
      </w:r>
      <w:r w:rsidR="00F639C0" w:rsidRPr="589E218A">
        <w:rPr>
          <w:i/>
          <w:iCs/>
        </w:rPr>
        <w:t>EGFR</w:t>
      </w:r>
      <w:r w:rsidRPr="589E218A">
        <w:t xml:space="preserve">m Market’, of ‘Attachment 4.1 - UCM Ami </w:t>
      </w:r>
      <w:r w:rsidR="00F639C0" w:rsidRPr="589E218A">
        <w:rPr>
          <w:i/>
          <w:iCs/>
        </w:rPr>
        <w:t>EGFR</w:t>
      </w:r>
      <w:r w:rsidRPr="589E218A">
        <w:t>m BASE’ of the submission.</w:t>
      </w:r>
    </w:p>
    <w:p w14:paraId="48ECF8B5" w14:textId="7E70B69E" w:rsidR="0004729F" w:rsidRPr="004D75BF" w:rsidRDefault="0004729F" w:rsidP="00402E4D">
      <w:pPr>
        <w:pStyle w:val="TableFigureFooter"/>
        <w:keepNext/>
        <w:widowControl/>
      </w:pPr>
      <w:r w:rsidRPr="004D75BF">
        <w:rPr>
          <w:vertAlign w:val="superscript"/>
        </w:rPr>
        <w:t>b</w:t>
      </w:r>
      <w:r w:rsidRPr="004D75BF">
        <w:t xml:space="preserve"> Changed cell E99 to 0 of tab ’10. Registry population’ of ‘Attachment 4.1 - UCM Ami </w:t>
      </w:r>
      <w:r w:rsidR="00F639C0" w:rsidRPr="00F639C0">
        <w:rPr>
          <w:i/>
        </w:rPr>
        <w:t>EGFR</w:t>
      </w:r>
      <w:r w:rsidRPr="004D75BF">
        <w:t>m BASE’ of the submission.</w:t>
      </w:r>
    </w:p>
    <w:p w14:paraId="762464D2" w14:textId="77777777" w:rsidR="001D12CC" w:rsidRDefault="0004729F" w:rsidP="00402E4D">
      <w:pPr>
        <w:pStyle w:val="TableFigureFooter"/>
        <w:keepNext/>
        <w:widowControl/>
      </w:pPr>
      <w:r w:rsidRPr="00A750C3">
        <w:rPr>
          <w:vertAlign w:val="superscript"/>
        </w:rPr>
        <w:t>d</w:t>
      </w:r>
      <w:r w:rsidRPr="00A750C3">
        <w:t xml:space="preserve"> Changed cells J117:J121 for 78.7%, J123:J125 for 82.6% of tab ‘3a. Scripts – proposed’, and cell J105 for 95.4% in tab ‘4a. Scripts – affected’ of Attachment 4.1 - UCM Ami </w:t>
      </w:r>
      <w:r w:rsidR="00F639C0" w:rsidRPr="00F639C0">
        <w:rPr>
          <w:i/>
        </w:rPr>
        <w:t>EGFR</w:t>
      </w:r>
      <w:r w:rsidRPr="00A750C3">
        <w:t xml:space="preserve">m BASE’ of the submission. </w:t>
      </w:r>
    </w:p>
    <w:p w14:paraId="173A570E" w14:textId="7B012639" w:rsidR="001D12CC" w:rsidRPr="00402E4D" w:rsidRDefault="001D12CC" w:rsidP="00402E4D">
      <w:pPr>
        <w:pStyle w:val="TableFigureFooter"/>
        <w:keepNext/>
        <w:widowControl/>
        <w:rPr>
          <w:i/>
          <w:iCs/>
        </w:rPr>
      </w:pPr>
      <w:r w:rsidRPr="00402E4D">
        <w:rPr>
          <w:i/>
          <w:iCs/>
        </w:rPr>
        <w:t xml:space="preserve">The redacted values correspond to the following ranges: </w:t>
      </w:r>
    </w:p>
    <w:p w14:paraId="568FD1C6" w14:textId="23E8C39F" w:rsidR="0004729F" w:rsidRPr="00402E4D" w:rsidRDefault="001D12CC" w:rsidP="007A7746">
      <w:pPr>
        <w:pStyle w:val="TableFigureFooter"/>
        <w:rPr>
          <w:i/>
          <w:iCs/>
        </w:rPr>
      </w:pPr>
      <w:r w:rsidRPr="00402E4D">
        <w:rPr>
          <w:i/>
          <w:iCs/>
          <w:vertAlign w:val="superscript"/>
        </w:rPr>
        <w:t>1</w:t>
      </w:r>
      <w:r w:rsidRPr="00402E4D">
        <w:rPr>
          <w:i/>
          <w:iCs/>
        </w:rPr>
        <w:t xml:space="preserve"> net cost saving</w:t>
      </w:r>
    </w:p>
    <w:p w14:paraId="666F6D72" w14:textId="11BA2EC5" w:rsidR="0004729F" w:rsidRPr="004D75BF" w:rsidRDefault="0004729F" w:rsidP="0004729F">
      <w:pPr>
        <w:pStyle w:val="4-SubsectionHeading"/>
      </w:pPr>
      <w:bookmarkStart w:id="136" w:name="_Toc22897648"/>
      <w:bookmarkStart w:id="137" w:name="_Toc185940017"/>
      <w:bookmarkStart w:id="138" w:name="_Toc188452578"/>
      <w:r w:rsidRPr="004D75BF">
        <w:t>Quality Use of Medicines</w:t>
      </w:r>
      <w:bookmarkEnd w:id="136"/>
      <w:bookmarkEnd w:id="137"/>
      <w:bookmarkEnd w:id="138"/>
      <w:r w:rsidR="00E35EB1">
        <w:t xml:space="preserve"> (QUM)</w:t>
      </w:r>
    </w:p>
    <w:p w14:paraId="5BC6AA6B" w14:textId="600F8E2B" w:rsidR="0004729F" w:rsidRPr="00214225" w:rsidRDefault="0004729F" w:rsidP="003576D0">
      <w:pPr>
        <w:pStyle w:val="3-BodyText"/>
        <w:ind w:left="709" w:hanging="709"/>
        <w:rPr>
          <w:color w:val="0066FF"/>
        </w:rPr>
      </w:pPr>
      <w:r w:rsidRPr="589E218A">
        <w:t>The submission noted that it will provide appropriate education, resources and support to promote appropriate prescribing and use of A+L to patients, prescribers, nurses and dispensers.</w:t>
      </w:r>
      <w:r w:rsidR="000D2B41" w:rsidRPr="589E218A">
        <w:t xml:space="preserve"> </w:t>
      </w:r>
      <w:r w:rsidR="00FC17CE" w:rsidRPr="00214225">
        <w:t xml:space="preserve">The PSCR further stated that </w:t>
      </w:r>
      <w:r w:rsidR="00052AFF" w:rsidRPr="00214225">
        <w:t>“</w:t>
      </w:r>
      <w:r w:rsidR="00426165" w:rsidRPr="00214225">
        <w:t>since the submission, more data on AE prophylaxis have become available and provide greater reassurance to the manageability of A+L AEs and will be incorporated into QUM activities</w:t>
      </w:r>
      <w:r w:rsidR="00A51113" w:rsidRPr="00214225">
        <w:t>.</w:t>
      </w:r>
      <w:r w:rsidR="00052AFF" w:rsidRPr="00214225">
        <w:t>”</w:t>
      </w:r>
      <w:r w:rsidR="0056375A">
        <w:t xml:space="preserve"> The PBAC noted the pre-PBAC response</w:t>
      </w:r>
      <w:r w:rsidR="00D70C67">
        <w:t xml:space="preserve"> statement</w:t>
      </w:r>
      <w:r w:rsidR="0056375A">
        <w:t xml:space="preserve"> </w:t>
      </w:r>
      <w:r w:rsidR="000C5D6A">
        <w:t>that updated</w:t>
      </w:r>
      <w:r w:rsidR="00EA7337">
        <w:t xml:space="preserve"> A+L</w:t>
      </w:r>
      <w:r w:rsidR="000C5D6A">
        <w:t xml:space="preserve"> PI</w:t>
      </w:r>
      <w:r w:rsidR="00EA7337">
        <w:t>s</w:t>
      </w:r>
      <w:r w:rsidR="000C5D6A">
        <w:t xml:space="preserve"> </w:t>
      </w:r>
      <w:r w:rsidR="000B210C">
        <w:t>and</w:t>
      </w:r>
      <w:r w:rsidR="00E35EB1">
        <w:t xml:space="preserve"> </w:t>
      </w:r>
      <w:r w:rsidR="00DD2821">
        <w:t>QUM initiatives</w:t>
      </w:r>
      <w:r w:rsidR="00EA7337">
        <w:t xml:space="preserve"> would be provided</w:t>
      </w:r>
      <w:r w:rsidR="00DD2821">
        <w:t xml:space="preserve"> for HCP education </w:t>
      </w:r>
      <w:r w:rsidR="009C4411">
        <w:t>with respect to</w:t>
      </w:r>
      <w:r w:rsidR="00DD2821">
        <w:t xml:space="preserve"> prophylactic regimens for dermatologic/infusion reactions and VTE</w:t>
      </w:r>
      <w:r w:rsidR="00D70C67">
        <w:t>.</w:t>
      </w:r>
    </w:p>
    <w:p w14:paraId="6F84BC4F" w14:textId="565390A0" w:rsidR="0004729F" w:rsidRDefault="0004729F" w:rsidP="003576D0">
      <w:pPr>
        <w:pStyle w:val="3-BodyText"/>
        <w:ind w:left="709" w:hanging="709"/>
        <w:rPr>
          <w:color w:val="0066FF"/>
        </w:rPr>
      </w:pPr>
      <w:r w:rsidRPr="589E218A">
        <w:t>The submission did not propose a post-marketing surveillance study.</w:t>
      </w:r>
    </w:p>
    <w:p w14:paraId="11BCBF42" w14:textId="226762E0" w:rsidR="00FC23ED" w:rsidRPr="0043777F" w:rsidRDefault="00AF3F46" w:rsidP="003576D0">
      <w:pPr>
        <w:pStyle w:val="3-BodyText"/>
        <w:numPr>
          <w:ilvl w:val="0"/>
          <w:numId w:val="0"/>
        </w:numPr>
        <w:ind w:left="709"/>
        <w:rPr>
          <w:color w:val="0066FF"/>
        </w:rPr>
      </w:pPr>
      <w:r w:rsidRPr="00C33D30">
        <w:rPr>
          <w:i/>
        </w:rPr>
        <w:t>For more detail on PBAC’s view, see section 7 PBAC outcome.</w:t>
      </w:r>
      <w:bookmarkStart w:id="139" w:name="_Toc185940020"/>
    </w:p>
    <w:p w14:paraId="77492D23" w14:textId="0E1227D1" w:rsidR="00D23920" w:rsidRPr="00D02A5E" w:rsidRDefault="00D23920" w:rsidP="00D02A5E">
      <w:pPr>
        <w:pStyle w:val="2-SectionHeading"/>
      </w:pPr>
      <w:bookmarkStart w:id="140" w:name="_Hlk76381249"/>
      <w:r w:rsidRPr="0090150D">
        <w:t>PBAC Outcome</w:t>
      </w:r>
      <w:bookmarkStart w:id="141" w:name="_Hlk111543188"/>
    </w:p>
    <w:bookmarkEnd w:id="140"/>
    <w:bookmarkEnd w:id="141"/>
    <w:p w14:paraId="75880BBB" w14:textId="36822454" w:rsidR="00914E5A" w:rsidRPr="003D17CB" w:rsidRDefault="00E10F06">
      <w:pPr>
        <w:widowControl w:val="0"/>
        <w:numPr>
          <w:ilvl w:val="1"/>
          <w:numId w:val="5"/>
        </w:numPr>
        <w:spacing w:after="120"/>
        <w:ind w:left="720"/>
        <w:rPr>
          <w:rFonts w:asciiTheme="minorHAnsi" w:hAnsiTheme="minorHAnsi"/>
          <w:snapToGrid w:val="0"/>
          <w:lang w:val="en-GB"/>
        </w:rPr>
      </w:pPr>
      <w:r w:rsidRPr="001E7793">
        <w:t>The PBAC did not recommend the Section 100 (</w:t>
      </w:r>
      <w:r w:rsidR="00914E5A" w:rsidRPr="003D17CB">
        <w:rPr>
          <w:rFonts w:asciiTheme="minorHAnsi" w:hAnsiTheme="minorHAnsi"/>
          <w:snapToGrid w:val="0"/>
        </w:rPr>
        <w:t>Efficient Funding of Chemotherapy Program</w:t>
      </w:r>
      <w:r w:rsidRPr="001E7793">
        <w:t xml:space="preserve">) </w:t>
      </w:r>
      <w:r w:rsidR="008A0E9E">
        <w:t xml:space="preserve">Authority Required </w:t>
      </w:r>
      <w:r w:rsidRPr="001E7793">
        <w:t xml:space="preserve">listing of </w:t>
      </w:r>
      <w:r w:rsidR="00AB1E77" w:rsidRPr="003D17CB">
        <w:rPr>
          <w:rFonts w:asciiTheme="minorHAnsi" w:hAnsiTheme="minorHAnsi"/>
          <w:snapToGrid w:val="0"/>
        </w:rPr>
        <w:t>amivantamab and a General Schedule Authority Required listing for lazertinib</w:t>
      </w:r>
      <w:r w:rsidR="007E3862">
        <w:rPr>
          <w:rFonts w:asciiTheme="minorHAnsi" w:hAnsiTheme="minorHAnsi"/>
          <w:snapToGrid w:val="0"/>
        </w:rPr>
        <w:t xml:space="preserve"> used in combination</w:t>
      </w:r>
      <w:r w:rsidR="00AB1E77" w:rsidRPr="003D17CB">
        <w:rPr>
          <w:rFonts w:asciiTheme="minorHAnsi" w:hAnsiTheme="minorHAnsi"/>
          <w:snapToGrid w:val="0"/>
        </w:rPr>
        <w:t xml:space="preserve"> </w:t>
      </w:r>
      <w:r w:rsidR="001E7793" w:rsidRPr="003D17CB">
        <w:rPr>
          <w:rFonts w:asciiTheme="minorHAnsi" w:hAnsiTheme="minorHAnsi"/>
          <w:snapToGrid w:val="0"/>
        </w:rPr>
        <w:t>for the first line treatment of patients with epidermal growth factor receptor</w:t>
      </w:r>
      <w:r w:rsidR="00B74492" w:rsidRPr="003D17CB">
        <w:rPr>
          <w:rFonts w:asciiTheme="minorHAnsi" w:hAnsiTheme="minorHAnsi"/>
          <w:snapToGrid w:val="0"/>
        </w:rPr>
        <w:t xml:space="preserve"> </w:t>
      </w:r>
      <w:r w:rsidR="001E7793" w:rsidRPr="003D17CB">
        <w:rPr>
          <w:rFonts w:asciiTheme="minorHAnsi" w:hAnsiTheme="minorHAnsi"/>
          <w:snapToGrid w:val="0"/>
        </w:rPr>
        <w:t>mutated</w:t>
      </w:r>
      <w:r w:rsidR="00EF318C" w:rsidRPr="003D17CB">
        <w:rPr>
          <w:rFonts w:asciiTheme="minorHAnsi" w:hAnsiTheme="minorHAnsi"/>
          <w:snapToGrid w:val="0"/>
        </w:rPr>
        <w:t xml:space="preserve"> (</w:t>
      </w:r>
      <w:r w:rsidR="00EF318C" w:rsidRPr="003D17CB">
        <w:rPr>
          <w:rFonts w:asciiTheme="minorHAnsi" w:hAnsiTheme="minorHAnsi"/>
          <w:i/>
          <w:iCs/>
          <w:snapToGrid w:val="0"/>
        </w:rPr>
        <w:t>EGFR</w:t>
      </w:r>
      <w:r w:rsidR="00EF318C" w:rsidRPr="003D17CB">
        <w:rPr>
          <w:rFonts w:asciiTheme="minorHAnsi" w:hAnsiTheme="minorHAnsi"/>
          <w:snapToGrid w:val="0"/>
        </w:rPr>
        <w:t>m)</w:t>
      </w:r>
      <w:r w:rsidR="001E7793" w:rsidRPr="003D17CB">
        <w:rPr>
          <w:rFonts w:asciiTheme="minorHAnsi" w:hAnsiTheme="minorHAnsi"/>
          <w:snapToGrid w:val="0"/>
        </w:rPr>
        <w:t xml:space="preserve"> locally advanced or metastatic (Stage IIIB-IV) </w:t>
      </w:r>
      <w:r w:rsidR="00AC6726" w:rsidRPr="003D17CB">
        <w:rPr>
          <w:rFonts w:asciiTheme="minorHAnsi" w:hAnsiTheme="minorHAnsi"/>
          <w:snapToGrid w:val="0"/>
        </w:rPr>
        <w:t>non-small cell lung cancer (</w:t>
      </w:r>
      <w:r w:rsidR="001E7793" w:rsidRPr="003D17CB">
        <w:rPr>
          <w:rFonts w:asciiTheme="minorHAnsi" w:hAnsiTheme="minorHAnsi"/>
          <w:snapToGrid w:val="0"/>
        </w:rPr>
        <w:t>NSCLC</w:t>
      </w:r>
      <w:r w:rsidR="00AC6726" w:rsidRPr="003D17CB">
        <w:rPr>
          <w:rFonts w:asciiTheme="minorHAnsi" w:hAnsiTheme="minorHAnsi"/>
          <w:snapToGrid w:val="0"/>
        </w:rPr>
        <w:t>)</w:t>
      </w:r>
      <w:r w:rsidRPr="00461E5D">
        <w:t>.</w:t>
      </w:r>
      <w:r w:rsidR="00C55347" w:rsidRPr="00461E5D">
        <w:t xml:space="preserve"> </w:t>
      </w:r>
      <w:r w:rsidR="004E7197" w:rsidRPr="00461E5D">
        <w:t>The submission sought listing for two populations</w:t>
      </w:r>
      <w:r w:rsidR="00733312" w:rsidRPr="00461E5D">
        <w:t>:</w:t>
      </w:r>
      <w:r w:rsidR="004E7197" w:rsidRPr="00461E5D">
        <w:t xml:space="preserve"> </w:t>
      </w:r>
      <w:r w:rsidR="00FB7F7A" w:rsidRPr="00461E5D">
        <w:t>(i)</w:t>
      </w:r>
      <w:r w:rsidR="00B652A9" w:rsidRPr="00461E5D">
        <w:t xml:space="preserve"> for the</w:t>
      </w:r>
      <w:r w:rsidR="004E7197" w:rsidRPr="00461E5D">
        <w:t xml:space="preserve"> first-line treatment of locally advanced or metastatic </w:t>
      </w:r>
      <w:r w:rsidR="004E7197" w:rsidRPr="003D17CB">
        <w:rPr>
          <w:i/>
          <w:iCs/>
        </w:rPr>
        <w:t>EGFR</w:t>
      </w:r>
      <w:r w:rsidR="004E7197" w:rsidRPr="00461E5D">
        <w:t xml:space="preserve">m NSCLC diagnosed </w:t>
      </w:r>
      <w:r w:rsidR="004E7197" w:rsidRPr="003D17CB">
        <w:rPr>
          <w:i/>
          <w:iCs/>
        </w:rPr>
        <w:t>de novo</w:t>
      </w:r>
      <w:r w:rsidR="002128E8" w:rsidRPr="00461E5D">
        <w:t>;</w:t>
      </w:r>
      <w:r w:rsidR="004E7197" w:rsidRPr="00461E5D">
        <w:t xml:space="preserve"> </w:t>
      </w:r>
      <w:r w:rsidR="00633C3C" w:rsidRPr="00461E5D">
        <w:t xml:space="preserve">and (ii) </w:t>
      </w:r>
      <w:r w:rsidR="004E7197" w:rsidRPr="00461E5D">
        <w:t xml:space="preserve">for patients </w:t>
      </w:r>
      <w:r w:rsidR="000C76E4" w:rsidRPr="00461E5D">
        <w:t>who had progressed to locally advanced or metastatic disease after prior adjuvant osimertinib therapy</w:t>
      </w:r>
      <w:r w:rsidR="00CC026B">
        <w:t>.</w:t>
      </w:r>
      <w:r w:rsidRPr="00461E5D">
        <w:t xml:space="preserve"> </w:t>
      </w:r>
      <w:r w:rsidR="00D66359" w:rsidRPr="003D17CB">
        <w:rPr>
          <w:rFonts w:asciiTheme="minorHAnsi" w:hAnsiTheme="minorHAnsi"/>
          <w:snapToGrid w:val="0"/>
          <w:lang w:eastAsia="en-US"/>
        </w:rPr>
        <w:t xml:space="preserve">The PBAC noted that the clinical place in therapy of </w:t>
      </w:r>
      <w:r w:rsidR="00D47CDA" w:rsidRPr="00751B69">
        <w:t>amivant</w:t>
      </w:r>
      <w:r w:rsidR="00D47CDA" w:rsidRPr="589E218A">
        <w:t xml:space="preserve">amab plus lazertinib </w:t>
      </w:r>
      <w:r w:rsidR="00D47CDA">
        <w:t>(</w:t>
      </w:r>
      <w:r w:rsidR="00D66359" w:rsidRPr="003D17CB">
        <w:rPr>
          <w:rFonts w:asciiTheme="minorHAnsi" w:hAnsiTheme="minorHAnsi"/>
          <w:snapToGrid w:val="0"/>
          <w:lang w:eastAsia="en-US"/>
        </w:rPr>
        <w:t>A+L</w:t>
      </w:r>
      <w:r w:rsidR="00D47CDA">
        <w:rPr>
          <w:rFonts w:asciiTheme="minorHAnsi" w:hAnsiTheme="minorHAnsi"/>
          <w:snapToGrid w:val="0"/>
          <w:lang w:eastAsia="en-US"/>
        </w:rPr>
        <w:t>)</w:t>
      </w:r>
      <w:r w:rsidR="00D66359" w:rsidRPr="003D17CB">
        <w:rPr>
          <w:rFonts w:asciiTheme="minorHAnsi" w:hAnsiTheme="minorHAnsi"/>
          <w:snapToGrid w:val="0"/>
          <w:lang w:eastAsia="en-US"/>
        </w:rPr>
        <w:t xml:space="preserve"> in </w:t>
      </w:r>
      <w:r w:rsidR="00D66359" w:rsidRPr="003D17CB">
        <w:rPr>
          <w:rFonts w:asciiTheme="minorHAnsi" w:hAnsiTheme="minorHAnsi"/>
          <w:i/>
          <w:iCs/>
          <w:snapToGrid w:val="0"/>
          <w:lang w:eastAsia="en-US"/>
        </w:rPr>
        <w:t>EGFR</w:t>
      </w:r>
      <w:r w:rsidR="00D66359" w:rsidRPr="003D17CB">
        <w:rPr>
          <w:rFonts w:asciiTheme="minorHAnsi" w:hAnsiTheme="minorHAnsi"/>
          <w:snapToGrid w:val="0"/>
          <w:lang w:eastAsia="en-US"/>
        </w:rPr>
        <w:t xml:space="preserve">m NSCLC </w:t>
      </w:r>
      <w:r w:rsidR="00B75F3C">
        <w:rPr>
          <w:rFonts w:asciiTheme="minorHAnsi" w:hAnsiTheme="minorHAnsi"/>
          <w:snapToGrid w:val="0"/>
          <w:lang w:eastAsia="en-US"/>
        </w:rPr>
        <w:t>relative to</w:t>
      </w:r>
      <w:r w:rsidR="00D66359" w:rsidRPr="003D17CB">
        <w:rPr>
          <w:rFonts w:asciiTheme="minorHAnsi" w:hAnsiTheme="minorHAnsi"/>
          <w:snapToGrid w:val="0"/>
          <w:lang w:eastAsia="en-US"/>
        </w:rPr>
        <w:t xml:space="preserve"> </w:t>
      </w:r>
      <w:r w:rsidR="00D17370" w:rsidRPr="003D17CB">
        <w:rPr>
          <w:rFonts w:asciiTheme="minorHAnsi" w:hAnsiTheme="minorHAnsi"/>
          <w:snapToGrid w:val="0"/>
          <w:lang w:eastAsia="en-US"/>
        </w:rPr>
        <w:t xml:space="preserve">osimertinib monotherapy and osimertinib in combination </w:t>
      </w:r>
      <w:r w:rsidR="00986635">
        <w:rPr>
          <w:rFonts w:asciiTheme="minorHAnsi" w:hAnsiTheme="minorHAnsi"/>
          <w:snapToGrid w:val="0"/>
          <w:lang w:eastAsia="en-US"/>
        </w:rPr>
        <w:t xml:space="preserve">with </w:t>
      </w:r>
      <w:r w:rsidR="00D17370" w:rsidRPr="003D17CB">
        <w:rPr>
          <w:rFonts w:asciiTheme="minorHAnsi" w:hAnsiTheme="minorHAnsi"/>
          <w:snapToGrid w:val="0"/>
          <w:lang w:eastAsia="en-US"/>
        </w:rPr>
        <w:t>chemotherapy</w:t>
      </w:r>
      <w:r w:rsidR="00D66359">
        <w:t xml:space="preserve"> required further consideration due to concerns regarding </w:t>
      </w:r>
      <w:r w:rsidR="003D17CB">
        <w:t xml:space="preserve">comparative </w:t>
      </w:r>
      <w:r w:rsidR="00D66359">
        <w:t>effectiveness and safety.</w:t>
      </w:r>
      <w:r w:rsidR="003D17CB">
        <w:t xml:space="preserve"> </w:t>
      </w:r>
      <w:r w:rsidRPr="00461E5D">
        <w:t>The PBAC co</w:t>
      </w:r>
      <w:r w:rsidRPr="00751B69">
        <w:t>nsidered</w:t>
      </w:r>
      <w:r w:rsidR="00203FF8">
        <w:t xml:space="preserve"> that the magnitude of the clinical benefit of</w:t>
      </w:r>
      <w:r w:rsidRPr="00751B69">
        <w:t xml:space="preserve"> </w:t>
      </w:r>
      <w:r w:rsidR="00751B69" w:rsidRPr="589E218A">
        <w:t>A+L</w:t>
      </w:r>
      <w:r w:rsidR="00203FF8">
        <w:t xml:space="preserve"> </w:t>
      </w:r>
      <w:r w:rsidR="00EF2F82">
        <w:t xml:space="preserve">over osimertinib monotherapy </w:t>
      </w:r>
      <w:r w:rsidR="00203FF8">
        <w:t>was uncertain</w:t>
      </w:r>
      <w:r w:rsidR="00F1383A">
        <w:t xml:space="preserve"> and that the claim </w:t>
      </w:r>
      <w:r w:rsidR="00F1383A" w:rsidRPr="00D53344">
        <w:t xml:space="preserve">of inferior but manageable safety </w:t>
      </w:r>
      <w:r w:rsidR="003218AA" w:rsidRPr="00D53344">
        <w:t>was</w:t>
      </w:r>
      <w:r w:rsidR="00F1383A" w:rsidRPr="00D53344">
        <w:t xml:space="preserve"> not supported</w:t>
      </w:r>
      <w:r w:rsidR="00027735" w:rsidRPr="00D53344">
        <w:t xml:space="preserve"> </w:t>
      </w:r>
      <w:r w:rsidR="00D53344" w:rsidRPr="00D53344">
        <w:t>i</w:t>
      </w:r>
      <w:r w:rsidR="00027735" w:rsidRPr="00D53344">
        <w:t>n terms of the m</w:t>
      </w:r>
      <w:r w:rsidR="00286911" w:rsidRPr="00D53344">
        <w:t>anagement of AEs</w:t>
      </w:r>
      <w:r w:rsidR="00F1383A" w:rsidRPr="00D53344">
        <w:t xml:space="preserve"> due to the toxicity</w:t>
      </w:r>
      <w:r w:rsidR="00F1383A">
        <w:t xml:space="preserve"> associated with </w:t>
      </w:r>
      <w:r w:rsidR="008756BF">
        <w:t xml:space="preserve">A+L </w:t>
      </w:r>
      <w:r w:rsidR="00F1383A">
        <w:t>treatment.</w:t>
      </w:r>
      <w:r w:rsidR="00CC026B">
        <w:t xml:space="preserve"> </w:t>
      </w:r>
      <w:r w:rsidR="00DD70A2">
        <w:t xml:space="preserve">The PBAC noted </w:t>
      </w:r>
      <w:r w:rsidR="00E73D0B">
        <w:t>the issues associated with the economic evaluation</w:t>
      </w:r>
      <w:r w:rsidR="00A43DBC">
        <w:t xml:space="preserve"> including the</w:t>
      </w:r>
      <w:r w:rsidR="00B275E8">
        <w:t xml:space="preserve"> uncertainty </w:t>
      </w:r>
      <w:r w:rsidR="005255BC">
        <w:t>regar</w:t>
      </w:r>
      <w:r w:rsidR="009858B6">
        <w:t>d</w:t>
      </w:r>
      <w:r w:rsidR="005255BC">
        <w:t>ing the likely magnitude of benefit</w:t>
      </w:r>
      <w:r w:rsidR="00B275E8">
        <w:t xml:space="preserve">, </w:t>
      </w:r>
      <w:r w:rsidR="00A45EB5">
        <w:t xml:space="preserve">and </w:t>
      </w:r>
      <w:r w:rsidR="00E94FD8">
        <w:t>the</w:t>
      </w:r>
      <w:r w:rsidR="00B275E8">
        <w:t xml:space="preserve"> </w:t>
      </w:r>
      <w:r w:rsidR="00944EDF">
        <w:t xml:space="preserve">sensitivity of the model results to the </w:t>
      </w:r>
      <w:r w:rsidR="00A43DBC">
        <w:t>time horizon and the extrapolation function</w:t>
      </w:r>
      <w:r w:rsidR="00A45EB5">
        <w:t xml:space="preserve"> of A+L for</w:t>
      </w:r>
      <w:r w:rsidR="00D35760">
        <w:t xml:space="preserve"> overall survival</w:t>
      </w:r>
      <w:r w:rsidR="00A45EB5">
        <w:t xml:space="preserve"> </w:t>
      </w:r>
      <w:r w:rsidR="00D35760">
        <w:t>(</w:t>
      </w:r>
      <w:r w:rsidR="00A45EB5">
        <w:t>OS</w:t>
      </w:r>
      <w:r w:rsidR="00D35760">
        <w:t>)</w:t>
      </w:r>
      <w:r w:rsidR="00A45EB5">
        <w:t>.</w:t>
      </w:r>
      <w:r w:rsidR="00020AC0">
        <w:t xml:space="preserve"> </w:t>
      </w:r>
      <w:r w:rsidR="00A97F66">
        <w:rPr>
          <w:rFonts w:asciiTheme="minorHAnsi" w:hAnsiTheme="minorHAnsi"/>
          <w:bCs/>
          <w:snapToGrid w:val="0"/>
        </w:rPr>
        <w:t>The PBAC considered the submission’s uptake rate of A+L to be to be substantially overestimated given the safety profile of the treatment.</w:t>
      </w:r>
    </w:p>
    <w:p w14:paraId="3202E120" w14:textId="5B5CAE9B" w:rsidR="0083644A" w:rsidRPr="00130A02" w:rsidRDefault="002F1150" w:rsidP="00130A02">
      <w:pPr>
        <w:widowControl w:val="0"/>
        <w:numPr>
          <w:ilvl w:val="1"/>
          <w:numId w:val="5"/>
        </w:numPr>
        <w:spacing w:after="120"/>
        <w:ind w:left="720"/>
        <w:rPr>
          <w:rFonts w:asciiTheme="minorHAnsi" w:hAnsiTheme="minorHAnsi"/>
          <w:snapToGrid w:val="0"/>
          <w:lang w:val="en-GB"/>
        </w:rPr>
      </w:pPr>
      <w:r w:rsidRPr="00804648">
        <w:rPr>
          <w:rFonts w:asciiTheme="minorHAnsi" w:hAnsiTheme="minorHAnsi"/>
          <w:snapToGrid w:val="0"/>
          <w:lang w:eastAsia="en-US"/>
        </w:rPr>
        <w:t xml:space="preserve">The PBAC considered the primary reason for this outcome was due to the economic </w:t>
      </w:r>
      <w:r w:rsidR="006605D9">
        <w:rPr>
          <w:rFonts w:asciiTheme="minorHAnsi" w:hAnsiTheme="minorHAnsi"/>
          <w:snapToGrid w:val="0"/>
          <w:lang w:eastAsia="en-US"/>
        </w:rPr>
        <w:t>analysis</w:t>
      </w:r>
      <w:r w:rsidRPr="00804648">
        <w:rPr>
          <w:rFonts w:asciiTheme="minorHAnsi" w:hAnsiTheme="minorHAnsi"/>
          <w:snapToGrid w:val="0"/>
          <w:lang w:eastAsia="en-US"/>
        </w:rPr>
        <w:t xml:space="preserve"> provided</w:t>
      </w:r>
      <w:r w:rsidR="006605D9">
        <w:rPr>
          <w:rFonts w:asciiTheme="minorHAnsi" w:hAnsiTheme="minorHAnsi"/>
          <w:snapToGrid w:val="0"/>
          <w:lang w:eastAsia="en-US"/>
        </w:rPr>
        <w:t xml:space="preserve"> in the submission</w:t>
      </w:r>
      <w:r w:rsidRPr="00804648">
        <w:rPr>
          <w:rFonts w:asciiTheme="minorHAnsi" w:hAnsiTheme="minorHAnsi"/>
          <w:snapToGrid w:val="0"/>
          <w:lang w:eastAsia="en-US"/>
        </w:rPr>
        <w:t>.</w:t>
      </w:r>
      <w:r w:rsidR="007D06A3">
        <w:rPr>
          <w:rFonts w:asciiTheme="minorHAnsi" w:hAnsiTheme="minorHAnsi"/>
          <w:snapToGrid w:val="0"/>
          <w:lang w:eastAsia="en-US"/>
        </w:rPr>
        <w:t xml:space="preserve"> </w:t>
      </w:r>
      <w:r w:rsidR="007D06A3" w:rsidRPr="00130A02">
        <w:rPr>
          <w:rFonts w:asciiTheme="minorHAnsi" w:hAnsiTheme="minorHAnsi"/>
          <w:snapToGrid w:val="0"/>
          <w:lang w:eastAsia="en-US"/>
        </w:rPr>
        <w:t>The PBAC also noted that the clinical place in therapy of A+L</w:t>
      </w:r>
      <w:r w:rsidR="00B74492" w:rsidRPr="00130A02">
        <w:rPr>
          <w:rFonts w:asciiTheme="minorHAnsi" w:hAnsiTheme="minorHAnsi"/>
          <w:snapToGrid w:val="0"/>
          <w:lang w:eastAsia="en-US"/>
        </w:rPr>
        <w:t xml:space="preserve"> in </w:t>
      </w:r>
      <w:r w:rsidR="00D97D34" w:rsidRPr="00130A02">
        <w:rPr>
          <w:rFonts w:asciiTheme="minorHAnsi" w:hAnsiTheme="minorHAnsi"/>
          <w:i/>
          <w:iCs/>
          <w:snapToGrid w:val="0"/>
          <w:lang w:eastAsia="en-US"/>
        </w:rPr>
        <w:t>EGFR</w:t>
      </w:r>
      <w:r w:rsidR="00D97D34" w:rsidRPr="00130A02">
        <w:rPr>
          <w:rFonts w:asciiTheme="minorHAnsi" w:hAnsiTheme="minorHAnsi"/>
          <w:snapToGrid w:val="0"/>
          <w:lang w:eastAsia="en-US"/>
        </w:rPr>
        <w:t xml:space="preserve">m NSCLC (specifically </w:t>
      </w:r>
      <w:r w:rsidR="00AE430D" w:rsidRPr="0015297B">
        <w:t>exon 19 deletions or exon 21 L858R substitution</w:t>
      </w:r>
      <w:r w:rsidR="00AE430D">
        <w:t xml:space="preserve">) </w:t>
      </w:r>
      <w:r w:rsidR="00B75F3C" w:rsidRPr="00130A02">
        <w:rPr>
          <w:rFonts w:asciiTheme="minorHAnsi" w:hAnsiTheme="minorHAnsi"/>
          <w:snapToGrid w:val="0"/>
          <w:lang w:eastAsia="en-US"/>
        </w:rPr>
        <w:t>relative to</w:t>
      </w:r>
      <w:r w:rsidR="00564FC9" w:rsidRPr="00130A02">
        <w:rPr>
          <w:rFonts w:asciiTheme="minorHAnsi" w:hAnsiTheme="minorHAnsi"/>
          <w:snapToGrid w:val="0"/>
          <w:lang w:eastAsia="en-US"/>
        </w:rPr>
        <w:t xml:space="preserve"> osimertinib monotherapy and osimertinib in combination with chemotherapy</w:t>
      </w:r>
      <w:r w:rsidR="00564FC9">
        <w:t xml:space="preserve"> </w:t>
      </w:r>
      <w:r w:rsidR="00D434FE">
        <w:t xml:space="preserve">required further consideration due to concerns regarding </w:t>
      </w:r>
      <w:r w:rsidR="00B75F3C">
        <w:t xml:space="preserve">comparative </w:t>
      </w:r>
      <w:r w:rsidR="00D434FE">
        <w:t>eff</w:t>
      </w:r>
      <w:r w:rsidR="00DA0E0F">
        <w:t>ectiveness</w:t>
      </w:r>
      <w:r w:rsidR="00D434FE">
        <w:t xml:space="preserve"> and safety.</w:t>
      </w:r>
    </w:p>
    <w:p w14:paraId="33835188" w14:textId="0FF4B799" w:rsidR="0083644A" w:rsidRPr="006570A0" w:rsidRDefault="00C738D3" w:rsidP="00C72F3E">
      <w:pPr>
        <w:widowControl w:val="0"/>
        <w:numPr>
          <w:ilvl w:val="1"/>
          <w:numId w:val="5"/>
        </w:numPr>
        <w:spacing w:after="120"/>
        <w:ind w:left="720"/>
        <w:rPr>
          <w:rFonts w:asciiTheme="minorHAnsi" w:hAnsiTheme="minorHAnsi"/>
          <w:snapToGrid w:val="0"/>
          <w:lang w:val="en-GB"/>
        </w:rPr>
      </w:pPr>
      <w:r>
        <w:rPr>
          <w:snapToGrid w:val="0"/>
          <w:lang w:val="en-GB"/>
        </w:rPr>
        <w:t>The PBAC noted that there is</w:t>
      </w:r>
      <w:r w:rsidR="0045188F">
        <w:rPr>
          <w:snapToGrid w:val="0"/>
          <w:lang w:val="en-GB"/>
        </w:rPr>
        <w:t xml:space="preserve"> a</w:t>
      </w:r>
      <w:r w:rsidRPr="00C738D3">
        <w:rPr>
          <w:snapToGrid w:val="0"/>
          <w:lang w:val="en-GB"/>
        </w:rPr>
        <w:t xml:space="preserve"> clinical need for more effective therapies for metastatic </w:t>
      </w:r>
      <w:r w:rsidRPr="00C738D3">
        <w:rPr>
          <w:i/>
          <w:iCs/>
          <w:snapToGrid w:val="0"/>
          <w:lang w:val="en-GB"/>
        </w:rPr>
        <w:t>EGFR</w:t>
      </w:r>
      <w:r w:rsidRPr="00C738D3">
        <w:rPr>
          <w:snapToGrid w:val="0"/>
          <w:lang w:val="en-GB"/>
        </w:rPr>
        <w:t>m NSCLC</w:t>
      </w:r>
      <w:r w:rsidR="00082391">
        <w:rPr>
          <w:snapToGrid w:val="0"/>
          <w:lang w:val="en-GB"/>
        </w:rPr>
        <w:t xml:space="preserve">, given that there is </w:t>
      </w:r>
      <w:r w:rsidRPr="00C738D3">
        <w:rPr>
          <w:snapToGrid w:val="0"/>
          <w:lang w:val="en-GB"/>
        </w:rPr>
        <w:t>poor survival</w:t>
      </w:r>
      <w:r w:rsidR="00082391">
        <w:rPr>
          <w:snapToGrid w:val="0"/>
          <w:lang w:val="en-GB"/>
        </w:rPr>
        <w:t xml:space="preserve"> for patients and</w:t>
      </w:r>
      <w:r w:rsidRPr="00C738D3">
        <w:rPr>
          <w:snapToGrid w:val="0"/>
          <w:lang w:val="en-GB"/>
        </w:rPr>
        <w:t xml:space="preserve"> current</w:t>
      </w:r>
      <w:r w:rsidR="001B7AE9">
        <w:rPr>
          <w:snapToGrid w:val="0"/>
          <w:lang w:val="en-GB"/>
        </w:rPr>
        <w:t>ly</w:t>
      </w:r>
      <w:r w:rsidRPr="00C738D3">
        <w:rPr>
          <w:snapToGrid w:val="0"/>
          <w:lang w:val="en-GB"/>
        </w:rPr>
        <w:t xml:space="preserve"> PBS-listed therapies</w:t>
      </w:r>
      <w:r w:rsidR="008E5D42">
        <w:rPr>
          <w:snapToGrid w:val="0"/>
          <w:lang w:val="en-GB"/>
        </w:rPr>
        <w:t xml:space="preserve"> are only</w:t>
      </w:r>
      <w:r w:rsidRPr="00C738D3">
        <w:rPr>
          <w:snapToGrid w:val="0"/>
          <w:lang w:val="en-GB"/>
        </w:rPr>
        <w:t xml:space="preserve"> moderately effective</w:t>
      </w:r>
      <w:r w:rsidR="00CC5459">
        <w:rPr>
          <w:snapToGrid w:val="0"/>
          <w:lang w:val="en-GB"/>
        </w:rPr>
        <w:t xml:space="preserve">. </w:t>
      </w:r>
      <w:r w:rsidR="00415749" w:rsidRPr="00804648">
        <w:rPr>
          <w:rFonts w:asciiTheme="minorHAnsi" w:hAnsiTheme="minorHAnsi"/>
          <w:snapToGrid w:val="0"/>
        </w:rPr>
        <w:t>The PBAC acknowledged the unmet clinical need described in the Consumer Comments from</w:t>
      </w:r>
      <w:r w:rsidR="006D66D5">
        <w:rPr>
          <w:rFonts w:asciiTheme="minorHAnsi" w:hAnsiTheme="minorHAnsi"/>
          <w:snapToGrid w:val="0"/>
        </w:rPr>
        <w:t xml:space="preserve"> organisations,</w:t>
      </w:r>
      <w:r w:rsidR="00415749" w:rsidRPr="00804648">
        <w:rPr>
          <w:rFonts w:asciiTheme="minorHAnsi" w:hAnsiTheme="minorHAnsi"/>
          <w:snapToGrid w:val="0"/>
        </w:rPr>
        <w:t xml:space="preserve"> health care professionals</w:t>
      </w:r>
      <w:r w:rsidR="006D66D5">
        <w:rPr>
          <w:rFonts w:asciiTheme="minorHAnsi" w:hAnsiTheme="minorHAnsi"/>
          <w:snapToGrid w:val="0"/>
        </w:rPr>
        <w:t>,</w:t>
      </w:r>
      <w:r w:rsidR="00415749" w:rsidRPr="00804648">
        <w:rPr>
          <w:rFonts w:asciiTheme="minorHAnsi" w:hAnsiTheme="minorHAnsi"/>
          <w:snapToGrid w:val="0"/>
        </w:rPr>
        <w:t xml:space="preserve"> and individuals</w:t>
      </w:r>
      <w:r w:rsidR="00B20BD8">
        <w:rPr>
          <w:rFonts w:asciiTheme="minorHAnsi" w:hAnsiTheme="minorHAnsi"/>
          <w:snapToGrid w:val="0"/>
        </w:rPr>
        <w:t xml:space="preserve">, including the </w:t>
      </w:r>
      <w:r w:rsidR="00B67873">
        <w:rPr>
          <w:rFonts w:asciiTheme="minorHAnsi" w:hAnsiTheme="minorHAnsi"/>
          <w:snapToGrid w:val="0"/>
        </w:rPr>
        <w:t xml:space="preserve">need for </w:t>
      </w:r>
      <w:r w:rsidR="00B20BD8">
        <w:rPr>
          <w:rFonts w:asciiTheme="minorHAnsi" w:hAnsiTheme="minorHAnsi"/>
          <w:snapToGrid w:val="0"/>
        </w:rPr>
        <w:t xml:space="preserve">more effective second-line regimens </w:t>
      </w:r>
      <w:r w:rsidR="001D1EA9">
        <w:rPr>
          <w:rFonts w:asciiTheme="minorHAnsi" w:hAnsiTheme="minorHAnsi"/>
          <w:snapToGrid w:val="0"/>
        </w:rPr>
        <w:t xml:space="preserve">after progression on first-line </w:t>
      </w:r>
      <w:r w:rsidR="00B54D2E">
        <w:rPr>
          <w:rFonts w:asciiTheme="minorHAnsi" w:hAnsiTheme="minorHAnsi"/>
          <w:snapToGrid w:val="0"/>
        </w:rPr>
        <w:t>o</w:t>
      </w:r>
      <w:r w:rsidR="001D1EA9">
        <w:rPr>
          <w:rFonts w:asciiTheme="minorHAnsi" w:hAnsiTheme="minorHAnsi"/>
          <w:snapToGrid w:val="0"/>
        </w:rPr>
        <w:t>simertinib</w:t>
      </w:r>
      <w:r w:rsidR="00952D9E">
        <w:rPr>
          <w:rFonts w:asciiTheme="minorHAnsi" w:hAnsiTheme="minorHAnsi"/>
          <w:snapToGrid w:val="0"/>
        </w:rPr>
        <w:t xml:space="preserve">. The PBAC also noted </w:t>
      </w:r>
      <w:r w:rsidR="00793AC3" w:rsidRPr="00793AC3">
        <w:rPr>
          <w:rFonts w:asciiTheme="minorHAnsi" w:hAnsiTheme="minorHAnsi"/>
          <w:snapToGrid w:val="0"/>
        </w:rPr>
        <w:t xml:space="preserve">that the combination of amivantamab with chemotherapy was recommended </w:t>
      </w:r>
      <w:r w:rsidR="00952D9E">
        <w:rPr>
          <w:rFonts w:asciiTheme="minorHAnsi" w:hAnsiTheme="minorHAnsi"/>
          <w:snapToGrid w:val="0"/>
        </w:rPr>
        <w:t xml:space="preserve">in international guidelines </w:t>
      </w:r>
      <w:r w:rsidR="00793AC3" w:rsidRPr="00793AC3">
        <w:rPr>
          <w:rFonts w:asciiTheme="minorHAnsi" w:hAnsiTheme="minorHAnsi"/>
          <w:snapToGrid w:val="0"/>
        </w:rPr>
        <w:t xml:space="preserve">as a </w:t>
      </w:r>
      <w:r w:rsidR="00A829AB">
        <w:rPr>
          <w:rFonts w:asciiTheme="minorHAnsi" w:hAnsiTheme="minorHAnsi"/>
          <w:snapToGrid w:val="0"/>
        </w:rPr>
        <w:t>second</w:t>
      </w:r>
      <w:r w:rsidR="00793AC3" w:rsidRPr="00793AC3">
        <w:rPr>
          <w:rFonts w:asciiTheme="minorHAnsi" w:hAnsiTheme="minorHAnsi"/>
          <w:snapToGrid w:val="0"/>
        </w:rPr>
        <w:t xml:space="preserve">-line regimen following progression on </w:t>
      </w:r>
      <w:r w:rsidR="001C282D">
        <w:rPr>
          <w:rFonts w:asciiTheme="minorHAnsi" w:hAnsiTheme="minorHAnsi"/>
          <w:snapToGrid w:val="0"/>
        </w:rPr>
        <w:t>o</w:t>
      </w:r>
      <w:r w:rsidR="00793AC3" w:rsidRPr="00793AC3">
        <w:rPr>
          <w:rFonts w:asciiTheme="minorHAnsi" w:hAnsiTheme="minorHAnsi"/>
          <w:snapToGrid w:val="0"/>
        </w:rPr>
        <w:t>simertinib</w:t>
      </w:r>
      <w:r w:rsidR="00952D9E">
        <w:rPr>
          <w:rFonts w:asciiTheme="minorHAnsi" w:hAnsiTheme="minorHAnsi"/>
          <w:snapToGrid w:val="0"/>
        </w:rPr>
        <w:t xml:space="preserve">, </w:t>
      </w:r>
      <w:r w:rsidR="001C282D">
        <w:rPr>
          <w:rFonts w:asciiTheme="minorHAnsi" w:hAnsiTheme="minorHAnsi"/>
          <w:snapToGrid w:val="0"/>
        </w:rPr>
        <w:t>however</w:t>
      </w:r>
      <w:r w:rsidR="00493501">
        <w:rPr>
          <w:rFonts w:asciiTheme="minorHAnsi" w:hAnsiTheme="minorHAnsi"/>
          <w:snapToGrid w:val="0"/>
        </w:rPr>
        <w:t xml:space="preserve"> was not currently under consideration by the PBAC</w:t>
      </w:r>
      <w:r w:rsidR="00415749" w:rsidRPr="00804648">
        <w:rPr>
          <w:rFonts w:asciiTheme="minorHAnsi" w:hAnsiTheme="minorHAnsi"/>
          <w:snapToGrid w:val="0"/>
        </w:rPr>
        <w:t>.</w:t>
      </w:r>
      <w:r w:rsidR="00C510A6">
        <w:rPr>
          <w:rFonts w:asciiTheme="minorHAnsi" w:hAnsiTheme="minorHAnsi"/>
          <w:snapToGrid w:val="0"/>
        </w:rPr>
        <w:t xml:space="preserve"> </w:t>
      </w:r>
    </w:p>
    <w:p w14:paraId="650C8503" w14:textId="02CF0F3E" w:rsidR="00F91577" w:rsidRPr="006B40E2" w:rsidRDefault="006A3806" w:rsidP="00C72F3E">
      <w:pPr>
        <w:widowControl w:val="0"/>
        <w:numPr>
          <w:ilvl w:val="1"/>
          <w:numId w:val="5"/>
        </w:numPr>
        <w:spacing w:after="120"/>
        <w:ind w:left="720"/>
        <w:rPr>
          <w:rFonts w:asciiTheme="minorHAnsi" w:hAnsiTheme="minorHAnsi"/>
          <w:snapToGrid w:val="0"/>
          <w:lang w:val="en-GB"/>
        </w:rPr>
      </w:pPr>
      <w:r>
        <w:rPr>
          <w:snapToGrid w:val="0"/>
          <w:lang w:val="en-GB"/>
        </w:rPr>
        <w:t xml:space="preserve">The PBAC </w:t>
      </w:r>
      <w:r w:rsidRPr="006B40E2">
        <w:rPr>
          <w:snapToGrid w:val="0"/>
          <w:lang w:val="en-GB"/>
        </w:rPr>
        <w:t>noted that</w:t>
      </w:r>
      <w:r w:rsidR="00776F7B" w:rsidRPr="006B40E2">
        <w:rPr>
          <w:snapToGrid w:val="0"/>
          <w:lang w:val="en-GB"/>
        </w:rPr>
        <w:t>, if A+L were to be</w:t>
      </w:r>
      <w:r w:rsidR="007210AC" w:rsidRPr="006B40E2">
        <w:rPr>
          <w:snapToGrid w:val="0"/>
          <w:lang w:val="en-GB"/>
        </w:rPr>
        <w:t xml:space="preserve"> listed on the</w:t>
      </w:r>
      <w:r w:rsidR="00776F7B" w:rsidRPr="006B40E2">
        <w:rPr>
          <w:snapToGrid w:val="0"/>
          <w:lang w:val="en-GB"/>
        </w:rPr>
        <w:t xml:space="preserve"> PBS</w:t>
      </w:r>
      <w:r w:rsidR="00934222" w:rsidRPr="006B40E2">
        <w:rPr>
          <w:snapToGrid w:val="0"/>
          <w:lang w:val="en-GB"/>
        </w:rPr>
        <w:t xml:space="preserve"> for </w:t>
      </w:r>
      <w:r w:rsidR="00934222" w:rsidRPr="006B40E2">
        <w:rPr>
          <w:rFonts w:asciiTheme="minorHAnsi" w:hAnsiTheme="minorHAnsi"/>
          <w:i/>
          <w:iCs/>
          <w:snapToGrid w:val="0"/>
        </w:rPr>
        <w:t>EGFR</w:t>
      </w:r>
      <w:r w:rsidR="00934222" w:rsidRPr="006B40E2">
        <w:rPr>
          <w:rFonts w:asciiTheme="minorHAnsi" w:hAnsiTheme="minorHAnsi"/>
          <w:snapToGrid w:val="0"/>
        </w:rPr>
        <w:t>m locally advanced or metastatic NSCLC</w:t>
      </w:r>
      <w:r w:rsidR="00A11E9F" w:rsidRPr="006B40E2">
        <w:rPr>
          <w:snapToGrid w:val="0"/>
          <w:lang w:val="en-GB"/>
        </w:rPr>
        <w:t xml:space="preserve"> in the future, it </w:t>
      </w:r>
      <w:r w:rsidR="00D7112B" w:rsidRPr="006B40E2">
        <w:rPr>
          <w:snapToGrid w:val="0"/>
          <w:lang w:val="en-GB"/>
        </w:rPr>
        <w:t>may</w:t>
      </w:r>
      <w:r w:rsidR="00A11E9F" w:rsidRPr="006B40E2">
        <w:rPr>
          <w:snapToGrid w:val="0"/>
          <w:lang w:val="en-GB"/>
        </w:rPr>
        <w:t xml:space="preserve"> be appropriate for </w:t>
      </w:r>
      <w:r w:rsidR="001D44BD" w:rsidRPr="006B40E2">
        <w:rPr>
          <w:snapToGrid w:val="0"/>
          <w:lang w:val="en-GB"/>
        </w:rPr>
        <w:t>the amivantamab and lazertinib restrictions to</w:t>
      </w:r>
      <w:r w:rsidR="00F91577" w:rsidRPr="006B40E2">
        <w:rPr>
          <w:snapToGrid w:val="0"/>
          <w:lang w:val="en-GB"/>
        </w:rPr>
        <w:t>:</w:t>
      </w:r>
      <w:r w:rsidR="001D44BD" w:rsidRPr="006B40E2">
        <w:rPr>
          <w:snapToGrid w:val="0"/>
          <w:lang w:val="en-GB"/>
        </w:rPr>
        <w:t xml:space="preserve"> </w:t>
      </w:r>
    </w:p>
    <w:p w14:paraId="2A4EB8AC" w14:textId="614C0B52" w:rsidR="005031C8" w:rsidRPr="006B40E2" w:rsidRDefault="007360A0" w:rsidP="00585C2F">
      <w:pPr>
        <w:pStyle w:val="ListParagraph"/>
        <w:widowControl w:val="0"/>
        <w:numPr>
          <w:ilvl w:val="0"/>
          <w:numId w:val="29"/>
        </w:numPr>
        <w:spacing w:after="0"/>
        <w:ind w:left="1434" w:hanging="357"/>
        <w:jc w:val="both"/>
        <w:rPr>
          <w:lang w:val="en-GB"/>
        </w:rPr>
      </w:pPr>
      <w:r w:rsidRPr="006B40E2">
        <w:rPr>
          <w:lang w:val="en-GB"/>
        </w:rPr>
        <w:t>allow discontinuation of one therapy if a patient developed intolerance</w:t>
      </w:r>
      <w:r w:rsidR="00696F69" w:rsidRPr="006B40E2">
        <w:rPr>
          <w:lang w:val="en-GB"/>
        </w:rPr>
        <w:t xml:space="preserve"> and continue </w:t>
      </w:r>
      <w:r w:rsidR="00EE7C04" w:rsidRPr="006B40E2">
        <w:rPr>
          <w:lang w:val="en-GB"/>
        </w:rPr>
        <w:t>treatment</w:t>
      </w:r>
      <w:r w:rsidR="00696F69" w:rsidRPr="006B40E2">
        <w:rPr>
          <w:lang w:val="en-GB"/>
        </w:rPr>
        <w:t xml:space="preserve"> with the other</w:t>
      </w:r>
      <w:r w:rsidR="00EE7C04" w:rsidRPr="006B40E2">
        <w:rPr>
          <w:lang w:val="en-GB"/>
        </w:rPr>
        <w:t xml:space="preserve"> therapy</w:t>
      </w:r>
      <w:r w:rsidR="00F709C3" w:rsidRPr="006B40E2">
        <w:rPr>
          <w:lang w:val="en-GB"/>
        </w:rPr>
        <w:t>;</w:t>
      </w:r>
    </w:p>
    <w:p w14:paraId="41151E69" w14:textId="6139C7CD" w:rsidR="001E3CFE" w:rsidRPr="006B40E2" w:rsidRDefault="006C07EB" w:rsidP="00585C2F">
      <w:pPr>
        <w:pStyle w:val="ListParagraph"/>
        <w:widowControl w:val="0"/>
        <w:numPr>
          <w:ilvl w:val="0"/>
          <w:numId w:val="29"/>
        </w:numPr>
        <w:spacing w:after="0"/>
        <w:ind w:left="1434" w:hanging="357"/>
        <w:jc w:val="both"/>
        <w:rPr>
          <w:lang w:val="en-GB"/>
        </w:rPr>
      </w:pPr>
      <w:r w:rsidRPr="006B40E2">
        <w:rPr>
          <w:lang w:val="en-GB"/>
        </w:rPr>
        <w:t xml:space="preserve">remain silent on the </w:t>
      </w:r>
      <w:r w:rsidRPr="006B40E2">
        <w:rPr>
          <w:i/>
          <w:iCs/>
          <w:lang w:val="en-GB"/>
        </w:rPr>
        <w:t>EGFR</w:t>
      </w:r>
      <w:r w:rsidRPr="006B40E2">
        <w:rPr>
          <w:lang w:val="en-GB"/>
        </w:rPr>
        <w:t xml:space="preserve"> mutation type</w:t>
      </w:r>
      <w:r w:rsidR="00216537" w:rsidRPr="006B40E2">
        <w:rPr>
          <w:lang w:val="en-GB"/>
        </w:rPr>
        <w:t>,</w:t>
      </w:r>
      <w:r w:rsidR="002B66C0" w:rsidRPr="006B40E2">
        <w:rPr>
          <w:lang w:val="en-GB"/>
        </w:rPr>
        <w:t xml:space="preserve"> as use outside the appropriate mutation </w:t>
      </w:r>
      <w:r w:rsidR="00216537" w:rsidRPr="006B40E2">
        <w:rPr>
          <w:lang w:val="en-GB"/>
        </w:rPr>
        <w:t>would be</w:t>
      </w:r>
      <w:r w:rsidR="002B66C0" w:rsidRPr="006B40E2">
        <w:rPr>
          <w:lang w:val="en-GB"/>
        </w:rPr>
        <w:t xml:space="preserve"> unlikely</w:t>
      </w:r>
      <w:r w:rsidR="00F709C3" w:rsidRPr="006B40E2">
        <w:rPr>
          <w:lang w:val="en-GB"/>
        </w:rPr>
        <w:t>;</w:t>
      </w:r>
    </w:p>
    <w:p w14:paraId="6738957B" w14:textId="323F65F4" w:rsidR="009818F3" w:rsidRPr="006B40E2" w:rsidRDefault="001D2633" w:rsidP="00585C2F">
      <w:pPr>
        <w:pStyle w:val="ListParagraph"/>
        <w:widowControl w:val="0"/>
        <w:numPr>
          <w:ilvl w:val="0"/>
          <w:numId w:val="29"/>
        </w:numPr>
        <w:spacing w:after="0"/>
        <w:ind w:left="1434" w:hanging="357"/>
        <w:jc w:val="both"/>
        <w:rPr>
          <w:lang w:val="en-GB"/>
        </w:rPr>
      </w:pPr>
      <w:r w:rsidRPr="006B40E2">
        <w:rPr>
          <w:lang w:val="en-GB"/>
        </w:rPr>
        <w:t>specify</w:t>
      </w:r>
      <w:r w:rsidR="008D6ED9" w:rsidRPr="006B40E2">
        <w:rPr>
          <w:lang w:val="en-GB"/>
        </w:rPr>
        <w:t xml:space="preserve"> an ECOG performance status of </w:t>
      </w:r>
      <w:r w:rsidR="00DF4EAC" w:rsidRPr="006B40E2">
        <w:rPr>
          <w:lang w:val="en-GB"/>
        </w:rPr>
        <w:t xml:space="preserve">2 or less, consistent with existing PBS listings for </w:t>
      </w:r>
      <w:r w:rsidR="00DF4EAC" w:rsidRPr="006B40E2">
        <w:t>osimertinib, erlotinib, gefitinib and afatinib</w:t>
      </w:r>
      <w:r w:rsidR="00343B39" w:rsidRPr="006B40E2">
        <w:t>;</w:t>
      </w:r>
    </w:p>
    <w:p w14:paraId="507ADDC9" w14:textId="639F3DA3" w:rsidR="00A00595" w:rsidRPr="006B40E2" w:rsidRDefault="000137AA" w:rsidP="00585C2F">
      <w:pPr>
        <w:pStyle w:val="ListParagraph"/>
        <w:widowControl w:val="0"/>
        <w:numPr>
          <w:ilvl w:val="0"/>
          <w:numId w:val="29"/>
        </w:numPr>
        <w:spacing w:after="0"/>
        <w:ind w:left="1434" w:hanging="357"/>
        <w:jc w:val="both"/>
        <w:rPr>
          <w:lang w:val="en-GB"/>
        </w:rPr>
      </w:pPr>
      <w:r w:rsidRPr="006B40E2">
        <w:t xml:space="preserve">allow </w:t>
      </w:r>
      <w:r w:rsidR="0047390D" w:rsidRPr="006B40E2">
        <w:t xml:space="preserve">a maximum of </w:t>
      </w:r>
      <w:r w:rsidRPr="006B40E2">
        <w:t>6 months of treatment</w:t>
      </w:r>
      <w:r w:rsidR="001D480E" w:rsidRPr="006B40E2">
        <w:t xml:space="preserve"> per script</w:t>
      </w:r>
      <w:r w:rsidRPr="006B40E2">
        <w:t xml:space="preserve"> </w:t>
      </w:r>
      <w:r w:rsidR="00751C17" w:rsidRPr="006B40E2">
        <w:t xml:space="preserve">for </w:t>
      </w:r>
      <w:r w:rsidR="00C43194" w:rsidRPr="006B40E2">
        <w:t>both amivantamab and lazertinib (</w:t>
      </w:r>
      <w:r w:rsidR="00A3792C" w:rsidRPr="006B40E2">
        <w:t>including</w:t>
      </w:r>
      <w:r w:rsidR="00C43194" w:rsidRPr="006B40E2">
        <w:t xml:space="preserve"> dose reductions </w:t>
      </w:r>
      <w:r w:rsidR="001D1A52" w:rsidRPr="006B40E2">
        <w:t>of lazertinib)</w:t>
      </w:r>
      <w:r w:rsidR="00167F66" w:rsidRPr="006B40E2">
        <w:t>;</w:t>
      </w:r>
    </w:p>
    <w:p w14:paraId="195926F4" w14:textId="18D1427C" w:rsidR="004939A2" w:rsidRPr="006B40E2" w:rsidRDefault="00664212" w:rsidP="00EF5492">
      <w:pPr>
        <w:pStyle w:val="ListParagraph"/>
        <w:widowControl w:val="0"/>
        <w:numPr>
          <w:ilvl w:val="0"/>
          <w:numId w:val="29"/>
        </w:numPr>
        <w:jc w:val="both"/>
        <w:rPr>
          <w:lang w:val="en-GB"/>
        </w:rPr>
      </w:pPr>
      <w:r w:rsidRPr="006B40E2">
        <w:rPr>
          <w:lang w:val="en-GB"/>
        </w:rPr>
        <w:t>allow</w:t>
      </w:r>
      <w:r w:rsidR="005031C8" w:rsidRPr="006B40E2">
        <w:rPr>
          <w:lang w:val="en-GB"/>
        </w:rPr>
        <w:t xml:space="preserve"> treatment with A+L</w:t>
      </w:r>
      <w:r w:rsidRPr="006B40E2">
        <w:rPr>
          <w:lang w:val="en-GB"/>
        </w:rPr>
        <w:t xml:space="preserve"> if a patient had received prior osimertinib in the adjuvant setting.</w:t>
      </w:r>
    </w:p>
    <w:p w14:paraId="6FB4EB91" w14:textId="037C0136" w:rsidR="00387227" w:rsidRPr="00387227" w:rsidRDefault="00953271" w:rsidP="00E634D2">
      <w:pPr>
        <w:widowControl w:val="0"/>
        <w:spacing w:after="120"/>
        <w:ind w:left="709"/>
        <w:rPr>
          <w:lang w:val="en-GB"/>
        </w:rPr>
      </w:pPr>
      <w:r>
        <w:rPr>
          <w:lang w:val="en-GB"/>
        </w:rPr>
        <w:t xml:space="preserve">The PBAC noted that </w:t>
      </w:r>
      <w:r w:rsidR="006445F7">
        <w:rPr>
          <w:lang w:val="en-GB"/>
        </w:rPr>
        <w:t>these suggestions</w:t>
      </w:r>
      <w:r w:rsidR="009C3FA9">
        <w:rPr>
          <w:lang w:val="en-GB"/>
        </w:rPr>
        <w:t xml:space="preserve"> would be subject to</w:t>
      </w:r>
      <w:r w:rsidR="008607EC">
        <w:rPr>
          <w:lang w:val="en-GB"/>
        </w:rPr>
        <w:t xml:space="preserve"> review according to</w:t>
      </w:r>
      <w:r w:rsidR="009C3FA9">
        <w:rPr>
          <w:lang w:val="en-GB"/>
        </w:rPr>
        <w:t xml:space="preserve"> </w:t>
      </w:r>
      <w:r w:rsidR="008152A3">
        <w:rPr>
          <w:lang w:val="en-GB"/>
        </w:rPr>
        <w:t xml:space="preserve">the conditions of listing for any </w:t>
      </w:r>
      <w:r w:rsidR="0029043B">
        <w:rPr>
          <w:lang w:val="en-GB"/>
        </w:rPr>
        <w:t>future positive recommendation for A+L.</w:t>
      </w:r>
      <w:r w:rsidR="009C3FA9">
        <w:rPr>
          <w:lang w:val="en-GB"/>
        </w:rPr>
        <w:t xml:space="preserve"> </w:t>
      </w:r>
    </w:p>
    <w:p w14:paraId="4729B2F6" w14:textId="48DA4876" w:rsidR="0083644A" w:rsidRPr="009F7A72" w:rsidRDefault="00C46EA0" w:rsidP="0083644A">
      <w:pPr>
        <w:widowControl w:val="0"/>
        <w:numPr>
          <w:ilvl w:val="1"/>
          <w:numId w:val="5"/>
        </w:numPr>
        <w:spacing w:after="120"/>
        <w:ind w:left="720"/>
        <w:rPr>
          <w:rFonts w:asciiTheme="minorHAnsi" w:hAnsiTheme="minorHAnsi"/>
          <w:snapToGrid w:val="0"/>
          <w:lang w:val="en-GB"/>
        </w:rPr>
      </w:pPr>
      <w:r>
        <w:rPr>
          <w:rFonts w:asciiTheme="minorHAnsi" w:hAnsiTheme="minorHAnsi"/>
          <w:snapToGrid w:val="0"/>
          <w:lang w:val="en-GB"/>
        </w:rPr>
        <w:t>T</w:t>
      </w:r>
      <w:r w:rsidR="00E67FBD" w:rsidRPr="009F7A72">
        <w:rPr>
          <w:rFonts w:asciiTheme="minorHAnsi" w:hAnsiTheme="minorHAnsi"/>
          <w:snapToGrid w:val="0"/>
          <w:lang w:val="en-GB"/>
        </w:rPr>
        <w:t>he PBAC considered that</w:t>
      </w:r>
      <w:r w:rsidR="0025063C" w:rsidRPr="009F7A72">
        <w:rPr>
          <w:rFonts w:asciiTheme="minorHAnsi" w:hAnsiTheme="minorHAnsi"/>
          <w:snapToGrid w:val="0"/>
          <w:lang w:val="en-GB"/>
        </w:rPr>
        <w:t xml:space="preserve"> the submission’s nomination of </w:t>
      </w:r>
      <w:r w:rsidR="008C19D6" w:rsidRPr="009F7A72">
        <w:rPr>
          <w:rFonts w:asciiTheme="minorHAnsi" w:hAnsiTheme="minorHAnsi"/>
          <w:snapToGrid w:val="0"/>
          <w:lang w:val="en-GB"/>
        </w:rPr>
        <w:t>osimertinib as the main comparator for the</w:t>
      </w:r>
      <w:r w:rsidR="00652C78" w:rsidRPr="009F7A72">
        <w:t xml:space="preserve"> </w:t>
      </w:r>
      <w:r w:rsidR="00B929A9" w:rsidRPr="009F7A72">
        <w:t>1L</w:t>
      </w:r>
      <w:r w:rsidR="00652C78" w:rsidRPr="009F7A72">
        <w:t xml:space="preserve"> treatment of locally advanced or metastatic </w:t>
      </w:r>
      <w:r w:rsidR="00652C78" w:rsidRPr="009F7A72">
        <w:rPr>
          <w:i/>
          <w:iCs/>
        </w:rPr>
        <w:t>EGFR</w:t>
      </w:r>
      <w:r w:rsidR="00652C78" w:rsidRPr="009F7A72">
        <w:t xml:space="preserve">m NSCLC diagnosed </w:t>
      </w:r>
      <w:r w:rsidR="00652C78" w:rsidRPr="009F7A72">
        <w:rPr>
          <w:i/>
          <w:iCs/>
        </w:rPr>
        <w:t>de novo</w:t>
      </w:r>
      <w:r w:rsidR="00CA6862" w:rsidRPr="009F7A72">
        <w:t xml:space="preserve"> was appro</w:t>
      </w:r>
      <w:r w:rsidR="00707839" w:rsidRPr="009F7A72">
        <w:t>priate</w:t>
      </w:r>
      <w:r w:rsidR="00D73953">
        <w:t>.</w:t>
      </w:r>
      <w:r w:rsidR="00814E6E">
        <w:t xml:space="preserve"> </w:t>
      </w:r>
      <w:r w:rsidR="00D73953">
        <w:t>H</w:t>
      </w:r>
      <w:r w:rsidR="007F1866">
        <w:t>owever</w:t>
      </w:r>
      <w:r w:rsidR="00B52F20">
        <w:t>,</w:t>
      </w:r>
      <w:r w:rsidR="007F1866">
        <w:t xml:space="preserve"> </w:t>
      </w:r>
      <w:r w:rsidR="005E5845" w:rsidRPr="009F7A72">
        <w:t xml:space="preserve">it noted that </w:t>
      </w:r>
      <w:r w:rsidR="00534752">
        <w:t xml:space="preserve">some patients may </w:t>
      </w:r>
      <w:r w:rsidR="00C84279">
        <w:t xml:space="preserve">be accessing </w:t>
      </w:r>
      <w:r w:rsidR="00E146EE" w:rsidRPr="009F7A72">
        <w:t xml:space="preserve">osimertinib in combination with platinum and pemetrexed chemotherapy </w:t>
      </w:r>
      <w:r w:rsidR="00C84279">
        <w:t>given</w:t>
      </w:r>
      <w:r w:rsidR="00E146EE" w:rsidRPr="009F7A72">
        <w:t xml:space="preserve"> </w:t>
      </w:r>
      <w:r w:rsidR="00295616">
        <w:t>that the chemotherapy is relatively inexpensive</w:t>
      </w:r>
      <w:r w:rsidR="00E146EE" w:rsidRPr="009F7A72">
        <w:t xml:space="preserve"> </w:t>
      </w:r>
      <w:r w:rsidR="001D2FC7">
        <w:t>and possibly funded by hospitals or patients</w:t>
      </w:r>
      <w:r w:rsidR="000C4D04">
        <w:t>, and</w:t>
      </w:r>
      <w:r w:rsidR="00E146EE" w:rsidRPr="009F7A72">
        <w:t xml:space="preserve"> </w:t>
      </w:r>
      <w:r w:rsidR="00B862DC">
        <w:t>it</w:t>
      </w:r>
      <w:r w:rsidR="00E146EE" w:rsidRPr="009F7A72">
        <w:t xml:space="preserve"> </w:t>
      </w:r>
      <w:r w:rsidR="000B2222">
        <w:t>will be</w:t>
      </w:r>
      <w:r w:rsidR="00E146EE" w:rsidRPr="009F7A72">
        <w:t xml:space="preserve"> considered at the May 2025 PBAC meeting for the same indication</w:t>
      </w:r>
      <w:r w:rsidR="00DE1BBB">
        <w:t>,</w:t>
      </w:r>
      <w:r w:rsidR="00E146EE" w:rsidRPr="009F7A72">
        <w:t xml:space="preserve"> and </w:t>
      </w:r>
      <w:r w:rsidR="007637C4">
        <w:t xml:space="preserve">thus </w:t>
      </w:r>
      <w:r w:rsidR="00E146EE" w:rsidRPr="009F7A72">
        <w:t>is a relevant near-market comparator</w:t>
      </w:r>
      <w:r w:rsidR="00D76B4D" w:rsidRPr="009F7A72">
        <w:t>.</w:t>
      </w:r>
      <w:r w:rsidR="008661A5">
        <w:t xml:space="preserve"> </w:t>
      </w:r>
      <w:r w:rsidR="00287AB8">
        <w:t xml:space="preserve">The PBAC noted that the submission did not include a comparison of A+L </w:t>
      </w:r>
      <w:r w:rsidR="00FF503D">
        <w:t>with</w:t>
      </w:r>
      <w:r w:rsidR="00287AB8">
        <w:t xml:space="preserve"> </w:t>
      </w:r>
      <w:r w:rsidR="00C0689F">
        <w:t>o</w:t>
      </w:r>
      <w:r w:rsidR="00B3724B">
        <w:t>simertinib in combination with chemotherapy, however a comparison of the</w:t>
      </w:r>
      <w:r w:rsidR="00C0689F">
        <w:t xml:space="preserve"> two PBAC submissions was included in the ESC advice for A+L.</w:t>
      </w:r>
      <w:r w:rsidR="00B3724B">
        <w:t xml:space="preserve"> </w:t>
      </w:r>
      <w:r w:rsidR="008661A5">
        <w:t xml:space="preserve">The PBAC did not accept </w:t>
      </w:r>
      <w:r w:rsidR="00D74AE5">
        <w:t xml:space="preserve">that </w:t>
      </w:r>
      <w:r w:rsidR="00C763E7">
        <w:t xml:space="preserve">osimertinib </w:t>
      </w:r>
      <w:r w:rsidR="00B204C5">
        <w:t xml:space="preserve">is the </w:t>
      </w:r>
      <w:r w:rsidR="0007289A">
        <w:t xml:space="preserve">appropriate </w:t>
      </w:r>
      <w:r w:rsidR="00B204C5">
        <w:t>comparator for the group of patients who have received</w:t>
      </w:r>
      <w:r w:rsidR="00D065D5">
        <w:t xml:space="preserve"> prior</w:t>
      </w:r>
      <w:r w:rsidR="00B204C5">
        <w:t xml:space="preserve"> osimertinib in the adjuvant setting</w:t>
      </w:r>
      <w:r w:rsidR="00991B1A">
        <w:t xml:space="preserve"> and</w:t>
      </w:r>
      <w:r w:rsidR="00B204C5">
        <w:t xml:space="preserve"> </w:t>
      </w:r>
      <w:r w:rsidR="000F3E22" w:rsidRPr="00461E5D">
        <w:t>progressed to locally advanced or metastatic disease</w:t>
      </w:r>
      <w:r w:rsidR="002F12F2">
        <w:t xml:space="preserve">; </w:t>
      </w:r>
      <w:r w:rsidR="001E225E">
        <w:t>it noted tha</w:t>
      </w:r>
      <w:r w:rsidR="003556AC">
        <w:t xml:space="preserve">t </w:t>
      </w:r>
      <w:r w:rsidR="00E5711B">
        <w:t xml:space="preserve">platinum-based </w:t>
      </w:r>
      <w:r w:rsidR="00972AF8" w:rsidRPr="00972AF8">
        <w:t>chemo</w:t>
      </w:r>
      <w:r w:rsidR="00972AF8">
        <w:t xml:space="preserve">therapy </w:t>
      </w:r>
      <w:r w:rsidR="00972AF8">
        <w:rPr>
          <w:rFonts w:cs="Calibri"/>
        </w:rPr>
        <w:t>±</w:t>
      </w:r>
      <w:r w:rsidR="00972AF8" w:rsidRPr="00972AF8">
        <w:t xml:space="preserve"> </w:t>
      </w:r>
      <w:r w:rsidR="00972AF8">
        <w:t>bevacizumab</w:t>
      </w:r>
      <w:r w:rsidR="00972AF8" w:rsidRPr="00972AF8">
        <w:t xml:space="preserve"> </w:t>
      </w:r>
      <w:r w:rsidR="00972AF8">
        <w:rPr>
          <w:rFonts w:cs="Calibri"/>
        </w:rPr>
        <w:t>±</w:t>
      </w:r>
      <w:r w:rsidR="00972AF8" w:rsidRPr="00972AF8">
        <w:t xml:space="preserve"> atezo</w:t>
      </w:r>
      <w:r w:rsidR="00972AF8">
        <w:t>lizumab</w:t>
      </w:r>
      <w:r w:rsidR="00926AC0">
        <w:t xml:space="preserve"> (ABCP)</w:t>
      </w:r>
      <w:r w:rsidR="00972AF8">
        <w:t xml:space="preserve"> is more likely to be used in</w:t>
      </w:r>
      <w:r w:rsidR="00556ABF">
        <w:t xml:space="preserve"> this group of</w:t>
      </w:r>
      <w:r w:rsidR="00972AF8">
        <w:t xml:space="preserve"> Australian patients.</w:t>
      </w:r>
      <w:r w:rsidR="001E3C76">
        <w:t xml:space="preserve"> </w:t>
      </w:r>
      <w:r w:rsidR="001E3C76" w:rsidRPr="589E218A">
        <w:t>Further, PBS-listed osimertinib is excluded for use in patients who have previously received PBS-subsidised treatment with osimertinib</w:t>
      </w:r>
      <w:r w:rsidR="00574BDF">
        <w:t>.</w:t>
      </w:r>
    </w:p>
    <w:p w14:paraId="0ACDBFBC" w14:textId="0C85C789" w:rsidR="00722567" w:rsidRPr="005E2613" w:rsidRDefault="005724D3" w:rsidP="00747BA1">
      <w:pPr>
        <w:widowControl w:val="0"/>
        <w:numPr>
          <w:ilvl w:val="1"/>
          <w:numId w:val="5"/>
        </w:numPr>
        <w:spacing w:after="120"/>
        <w:ind w:left="720"/>
        <w:rPr>
          <w:rFonts w:asciiTheme="minorHAnsi" w:hAnsiTheme="minorHAnsi"/>
          <w:snapToGrid w:val="0"/>
          <w:lang w:val="en-GB"/>
        </w:rPr>
      </w:pPr>
      <w:bookmarkStart w:id="142" w:name="_Ref195108107"/>
      <w:r>
        <w:rPr>
          <w:rFonts w:asciiTheme="minorHAnsi" w:hAnsiTheme="minorHAnsi"/>
          <w:snapToGrid w:val="0"/>
          <w:lang w:val="en-GB"/>
        </w:rPr>
        <w:t xml:space="preserve">The PBAC noted </w:t>
      </w:r>
      <w:r w:rsidR="001B5466">
        <w:rPr>
          <w:rFonts w:asciiTheme="minorHAnsi" w:hAnsiTheme="minorHAnsi"/>
          <w:snapToGrid w:val="0"/>
          <w:lang w:val="en-GB"/>
        </w:rPr>
        <w:t>the clinical evidence for A+L was based on the MARIPOSA trial</w:t>
      </w:r>
      <w:r w:rsidR="00722567">
        <w:rPr>
          <w:rFonts w:asciiTheme="minorHAnsi" w:hAnsiTheme="minorHAnsi"/>
          <w:snapToGrid w:val="0"/>
          <w:lang w:val="en-GB"/>
        </w:rPr>
        <w:t xml:space="preserve">, which was </w:t>
      </w:r>
      <w:r w:rsidR="00EA6DE0">
        <w:rPr>
          <w:rFonts w:asciiTheme="minorHAnsi" w:hAnsiTheme="minorHAnsi"/>
          <w:snapToGrid w:val="0"/>
          <w:lang w:val="en-GB"/>
        </w:rPr>
        <w:t xml:space="preserve">a head-to-head </w:t>
      </w:r>
      <w:r w:rsidR="00CA70DE">
        <w:rPr>
          <w:rFonts w:asciiTheme="minorHAnsi" w:hAnsiTheme="minorHAnsi"/>
          <w:snapToGrid w:val="0"/>
          <w:lang w:val="en-GB"/>
        </w:rPr>
        <w:t>randomised controlled trial (</w:t>
      </w:r>
      <w:r w:rsidR="00EA6DE0">
        <w:rPr>
          <w:rFonts w:asciiTheme="minorHAnsi" w:hAnsiTheme="minorHAnsi"/>
          <w:snapToGrid w:val="0"/>
          <w:lang w:val="en-GB"/>
        </w:rPr>
        <w:t>RCT</w:t>
      </w:r>
      <w:r w:rsidR="00CA70DE">
        <w:rPr>
          <w:rFonts w:asciiTheme="minorHAnsi" w:hAnsiTheme="minorHAnsi"/>
          <w:snapToGrid w:val="0"/>
          <w:lang w:val="en-GB"/>
        </w:rPr>
        <w:t>)</w:t>
      </w:r>
      <w:r w:rsidR="00797F7E">
        <w:rPr>
          <w:rFonts w:asciiTheme="minorHAnsi" w:hAnsiTheme="minorHAnsi"/>
          <w:snapToGrid w:val="0"/>
          <w:lang w:val="en-GB"/>
        </w:rPr>
        <w:t xml:space="preserve"> </w:t>
      </w:r>
      <w:r w:rsidR="00797F7E" w:rsidRPr="589E218A">
        <w:t xml:space="preserve">comparing the efficacy and safety of A+L to osimertinib as </w:t>
      </w:r>
      <w:r w:rsidR="00797F7E">
        <w:t>1L</w:t>
      </w:r>
      <w:r w:rsidR="00797F7E" w:rsidRPr="589E218A">
        <w:t xml:space="preserve"> treatment in patients with locally advanced or metastatic</w:t>
      </w:r>
      <w:r w:rsidR="00797F7E">
        <w:t xml:space="preserve"> </w:t>
      </w:r>
      <w:r w:rsidR="00797F7E" w:rsidRPr="00797F7E">
        <w:rPr>
          <w:i/>
          <w:iCs/>
        </w:rPr>
        <w:t>EGFR</w:t>
      </w:r>
      <w:r w:rsidR="00797F7E">
        <w:t>m</w:t>
      </w:r>
      <w:r w:rsidR="00797F7E" w:rsidRPr="589E218A">
        <w:t xml:space="preserve"> NSCLC</w:t>
      </w:r>
      <w:r w:rsidR="00797F7E">
        <w:t xml:space="preserve">. The PBAC commented </w:t>
      </w:r>
      <w:r w:rsidR="00832B41">
        <w:t>on the risk of bias associated with the open label A+L arm</w:t>
      </w:r>
      <w:r w:rsidR="00747BA1">
        <w:t>. Further, i</w:t>
      </w:r>
      <w:r w:rsidR="00C51674" w:rsidRPr="00747BA1">
        <w:rPr>
          <w:rFonts w:asciiTheme="minorHAnsi" w:hAnsiTheme="minorHAnsi"/>
          <w:snapToGrid w:val="0"/>
          <w:lang w:val="en-GB"/>
        </w:rPr>
        <w:t xml:space="preserve">n contrast </w:t>
      </w:r>
      <w:r w:rsidR="001C1A20">
        <w:rPr>
          <w:rFonts w:asciiTheme="minorHAnsi" w:hAnsiTheme="minorHAnsi"/>
          <w:snapToGrid w:val="0"/>
          <w:lang w:val="en-GB"/>
        </w:rPr>
        <w:t>with</w:t>
      </w:r>
      <w:r w:rsidR="00C51674" w:rsidRPr="00747BA1">
        <w:rPr>
          <w:rFonts w:asciiTheme="minorHAnsi" w:hAnsiTheme="minorHAnsi"/>
          <w:snapToGrid w:val="0"/>
          <w:lang w:val="en-GB"/>
        </w:rPr>
        <w:t xml:space="preserve"> the requested restriction, </w:t>
      </w:r>
      <w:r w:rsidR="0072162D" w:rsidRPr="00747BA1">
        <w:rPr>
          <w:rFonts w:asciiTheme="minorHAnsi" w:hAnsiTheme="minorHAnsi"/>
          <w:snapToGrid w:val="0"/>
          <w:lang w:val="en-GB"/>
        </w:rPr>
        <w:t>t</w:t>
      </w:r>
      <w:r w:rsidR="00722567" w:rsidRPr="00747BA1">
        <w:rPr>
          <w:rFonts w:asciiTheme="minorHAnsi" w:hAnsiTheme="minorHAnsi"/>
          <w:snapToGrid w:val="0"/>
          <w:lang w:val="en-GB"/>
        </w:rPr>
        <w:t>reatme</w:t>
      </w:r>
      <w:r w:rsidR="0072162D" w:rsidRPr="00747BA1">
        <w:rPr>
          <w:rFonts w:asciiTheme="minorHAnsi" w:hAnsiTheme="minorHAnsi"/>
          <w:snapToGrid w:val="0"/>
          <w:lang w:val="en-GB"/>
        </w:rPr>
        <w:t>nt</w:t>
      </w:r>
      <w:r w:rsidR="00C51674" w:rsidRPr="00747BA1">
        <w:rPr>
          <w:rFonts w:asciiTheme="minorHAnsi" w:hAnsiTheme="minorHAnsi"/>
          <w:snapToGrid w:val="0"/>
          <w:lang w:val="en-GB"/>
        </w:rPr>
        <w:t xml:space="preserve"> could continue in the trial</w:t>
      </w:r>
      <w:r w:rsidR="00722567" w:rsidRPr="00747BA1">
        <w:rPr>
          <w:rFonts w:asciiTheme="minorHAnsi" w:hAnsiTheme="minorHAnsi"/>
          <w:snapToGrid w:val="0"/>
          <w:lang w:val="en-GB"/>
        </w:rPr>
        <w:t xml:space="preserve"> beyond </w:t>
      </w:r>
      <w:r w:rsidR="00C51674" w:rsidRPr="00747BA1">
        <w:rPr>
          <w:rFonts w:asciiTheme="minorHAnsi" w:hAnsiTheme="minorHAnsi"/>
          <w:snapToGrid w:val="0"/>
          <w:lang w:val="en-GB"/>
        </w:rPr>
        <w:t xml:space="preserve">disease </w:t>
      </w:r>
      <w:r w:rsidR="00722567" w:rsidRPr="00747BA1">
        <w:rPr>
          <w:rFonts w:asciiTheme="minorHAnsi" w:hAnsiTheme="minorHAnsi"/>
          <w:snapToGrid w:val="0"/>
          <w:lang w:val="en-GB"/>
        </w:rPr>
        <w:t>progression</w:t>
      </w:r>
      <w:r w:rsidR="00820B3F">
        <w:rPr>
          <w:rFonts w:asciiTheme="minorHAnsi" w:hAnsiTheme="minorHAnsi"/>
          <w:snapToGrid w:val="0"/>
          <w:lang w:val="en-GB"/>
        </w:rPr>
        <w:t xml:space="preserve"> (</w:t>
      </w:r>
      <w:r w:rsidR="00820B3F" w:rsidRPr="589E218A">
        <w:t>53.1% of A+L and 50.7% of osimertinib treated patients continued treatment post disease progression for a median of 3.9 and 3.1 months, respectively</w:t>
      </w:r>
      <w:r w:rsidR="00820B3F">
        <w:rPr>
          <w:rFonts w:asciiTheme="minorHAnsi" w:hAnsiTheme="minorHAnsi"/>
          <w:snapToGrid w:val="0"/>
          <w:lang w:val="en-GB"/>
        </w:rPr>
        <w:t>)</w:t>
      </w:r>
      <w:r w:rsidR="009A7A19">
        <w:rPr>
          <w:rFonts w:asciiTheme="minorHAnsi" w:hAnsiTheme="minorHAnsi"/>
          <w:snapToGrid w:val="0"/>
          <w:lang w:val="en-GB"/>
        </w:rPr>
        <w:t>, and patients</w:t>
      </w:r>
      <w:r w:rsidR="000A2A21">
        <w:rPr>
          <w:rFonts w:asciiTheme="minorHAnsi" w:hAnsiTheme="minorHAnsi"/>
          <w:snapToGrid w:val="0"/>
          <w:lang w:val="en-GB"/>
        </w:rPr>
        <w:t xml:space="preserve"> in the trial </w:t>
      </w:r>
      <w:r w:rsidR="003A401E">
        <w:rPr>
          <w:rFonts w:asciiTheme="minorHAnsi" w:hAnsiTheme="minorHAnsi"/>
          <w:snapToGrid w:val="0"/>
          <w:lang w:val="en-GB"/>
        </w:rPr>
        <w:t>had a better performance status</w:t>
      </w:r>
      <w:r w:rsidR="001D71EA">
        <w:rPr>
          <w:rFonts w:asciiTheme="minorHAnsi" w:hAnsiTheme="minorHAnsi"/>
          <w:snapToGrid w:val="0"/>
          <w:lang w:val="en-GB"/>
        </w:rPr>
        <w:t xml:space="preserve"> (ECOG 0, 1)</w:t>
      </w:r>
      <w:r w:rsidR="003A401E">
        <w:rPr>
          <w:rFonts w:asciiTheme="minorHAnsi" w:hAnsiTheme="minorHAnsi"/>
          <w:snapToGrid w:val="0"/>
          <w:lang w:val="en-GB"/>
        </w:rPr>
        <w:t xml:space="preserve"> than that requested in </w:t>
      </w:r>
      <w:r w:rsidR="001D71EA">
        <w:rPr>
          <w:rFonts w:asciiTheme="minorHAnsi" w:hAnsiTheme="minorHAnsi"/>
          <w:snapToGrid w:val="0"/>
          <w:lang w:val="en-GB"/>
        </w:rPr>
        <w:t xml:space="preserve">the restriction (ECOG </w:t>
      </w:r>
      <w:r w:rsidR="001037DC">
        <w:rPr>
          <w:rFonts w:asciiTheme="minorHAnsi" w:hAnsiTheme="minorHAnsi"/>
          <w:snapToGrid w:val="0"/>
          <w:lang w:val="en-GB"/>
        </w:rPr>
        <w:t>0, 1, 2)</w:t>
      </w:r>
      <w:r w:rsidR="00820B3F">
        <w:rPr>
          <w:rFonts w:asciiTheme="minorHAnsi" w:hAnsiTheme="minorHAnsi"/>
          <w:snapToGrid w:val="0"/>
          <w:lang w:val="en-GB"/>
        </w:rPr>
        <w:t xml:space="preserve">; </w:t>
      </w:r>
      <w:r w:rsidR="00747BA1">
        <w:rPr>
          <w:rFonts w:asciiTheme="minorHAnsi" w:hAnsiTheme="minorHAnsi"/>
          <w:snapToGrid w:val="0"/>
          <w:lang w:val="en-GB"/>
        </w:rPr>
        <w:t>therefore</w:t>
      </w:r>
      <w:r w:rsidR="00820B3F">
        <w:rPr>
          <w:rFonts w:asciiTheme="minorHAnsi" w:hAnsiTheme="minorHAnsi"/>
          <w:snapToGrid w:val="0"/>
          <w:lang w:val="en-GB"/>
        </w:rPr>
        <w:t>,</w:t>
      </w:r>
      <w:r w:rsidR="00747BA1">
        <w:rPr>
          <w:rFonts w:asciiTheme="minorHAnsi" w:hAnsiTheme="minorHAnsi"/>
          <w:snapToGrid w:val="0"/>
          <w:lang w:val="en-GB"/>
        </w:rPr>
        <w:t xml:space="preserve"> the </w:t>
      </w:r>
      <w:r w:rsidR="00416262" w:rsidRPr="589E218A">
        <w:t xml:space="preserve">observed </w:t>
      </w:r>
      <w:r w:rsidR="001C1A20">
        <w:t>survival</w:t>
      </w:r>
      <w:r w:rsidR="00416262" w:rsidRPr="589E218A">
        <w:t xml:space="preserve"> outcomes may exceed what might be expected in clinical practice in Australia</w:t>
      </w:r>
      <w:r w:rsidR="001C1A20">
        <w:t>.</w:t>
      </w:r>
      <w:bookmarkEnd w:id="142"/>
      <w:r w:rsidR="001C1A20">
        <w:t xml:space="preserve"> </w:t>
      </w:r>
    </w:p>
    <w:p w14:paraId="6F8FD47F" w14:textId="4DD3EDF8" w:rsidR="005E2613" w:rsidRPr="005A348E" w:rsidRDefault="005E2613" w:rsidP="00747BA1">
      <w:pPr>
        <w:widowControl w:val="0"/>
        <w:numPr>
          <w:ilvl w:val="1"/>
          <w:numId w:val="5"/>
        </w:numPr>
        <w:spacing w:after="120"/>
        <w:ind w:left="720"/>
        <w:rPr>
          <w:rFonts w:asciiTheme="minorHAnsi" w:hAnsiTheme="minorHAnsi"/>
          <w:snapToGrid w:val="0"/>
          <w:lang w:val="en-GB"/>
        </w:rPr>
      </w:pPr>
      <w:bookmarkStart w:id="143" w:name="_Ref195108122"/>
      <w:r>
        <w:rPr>
          <w:rFonts w:asciiTheme="minorHAnsi" w:hAnsiTheme="minorHAnsi"/>
          <w:snapToGrid w:val="0"/>
          <w:lang w:val="en-GB"/>
        </w:rPr>
        <w:t xml:space="preserve">The PBAC </w:t>
      </w:r>
      <w:r w:rsidR="002F4C4B" w:rsidRPr="006D5F36">
        <w:rPr>
          <w:rFonts w:asciiTheme="minorHAnsi" w:hAnsiTheme="minorHAnsi"/>
          <w:snapToGrid w:val="0"/>
          <w:szCs w:val="20"/>
        </w:rPr>
        <w:t xml:space="preserve">acknowledged the moderate improvement in </w:t>
      </w:r>
      <w:r w:rsidR="003E0D8D">
        <w:rPr>
          <w:rFonts w:asciiTheme="minorHAnsi" w:hAnsiTheme="minorHAnsi"/>
          <w:snapToGrid w:val="0"/>
          <w:szCs w:val="20"/>
        </w:rPr>
        <w:t>progression free survival (</w:t>
      </w:r>
      <w:r w:rsidR="002F4C4B" w:rsidRPr="006D5F36">
        <w:rPr>
          <w:rFonts w:asciiTheme="minorHAnsi" w:hAnsiTheme="minorHAnsi"/>
          <w:snapToGrid w:val="0"/>
          <w:szCs w:val="20"/>
        </w:rPr>
        <w:t>PFS</w:t>
      </w:r>
      <w:r w:rsidR="003E0D8D">
        <w:rPr>
          <w:rFonts w:asciiTheme="minorHAnsi" w:hAnsiTheme="minorHAnsi"/>
          <w:snapToGrid w:val="0"/>
          <w:szCs w:val="20"/>
        </w:rPr>
        <w:t>)</w:t>
      </w:r>
      <w:r w:rsidR="002F4C4B" w:rsidRPr="006D5F36">
        <w:rPr>
          <w:rFonts w:asciiTheme="minorHAnsi" w:hAnsiTheme="minorHAnsi"/>
          <w:snapToGrid w:val="0"/>
          <w:szCs w:val="20"/>
        </w:rPr>
        <w:t xml:space="preserve"> and </w:t>
      </w:r>
      <w:r w:rsidR="0092546D">
        <w:rPr>
          <w:rFonts w:asciiTheme="minorHAnsi" w:hAnsiTheme="minorHAnsi"/>
          <w:snapToGrid w:val="0"/>
          <w:szCs w:val="20"/>
        </w:rPr>
        <w:t xml:space="preserve">small improvement in </w:t>
      </w:r>
      <w:r w:rsidR="002F4C4B" w:rsidRPr="006D5F36">
        <w:rPr>
          <w:rFonts w:asciiTheme="minorHAnsi" w:hAnsiTheme="minorHAnsi"/>
          <w:snapToGrid w:val="0"/>
          <w:szCs w:val="20"/>
        </w:rPr>
        <w:t>OS</w:t>
      </w:r>
      <w:r w:rsidR="002F4C4B">
        <w:rPr>
          <w:rFonts w:asciiTheme="minorHAnsi" w:hAnsiTheme="minorHAnsi"/>
          <w:snapToGrid w:val="0"/>
          <w:szCs w:val="20"/>
        </w:rPr>
        <w:t xml:space="preserve"> of A+L over osimertinib</w:t>
      </w:r>
      <w:r w:rsidR="002F4C4B" w:rsidRPr="006D5F36">
        <w:rPr>
          <w:rFonts w:asciiTheme="minorHAnsi" w:hAnsiTheme="minorHAnsi"/>
          <w:snapToGrid w:val="0"/>
          <w:szCs w:val="20"/>
        </w:rPr>
        <w:t xml:space="preserve"> for the locally advanced or metastatic population diagnosed </w:t>
      </w:r>
      <w:r w:rsidR="002F4C4B" w:rsidRPr="006D5F36">
        <w:rPr>
          <w:rFonts w:asciiTheme="minorHAnsi" w:hAnsiTheme="minorHAnsi"/>
          <w:i/>
          <w:iCs/>
          <w:snapToGrid w:val="0"/>
          <w:szCs w:val="20"/>
        </w:rPr>
        <w:t>de novo</w:t>
      </w:r>
      <w:r w:rsidR="002F4C4B" w:rsidRPr="006D5F36">
        <w:rPr>
          <w:rFonts w:asciiTheme="minorHAnsi" w:hAnsiTheme="minorHAnsi"/>
          <w:snapToGrid w:val="0"/>
          <w:szCs w:val="20"/>
        </w:rPr>
        <w:t>. However, it agreed with the ESC and the evaluation, that the magnitude of the clinical benefit was uncertain due to the immaturity of the OS data</w:t>
      </w:r>
      <w:r w:rsidR="002F4C4B">
        <w:rPr>
          <w:rFonts w:asciiTheme="minorHAnsi" w:hAnsiTheme="minorHAnsi"/>
          <w:snapToGrid w:val="0"/>
          <w:szCs w:val="20"/>
        </w:rPr>
        <w:t xml:space="preserve">, </w:t>
      </w:r>
      <w:r w:rsidR="00BA3C82">
        <w:rPr>
          <w:rFonts w:asciiTheme="minorHAnsi" w:hAnsiTheme="minorHAnsi"/>
          <w:snapToGrid w:val="0"/>
          <w:szCs w:val="20"/>
        </w:rPr>
        <w:t>t</w:t>
      </w:r>
      <w:r w:rsidR="002F4C4B">
        <w:rPr>
          <w:rFonts w:asciiTheme="minorHAnsi" w:hAnsiTheme="minorHAnsi"/>
          <w:snapToGrid w:val="0"/>
          <w:szCs w:val="20"/>
        </w:rPr>
        <w:t>he violation of the proportional hazards assumption,</w:t>
      </w:r>
      <w:r w:rsidR="002F4C4B" w:rsidRPr="006D5F36">
        <w:rPr>
          <w:rFonts w:asciiTheme="minorHAnsi" w:hAnsiTheme="minorHAnsi"/>
          <w:snapToGrid w:val="0"/>
          <w:szCs w:val="20"/>
        </w:rPr>
        <w:t xml:space="preserve"> and quality of life</w:t>
      </w:r>
      <w:r w:rsidR="0065273C">
        <w:rPr>
          <w:rFonts w:asciiTheme="minorHAnsi" w:hAnsiTheme="minorHAnsi"/>
          <w:snapToGrid w:val="0"/>
          <w:szCs w:val="20"/>
        </w:rPr>
        <w:t xml:space="preserve"> favouring osimertinib</w:t>
      </w:r>
      <w:r w:rsidR="002F4C4B" w:rsidRPr="006D5F36">
        <w:rPr>
          <w:rFonts w:asciiTheme="minorHAnsi" w:hAnsiTheme="minorHAnsi"/>
          <w:snapToGrid w:val="0"/>
          <w:szCs w:val="20"/>
        </w:rPr>
        <w:t>.</w:t>
      </w:r>
      <w:r w:rsidR="007028D5">
        <w:rPr>
          <w:rFonts w:asciiTheme="minorHAnsi" w:hAnsiTheme="minorHAnsi"/>
          <w:snapToGrid w:val="0"/>
          <w:szCs w:val="20"/>
        </w:rPr>
        <w:t xml:space="preserve"> </w:t>
      </w:r>
      <w:bookmarkEnd w:id="143"/>
    </w:p>
    <w:p w14:paraId="072331CA" w14:textId="4D8B08DB" w:rsidR="005A348E" w:rsidRPr="004362ED" w:rsidRDefault="00AA5527" w:rsidP="006F5C1D">
      <w:pPr>
        <w:numPr>
          <w:ilvl w:val="1"/>
          <w:numId w:val="5"/>
        </w:numPr>
        <w:spacing w:after="120"/>
        <w:ind w:left="720"/>
        <w:rPr>
          <w:rFonts w:asciiTheme="minorHAnsi" w:hAnsiTheme="minorHAnsi"/>
          <w:snapToGrid w:val="0"/>
          <w:lang w:val="en-GB"/>
        </w:rPr>
      </w:pPr>
      <w:r>
        <w:rPr>
          <w:rFonts w:asciiTheme="minorHAnsi" w:hAnsiTheme="minorHAnsi"/>
          <w:snapToGrid w:val="0"/>
          <w:lang w:val="en-GB"/>
        </w:rPr>
        <w:t xml:space="preserve">The PBAC agreed with the ESC that </w:t>
      </w:r>
      <w:r w:rsidRPr="00294526">
        <w:t xml:space="preserve">that the observed toxicity associated with A+L </w:t>
      </w:r>
      <w:r w:rsidR="00902860">
        <w:t>is</w:t>
      </w:r>
      <w:r w:rsidRPr="00294526">
        <w:t xml:space="preserve"> an important clinical issue</w:t>
      </w:r>
      <w:r w:rsidR="00830308">
        <w:t xml:space="preserve">, noting that </w:t>
      </w:r>
      <w:r w:rsidR="00830308" w:rsidRPr="589E218A">
        <w:t>the A+L arm</w:t>
      </w:r>
      <w:r w:rsidR="00830308">
        <w:t xml:space="preserve"> of MARIPOSA</w:t>
      </w:r>
      <w:r w:rsidR="00830308" w:rsidRPr="589E218A">
        <w:t xml:space="preserve"> was associated with more frequent Grade ≥3 </w:t>
      </w:r>
      <w:r w:rsidR="00FD5ADA" w:rsidRPr="589E218A">
        <w:t xml:space="preserve">treatment emergent adverse events </w:t>
      </w:r>
      <w:r w:rsidR="00FD5ADA">
        <w:t>(</w:t>
      </w:r>
      <w:r w:rsidR="00830308" w:rsidRPr="589E218A">
        <w:t>TEAEs</w:t>
      </w:r>
      <w:r w:rsidR="00FD5ADA">
        <w:t>)</w:t>
      </w:r>
      <w:r w:rsidR="00830308" w:rsidRPr="589E218A">
        <w:t xml:space="preserve"> and more frequent severe </w:t>
      </w:r>
      <w:r w:rsidR="002B0397">
        <w:t>adverse events (</w:t>
      </w:r>
      <w:r w:rsidR="00830308">
        <w:t>AEs</w:t>
      </w:r>
      <w:r w:rsidR="002B0397">
        <w:t>)</w:t>
      </w:r>
      <w:r w:rsidR="00830308" w:rsidRPr="589E218A">
        <w:t xml:space="preserve"> when compared with osimertinib.</w:t>
      </w:r>
      <w:r w:rsidR="00B411D6">
        <w:t xml:space="preserve"> Despite the </w:t>
      </w:r>
      <w:r w:rsidR="00B411D6" w:rsidRPr="00E8772A">
        <w:t xml:space="preserve">description of </w:t>
      </w:r>
      <w:r w:rsidR="005973AF" w:rsidRPr="00E8772A">
        <w:t xml:space="preserve">AE management offered in the submission and the PSCR, the PBAC considered </w:t>
      </w:r>
      <w:r w:rsidR="006D6518" w:rsidRPr="00E8772A">
        <w:t xml:space="preserve">the claim of inferior but manageable safety </w:t>
      </w:r>
      <w:r w:rsidR="00A27C12" w:rsidRPr="00E8772A">
        <w:t>to be</w:t>
      </w:r>
      <w:r w:rsidR="003C0ADB" w:rsidRPr="00E8772A">
        <w:t xml:space="preserve"> poorly defined</w:t>
      </w:r>
      <w:r w:rsidR="00CD1FFB" w:rsidRPr="00E8772A">
        <w:t xml:space="preserve"> and</w:t>
      </w:r>
      <w:r w:rsidR="006D6518" w:rsidRPr="00E8772A">
        <w:t xml:space="preserve"> not supported</w:t>
      </w:r>
      <w:r w:rsidR="00000D78" w:rsidRPr="00E8772A">
        <w:t xml:space="preserve"> in terms of the management of AEs</w:t>
      </w:r>
      <w:r w:rsidR="0017402C" w:rsidRPr="00E8772A">
        <w:t xml:space="preserve">, </w:t>
      </w:r>
      <w:r w:rsidR="00A23156" w:rsidRPr="00E8772A">
        <w:t>observing that</w:t>
      </w:r>
      <w:r w:rsidR="0017402C" w:rsidRPr="00E8772A">
        <w:t xml:space="preserve"> A+L is associated with substantial toxicity for patients</w:t>
      </w:r>
      <w:r w:rsidR="003D6FED" w:rsidRPr="00E8772A">
        <w:t xml:space="preserve"> across a range of body systems</w:t>
      </w:r>
      <w:r w:rsidR="0017402C" w:rsidRPr="00E8772A">
        <w:t>.</w:t>
      </w:r>
    </w:p>
    <w:p w14:paraId="20510F42" w14:textId="08D5D7FF" w:rsidR="0083644A" w:rsidRPr="00E34C47" w:rsidRDefault="004362ED" w:rsidP="00E34C47">
      <w:pPr>
        <w:numPr>
          <w:ilvl w:val="1"/>
          <w:numId w:val="5"/>
        </w:numPr>
        <w:spacing w:after="120"/>
        <w:ind w:left="720"/>
        <w:rPr>
          <w:rFonts w:asciiTheme="minorHAnsi" w:hAnsiTheme="minorHAnsi"/>
          <w:snapToGrid w:val="0"/>
          <w:lang w:val="en-GB"/>
        </w:rPr>
      </w:pPr>
      <w:r w:rsidRPr="009E756F">
        <w:rPr>
          <w:rFonts w:asciiTheme="minorHAnsi" w:hAnsiTheme="minorHAnsi"/>
          <w:snapToGrid w:val="0"/>
          <w:lang w:val="en-GB"/>
        </w:rPr>
        <w:t>The PBAC noted that the</w:t>
      </w:r>
      <w:r w:rsidR="00DC17B5" w:rsidRPr="009E756F">
        <w:rPr>
          <w:rFonts w:asciiTheme="minorHAnsi" w:hAnsiTheme="minorHAnsi"/>
          <w:snapToGrid w:val="0"/>
          <w:lang w:val="en-GB"/>
        </w:rPr>
        <w:t xml:space="preserve"> base case ICER</w:t>
      </w:r>
      <w:r w:rsidR="0037102B" w:rsidRPr="009E756F">
        <w:rPr>
          <w:rFonts w:asciiTheme="minorHAnsi" w:hAnsiTheme="minorHAnsi"/>
          <w:snapToGrid w:val="0"/>
          <w:lang w:val="en-GB"/>
        </w:rPr>
        <w:t xml:space="preserve"> presented in the submission</w:t>
      </w:r>
      <w:r w:rsidR="00DC17B5" w:rsidRPr="009E756F">
        <w:rPr>
          <w:rFonts w:asciiTheme="minorHAnsi" w:hAnsiTheme="minorHAnsi"/>
          <w:snapToGrid w:val="0"/>
          <w:lang w:val="en-GB"/>
        </w:rPr>
        <w:t xml:space="preserve"> </w:t>
      </w:r>
      <w:r w:rsidR="001B27D3" w:rsidRPr="009E756F">
        <w:rPr>
          <w:rFonts w:asciiTheme="minorHAnsi" w:hAnsiTheme="minorHAnsi"/>
          <w:snapToGrid w:val="0"/>
          <w:lang w:val="en-GB"/>
        </w:rPr>
        <w:t>us</w:t>
      </w:r>
      <w:r w:rsidR="0037102B" w:rsidRPr="009E756F">
        <w:rPr>
          <w:rFonts w:asciiTheme="minorHAnsi" w:hAnsiTheme="minorHAnsi"/>
          <w:snapToGrid w:val="0"/>
          <w:lang w:val="en-GB"/>
        </w:rPr>
        <w:t>ed</w:t>
      </w:r>
      <w:r w:rsidR="001B27D3" w:rsidRPr="009E756F">
        <w:rPr>
          <w:rFonts w:asciiTheme="minorHAnsi" w:hAnsiTheme="minorHAnsi"/>
          <w:snapToGrid w:val="0"/>
          <w:lang w:val="en-GB"/>
        </w:rPr>
        <w:t xml:space="preserve"> the</w:t>
      </w:r>
      <w:r w:rsidR="009347E2" w:rsidRPr="009E756F">
        <w:rPr>
          <w:rFonts w:asciiTheme="minorHAnsi" w:hAnsiTheme="minorHAnsi"/>
          <w:snapToGrid w:val="0"/>
          <w:lang w:val="en-GB"/>
        </w:rPr>
        <w:t xml:space="preserve"> effective price of A+L </w:t>
      </w:r>
      <w:r w:rsidR="004263A8" w:rsidRPr="009E756F">
        <w:rPr>
          <w:rFonts w:asciiTheme="minorHAnsi" w:hAnsiTheme="minorHAnsi"/>
          <w:snapToGrid w:val="0"/>
          <w:lang w:val="en-GB"/>
        </w:rPr>
        <w:t>and</w:t>
      </w:r>
      <w:r w:rsidR="009347E2" w:rsidRPr="009E756F">
        <w:rPr>
          <w:rFonts w:asciiTheme="minorHAnsi" w:hAnsiTheme="minorHAnsi"/>
          <w:snapToGrid w:val="0"/>
          <w:lang w:val="en-GB"/>
        </w:rPr>
        <w:t xml:space="preserve"> the</w:t>
      </w:r>
      <w:r w:rsidR="001B27D3" w:rsidRPr="009E756F">
        <w:rPr>
          <w:rFonts w:asciiTheme="minorHAnsi" w:hAnsiTheme="minorHAnsi"/>
          <w:snapToGrid w:val="0"/>
          <w:lang w:val="en-GB"/>
        </w:rPr>
        <w:t xml:space="preserve"> published price of osimertinib</w:t>
      </w:r>
      <w:r w:rsidR="004D6419" w:rsidRPr="009E756F">
        <w:rPr>
          <w:rFonts w:asciiTheme="minorHAnsi" w:hAnsiTheme="minorHAnsi"/>
          <w:snapToGrid w:val="0"/>
          <w:lang w:val="en-GB"/>
        </w:rPr>
        <w:t>.</w:t>
      </w:r>
      <w:r w:rsidR="006548C5" w:rsidRPr="009E756F">
        <w:rPr>
          <w:rFonts w:asciiTheme="minorHAnsi" w:hAnsiTheme="minorHAnsi"/>
          <w:snapToGrid w:val="0"/>
          <w:lang w:val="en-GB"/>
        </w:rPr>
        <w:t xml:space="preserve"> The PBAC considered </w:t>
      </w:r>
      <w:r w:rsidR="00C154E4" w:rsidRPr="009E756F">
        <w:rPr>
          <w:rFonts w:asciiTheme="minorHAnsi" w:hAnsiTheme="minorHAnsi"/>
          <w:snapToGrid w:val="0"/>
          <w:lang w:val="en-GB"/>
        </w:rPr>
        <w:t xml:space="preserve">the uncertainty in trial effects discussed in </w:t>
      </w:r>
      <w:r w:rsidR="00C154E4" w:rsidRPr="00E8772A">
        <w:rPr>
          <w:rFonts w:asciiTheme="minorHAnsi" w:hAnsiTheme="minorHAnsi"/>
          <w:snapToGrid w:val="0"/>
          <w:lang w:val="en-GB"/>
        </w:rPr>
        <w:t xml:space="preserve">paragraphs </w:t>
      </w:r>
      <w:r w:rsidR="00341F34" w:rsidRPr="00E8772A">
        <w:rPr>
          <w:rFonts w:asciiTheme="minorHAnsi" w:hAnsiTheme="minorHAnsi"/>
          <w:snapToGrid w:val="0"/>
          <w:lang w:val="en-GB"/>
        </w:rPr>
        <w:fldChar w:fldCharType="begin"/>
      </w:r>
      <w:r w:rsidR="00341F34" w:rsidRPr="00E8772A">
        <w:rPr>
          <w:rFonts w:asciiTheme="minorHAnsi" w:hAnsiTheme="minorHAnsi"/>
          <w:snapToGrid w:val="0"/>
          <w:lang w:val="en-GB"/>
        </w:rPr>
        <w:instrText xml:space="preserve"> REF _Ref195108107 \r \h </w:instrText>
      </w:r>
      <w:r w:rsidR="00D27750" w:rsidRPr="00E8772A">
        <w:rPr>
          <w:rFonts w:asciiTheme="minorHAnsi" w:hAnsiTheme="minorHAnsi"/>
          <w:snapToGrid w:val="0"/>
          <w:lang w:val="en-GB"/>
        </w:rPr>
        <w:instrText xml:space="preserve"> \* MERGEFORMAT </w:instrText>
      </w:r>
      <w:r w:rsidR="00341F34" w:rsidRPr="00E8772A">
        <w:rPr>
          <w:rFonts w:asciiTheme="minorHAnsi" w:hAnsiTheme="minorHAnsi"/>
          <w:snapToGrid w:val="0"/>
          <w:lang w:val="en-GB"/>
        </w:rPr>
      </w:r>
      <w:r w:rsidR="00341F34" w:rsidRPr="00E8772A">
        <w:rPr>
          <w:rFonts w:asciiTheme="minorHAnsi" w:hAnsiTheme="minorHAnsi"/>
          <w:snapToGrid w:val="0"/>
          <w:lang w:val="en-GB"/>
        </w:rPr>
        <w:fldChar w:fldCharType="separate"/>
      </w:r>
      <w:r w:rsidR="00184F9A">
        <w:rPr>
          <w:rFonts w:asciiTheme="minorHAnsi" w:hAnsiTheme="minorHAnsi"/>
          <w:snapToGrid w:val="0"/>
          <w:lang w:val="en-GB"/>
        </w:rPr>
        <w:t>7.6</w:t>
      </w:r>
      <w:r w:rsidR="00341F34" w:rsidRPr="00E8772A">
        <w:rPr>
          <w:rFonts w:asciiTheme="minorHAnsi" w:hAnsiTheme="minorHAnsi"/>
          <w:snapToGrid w:val="0"/>
          <w:lang w:val="en-GB"/>
        </w:rPr>
        <w:fldChar w:fldCharType="end"/>
      </w:r>
      <w:r w:rsidR="00D27750" w:rsidRPr="00E8772A">
        <w:rPr>
          <w:rFonts w:asciiTheme="minorHAnsi" w:hAnsiTheme="minorHAnsi"/>
          <w:snapToGrid w:val="0"/>
          <w:lang w:val="en-GB"/>
        </w:rPr>
        <w:t xml:space="preserve"> and </w:t>
      </w:r>
      <w:r w:rsidR="00D27750" w:rsidRPr="00E8772A">
        <w:rPr>
          <w:rFonts w:asciiTheme="minorHAnsi" w:hAnsiTheme="minorHAnsi"/>
          <w:snapToGrid w:val="0"/>
          <w:lang w:val="en-GB"/>
        </w:rPr>
        <w:fldChar w:fldCharType="begin"/>
      </w:r>
      <w:r w:rsidR="00D27750" w:rsidRPr="00E8772A">
        <w:rPr>
          <w:rFonts w:asciiTheme="minorHAnsi" w:hAnsiTheme="minorHAnsi"/>
          <w:snapToGrid w:val="0"/>
          <w:lang w:val="en-GB"/>
        </w:rPr>
        <w:instrText xml:space="preserve"> REF _Ref195108122 \r \h  \* MERGEFORMAT </w:instrText>
      </w:r>
      <w:r w:rsidR="00D27750" w:rsidRPr="00E8772A">
        <w:rPr>
          <w:rFonts w:asciiTheme="minorHAnsi" w:hAnsiTheme="minorHAnsi"/>
          <w:snapToGrid w:val="0"/>
          <w:lang w:val="en-GB"/>
        </w:rPr>
      </w:r>
      <w:r w:rsidR="00D27750" w:rsidRPr="00E8772A">
        <w:rPr>
          <w:rFonts w:asciiTheme="minorHAnsi" w:hAnsiTheme="minorHAnsi"/>
          <w:snapToGrid w:val="0"/>
          <w:lang w:val="en-GB"/>
        </w:rPr>
        <w:fldChar w:fldCharType="separate"/>
      </w:r>
      <w:r w:rsidR="00184F9A">
        <w:rPr>
          <w:rFonts w:asciiTheme="minorHAnsi" w:hAnsiTheme="minorHAnsi"/>
          <w:snapToGrid w:val="0"/>
          <w:lang w:val="en-GB"/>
        </w:rPr>
        <w:t>7.7</w:t>
      </w:r>
      <w:r w:rsidR="00D27750" w:rsidRPr="00E8772A">
        <w:rPr>
          <w:rFonts w:asciiTheme="minorHAnsi" w:hAnsiTheme="minorHAnsi"/>
          <w:snapToGrid w:val="0"/>
          <w:lang w:val="en-GB"/>
        </w:rPr>
        <w:fldChar w:fldCharType="end"/>
      </w:r>
      <w:r w:rsidR="00D27750" w:rsidRPr="00E8772A">
        <w:rPr>
          <w:rFonts w:asciiTheme="minorHAnsi" w:hAnsiTheme="minorHAnsi"/>
          <w:snapToGrid w:val="0"/>
          <w:lang w:val="en-GB"/>
        </w:rPr>
        <w:t xml:space="preserve"> (</w:t>
      </w:r>
      <w:r w:rsidR="005F1F16" w:rsidRPr="00E8772A">
        <w:rPr>
          <w:rFonts w:asciiTheme="minorHAnsi" w:hAnsiTheme="minorHAnsi"/>
          <w:snapToGrid w:val="0"/>
          <w:lang w:val="en-GB"/>
        </w:rPr>
        <w:t xml:space="preserve">immature </w:t>
      </w:r>
      <w:r w:rsidR="00406956" w:rsidRPr="00E8772A">
        <w:rPr>
          <w:rFonts w:asciiTheme="minorHAnsi" w:hAnsiTheme="minorHAnsi"/>
          <w:snapToGrid w:val="0"/>
        </w:rPr>
        <w:t>OS data</w:t>
      </w:r>
      <w:r w:rsidR="00956409" w:rsidRPr="00E8772A">
        <w:rPr>
          <w:rFonts w:asciiTheme="minorHAnsi" w:hAnsiTheme="minorHAnsi"/>
          <w:snapToGrid w:val="0"/>
        </w:rPr>
        <w:t xml:space="preserve">, </w:t>
      </w:r>
      <w:r w:rsidR="00956409" w:rsidRPr="00E8772A">
        <w:rPr>
          <w:rFonts w:asciiTheme="minorHAnsi" w:hAnsiTheme="minorHAnsi"/>
          <w:snapToGrid w:val="0"/>
          <w:szCs w:val="20"/>
        </w:rPr>
        <w:t xml:space="preserve">violation of the proportional hazards assumption, </w:t>
      </w:r>
      <w:r w:rsidR="002171C5" w:rsidRPr="00E8772A">
        <w:rPr>
          <w:rFonts w:asciiTheme="minorHAnsi" w:hAnsiTheme="minorHAnsi"/>
          <w:snapToGrid w:val="0"/>
          <w:szCs w:val="20"/>
        </w:rPr>
        <w:t xml:space="preserve">significantly poorer </w:t>
      </w:r>
      <w:r w:rsidR="00956409" w:rsidRPr="00E8772A">
        <w:rPr>
          <w:rFonts w:asciiTheme="minorHAnsi" w:hAnsiTheme="minorHAnsi"/>
          <w:snapToGrid w:val="0"/>
          <w:szCs w:val="20"/>
        </w:rPr>
        <w:t>quality of life</w:t>
      </w:r>
      <w:r w:rsidR="002171C5" w:rsidRPr="00E8772A">
        <w:rPr>
          <w:rFonts w:asciiTheme="minorHAnsi" w:hAnsiTheme="minorHAnsi"/>
          <w:snapToGrid w:val="0"/>
          <w:szCs w:val="20"/>
        </w:rPr>
        <w:t xml:space="preserve"> compared with osimertinib</w:t>
      </w:r>
      <w:r w:rsidR="00956409" w:rsidRPr="00E8772A">
        <w:rPr>
          <w:rFonts w:asciiTheme="minorHAnsi" w:hAnsiTheme="minorHAnsi"/>
          <w:snapToGrid w:val="0"/>
          <w:szCs w:val="20"/>
        </w:rPr>
        <w:t xml:space="preserve">, and </w:t>
      </w:r>
      <w:r w:rsidR="00956409" w:rsidRPr="00E8772A">
        <w:rPr>
          <w:rFonts w:asciiTheme="minorHAnsi" w:hAnsiTheme="minorHAnsi"/>
          <w:snapToGrid w:val="0"/>
          <w:lang w:val="en-GB"/>
        </w:rPr>
        <w:t>A+L potentially</w:t>
      </w:r>
      <w:r w:rsidR="00445A80" w:rsidRPr="00E8772A">
        <w:rPr>
          <w:rFonts w:asciiTheme="minorHAnsi" w:hAnsiTheme="minorHAnsi"/>
          <w:snapToGrid w:val="0"/>
          <w:lang w:val="en-GB"/>
        </w:rPr>
        <w:t xml:space="preserve"> being</w:t>
      </w:r>
      <w:r w:rsidR="00956409" w:rsidRPr="00E8772A">
        <w:rPr>
          <w:rFonts w:asciiTheme="minorHAnsi" w:hAnsiTheme="minorHAnsi"/>
          <w:snapToGrid w:val="0"/>
          <w:lang w:val="en-GB"/>
        </w:rPr>
        <w:t xml:space="preserve"> </w:t>
      </w:r>
      <w:r w:rsidR="00956409" w:rsidRPr="00E8772A">
        <w:rPr>
          <w:rFonts w:asciiTheme="minorHAnsi" w:hAnsiTheme="minorHAnsi"/>
          <w:snapToGrid w:val="0"/>
        </w:rPr>
        <w:t xml:space="preserve">less effective in </w:t>
      </w:r>
      <w:r w:rsidR="002073F4" w:rsidRPr="00E8772A">
        <w:rPr>
          <w:rFonts w:asciiTheme="minorHAnsi" w:hAnsiTheme="minorHAnsi"/>
          <w:snapToGrid w:val="0"/>
        </w:rPr>
        <w:t xml:space="preserve">the </w:t>
      </w:r>
      <w:r w:rsidR="00956409" w:rsidRPr="00E8772A">
        <w:rPr>
          <w:rFonts w:asciiTheme="minorHAnsi" w:hAnsiTheme="minorHAnsi"/>
          <w:snapToGrid w:val="0"/>
        </w:rPr>
        <w:t>PBS population</w:t>
      </w:r>
      <w:r w:rsidR="004A512F" w:rsidRPr="00E8772A">
        <w:rPr>
          <w:rFonts w:asciiTheme="minorHAnsi" w:hAnsiTheme="minorHAnsi"/>
          <w:snapToGrid w:val="0"/>
        </w:rPr>
        <w:t xml:space="preserve"> than the MARIPOSA trial population</w:t>
      </w:r>
      <w:r w:rsidR="00956409" w:rsidRPr="00E8772A">
        <w:rPr>
          <w:rFonts w:asciiTheme="minorHAnsi" w:hAnsiTheme="minorHAnsi"/>
          <w:snapToGrid w:val="0"/>
        </w:rPr>
        <w:t>)</w:t>
      </w:r>
      <w:r w:rsidR="0022405E" w:rsidRPr="00E8772A">
        <w:rPr>
          <w:rFonts w:asciiTheme="minorHAnsi" w:hAnsiTheme="minorHAnsi"/>
          <w:snapToGrid w:val="0"/>
        </w:rPr>
        <w:t xml:space="preserve"> </w:t>
      </w:r>
      <w:r w:rsidR="00185728" w:rsidRPr="00E8772A">
        <w:rPr>
          <w:rFonts w:asciiTheme="minorHAnsi" w:hAnsiTheme="minorHAnsi"/>
          <w:snapToGrid w:val="0"/>
        </w:rPr>
        <w:t xml:space="preserve">potentially </w:t>
      </w:r>
      <w:r w:rsidR="0022405E" w:rsidRPr="00E8772A">
        <w:rPr>
          <w:rFonts w:asciiTheme="minorHAnsi" w:hAnsiTheme="minorHAnsi"/>
          <w:snapToGrid w:val="0"/>
        </w:rPr>
        <w:t>impacted on the reliability of the model results</w:t>
      </w:r>
      <w:r w:rsidR="0065132C" w:rsidRPr="00E8772A">
        <w:rPr>
          <w:rFonts w:asciiTheme="minorHAnsi" w:hAnsiTheme="minorHAnsi"/>
          <w:snapToGrid w:val="0"/>
        </w:rPr>
        <w:t>.</w:t>
      </w:r>
      <w:r w:rsidR="00B8609F" w:rsidRPr="00E8772A">
        <w:rPr>
          <w:rFonts w:asciiTheme="minorHAnsi" w:hAnsiTheme="minorHAnsi"/>
          <w:snapToGrid w:val="0"/>
        </w:rPr>
        <w:t xml:space="preserve"> The</w:t>
      </w:r>
      <w:r w:rsidR="00B8609F" w:rsidRPr="00E34C47">
        <w:rPr>
          <w:rFonts w:asciiTheme="minorHAnsi" w:hAnsiTheme="minorHAnsi"/>
          <w:snapToGrid w:val="0"/>
        </w:rPr>
        <w:t xml:space="preserve"> PBAC considered that the modelled benefits of A+L had low certainty</w:t>
      </w:r>
      <w:r w:rsidR="007461A4" w:rsidRPr="00E34C47">
        <w:rPr>
          <w:rFonts w:asciiTheme="minorHAnsi" w:hAnsiTheme="minorHAnsi"/>
          <w:snapToGrid w:val="0"/>
        </w:rPr>
        <w:t>,</w:t>
      </w:r>
      <w:r w:rsidR="00B8609F" w:rsidRPr="00E34C47">
        <w:rPr>
          <w:rFonts w:asciiTheme="minorHAnsi" w:hAnsiTheme="minorHAnsi"/>
          <w:snapToGrid w:val="0"/>
        </w:rPr>
        <w:t xml:space="preserve"> </w:t>
      </w:r>
      <w:r w:rsidR="00AE00EB" w:rsidRPr="00E34C47">
        <w:rPr>
          <w:rFonts w:asciiTheme="minorHAnsi" w:hAnsiTheme="minorHAnsi"/>
          <w:snapToGrid w:val="0"/>
        </w:rPr>
        <w:t>given the substantial increase</w:t>
      </w:r>
      <w:r w:rsidR="00B03697" w:rsidRPr="00E34C47">
        <w:rPr>
          <w:rFonts w:asciiTheme="minorHAnsi" w:hAnsiTheme="minorHAnsi"/>
          <w:snapToGrid w:val="0"/>
        </w:rPr>
        <w:t>s</w:t>
      </w:r>
      <w:r w:rsidR="00AE00EB" w:rsidRPr="00E34C47">
        <w:rPr>
          <w:rFonts w:asciiTheme="minorHAnsi" w:hAnsiTheme="minorHAnsi"/>
          <w:snapToGrid w:val="0"/>
        </w:rPr>
        <w:t xml:space="preserve"> in the ICER </w:t>
      </w:r>
      <w:r w:rsidR="00736206" w:rsidRPr="00E34C47">
        <w:rPr>
          <w:rFonts w:asciiTheme="minorHAnsi" w:hAnsiTheme="minorHAnsi"/>
          <w:snapToGrid w:val="0"/>
        </w:rPr>
        <w:t>when</w:t>
      </w:r>
      <w:r w:rsidR="00576A10" w:rsidRPr="00E34C47">
        <w:rPr>
          <w:rFonts w:asciiTheme="minorHAnsi" w:hAnsiTheme="minorHAnsi"/>
          <w:snapToGrid w:val="0"/>
        </w:rPr>
        <w:t xml:space="preserve"> (i)</w:t>
      </w:r>
      <w:r w:rsidR="0037135D" w:rsidRPr="00E34C47">
        <w:rPr>
          <w:rFonts w:asciiTheme="minorHAnsi" w:hAnsiTheme="minorHAnsi"/>
          <w:snapToGrid w:val="0"/>
        </w:rPr>
        <w:t xml:space="preserve"> the time horizon</w:t>
      </w:r>
      <w:r w:rsidR="00736206" w:rsidRPr="00E34C47">
        <w:rPr>
          <w:rFonts w:asciiTheme="minorHAnsi" w:hAnsiTheme="minorHAnsi"/>
          <w:snapToGrid w:val="0"/>
        </w:rPr>
        <w:t xml:space="preserve"> was</w:t>
      </w:r>
      <w:r w:rsidR="0037135D" w:rsidRPr="00E34C47">
        <w:rPr>
          <w:rFonts w:asciiTheme="minorHAnsi" w:hAnsiTheme="minorHAnsi"/>
          <w:snapToGrid w:val="0"/>
        </w:rPr>
        <w:t xml:space="preserve"> reduced from </w:t>
      </w:r>
      <w:r w:rsidR="00BD256D" w:rsidRPr="00E34C47">
        <w:rPr>
          <w:rFonts w:asciiTheme="minorHAnsi" w:hAnsiTheme="minorHAnsi"/>
          <w:snapToGrid w:val="0"/>
        </w:rPr>
        <w:t>15 years in the base case to 7.5 years</w:t>
      </w:r>
      <w:r w:rsidR="00D76E5B" w:rsidRPr="00E34C47">
        <w:rPr>
          <w:rFonts w:asciiTheme="minorHAnsi" w:hAnsiTheme="minorHAnsi"/>
          <w:snapToGrid w:val="0"/>
        </w:rPr>
        <w:t xml:space="preserve"> and</w:t>
      </w:r>
      <w:r w:rsidR="00C45D8E" w:rsidRPr="00E34C47">
        <w:rPr>
          <w:rFonts w:asciiTheme="minorHAnsi" w:hAnsiTheme="minorHAnsi"/>
          <w:snapToGrid w:val="0"/>
        </w:rPr>
        <w:t xml:space="preserve"> (ii)</w:t>
      </w:r>
      <w:r w:rsidR="00D76E5B" w:rsidRPr="00E34C47">
        <w:rPr>
          <w:rFonts w:asciiTheme="minorHAnsi" w:hAnsiTheme="minorHAnsi"/>
          <w:snapToGrid w:val="0"/>
        </w:rPr>
        <w:t xml:space="preserve"> </w:t>
      </w:r>
      <w:r w:rsidR="00DA1559" w:rsidRPr="00E34C47">
        <w:rPr>
          <w:rFonts w:asciiTheme="minorHAnsi" w:hAnsiTheme="minorHAnsi"/>
          <w:snapToGrid w:val="0"/>
        </w:rPr>
        <w:t>the extrapol</w:t>
      </w:r>
      <w:r w:rsidR="00AB317D" w:rsidRPr="00E34C47">
        <w:rPr>
          <w:rFonts w:asciiTheme="minorHAnsi" w:hAnsiTheme="minorHAnsi"/>
          <w:snapToGrid w:val="0"/>
        </w:rPr>
        <w:t>ation</w:t>
      </w:r>
      <w:r w:rsidR="00355274" w:rsidRPr="00E34C47">
        <w:rPr>
          <w:rFonts w:asciiTheme="minorHAnsi" w:hAnsiTheme="minorHAnsi"/>
          <w:snapToGrid w:val="0"/>
        </w:rPr>
        <w:t xml:space="preserve"> used for A+L</w:t>
      </w:r>
      <w:r w:rsidR="00E41422" w:rsidRPr="00E34C47">
        <w:rPr>
          <w:rFonts w:asciiTheme="minorHAnsi" w:hAnsiTheme="minorHAnsi"/>
          <w:snapToGrid w:val="0"/>
        </w:rPr>
        <w:t xml:space="preserve"> for OS</w:t>
      </w:r>
      <w:r w:rsidR="00AB317D" w:rsidRPr="00E34C47">
        <w:rPr>
          <w:rFonts w:asciiTheme="minorHAnsi" w:hAnsiTheme="minorHAnsi"/>
          <w:snapToGrid w:val="0"/>
        </w:rPr>
        <w:t xml:space="preserve"> was changed </w:t>
      </w:r>
      <w:r w:rsidR="0093479C" w:rsidRPr="00E34C47">
        <w:rPr>
          <w:rFonts w:asciiTheme="minorHAnsi" w:hAnsiTheme="minorHAnsi"/>
          <w:snapToGrid w:val="0"/>
        </w:rPr>
        <w:t>from a Weibull function in the base case to a Gompertz function.</w:t>
      </w:r>
      <w:r w:rsidR="0066432D" w:rsidRPr="00E34C47">
        <w:rPr>
          <w:rFonts w:asciiTheme="minorHAnsi" w:hAnsiTheme="minorHAnsi"/>
          <w:snapToGrid w:val="0"/>
        </w:rPr>
        <w:t xml:space="preserve"> The PBAC also considered that there was only moderate certainty in the modelled costs</w:t>
      </w:r>
      <w:r w:rsidR="008E4AED" w:rsidRPr="00E34C47">
        <w:rPr>
          <w:rFonts w:asciiTheme="minorHAnsi" w:hAnsiTheme="minorHAnsi"/>
          <w:snapToGrid w:val="0"/>
        </w:rPr>
        <w:t xml:space="preserve">, noting that </w:t>
      </w:r>
      <w:r w:rsidR="00B9719E">
        <w:rPr>
          <w:rFonts w:asciiTheme="minorHAnsi" w:hAnsiTheme="minorHAnsi"/>
          <w:snapToGrid w:val="0"/>
        </w:rPr>
        <w:t xml:space="preserve">costs of </w:t>
      </w:r>
      <w:r w:rsidR="008E4AED" w:rsidRPr="00E34C47">
        <w:rPr>
          <w:rFonts w:asciiTheme="minorHAnsi" w:hAnsiTheme="minorHAnsi"/>
          <w:snapToGrid w:val="0"/>
        </w:rPr>
        <w:t>A+L appeared to be underestimated and osimertinib appear</w:t>
      </w:r>
      <w:r w:rsidR="00576B15" w:rsidRPr="00E34C47">
        <w:rPr>
          <w:rFonts w:asciiTheme="minorHAnsi" w:hAnsiTheme="minorHAnsi"/>
          <w:snapToGrid w:val="0"/>
        </w:rPr>
        <w:t xml:space="preserve">ed </w:t>
      </w:r>
      <w:r w:rsidR="008E4AED" w:rsidRPr="00E34C47">
        <w:rPr>
          <w:rFonts w:asciiTheme="minorHAnsi" w:hAnsiTheme="minorHAnsi"/>
          <w:snapToGrid w:val="0"/>
        </w:rPr>
        <w:t>to be overestimated</w:t>
      </w:r>
      <w:r w:rsidR="0066432D" w:rsidRPr="00E34C47">
        <w:rPr>
          <w:rFonts w:asciiTheme="minorHAnsi" w:hAnsiTheme="minorHAnsi"/>
          <w:snapToGrid w:val="0"/>
        </w:rPr>
        <w:t>.</w:t>
      </w:r>
      <w:r w:rsidR="00146917" w:rsidRPr="00146917">
        <w:rPr>
          <w:rFonts w:asciiTheme="minorHAnsi" w:hAnsiTheme="minorHAnsi"/>
          <w:snapToGrid w:val="0"/>
        </w:rPr>
        <w:t xml:space="preserve"> </w:t>
      </w:r>
      <w:r w:rsidR="00146917" w:rsidRPr="008E52CB">
        <w:rPr>
          <w:rFonts w:asciiTheme="minorHAnsi" w:hAnsiTheme="minorHAnsi"/>
          <w:snapToGrid w:val="0"/>
        </w:rPr>
        <w:t>The PBAC noted that it previously accepted a 7.5 year time horizon for osimertinib in the same indication, and that the Weibull function likely overestimated long-term survival in the A+L arm compared to the Gompertz function, which had the best fit for the observed data.</w:t>
      </w:r>
      <w:r w:rsidR="00146917">
        <w:rPr>
          <w:rFonts w:asciiTheme="minorHAnsi" w:hAnsiTheme="minorHAnsi"/>
          <w:snapToGrid w:val="0"/>
        </w:rPr>
        <w:t xml:space="preserve"> </w:t>
      </w:r>
      <w:r w:rsidR="00A00C6B" w:rsidRPr="009221C2">
        <w:t xml:space="preserve">The PBAC further noted the utility values applied appeared high </w:t>
      </w:r>
      <w:r w:rsidR="00396C6B">
        <w:t>and likely did not account for</w:t>
      </w:r>
      <w:r w:rsidR="00A00C6B" w:rsidRPr="009221C2">
        <w:t xml:space="preserve"> the toxicity of A+L, and that </w:t>
      </w:r>
      <w:r w:rsidR="00C913A1">
        <w:t>the utilities</w:t>
      </w:r>
      <w:r w:rsidR="00A00C6B" w:rsidRPr="009221C2">
        <w:t xml:space="preserve"> were higher than</w:t>
      </w:r>
      <w:r w:rsidR="00F80DF5">
        <w:t xml:space="preserve"> normal for the</w:t>
      </w:r>
      <w:r w:rsidR="00A00C6B" w:rsidRPr="009221C2">
        <w:t xml:space="preserve"> Australian population and values </w:t>
      </w:r>
      <w:r w:rsidR="00B2204D">
        <w:t xml:space="preserve">it had </w:t>
      </w:r>
      <w:r w:rsidR="00A00C6B" w:rsidRPr="009221C2">
        <w:t>previously accepted for similar populations.</w:t>
      </w:r>
      <w:r w:rsidR="00A00C6B" w:rsidRPr="00E34C47">
        <w:rPr>
          <w:i/>
          <w:iCs/>
        </w:rPr>
        <w:t xml:space="preserve"> </w:t>
      </w:r>
    </w:p>
    <w:p w14:paraId="3A293FA0" w14:textId="59D70883" w:rsidR="0083644A" w:rsidRPr="0022219B" w:rsidRDefault="002B4C2C" w:rsidP="0022219B">
      <w:pPr>
        <w:numPr>
          <w:ilvl w:val="1"/>
          <w:numId w:val="5"/>
        </w:numPr>
        <w:spacing w:after="120"/>
        <w:ind w:left="720"/>
        <w:rPr>
          <w:rFonts w:asciiTheme="minorHAnsi" w:hAnsiTheme="minorHAnsi"/>
          <w:snapToGrid w:val="0"/>
          <w:lang w:val="en-GB"/>
        </w:rPr>
      </w:pPr>
      <w:bookmarkStart w:id="144" w:name="_Ref195220759"/>
      <w:r w:rsidRPr="005E1A37">
        <w:t xml:space="preserve">The PBAC </w:t>
      </w:r>
      <w:r w:rsidR="00F90B58" w:rsidRPr="005E1A37">
        <w:t>noted</w:t>
      </w:r>
      <w:r w:rsidRPr="005E1A37">
        <w:t xml:space="preserve"> that</w:t>
      </w:r>
      <w:r w:rsidR="00F90B58" w:rsidRPr="005E1A37">
        <w:t xml:space="preserve"> the financial impact of A+L</w:t>
      </w:r>
      <w:r w:rsidR="000F5BAF" w:rsidRPr="005E1A37">
        <w:t xml:space="preserve"> is highly sensitive to the </w:t>
      </w:r>
      <w:r w:rsidR="00B24AE4" w:rsidRPr="005E1A37">
        <w:t>uptake by clinicians,</w:t>
      </w:r>
      <w:r w:rsidR="005E1A37">
        <w:t xml:space="preserve"> which </w:t>
      </w:r>
      <w:r w:rsidR="00280215">
        <w:t xml:space="preserve">ranged from </w:t>
      </w:r>
      <w:r w:rsidR="007A7746" w:rsidRPr="00184F9A">
        <w:rPr>
          <w:color w:val="000000"/>
          <w:w w:val="15"/>
          <w:shd w:val="solid" w:color="000000" w:fill="000000"/>
          <w:fitText w:val="-20" w:id="-693979646"/>
          <w14:textFill>
            <w14:solidFill>
              <w14:srgbClr w14:val="000000">
                <w14:alpha w14:val="100000"/>
              </w14:srgbClr>
            </w14:solidFill>
          </w14:textFill>
        </w:rPr>
        <w:t>|</w:t>
      </w:r>
      <w:r w:rsidR="00094673" w:rsidRPr="00184F9A">
        <w:rPr>
          <w:color w:val="000000"/>
          <w:w w:val="15"/>
          <w:shd w:val="solid" w:color="000000" w:fill="000000"/>
          <w:fitText w:val="-20" w:id="-693979646"/>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646"/>
          <w14:textFill>
            <w14:solidFill>
              <w14:srgbClr w14:val="000000">
                <w14:alpha w14:val="100000"/>
              </w14:srgbClr>
            </w14:solidFill>
          </w14:textFill>
        </w:rPr>
        <w:t>|</w:t>
      </w:r>
      <w:r w:rsidR="00280215">
        <w:t xml:space="preserve">% </w:t>
      </w:r>
      <w:r w:rsidR="006D5284">
        <w:t>to</w:t>
      </w:r>
      <w:r w:rsidR="00280215">
        <w:t xml:space="preserve"> </w:t>
      </w:r>
      <w:r w:rsidR="007A7746" w:rsidRPr="00184F9A">
        <w:rPr>
          <w:color w:val="000000"/>
          <w:w w:val="15"/>
          <w:shd w:val="solid" w:color="000000" w:fill="000000"/>
          <w:fitText w:val="-20" w:id="-693979645"/>
          <w14:textFill>
            <w14:solidFill>
              <w14:srgbClr w14:val="000000">
                <w14:alpha w14:val="100000"/>
              </w14:srgbClr>
            </w14:solidFill>
          </w14:textFill>
        </w:rPr>
        <w:t>|</w:t>
      </w:r>
      <w:r w:rsidR="00094673" w:rsidRPr="00184F9A">
        <w:rPr>
          <w:color w:val="000000"/>
          <w:w w:val="15"/>
          <w:shd w:val="solid" w:color="000000" w:fill="000000"/>
          <w:fitText w:val="-20" w:id="-693979645"/>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645"/>
          <w14:textFill>
            <w14:solidFill>
              <w14:srgbClr w14:val="000000">
                <w14:alpha w14:val="100000"/>
              </w14:srgbClr>
            </w14:solidFill>
          </w14:textFill>
        </w:rPr>
        <w:t>|</w:t>
      </w:r>
      <w:r w:rsidR="00280215">
        <w:t>%</w:t>
      </w:r>
      <w:r w:rsidR="006D5284">
        <w:t xml:space="preserve"> of the market over the first 6 years of listing</w:t>
      </w:r>
      <w:r w:rsidR="00B94739">
        <w:t xml:space="preserve"> for the </w:t>
      </w:r>
      <w:r w:rsidR="00E25EAD" w:rsidRPr="00E25EAD">
        <w:rPr>
          <w:i/>
          <w:iCs/>
        </w:rPr>
        <w:t>de novo</w:t>
      </w:r>
      <w:r w:rsidR="00E25EAD">
        <w:t xml:space="preserve"> diagnosed population</w:t>
      </w:r>
      <w:r w:rsidR="006D5284">
        <w:t>.</w:t>
      </w:r>
      <w:r w:rsidR="00B94739">
        <w:t xml:space="preserve"> </w:t>
      </w:r>
      <w:r w:rsidR="0055269F">
        <w:t xml:space="preserve">The uptake rate was sourced from an advisory board </w:t>
      </w:r>
      <w:r w:rsidR="00055E67">
        <w:t xml:space="preserve">and based on the assumed </w:t>
      </w:r>
      <w:r w:rsidR="00055E67" w:rsidRPr="589E218A">
        <w:t>superior efficacy of A+L compared to osimertinib</w:t>
      </w:r>
      <w:r w:rsidR="000F1B63">
        <w:t xml:space="preserve">. However, the PBAC </w:t>
      </w:r>
      <w:r w:rsidR="00D22C23">
        <w:t>considered</w:t>
      </w:r>
      <w:r w:rsidR="000F1B63">
        <w:t xml:space="preserve"> </w:t>
      </w:r>
      <w:r w:rsidR="00344A35">
        <w:t>th</w:t>
      </w:r>
      <w:r w:rsidR="00C865F4">
        <w:t>is</w:t>
      </w:r>
      <w:r w:rsidR="00344A35">
        <w:t xml:space="preserve"> uptake rate </w:t>
      </w:r>
      <w:r w:rsidR="00D22C23">
        <w:t>to be</w:t>
      </w:r>
      <w:r w:rsidR="00344A35">
        <w:t xml:space="preserve"> substantially overestimated, </w:t>
      </w:r>
      <w:r w:rsidR="00472420" w:rsidRPr="00F37D12">
        <w:t>noting the toxicity of A+L and that the NCCN guidelines</w:t>
      </w:r>
      <w:r w:rsidR="0034625F">
        <w:t xml:space="preserve"> preference</w:t>
      </w:r>
      <w:r w:rsidR="00812310">
        <w:t xml:space="preserve"> for</w:t>
      </w:r>
      <w:r w:rsidR="00472420" w:rsidRPr="00F37D12">
        <w:t xml:space="preserve"> osimertinib </w:t>
      </w:r>
      <w:r w:rsidR="00812310">
        <w:t>as</w:t>
      </w:r>
      <w:r w:rsidR="00472420" w:rsidRPr="00F37D12">
        <w:t xml:space="preserve"> the preferred treatment over A+L</w:t>
      </w:r>
      <w:r w:rsidR="00D93219">
        <w:t>.</w:t>
      </w:r>
      <w:r w:rsidR="00156A58">
        <w:t xml:space="preserve"> The PBAC considered that a reduced uptake </w:t>
      </w:r>
      <w:r w:rsidR="002B7D8B">
        <w:t>rate</w:t>
      </w:r>
      <w:r w:rsidR="001E6C56">
        <w:t xml:space="preserve"> of </w:t>
      </w:r>
      <w:r w:rsidR="007A7746" w:rsidRPr="00184F9A">
        <w:rPr>
          <w:color w:val="000000"/>
          <w:w w:val="15"/>
          <w:shd w:val="solid" w:color="000000" w:fill="000000"/>
          <w:fitText w:val="-20" w:id="-693979644"/>
          <w14:textFill>
            <w14:solidFill>
              <w14:srgbClr w14:val="000000">
                <w14:alpha w14:val="100000"/>
              </w14:srgbClr>
            </w14:solidFill>
          </w14:textFill>
        </w:rPr>
        <w:t>|</w:t>
      </w:r>
      <w:r w:rsidR="00094673" w:rsidRPr="00184F9A">
        <w:rPr>
          <w:color w:val="000000"/>
          <w:w w:val="15"/>
          <w:shd w:val="solid" w:color="000000" w:fill="000000"/>
          <w:fitText w:val="-20" w:id="-693979644"/>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644"/>
          <w14:textFill>
            <w14:solidFill>
              <w14:srgbClr w14:val="000000">
                <w14:alpha w14:val="100000"/>
              </w14:srgbClr>
            </w14:solidFill>
          </w14:textFill>
        </w:rPr>
        <w:t>|</w:t>
      </w:r>
      <w:r w:rsidR="001E6C56" w:rsidRPr="00052A31">
        <w:t>%</w:t>
      </w:r>
      <w:r w:rsidR="001E6C56">
        <w:t xml:space="preserve"> to </w:t>
      </w:r>
      <w:r w:rsidR="007A7746" w:rsidRPr="00184F9A">
        <w:rPr>
          <w:color w:val="000000"/>
          <w:w w:val="15"/>
          <w:shd w:val="solid" w:color="000000" w:fill="000000"/>
          <w:fitText w:val="-20" w:id="-693979643"/>
          <w14:textFill>
            <w14:solidFill>
              <w14:srgbClr w14:val="000000">
                <w14:alpha w14:val="100000"/>
              </w14:srgbClr>
            </w14:solidFill>
          </w14:textFill>
        </w:rPr>
        <w:t>|</w:t>
      </w:r>
      <w:r w:rsidR="00094673" w:rsidRPr="00184F9A">
        <w:rPr>
          <w:color w:val="000000"/>
          <w:w w:val="15"/>
          <w:shd w:val="solid" w:color="000000" w:fill="000000"/>
          <w:fitText w:val="-20" w:id="-693979643"/>
          <w14:textFill>
            <w14:solidFill>
              <w14:srgbClr w14:val="000000">
                <w14:alpha w14:val="100000"/>
              </w14:srgbClr>
            </w14:solidFill>
          </w14:textFill>
        </w:rPr>
        <w:t xml:space="preserve"> </w:t>
      </w:r>
      <w:r w:rsidR="007A7746" w:rsidRPr="00184F9A">
        <w:rPr>
          <w:color w:val="000000"/>
          <w:spacing w:val="-61"/>
          <w:w w:val="15"/>
          <w:shd w:val="solid" w:color="000000" w:fill="000000"/>
          <w:fitText w:val="-20" w:id="-693979643"/>
          <w14:textFill>
            <w14:solidFill>
              <w14:srgbClr w14:val="000000">
                <w14:alpha w14:val="100000"/>
              </w14:srgbClr>
            </w14:solidFill>
          </w14:textFill>
        </w:rPr>
        <w:t>|</w:t>
      </w:r>
      <w:r w:rsidR="001E6C56" w:rsidRPr="00052A31">
        <w:t>%</w:t>
      </w:r>
      <w:r w:rsidR="001E6C56">
        <w:t xml:space="preserve"> over the first 6 years of listing would </w:t>
      </w:r>
      <w:r w:rsidR="00914B63">
        <w:t xml:space="preserve">be appropriate, and </w:t>
      </w:r>
      <w:r w:rsidR="00142E3A">
        <w:t>would</w:t>
      </w:r>
      <w:r w:rsidR="00914B63">
        <w:t xml:space="preserve"> require further revision if 1L osimertinib </w:t>
      </w:r>
      <w:r w:rsidR="00EC4D20">
        <w:t>+ chemotherapy is recommended for PBS listing.</w:t>
      </w:r>
      <w:bookmarkEnd w:id="144"/>
    </w:p>
    <w:p w14:paraId="0DAA54D4" w14:textId="12E0E47A" w:rsidR="0083644A" w:rsidRDefault="0083644A" w:rsidP="00E3081B">
      <w:pPr>
        <w:pStyle w:val="3-BodyText"/>
        <w:keepNext/>
        <w:keepLines/>
        <w:ind w:left="709" w:hanging="709"/>
        <w:rPr>
          <w:snapToGrid w:val="0"/>
          <w:lang w:val="en-GB"/>
        </w:rPr>
      </w:pPr>
      <w:r w:rsidRPr="00E64FCD">
        <w:rPr>
          <w:snapToGrid w:val="0"/>
          <w:lang w:val="en-GB"/>
        </w:rPr>
        <w:t>The PBAC considered a</w:t>
      </w:r>
      <w:r w:rsidR="00E21847">
        <w:rPr>
          <w:snapToGrid w:val="0"/>
          <w:lang w:val="en-GB"/>
        </w:rPr>
        <w:t>ny</w:t>
      </w:r>
      <w:r w:rsidRPr="00E64FCD">
        <w:rPr>
          <w:snapToGrid w:val="0"/>
          <w:lang w:val="en-GB"/>
        </w:rPr>
        <w:t xml:space="preserve"> resubmission for </w:t>
      </w:r>
      <w:r w:rsidR="0000307C" w:rsidRPr="00E64FCD">
        <w:rPr>
          <w:snapToGrid w:val="0"/>
          <w:lang w:val="en-GB"/>
        </w:rPr>
        <w:t>A+L</w:t>
      </w:r>
      <w:r w:rsidRPr="00E64FCD">
        <w:rPr>
          <w:snapToGrid w:val="0"/>
          <w:lang w:val="en-GB"/>
        </w:rPr>
        <w:t xml:space="preserve"> should address the following issues:</w:t>
      </w:r>
    </w:p>
    <w:p w14:paraId="131C6C84" w14:textId="47CF6E04" w:rsidR="00534CC3" w:rsidRDefault="00534CC3" w:rsidP="00E3081B">
      <w:pPr>
        <w:pStyle w:val="3-BodyText"/>
        <w:keepNext/>
        <w:keepLines/>
        <w:numPr>
          <w:ilvl w:val="0"/>
          <w:numId w:val="35"/>
        </w:numPr>
        <w:rPr>
          <w:snapToGrid w:val="0"/>
          <w:lang w:val="en-GB"/>
        </w:rPr>
      </w:pPr>
      <w:r>
        <w:rPr>
          <w:snapToGrid w:val="0"/>
          <w:lang w:val="en-GB"/>
        </w:rPr>
        <w:t xml:space="preserve">The clinical place of A+L </w:t>
      </w:r>
      <w:r>
        <w:rPr>
          <w:snapToGrid w:val="0"/>
          <w:lang w:eastAsia="en-US"/>
        </w:rPr>
        <w:t>relative to</w:t>
      </w:r>
      <w:r w:rsidRPr="003D17CB">
        <w:rPr>
          <w:snapToGrid w:val="0"/>
          <w:lang w:eastAsia="en-US"/>
        </w:rPr>
        <w:t xml:space="preserve"> osimertinib monotherapy </w:t>
      </w:r>
      <w:r w:rsidR="00252A13">
        <w:rPr>
          <w:snapToGrid w:val="0"/>
          <w:lang w:eastAsia="en-US"/>
        </w:rPr>
        <w:t>as well as</w:t>
      </w:r>
      <w:r w:rsidRPr="003D17CB">
        <w:rPr>
          <w:snapToGrid w:val="0"/>
          <w:lang w:eastAsia="en-US"/>
        </w:rPr>
        <w:t xml:space="preserve"> osimertinib in combination </w:t>
      </w:r>
      <w:r>
        <w:rPr>
          <w:snapToGrid w:val="0"/>
          <w:lang w:eastAsia="en-US"/>
        </w:rPr>
        <w:t xml:space="preserve">with </w:t>
      </w:r>
      <w:r w:rsidRPr="003D17CB">
        <w:rPr>
          <w:snapToGrid w:val="0"/>
          <w:lang w:eastAsia="en-US"/>
        </w:rPr>
        <w:t>chemotherapy</w:t>
      </w:r>
      <w:r w:rsidR="00252A13">
        <w:rPr>
          <w:snapToGrid w:val="0"/>
          <w:lang w:eastAsia="en-US"/>
        </w:rPr>
        <w:t>;</w:t>
      </w:r>
    </w:p>
    <w:p w14:paraId="1F2BCE73" w14:textId="1225121F" w:rsidR="00E64FCD" w:rsidRDefault="009E5414" w:rsidP="00E3081B">
      <w:pPr>
        <w:pStyle w:val="3-BodyText"/>
        <w:keepNext/>
        <w:keepLines/>
        <w:numPr>
          <w:ilvl w:val="0"/>
          <w:numId w:val="35"/>
        </w:numPr>
        <w:rPr>
          <w:snapToGrid w:val="0"/>
          <w:lang w:val="en-GB"/>
        </w:rPr>
      </w:pPr>
      <w:r>
        <w:rPr>
          <w:snapToGrid w:val="0"/>
          <w:lang w:val="en-GB"/>
        </w:rPr>
        <w:t xml:space="preserve">Availability of mature </w:t>
      </w:r>
      <w:r w:rsidR="000770BA">
        <w:rPr>
          <w:snapToGrid w:val="0"/>
          <w:lang w:val="en-GB"/>
        </w:rPr>
        <w:t>OS</w:t>
      </w:r>
      <w:r>
        <w:rPr>
          <w:snapToGrid w:val="0"/>
          <w:lang w:val="en-GB"/>
        </w:rPr>
        <w:t xml:space="preserve"> data to confirm</w:t>
      </w:r>
      <w:r w:rsidR="000770BA">
        <w:rPr>
          <w:snapToGrid w:val="0"/>
          <w:lang w:val="en-GB"/>
        </w:rPr>
        <w:t xml:space="preserve"> the survival benefit</w:t>
      </w:r>
      <w:r w:rsidR="005C7EA8">
        <w:rPr>
          <w:snapToGrid w:val="0"/>
          <w:lang w:val="en-GB"/>
        </w:rPr>
        <w:t xml:space="preserve"> associated with A+L</w:t>
      </w:r>
      <w:r w:rsidR="008E745C">
        <w:rPr>
          <w:snapToGrid w:val="0"/>
          <w:lang w:val="en-GB"/>
        </w:rPr>
        <w:t>;</w:t>
      </w:r>
    </w:p>
    <w:p w14:paraId="0BE7F7A4" w14:textId="330F5ADD" w:rsidR="00100FF4" w:rsidRPr="001E39F4" w:rsidRDefault="0023668E" w:rsidP="005A5378">
      <w:pPr>
        <w:pStyle w:val="3-BodyText"/>
        <w:numPr>
          <w:ilvl w:val="0"/>
          <w:numId w:val="35"/>
        </w:numPr>
        <w:rPr>
          <w:snapToGrid w:val="0"/>
          <w:lang w:val="en-GB"/>
        </w:rPr>
      </w:pPr>
      <w:r>
        <w:rPr>
          <w:snapToGrid w:val="0"/>
          <w:lang w:val="en-GB"/>
        </w:rPr>
        <w:t xml:space="preserve">Economic model </w:t>
      </w:r>
      <w:r w:rsidR="00807107">
        <w:rPr>
          <w:snapToGrid w:val="0"/>
          <w:lang w:val="en-GB"/>
        </w:rPr>
        <w:t xml:space="preserve">parameters consistent with those accepted for </w:t>
      </w:r>
      <w:r w:rsidR="0023399F">
        <w:rPr>
          <w:snapToGrid w:val="0"/>
          <w:lang w:val="en-GB"/>
        </w:rPr>
        <w:t>o</w:t>
      </w:r>
      <w:r w:rsidR="00807107">
        <w:rPr>
          <w:snapToGrid w:val="0"/>
          <w:lang w:val="en-GB"/>
        </w:rPr>
        <w:t>simertinib for the same indication</w:t>
      </w:r>
      <w:r w:rsidR="004C3F4E">
        <w:rPr>
          <w:snapToGrid w:val="0"/>
          <w:lang w:val="en-GB"/>
        </w:rPr>
        <w:t xml:space="preserve"> </w:t>
      </w:r>
      <w:r w:rsidR="004C3F4E" w:rsidRPr="004D75BF">
        <w:t>(osimertinib PSD, July 2</w:t>
      </w:r>
      <w:r w:rsidR="00C05BB2">
        <w:t>020</w:t>
      </w:r>
      <w:r w:rsidR="004C3F4E" w:rsidRPr="004D75BF">
        <w:t>)</w:t>
      </w:r>
      <w:r w:rsidR="00807107">
        <w:rPr>
          <w:snapToGrid w:val="0"/>
          <w:lang w:val="en-GB"/>
        </w:rPr>
        <w:t xml:space="preserve">, including </w:t>
      </w:r>
      <w:r w:rsidR="0023399F">
        <w:rPr>
          <w:snapToGrid w:val="0"/>
          <w:lang w:val="en-GB"/>
        </w:rPr>
        <w:t>a</w:t>
      </w:r>
      <w:r w:rsidR="00663CC6">
        <w:rPr>
          <w:snapToGrid w:val="0"/>
          <w:lang w:val="en-GB"/>
        </w:rPr>
        <w:t>pplication of a 7.5 year time horizon</w:t>
      </w:r>
      <w:r w:rsidR="00C346AD">
        <w:rPr>
          <w:snapToGrid w:val="0"/>
          <w:lang w:val="en-GB"/>
        </w:rPr>
        <w:t xml:space="preserve">. </w:t>
      </w:r>
      <w:r w:rsidR="009B3ABF">
        <w:rPr>
          <w:snapToGrid w:val="0"/>
          <w:lang w:val="en-GB"/>
        </w:rPr>
        <w:t xml:space="preserve">The PBAC considered </w:t>
      </w:r>
      <w:r w:rsidR="00FA2F6D">
        <w:rPr>
          <w:snapToGrid w:val="0"/>
          <w:lang w:val="en-GB"/>
        </w:rPr>
        <w:t xml:space="preserve">the ICER accepted for </w:t>
      </w:r>
      <w:r w:rsidR="00A967DD">
        <w:rPr>
          <w:snapToGrid w:val="0"/>
          <w:lang w:val="en-GB"/>
        </w:rPr>
        <w:t>osimertinib would likely be reasonable for A+L</w:t>
      </w:r>
      <w:r w:rsidR="00E57098">
        <w:rPr>
          <w:snapToGrid w:val="0"/>
        </w:rPr>
        <w:t>;</w:t>
      </w:r>
    </w:p>
    <w:p w14:paraId="5A850302" w14:textId="42A549F3" w:rsidR="0083644A" w:rsidRPr="00B32FA8" w:rsidRDefault="006478AE" w:rsidP="009D48CD">
      <w:pPr>
        <w:pStyle w:val="3-BodyText"/>
        <w:numPr>
          <w:ilvl w:val="0"/>
          <w:numId w:val="35"/>
        </w:numPr>
        <w:rPr>
          <w:snapToGrid w:val="0"/>
          <w:lang w:val="en-GB"/>
        </w:rPr>
      </w:pPr>
      <w:r>
        <w:rPr>
          <w:snapToGrid w:val="0"/>
          <w:lang w:val="en-GB"/>
        </w:rPr>
        <w:t xml:space="preserve">Reduction in the </w:t>
      </w:r>
      <w:r w:rsidR="00505F38">
        <w:rPr>
          <w:snapToGrid w:val="0"/>
          <w:lang w:val="en-GB"/>
        </w:rPr>
        <w:t xml:space="preserve">A+L uptake rate </w:t>
      </w:r>
      <w:r w:rsidR="009B3ABF">
        <w:rPr>
          <w:snapToGrid w:val="0"/>
          <w:lang w:val="en-GB"/>
        </w:rPr>
        <w:t xml:space="preserve">as outlined in paragraph </w:t>
      </w:r>
      <w:r w:rsidR="00901DFC">
        <w:rPr>
          <w:snapToGrid w:val="0"/>
          <w:lang w:val="en-GB"/>
        </w:rPr>
        <w:fldChar w:fldCharType="begin"/>
      </w:r>
      <w:r w:rsidR="00901DFC">
        <w:rPr>
          <w:snapToGrid w:val="0"/>
          <w:lang w:val="en-GB"/>
        </w:rPr>
        <w:instrText xml:space="preserve"> REF _Ref195220759 \r \h </w:instrText>
      </w:r>
      <w:r w:rsidR="00901DFC">
        <w:rPr>
          <w:snapToGrid w:val="0"/>
          <w:lang w:val="en-GB"/>
        </w:rPr>
      </w:r>
      <w:r w:rsidR="00901DFC">
        <w:rPr>
          <w:snapToGrid w:val="0"/>
          <w:lang w:val="en-GB"/>
        </w:rPr>
        <w:fldChar w:fldCharType="separate"/>
      </w:r>
      <w:r w:rsidR="00184F9A">
        <w:rPr>
          <w:snapToGrid w:val="0"/>
          <w:lang w:val="en-GB"/>
        </w:rPr>
        <w:t>7.10</w:t>
      </w:r>
      <w:r w:rsidR="00901DFC">
        <w:rPr>
          <w:snapToGrid w:val="0"/>
          <w:lang w:val="en-GB"/>
        </w:rPr>
        <w:fldChar w:fldCharType="end"/>
      </w:r>
      <w:r w:rsidR="00353C32">
        <w:t>;</w:t>
      </w:r>
    </w:p>
    <w:p w14:paraId="1E6D3300" w14:textId="707AE71B" w:rsidR="00B32FA8" w:rsidRPr="009D48CD" w:rsidRDefault="0027498D" w:rsidP="009D48CD">
      <w:pPr>
        <w:pStyle w:val="3-BodyText"/>
        <w:numPr>
          <w:ilvl w:val="0"/>
          <w:numId w:val="35"/>
        </w:numPr>
        <w:rPr>
          <w:snapToGrid w:val="0"/>
          <w:lang w:val="en-GB"/>
        </w:rPr>
      </w:pPr>
      <w:r>
        <w:rPr>
          <w:snapToGrid w:val="0"/>
          <w:lang w:val="en-GB"/>
        </w:rPr>
        <w:t>Discussion of</w:t>
      </w:r>
      <w:r w:rsidR="00353C32">
        <w:rPr>
          <w:snapToGrid w:val="0"/>
          <w:lang w:val="en-GB"/>
        </w:rPr>
        <w:t xml:space="preserve"> non-PBS</w:t>
      </w:r>
      <w:r>
        <w:rPr>
          <w:snapToGrid w:val="0"/>
          <w:lang w:val="en-GB"/>
        </w:rPr>
        <w:t xml:space="preserve"> funding for </w:t>
      </w:r>
      <w:r w:rsidR="00353C32" w:rsidRPr="00353C32">
        <w:rPr>
          <w:snapToGrid w:val="0"/>
        </w:rPr>
        <w:t>prophylactic anticoagulation and oral antibiotics</w:t>
      </w:r>
      <w:r w:rsidR="00BD6760">
        <w:rPr>
          <w:snapToGrid w:val="0"/>
        </w:rPr>
        <w:t xml:space="preserve"> for A+L patients</w:t>
      </w:r>
      <w:r w:rsidR="00353C32">
        <w:rPr>
          <w:snapToGrid w:val="0"/>
        </w:rPr>
        <w:t>.</w:t>
      </w:r>
    </w:p>
    <w:p w14:paraId="3BD15432" w14:textId="3D9BDB47" w:rsidR="0083644A" w:rsidRDefault="0083644A" w:rsidP="0083644A">
      <w:pPr>
        <w:widowControl w:val="0"/>
        <w:spacing w:after="120"/>
        <w:ind w:left="720"/>
        <w:rPr>
          <w:rFonts w:asciiTheme="minorHAnsi" w:hAnsiTheme="minorHAnsi"/>
          <w:snapToGrid w:val="0"/>
          <w:lang w:val="en-GB"/>
        </w:rPr>
      </w:pPr>
      <w:r w:rsidRPr="00C7242D">
        <w:rPr>
          <w:rFonts w:asciiTheme="minorHAnsi" w:hAnsiTheme="minorHAnsi"/>
          <w:snapToGrid w:val="0"/>
          <w:lang w:val="en-GB"/>
        </w:rPr>
        <w:t>The resubmission may be lodged at any future standard due date for PBAC submissions using the standard re-entry pathway.</w:t>
      </w:r>
    </w:p>
    <w:p w14:paraId="6897CE4A" w14:textId="77777777" w:rsidR="0083644A" w:rsidRDefault="0083644A" w:rsidP="0083644A">
      <w:pPr>
        <w:widowControl w:val="0"/>
        <w:numPr>
          <w:ilvl w:val="1"/>
          <w:numId w:val="5"/>
        </w:numPr>
        <w:spacing w:after="120"/>
        <w:ind w:left="720"/>
        <w:rPr>
          <w:rFonts w:asciiTheme="minorHAnsi" w:hAnsiTheme="minorHAnsi"/>
          <w:bCs/>
          <w:i/>
          <w:snapToGrid w:val="0"/>
          <w:lang w:val="en-GB"/>
        </w:rPr>
      </w:pPr>
      <w:r w:rsidRPr="00525B39">
        <w:rPr>
          <w:rFonts w:asciiTheme="minorHAnsi" w:hAnsiTheme="minorHAnsi"/>
          <w:bCs/>
          <w:snapToGrid w:val="0"/>
          <w:lang w:val="en-GB"/>
        </w:rPr>
        <w:t xml:space="preserve">The PBAC noted that this submission is eligible for an Independent Review. </w:t>
      </w:r>
    </w:p>
    <w:p w14:paraId="22D1DBB4" w14:textId="77777777" w:rsidR="0083644A" w:rsidRPr="00525B39" w:rsidRDefault="0083644A" w:rsidP="0083644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7E654AA" w14:textId="77777777" w:rsidR="0083644A" w:rsidRPr="00525B39" w:rsidRDefault="0083644A" w:rsidP="0083644A">
      <w:pPr>
        <w:rPr>
          <w:rFonts w:asciiTheme="minorHAnsi" w:hAnsiTheme="minorHAnsi"/>
          <w:bCs/>
          <w:snapToGrid w:val="0"/>
          <w:lang w:val="en-GB"/>
        </w:rPr>
      </w:pPr>
      <w:r>
        <w:rPr>
          <w:rFonts w:asciiTheme="minorHAnsi" w:hAnsiTheme="minorHAnsi"/>
          <w:bCs/>
          <w:snapToGrid w:val="0"/>
          <w:lang w:val="en-GB"/>
        </w:rPr>
        <w:t>Not recommended</w:t>
      </w:r>
    </w:p>
    <w:bookmarkEnd w:id="2"/>
    <w:bookmarkEnd w:id="3"/>
    <w:bookmarkEnd w:id="4"/>
    <w:bookmarkEnd w:id="5"/>
    <w:bookmarkEnd w:id="139"/>
    <w:p w14:paraId="78655455" w14:textId="77777777" w:rsidR="003752F4" w:rsidRPr="003752F4" w:rsidRDefault="003752F4" w:rsidP="003752F4">
      <w:pPr>
        <w:pStyle w:val="2-SectionHeading"/>
      </w:pPr>
      <w:r w:rsidRPr="003752F4">
        <w:t>Context for Decision</w:t>
      </w:r>
    </w:p>
    <w:p w14:paraId="62614906" w14:textId="77777777" w:rsidR="003752F4" w:rsidRPr="003752F4" w:rsidRDefault="003752F4" w:rsidP="003752F4">
      <w:pPr>
        <w:spacing w:after="120"/>
        <w:ind w:left="720"/>
        <w:rPr>
          <w:rFonts w:asciiTheme="minorHAnsi" w:hAnsiTheme="minorHAnsi"/>
          <w:bCs/>
          <w:lang w:val="en-GB"/>
        </w:rPr>
      </w:pPr>
      <w:r w:rsidRPr="003752F4">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3B46AB" w14:textId="0C26BBFC" w:rsidR="003752F4" w:rsidRPr="003752F4" w:rsidRDefault="003752F4" w:rsidP="00BC0F6A">
      <w:pPr>
        <w:pStyle w:val="2-SectionHeading"/>
      </w:pPr>
      <w:r w:rsidRPr="003752F4">
        <w:t>Sponsor’s Comment</w:t>
      </w:r>
    </w:p>
    <w:p w14:paraId="0A4AFA84" w14:textId="70771EE8" w:rsidR="0083644A" w:rsidRPr="00402E4D" w:rsidRDefault="00CB5FBC" w:rsidP="00402E4D">
      <w:pPr>
        <w:spacing w:after="120" w:line="276" w:lineRule="auto"/>
        <w:ind w:left="720"/>
        <w:rPr>
          <w:rFonts w:asciiTheme="minorHAnsi" w:eastAsiaTheme="minorHAnsi" w:hAnsiTheme="minorHAnsi"/>
          <w:bCs/>
          <w:szCs w:val="22"/>
          <w:lang w:eastAsia="en-US"/>
        </w:rPr>
      </w:pPr>
      <w:r w:rsidRPr="00CB5FBC">
        <w:rPr>
          <w:rFonts w:asciiTheme="minorHAnsi" w:eastAsiaTheme="minorHAnsi" w:hAnsiTheme="minorHAnsi"/>
          <w:bCs/>
          <w:szCs w:val="22"/>
          <w:lang w:eastAsia="en-US"/>
        </w:rPr>
        <w:t>Janssen is disappointed that the PBAC did not recommend A+L for the first-line treatment of patients with EGFRm locally advanced/metastatic non-small cell lung cancer. Janssen considers that A+L provides a substantial improvement in PFS (+</w:t>
      </w:r>
      <w:r w:rsidR="009D7B01">
        <w:rPr>
          <w:rFonts w:asciiTheme="minorHAnsi" w:eastAsiaTheme="minorHAnsi" w:hAnsiTheme="minorHAnsi"/>
          <w:bCs/>
          <w:szCs w:val="22"/>
          <w:lang w:eastAsia="en-US"/>
        </w:rPr>
        <w:t> </w:t>
      </w:r>
      <w:r w:rsidRPr="00CB5FBC">
        <w:rPr>
          <w:rFonts w:asciiTheme="minorHAnsi" w:eastAsiaTheme="minorHAnsi" w:hAnsiTheme="minorHAnsi"/>
          <w:bCs/>
          <w:szCs w:val="22"/>
          <w:lang w:eastAsia="en-US"/>
        </w:rPr>
        <w:t>7.1</w:t>
      </w:r>
      <w:r w:rsidR="009D7B01">
        <w:rPr>
          <w:rFonts w:asciiTheme="minorHAnsi" w:eastAsiaTheme="minorHAnsi" w:hAnsiTheme="minorHAnsi"/>
          <w:bCs/>
          <w:szCs w:val="22"/>
          <w:lang w:eastAsia="en-US"/>
        </w:rPr>
        <w:t> </w:t>
      </w:r>
      <w:r w:rsidRPr="00CB5FBC">
        <w:rPr>
          <w:rFonts w:asciiTheme="minorHAnsi" w:eastAsiaTheme="minorHAnsi" w:hAnsiTheme="minorHAnsi"/>
          <w:bCs/>
          <w:szCs w:val="22"/>
          <w:lang w:eastAsia="en-US"/>
        </w:rPr>
        <w:t>months, HR=0.70; 95% CI: 0.58, 0.85; p=0.0002 at 22.0 months median follow-up) and OS (HR: 0.75; 95% CI: 0.61, 0.92; p=0.0048 at 37.8 months median follow-up) over osimertinib, and will work with the PBAC to make this treatment available for patients on the PBS.</w:t>
      </w:r>
    </w:p>
    <w:sectPr w:rsidR="0083644A" w:rsidRPr="00402E4D" w:rsidSect="00D3462A">
      <w:headerReference w:type="default" r:id="rId18"/>
      <w:footerReference w:type="defaul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073B" w14:textId="77777777" w:rsidR="00843807" w:rsidRDefault="00843807" w:rsidP="00124A51">
      <w:r>
        <w:separator/>
      </w:r>
    </w:p>
    <w:p w14:paraId="7A153706" w14:textId="77777777" w:rsidR="00843807" w:rsidRDefault="00843807"/>
  </w:endnote>
  <w:endnote w:type="continuationSeparator" w:id="0">
    <w:p w14:paraId="0CF9997E" w14:textId="77777777" w:rsidR="00843807" w:rsidRDefault="00843807" w:rsidP="00124A51">
      <w:r>
        <w:continuationSeparator/>
      </w:r>
    </w:p>
    <w:p w14:paraId="5E822AC6" w14:textId="77777777" w:rsidR="00843807" w:rsidRDefault="00843807"/>
  </w:endnote>
  <w:endnote w:type="continuationNotice" w:id="1">
    <w:p w14:paraId="6CE5DE5B" w14:textId="77777777" w:rsidR="00843807" w:rsidRDefault="00843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10E5" w14:textId="77777777" w:rsidR="00BF70A4" w:rsidRDefault="00BF70A4">
    <w:pPr>
      <w:pStyle w:val="Footer"/>
      <w:jc w:val="center"/>
    </w:pPr>
  </w:p>
  <w:sdt>
    <w:sdtPr>
      <w:id w:val="1155111813"/>
      <w:docPartObj>
        <w:docPartGallery w:val="Page Numbers (Bottom of Page)"/>
        <w:docPartUnique/>
      </w:docPartObj>
    </w:sdtPr>
    <w:sdtEndPr>
      <w:rPr>
        <w:b/>
        <w:bCs/>
        <w:noProof/>
      </w:rPr>
    </w:sdtEndPr>
    <w:sdtContent>
      <w:p w14:paraId="6F5B61C4" w14:textId="38AA7009" w:rsidR="00F95043" w:rsidRPr="00862C83" w:rsidRDefault="00BF70A4" w:rsidP="00862C83">
        <w:pPr>
          <w:pStyle w:val="Footer"/>
          <w:jc w:val="center"/>
          <w:rPr>
            <w:b/>
            <w:bCs/>
          </w:rPr>
        </w:pPr>
        <w:r w:rsidRPr="00637EFB">
          <w:rPr>
            <w:b/>
            <w:bCs/>
          </w:rPr>
          <w:fldChar w:fldCharType="begin"/>
        </w:r>
        <w:r w:rsidRPr="00637EFB">
          <w:rPr>
            <w:b/>
            <w:bCs/>
          </w:rPr>
          <w:instrText xml:space="preserve"> PAGE   \* MERGEFORMAT </w:instrText>
        </w:r>
        <w:r w:rsidRPr="00637EFB">
          <w:rPr>
            <w:b/>
            <w:bCs/>
          </w:rPr>
          <w:fldChar w:fldCharType="separate"/>
        </w:r>
        <w:r w:rsidRPr="00637EFB">
          <w:rPr>
            <w:b/>
            <w:bCs/>
            <w:noProof/>
          </w:rPr>
          <w:t>2</w:t>
        </w:r>
        <w:r w:rsidRPr="00637EFB">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BCB2" w14:textId="77777777" w:rsidR="00843807" w:rsidRDefault="00843807" w:rsidP="00124A51">
      <w:r>
        <w:separator/>
      </w:r>
    </w:p>
    <w:p w14:paraId="60DFBE0C" w14:textId="77777777" w:rsidR="00843807" w:rsidRDefault="00843807"/>
  </w:footnote>
  <w:footnote w:type="continuationSeparator" w:id="0">
    <w:p w14:paraId="1E222503" w14:textId="77777777" w:rsidR="00843807" w:rsidRDefault="00843807" w:rsidP="00124A51">
      <w:r>
        <w:continuationSeparator/>
      </w:r>
    </w:p>
    <w:p w14:paraId="1EF298C5" w14:textId="77777777" w:rsidR="00843807" w:rsidRDefault="00843807"/>
  </w:footnote>
  <w:footnote w:type="continuationNotice" w:id="1">
    <w:p w14:paraId="0E3BB146" w14:textId="77777777" w:rsidR="00843807" w:rsidRDefault="00843807"/>
  </w:footnote>
  <w:footnote w:id="2">
    <w:p w14:paraId="737A3ABF" w14:textId="77777777" w:rsidR="00754A1B" w:rsidRDefault="00754A1B" w:rsidP="00754A1B">
      <w:pPr>
        <w:pStyle w:val="FootnoteText"/>
      </w:pPr>
      <w:r>
        <w:rPr>
          <w:rStyle w:val="FootnoteReference"/>
        </w:rPr>
        <w:footnoteRef/>
      </w:r>
      <w:r>
        <w:t xml:space="preserve"> NCCI, (2018). </w:t>
      </w:r>
      <w:r w:rsidRPr="00572D67">
        <w:t>National cancer stage at diagnosis data</w:t>
      </w:r>
      <w:r>
        <w:rPr>
          <w:rStyle w:val="cf01"/>
        </w:rPr>
        <w:t xml:space="preserve"> https://ncci.canceraustralia.gov.au/features/national-cancer-stage-diagnosis-data</w:t>
      </w:r>
    </w:p>
  </w:footnote>
  <w:footnote w:id="3">
    <w:p w14:paraId="332C951E" w14:textId="77777777" w:rsidR="00754A1B" w:rsidRDefault="00754A1B" w:rsidP="00754A1B">
      <w:pPr>
        <w:pStyle w:val="FootnoteText"/>
      </w:pPr>
      <w:r>
        <w:rPr>
          <w:rStyle w:val="FootnoteReference"/>
        </w:rPr>
        <w:footnoteRef/>
      </w:r>
      <w:r>
        <w:t xml:space="preserve"> </w:t>
      </w:r>
      <w:r w:rsidRPr="00572D67">
        <w:rPr>
          <w:rStyle w:val="cf01"/>
        </w:rPr>
        <w:t>Survival for lung cancer. (</w:t>
      </w:r>
      <w:r>
        <w:rPr>
          <w:rStyle w:val="cf01"/>
        </w:rPr>
        <w:t>2021</w:t>
      </w:r>
      <w:r w:rsidRPr="00572D67">
        <w:rPr>
          <w:rStyle w:val="cf01"/>
        </w:rPr>
        <w:t>). Cancer Research UK. https://www.cancerresearchuk.org/about-cancer/lung-cancer/survival</w:t>
      </w:r>
    </w:p>
  </w:footnote>
  <w:footnote w:id="4">
    <w:p w14:paraId="506170BF" w14:textId="77777777" w:rsidR="00754A1B" w:rsidRPr="00AC4360" w:rsidRDefault="00754A1B" w:rsidP="00754A1B">
      <w:pPr>
        <w:pStyle w:val="FootnoteText"/>
        <w:rPr>
          <w:lang w:val="en-US"/>
        </w:rPr>
      </w:pPr>
      <w:r>
        <w:rPr>
          <w:rStyle w:val="FootnoteReference"/>
        </w:rPr>
        <w:footnoteRef/>
      </w:r>
      <w:r>
        <w:t xml:space="preserve"> </w:t>
      </w:r>
      <w:r w:rsidRPr="00AC4360">
        <w:rPr>
          <w:lang w:val="en-US"/>
        </w:rPr>
        <w:t xml:space="preserve">Zappa, C., &amp; Mousa, S. A. (2016). Non-small cell lung cancer: current treatment and future advances. </w:t>
      </w:r>
      <w:r w:rsidRPr="00AC4360">
        <w:rPr>
          <w:i/>
          <w:lang w:val="en-US"/>
        </w:rPr>
        <w:t>Transl Lung Cancer Res, 5</w:t>
      </w:r>
      <w:r w:rsidRPr="00AC4360">
        <w:rPr>
          <w:lang w:val="en-US"/>
        </w:rPr>
        <w:t>(3), 288-300. doi:10.21037/tlcr.2016.06.07</w:t>
      </w:r>
    </w:p>
  </w:footnote>
  <w:footnote w:id="5">
    <w:p w14:paraId="452F28DA" w14:textId="77777777" w:rsidR="00754A1B" w:rsidRPr="0004729F" w:rsidRDefault="00754A1B" w:rsidP="00754A1B">
      <w:pPr>
        <w:pStyle w:val="FootnoteText"/>
        <w:rPr>
          <w:lang w:val="es-CL"/>
        </w:rPr>
      </w:pPr>
      <w:r>
        <w:rPr>
          <w:rStyle w:val="FootnoteReference"/>
        </w:rPr>
        <w:footnoteRef/>
      </w:r>
      <w:r>
        <w:t xml:space="preserve"> </w:t>
      </w:r>
      <w:r w:rsidRPr="00DB3E43">
        <w:rPr>
          <w:lang w:val="en-US"/>
        </w:rPr>
        <w:t xml:space="preserve">Herbst, R. S., Morgensztern, D., &amp; Boshoff, C. (2018). The biology and management of non-small cell lung cancer. </w:t>
      </w:r>
      <w:r w:rsidRPr="0004729F">
        <w:rPr>
          <w:i/>
          <w:lang w:val="es-CL"/>
        </w:rPr>
        <w:t>Nature, 553</w:t>
      </w:r>
      <w:r w:rsidRPr="0004729F">
        <w:rPr>
          <w:lang w:val="es-CL"/>
        </w:rPr>
        <w:t>(7689), 446-454. doi:10.1038/nature25183</w:t>
      </w:r>
    </w:p>
  </w:footnote>
  <w:footnote w:id="6">
    <w:p w14:paraId="3D3F0864" w14:textId="393B84E1" w:rsidR="00754A1B" w:rsidRPr="009A206A" w:rsidRDefault="00754A1B" w:rsidP="00754A1B">
      <w:pPr>
        <w:pStyle w:val="FootnoteText"/>
        <w:rPr>
          <w:lang w:val="en-US"/>
        </w:rPr>
      </w:pPr>
      <w:r>
        <w:rPr>
          <w:rStyle w:val="FootnoteReference"/>
        </w:rPr>
        <w:footnoteRef/>
      </w:r>
      <w:r w:rsidRPr="0004729F">
        <w:rPr>
          <w:lang w:val="es-CL"/>
        </w:rPr>
        <w:t xml:space="preserve"> De Matteis, S., Consonni, D., Pesatori, A. C., Bergen, A. W., Bertazzi, P. A., Caporaso, N. E</w:t>
      </w:r>
      <w:r w:rsidR="00CF65E9" w:rsidRPr="0004729F">
        <w:rPr>
          <w:lang w:val="es-CL"/>
        </w:rPr>
        <w:t xml:space="preserve"> et al</w:t>
      </w:r>
      <w:r w:rsidRPr="0004729F">
        <w:rPr>
          <w:lang w:val="es-CL"/>
        </w:rPr>
        <w:t xml:space="preserve"> (2013). </w:t>
      </w:r>
      <w:r w:rsidRPr="009A206A">
        <w:rPr>
          <w:lang w:val="en-US"/>
        </w:rPr>
        <w:t xml:space="preserve">Are women who smoke at higher risk for lung cancer than men who smoke? </w:t>
      </w:r>
      <w:r w:rsidRPr="009A206A">
        <w:rPr>
          <w:i/>
          <w:lang w:val="en-US"/>
        </w:rPr>
        <w:t>Am J Epidemiol, 177</w:t>
      </w:r>
      <w:r w:rsidRPr="009A206A">
        <w:rPr>
          <w:lang w:val="en-US"/>
        </w:rPr>
        <w:t>(7), 601-612. doi:10.1093/aje/kws445</w:t>
      </w:r>
    </w:p>
  </w:footnote>
  <w:footnote w:id="7">
    <w:p w14:paraId="3631ABF6" w14:textId="04FF62F9" w:rsidR="00754A1B" w:rsidRPr="002068F8" w:rsidRDefault="00754A1B" w:rsidP="00754A1B">
      <w:pPr>
        <w:pStyle w:val="FootnoteText"/>
        <w:rPr>
          <w:lang w:val="en-US"/>
        </w:rPr>
      </w:pPr>
      <w:r>
        <w:rPr>
          <w:rStyle w:val="FootnoteReference"/>
        </w:rPr>
        <w:footnoteRef/>
      </w:r>
      <w:r>
        <w:t xml:space="preserve"> </w:t>
      </w:r>
      <w:r w:rsidRPr="002068F8">
        <w:rPr>
          <w:lang w:val="en-US"/>
        </w:rPr>
        <w:t>NCCN. (202</w:t>
      </w:r>
      <w:r w:rsidR="00831202">
        <w:rPr>
          <w:lang w:val="en-US"/>
        </w:rPr>
        <w:t>5</w:t>
      </w:r>
      <w:r w:rsidRPr="002068F8">
        <w:rPr>
          <w:lang w:val="en-US"/>
        </w:rPr>
        <w:t xml:space="preserve">). Clinical Practice Guidelines in Oncology (NCCN Guidelines) Non-Small Cell Lung Cancer Version </w:t>
      </w:r>
      <w:r w:rsidR="00831202">
        <w:rPr>
          <w:lang w:val="en-US"/>
        </w:rPr>
        <w:t>3</w:t>
      </w:r>
      <w:r w:rsidRPr="002068F8">
        <w:rPr>
          <w:lang w:val="en-US"/>
        </w:rPr>
        <w:t>.202</w:t>
      </w:r>
      <w:r w:rsidR="00831202">
        <w:rPr>
          <w:lang w:val="en-US"/>
        </w:rPr>
        <w:t>5</w:t>
      </w:r>
      <w:r w:rsidRPr="002068F8">
        <w:rPr>
          <w:lang w:val="en-US"/>
        </w:rPr>
        <w:t xml:space="preserve"> - </w:t>
      </w:r>
      <w:r w:rsidR="00831202">
        <w:rPr>
          <w:lang w:val="en-US"/>
        </w:rPr>
        <w:t>January 14, 2025</w:t>
      </w:r>
      <w:r w:rsidRPr="002068F8">
        <w:rPr>
          <w:lang w:val="en-US"/>
        </w:rPr>
        <w:t xml:space="preserve">. Retrieved from </w:t>
      </w:r>
      <w:hyperlink r:id="rId1" w:history="1">
        <w:r w:rsidRPr="002068F8">
          <w:rPr>
            <w:rStyle w:val="Hyperlink"/>
            <w:lang w:val="en-US"/>
          </w:rPr>
          <w:t>www.nccn.org/</w:t>
        </w:r>
        <w:r w:rsidR="000014AF" w:rsidRPr="000014AF">
          <w:t xml:space="preserve"> </w:t>
        </w:r>
        <w:r w:rsidR="000014AF" w:rsidRPr="000014AF">
          <w:rPr>
            <w:rStyle w:val="Hyperlink"/>
            <w:lang w:val="en-US"/>
          </w:rPr>
          <w:t>professionals</w:t>
        </w:r>
        <w:r w:rsidR="000014AF" w:rsidRPr="000014AF" w:rsidDel="000014AF">
          <w:rPr>
            <w:rStyle w:val="Hyperlink"/>
            <w:lang w:val="en-US"/>
          </w:rPr>
          <w:t xml:space="preserve"> </w:t>
        </w:r>
      </w:hyperlink>
    </w:p>
  </w:footnote>
  <w:footnote w:id="8">
    <w:p w14:paraId="2A9EC8B9" w14:textId="7BF5939D" w:rsidR="00754A1B" w:rsidRPr="008E6183" w:rsidRDefault="00754A1B" w:rsidP="00754A1B">
      <w:pPr>
        <w:pStyle w:val="FootnoteText"/>
        <w:rPr>
          <w:lang w:val="en-US"/>
        </w:rPr>
      </w:pPr>
      <w:r>
        <w:rPr>
          <w:rStyle w:val="FootnoteReference"/>
        </w:rPr>
        <w:footnoteRef/>
      </w:r>
      <w:r>
        <w:t xml:space="preserve"> </w:t>
      </w:r>
      <w:r w:rsidRPr="008E6183">
        <w:rPr>
          <w:lang w:val="en-US"/>
        </w:rPr>
        <w:t xml:space="preserve">Melosky, B., Kambartel, K., Häntschel, M., Bennetts, M., Nickens, D. J., Brinkmann, J., </w:t>
      </w:r>
      <w:r w:rsidR="001F579A">
        <w:rPr>
          <w:lang w:val="en-US"/>
        </w:rPr>
        <w:t>et al</w:t>
      </w:r>
      <w:r w:rsidRPr="008E6183">
        <w:rPr>
          <w:lang w:val="en-US"/>
        </w:rPr>
        <w:t xml:space="preserve"> (2022). Worldwide Prevalence of Epidermal Growth Factor Receptor Mutations in Non-Small Cell Lung Cancer: A Meta-Analysis. </w:t>
      </w:r>
      <w:r w:rsidRPr="008E6183">
        <w:rPr>
          <w:i/>
          <w:lang w:val="en-US"/>
        </w:rPr>
        <w:t>Mol Diagn Ther, 26</w:t>
      </w:r>
      <w:r w:rsidRPr="008E6183">
        <w:rPr>
          <w:lang w:val="en-US"/>
        </w:rPr>
        <w:t>(1), 7-18. doi:10.1007/s40291-021-00563-1</w:t>
      </w:r>
    </w:p>
  </w:footnote>
  <w:footnote w:id="9">
    <w:p w14:paraId="61B8692A" w14:textId="085ED67D" w:rsidR="00754A1B" w:rsidRPr="00CD1B6E" w:rsidRDefault="00754A1B" w:rsidP="00754A1B">
      <w:pPr>
        <w:pStyle w:val="FootnoteText"/>
        <w:rPr>
          <w:lang w:val="en-US"/>
        </w:rPr>
      </w:pPr>
      <w:r>
        <w:rPr>
          <w:rStyle w:val="FootnoteReference"/>
        </w:rPr>
        <w:footnoteRef/>
      </w:r>
      <w:r>
        <w:t xml:space="preserve"> </w:t>
      </w:r>
      <w:r w:rsidRPr="00CD1B6E">
        <w:rPr>
          <w:lang w:val="en-US"/>
        </w:rPr>
        <w:t xml:space="preserve">Tan, L., Alexander, M., Officer, A., MacManus, M., Mileshkin, L., Jennens, R., </w:t>
      </w:r>
      <w:r w:rsidR="001F579A">
        <w:rPr>
          <w:lang w:val="en-US"/>
        </w:rPr>
        <w:t>et al</w:t>
      </w:r>
      <w:r w:rsidRPr="00CD1B6E">
        <w:rPr>
          <w:lang w:val="en-US"/>
        </w:rPr>
        <w:t xml:space="preserve">(2018). Survival difference according to mutation status in a prospective cohort study of Australian patients with metastatic non-small-cell lung carcinoma. </w:t>
      </w:r>
      <w:r w:rsidRPr="00CD1B6E">
        <w:rPr>
          <w:i/>
          <w:lang w:val="en-US"/>
        </w:rPr>
        <w:t>Intern Med J, 48</w:t>
      </w:r>
      <w:r w:rsidRPr="00CD1B6E">
        <w:rPr>
          <w:lang w:val="en-US"/>
        </w:rPr>
        <w:t>(1), 37-44. doi:10.1111/imj.13491</w:t>
      </w:r>
    </w:p>
  </w:footnote>
  <w:footnote w:id="10">
    <w:p w14:paraId="4784B761" w14:textId="247696E2" w:rsidR="003762B5" w:rsidRDefault="003762B5">
      <w:pPr>
        <w:pStyle w:val="FootnoteText"/>
      </w:pPr>
      <w:r>
        <w:rPr>
          <w:rStyle w:val="FootnoteReference"/>
        </w:rPr>
        <w:footnoteRef/>
      </w:r>
      <w:r>
        <w:t xml:space="preserve"> </w:t>
      </w:r>
      <w:r w:rsidRPr="003762B5">
        <w:t>ESMO Oncogene-Addicted Non-Small Cell Lung Cancer Living Guideline v1.2, January 2025. Retrieved from</w:t>
      </w:r>
      <w:r w:rsidR="008D0375">
        <w:t>:</w:t>
      </w:r>
      <w:r w:rsidRPr="003762B5">
        <w:t xml:space="preserve"> https://www.esmo.org/living-guidelines/esmo-oncogene-addicted-metastatic-non-small-cell-lung-cancer-living-guideline</w:t>
      </w:r>
    </w:p>
  </w:footnote>
  <w:footnote w:id="11">
    <w:p w14:paraId="7EF842B1" w14:textId="78BDDF13" w:rsidR="00887392" w:rsidRDefault="00887392">
      <w:pPr>
        <w:pStyle w:val="FootnoteText"/>
      </w:pPr>
      <w:r>
        <w:rPr>
          <w:rStyle w:val="FootnoteReference"/>
        </w:rPr>
        <w:footnoteRef/>
      </w:r>
      <w:r>
        <w:t xml:space="preserve"> </w:t>
      </w:r>
      <w:r w:rsidR="00EA4ECA">
        <w:t>A</w:t>
      </w:r>
      <w:r>
        <w:t>tezolizumab, bevacizumab, carboplatin, and paclitaxel</w:t>
      </w:r>
    </w:p>
  </w:footnote>
  <w:footnote w:id="12">
    <w:p w14:paraId="0439148D" w14:textId="61426105" w:rsidR="00754A1B" w:rsidRPr="005B45A4" w:rsidRDefault="00754A1B" w:rsidP="00754A1B">
      <w:pPr>
        <w:pStyle w:val="FootnoteText"/>
        <w:rPr>
          <w:lang w:val="en-US"/>
        </w:rPr>
      </w:pPr>
      <w:r>
        <w:rPr>
          <w:rStyle w:val="FootnoteReference"/>
        </w:rPr>
        <w:footnoteRef/>
      </w:r>
      <w:r>
        <w:t xml:space="preserve"> </w:t>
      </w:r>
      <w:r w:rsidR="009264A9" w:rsidRPr="00681D69">
        <w:t>NSCL-21 of the NCCN guidelines</w:t>
      </w:r>
      <w:r w:rsidR="009264A9">
        <w:t xml:space="preserve"> (first line systemic therapy).</w:t>
      </w:r>
    </w:p>
  </w:footnote>
  <w:footnote w:id="13">
    <w:p w14:paraId="049F04A0" w14:textId="77777777" w:rsidR="00B47D9F" w:rsidRDefault="00B47D9F" w:rsidP="00B47D9F">
      <w:pPr>
        <w:pStyle w:val="FootnoteText"/>
      </w:pPr>
      <w:r>
        <w:rPr>
          <w:rStyle w:val="FootnoteReference"/>
        </w:rPr>
        <w:footnoteRef/>
      </w:r>
      <w:r>
        <w:t xml:space="preserve"> </w:t>
      </w:r>
      <w:r w:rsidRPr="001E6FD7">
        <w:t>Cherny NI, Dafni U, Bogaerts J, et al: ESMO-Magnitude of Clinical Benefit Scale version 1.1. Annals of Oncology 28:2340-2366, 2017</w:t>
      </w:r>
      <w:r>
        <w:t>.</w:t>
      </w:r>
    </w:p>
  </w:footnote>
  <w:footnote w:id="14">
    <w:p w14:paraId="09A537FE" w14:textId="77777777" w:rsidR="00C425A0" w:rsidRDefault="00C425A0" w:rsidP="00C425A0">
      <w:pPr>
        <w:pStyle w:val="FootnoteText"/>
      </w:pPr>
      <w:r>
        <w:rPr>
          <w:rStyle w:val="FootnoteReference"/>
        </w:rPr>
        <w:footnoteRef/>
      </w:r>
      <w:r>
        <w:t xml:space="preserve"> </w:t>
      </w:r>
      <w:r w:rsidRPr="00F14D83">
        <w:t>The study met the primary endpoint in the clinical cutoff of 11 August 2023</w:t>
      </w:r>
    </w:p>
  </w:footnote>
  <w:footnote w:id="15">
    <w:p w14:paraId="74931EAD" w14:textId="5699FC35" w:rsidR="00531719" w:rsidRPr="00531719" w:rsidRDefault="00531719">
      <w:pPr>
        <w:pStyle w:val="FootnoteText"/>
        <w:rPr>
          <w:lang w:val="en-US"/>
        </w:rPr>
      </w:pPr>
      <w:r>
        <w:rPr>
          <w:rStyle w:val="FootnoteReference"/>
        </w:rPr>
        <w:footnoteRef/>
      </w:r>
      <w:r>
        <w:t xml:space="preserve"> </w:t>
      </w:r>
      <w:r w:rsidRPr="00531719">
        <w:t>Ellis, Lee M., David S. Bernstein, Emile E. Voest, Jordan D. Berlin, Daniel Sargent, Patricia Cortazar, Elizabeth Garrett-Mayer et al. "American Society of Clinical Oncology perspective: raising the bar for clinical trials by defining clinically meaningful outcomes." </w:t>
      </w:r>
      <w:r w:rsidRPr="00531719">
        <w:rPr>
          <w:i/>
          <w:iCs/>
        </w:rPr>
        <w:t>Journal of clinical oncology</w:t>
      </w:r>
      <w:r w:rsidRPr="00531719">
        <w:t> 32, no. 12 (2014): 1277-1280.</w:t>
      </w:r>
    </w:p>
  </w:footnote>
  <w:footnote w:id="16">
    <w:p w14:paraId="24908E16" w14:textId="77777777" w:rsidR="00C425A0" w:rsidRDefault="00C425A0" w:rsidP="00C425A0">
      <w:pPr>
        <w:pStyle w:val="FootnoteText"/>
        <w:jc w:val="left"/>
      </w:pPr>
      <w:r>
        <w:rPr>
          <w:rStyle w:val="FootnoteReference"/>
        </w:rPr>
        <w:footnoteRef/>
      </w:r>
      <w:r>
        <w:t xml:space="preserve"> </w:t>
      </w:r>
      <w:r w:rsidRPr="0095370C">
        <w:t>Ellis, L. M., Bernstein, D. S., Voest, E. E., Berlin, J. D., Sargent, D., Cortazar, P., Garrett-Mayer, E., Herbst, R. S., Lilenbaum, R. C., Sima, C., Venook, A. P., Gonen, M., Schilsky, R. L., Meropol, N. J., &amp; Schnipper, L. E. (2014). American Society of Clinical Oncology Perspective: Raising the bar for clinical trials by defining clinically meaningful outcomes. Journal of Clinical Oncology, 32(12), 1277–1280. https://doi.org/10.1200/jco.2013.53.8009</w:t>
      </w:r>
    </w:p>
  </w:footnote>
  <w:footnote w:id="17">
    <w:p w14:paraId="25DDD326" w14:textId="77777777" w:rsidR="0004729F" w:rsidRDefault="0004729F" w:rsidP="007A7746">
      <w:pPr>
        <w:pStyle w:val="TableFigureFooter"/>
      </w:pPr>
      <w:r>
        <w:rPr>
          <w:rStyle w:val="FootnoteReference"/>
        </w:rPr>
        <w:footnoteRef/>
      </w:r>
      <w:r>
        <w:t xml:space="preserve"> Redwood et al., Australian population norms for health</w:t>
      </w:r>
      <w:r>
        <w:rPr>
          <w:rFonts w:ascii="Cambria Math" w:hAnsi="Cambria Math" w:cs="Cambria Math"/>
        </w:rPr>
        <w:t>‑</w:t>
      </w:r>
      <w:r>
        <w:t>related quality of life measured using the EQ</w:t>
      </w:r>
      <w:r>
        <w:rPr>
          <w:rFonts w:ascii="Cambria Math" w:hAnsi="Cambria Math" w:cs="Cambria Math"/>
        </w:rPr>
        <w:t>‑</w:t>
      </w:r>
      <w:r>
        <w:t>5D</w:t>
      </w:r>
      <w:r>
        <w:rPr>
          <w:rFonts w:cs="Arial Narrow"/>
        </w:rPr>
        <w:t>–</w:t>
      </w:r>
      <w:r>
        <w:t>5L, and relationships with sociodemographic characteristics, Quality of Life Research, vol 33, issue 33, pp721-733.</w:t>
      </w:r>
    </w:p>
  </w:footnote>
  <w:footnote w:id="18">
    <w:p w14:paraId="49FA1858" w14:textId="77777777" w:rsidR="0004729F" w:rsidRDefault="0004729F" w:rsidP="007A7746">
      <w:pPr>
        <w:pStyle w:val="TableFigureFooter"/>
      </w:pPr>
      <w:r>
        <w:rPr>
          <w:rStyle w:val="FootnoteReference"/>
        </w:rPr>
        <w:footnoteRef/>
      </w:r>
      <w:r>
        <w:t xml:space="preserve"> </w:t>
      </w:r>
      <w:r w:rsidRPr="00A93E1F">
        <w:t xml:space="preserve">Jovanoski N, </w:t>
      </w:r>
      <w:r>
        <w:t>et al</w:t>
      </w:r>
      <w:r w:rsidRPr="00A93E1F">
        <w:t>. Health State Utility Values in Early-Stage Non-small Cell Lung Cancer: A Systematic Literature Review. Pharmacoecon Open</w:t>
      </w:r>
      <w:r>
        <w:t>, vol 7, issue 5, pp</w:t>
      </w:r>
      <w:r w:rsidRPr="00A93E1F">
        <w:t xml:space="preserve">723-738. </w:t>
      </w:r>
    </w:p>
  </w:footnote>
  <w:footnote w:id="19">
    <w:p w14:paraId="3F53F292" w14:textId="62345828" w:rsidR="008B18C4" w:rsidRPr="00B55821" w:rsidRDefault="008B18C4" w:rsidP="005F7526">
      <w:pPr>
        <w:pStyle w:val="FootnoteText"/>
      </w:pPr>
      <w:r w:rsidRPr="00B55821">
        <w:rPr>
          <w:rStyle w:val="FootnoteReference"/>
        </w:rPr>
        <w:footnoteRef/>
      </w:r>
      <w:r w:rsidRPr="00B55821">
        <w:t xml:space="preserve"> </w:t>
      </w:r>
      <w:r w:rsidR="005F7526" w:rsidRPr="00B55821">
        <w:t>The MARIPOSA Clinical Trial Protocol states that “Dose modifications should be recorded in the eCRF as close to the scheduled dosing day as possible, in accordance with the eCRF guidelines. A change to study treatment dosing (ie, withholding doses, change in dose, change in infusion rate), and the reason for the change, must be recorded in the eCRF. For withheld doses, the duration of withholding study treatment is to be recorded. Infusion rate must also be noted for each dose of amivantamab.</w:t>
      </w:r>
      <w:r w:rsidR="00195EC3" w:rsidRPr="00B558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364AF0F" w:rsidR="00D843F2" w:rsidRPr="00195452" w:rsidRDefault="003F55F1" w:rsidP="00D822E2">
    <w:pPr>
      <w:pStyle w:val="Header"/>
      <w:rPr>
        <w:rFonts w:asciiTheme="minorHAnsi" w:hAnsiTheme="minorHAnsi"/>
        <w:i w:val="0"/>
        <w:color w:val="808080"/>
      </w:rPr>
    </w:pPr>
    <w:r w:rsidRPr="003F55F1">
      <w:rPr>
        <w:rFonts w:asciiTheme="minorHAnsi" w:hAnsiTheme="minorHAnsi"/>
        <w:color w:val="808080"/>
      </w:rPr>
      <w:t xml:space="preserve">Public Summary Document </w:t>
    </w:r>
    <w:r w:rsidR="00F95043">
      <w:rPr>
        <w:rFonts w:asciiTheme="minorHAnsi" w:hAnsiTheme="minorHAnsi"/>
        <w:color w:val="808080"/>
      </w:rPr>
      <w:t xml:space="preserve">– </w:t>
    </w:r>
    <w:r w:rsidR="00CE0713">
      <w:rPr>
        <w:rFonts w:asciiTheme="minorHAnsi" w:hAnsiTheme="minorHAnsi"/>
        <w:color w:val="808080"/>
      </w:rPr>
      <w:t>March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10FB2DC7" w14:textId="77777777" w:rsidR="00BD7758" w:rsidRDefault="00BD77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90FFB"/>
    <w:multiLevelType w:val="hybridMultilevel"/>
    <w:tmpl w:val="F850991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05F35"/>
    <w:multiLevelType w:val="hybridMultilevel"/>
    <w:tmpl w:val="8078F80E"/>
    <w:lvl w:ilvl="0" w:tplc="F42868B0">
      <w:start w:val="1"/>
      <w:numFmt w:val="bullet"/>
      <w:lvlText w:val=""/>
      <w:lvlJc w:val="left"/>
      <w:pPr>
        <w:ind w:left="1260" w:hanging="360"/>
      </w:pPr>
      <w:rPr>
        <w:rFonts w:ascii="Symbol" w:hAnsi="Symbol"/>
      </w:rPr>
    </w:lvl>
    <w:lvl w:ilvl="1" w:tplc="A224BE52">
      <w:start w:val="1"/>
      <w:numFmt w:val="bullet"/>
      <w:lvlText w:val=""/>
      <w:lvlJc w:val="left"/>
      <w:pPr>
        <w:ind w:left="1260" w:hanging="360"/>
      </w:pPr>
      <w:rPr>
        <w:rFonts w:ascii="Symbol" w:hAnsi="Symbol"/>
      </w:rPr>
    </w:lvl>
    <w:lvl w:ilvl="2" w:tplc="F65E3F08">
      <w:start w:val="1"/>
      <w:numFmt w:val="bullet"/>
      <w:lvlText w:val=""/>
      <w:lvlJc w:val="left"/>
      <w:pPr>
        <w:ind w:left="1260" w:hanging="360"/>
      </w:pPr>
      <w:rPr>
        <w:rFonts w:ascii="Symbol" w:hAnsi="Symbol"/>
      </w:rPr>
    </w:lvl>
    <w:lvl w:ilvl="3" w:tplc="8E1649B2">
      <w:start w:val="1"/>
      <w:numFmt w:val="bullet"/>
      <w:lvlText w:val=""/>
      <w:lvlJc w:val="left"/>
      <w:pPr>
        <w:ind w:left="1260" w:hanging="360"/>
      </w:pPr>
      <w:rPr>
        <w:rFonts w:ascii="Symbol" w:hAnsi="Symbol"/>
      </w:rPr>
    </w:lvl>
    <w:lvl w:ilvl="4" w:tplc="9050F4CE">
      <w:start w:val="1"/>
      <w:numFmt w:val="bullet"/>
      <w:lvlText w:val=""/>
      <w:lvlJc w:val="left"/>
      <w:pPr>
        <w:ind w:left="1260" w:hanging="360"/>
      </w:pPr>
      <w:rPr>
        <w:rFonts w:ascii="Symbol" w:hAnsi="Symbol"/>
      </w:rPr>
    </w:lvl>
    <w:lvl w:ilvl="5" w:tplc="23A02186">
      <w:start w:val="1"/>
      <w:numFmt w:val="bullet"/>
      <w:lvlText w:val=""/>
      <w:lvlJc w:val="left"/>
      <w:pPr>
        <w:ind w:left="1260" w:hanging="360"/>
      </w:pPr>
      <w:rPr>
        <w:rFonts w:ascii="Symbol" w:hAnsi="Symbol"/>
      </w:rPr>
    </w:lvl>
    <w:lvl w:ilvl="6" w:tplc="9CE8E558">
      <w:start w:val="1"/>
      <w:numFmt w:val="bullet"/>
      <w:lvlText w:val=""/>
      <w:lvlJc w:val="left"/>
      <w:pPr>
        <w:ind w:left="1260" w:hanging="360"/>
      </w:pPr>
      <w:rPr>
        <w:rFonts w:ascii="Symbol" w:hAnsi="Symbol"/>
      </w:rPr>
    </w:lvl>
    <w:lvl w:ilvl="7" w:tplc="270686D2">
      <w:start w:val="1"/>
      <w:numFmt w:val="bullet"/>
      <w:lvlText w:val=""/>
      <w:lvlJc w:val="left"/>
      <w:pPr>
        <w:ind w:left="1260" w:hanging="360"/>
      </w:pPr>
      <w:rPr>
        <w:rFonts w:ascii="Symbol" w:hAnsi="Symbol"/>
      </w:rPr>
    </w:lvl>
    <w:lvl w:ilvl="8" w:tplc="9F08A646">
      <w:start w:val="1"/>
      <w:numFmt w:val="bullet"/>
      <w:lvlText w:val=""/>
      <w:lvlJc w:val="left"/>
      <w:pPr>
        <w:ind w:left="1260" w:hanging="360"/>
      </w:pPr>
      <w:rPr>
        <w:rFonts w:ascii="Symbol" w:hAnsi="Symbol"/>
      </w:rPr>
    </w:lvl>
  </w:abstractNum>
  <w:abstractNum w:abstractNumId="6" w15:restartNumberingAfterBreak="0">
    <w:nsid w:val="12E47130"/>
    <w:multiLevelType w:val="hybridMultilevel"/>
    <w:tmpl w:val="C8621158"/>
    <w:lvl w:ilvl="0" w:tplc="0C090003">
      <w:start w:val="1"/>
      <w:numFmt w:val="bullet"/>
      <w:lvlText w:val="o"/>
      <w:lvlJc w:val="left"/>
      <w:pPr>
        <w:ind w:left="36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C17AFF"/>
    <w:multiLevelType w:val="hybridMultilevel"/>
    <w:tmpl w:val="54E0A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0F15A3"/>
    <w:multiLevelType w:val="hybridMultilevel"/>
    <w:tmpl w:val="6682E7E4"/>
    <w:lvl w:ilvl="0" w:tplc="9536D604">
      <w:start w:val="1"/>
      <w:numFmt w:val="bullet"/>
      <w:lvlText w:val=""/>
      <w:lvlJc w:val="left"/>
      <w:pPr>
        <w:ind w:left="720" w:hanging="360"/>
      </w:pPr>
      <w:rPr>
        <w:rFonts w:ascii="Symbol" w:hAnsi="Symbol"/>
      </w:rPr>
    </w:lvl>
    <w:lvl w:ilvl="1" w:tplc="19CAD18A">
      <w:start w:val="1"/>
      <w:numFmt w:val="bullet"/>
      <w:lvlText w:val=""/>
      <w:lvlJc w:val="left"/>
      <w:pPr>
        <w:ind w:left="720" w:hanging="360"/>
      </w:pPr>
      <w:rPr>
        <w:rFonts w:ascii="Symbol" w:hAnsi="Symbol"/>
      </w:rPr>
    </w:lvl>
    <w:lvl w:ilvl="2" w:tplc="5082DEFE">
      <w:start w:val="1"/>
      <w:numFmt w:val="bullet"/>
      <w:lvlText w:val=""/>
      <w:lvlJc w:val="left"/>
      <w:pPr>
        <w:ind w:left="720" w:hanging="360"/>
      </w:pPr>
      <w:rPr>
        <w:rFonts w:ascii="Symbol" w:hAnsi="Symbol"/>
      </w:rPr>
    </w:lvl>
    <w:lvl w:ilvl="3" w:tplc="564E4142">
      <w:start w:val="1"/>
      <w:numFmt w:val="bullet"/>
      <w:lvlText w:val=""/>
      <w:lvlJc w:val="left"/>
      <w:pPr>
        <w:ind w:left="720" w:hanging="360"/>
      </w:pPr>
      <w:rPr>
        <w:rFonts w:ascii="Symbol" w:hAnsi="Symbol"/>
      </w:rPr>
    </w:lvl>
    <w:lvl w:ilvl="4" w:tplc="E2BA7756">
      <w:start w:val="1"/>
      <w:numFmt w:val="bullet"/>
      <w:lvlText w:val=""/>
      <w:lvlJc w:val="left"/>
      <w:pPr>
        <w:ind w:left="720" w:hanging="360"/>
      </w:pPr>
      <w:rPr>
        <w:rFonts w:ascii="Symbol" w:hAnsi="Symbol"/>
      </w:rPr>
    </w:lvl>
    <w:lvl w:ilvl="5" w:tplc="A0464E46">
      <w:start w:val="1"/>
      <w:numFmt w:val="bullet"/>
      <w:lvlText w:val=""/>
      <w:lvlJc w:val="left"/>
      <w:pPr>
        <w:ind w:left="720" w:hanging="360"/>
      </w:pPr>
      <w:rPr>
        <w:rFonts w:ascii="Symbol" w:hAnsi="Symbol"/>
      </w:rPr>
    </w:lvl>
    <w:lvl w:ilvl="6" w:tplc="3BA47212">
      <w:start w:val="1"/>
      <w:numFmt w:val="bullet"/>
      <w:lvlText w:val=""/>
      <w:lvlJc w:val="left"/>
      <w:pPr>
        <w:ind w:left="720" w:hanging="360"/>
      </w:pPr>
      <w:rPr>
        <w:rFonts w:ascii="Symbol" w:hAnsi="Symbol"/>
      </w:rPr>
    </w:lvl>
    <w:lvl w:ilvl="7" w:tplc="B56EDAEC">
      <w:start w:val="1"/>
      <w:numFmt w:val="bullet"/>
      <w:lvlText w:val=""/>
      <w:lvlJc w:val="left"/>
      <w:pPr>
        <w:ind w:left="720" w:hanging="360"/>
      </w:pPr>
      <w:rPr>
        <w:rFonts w:ascii="Symbol" w:hAnsi="Symbol"/>
      </w:rPr>
    </w:lvl>
    <w:lvl w:ilvl="8" w:tplc="2AC41768">
      <w:start w:val="1"/>
      <w:numFmt w:val="bullet"/>
      <w:lvlText w:val=""/>
      <w:lvlJc w:val="left"/>
      <w:pPr>
        <w:ind w:left="720" w:hanging="360"/>
      </w:pPr>
      <w:rPr>
        <w:rFonts w:ascii="Symbol" w:hAnsi="Symbol"/>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B02D53"/>
    <w:multiLevelType w:val="multilevel"/>
    <w:tmpl w:val="065A1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46AD7"/>
    <w:multiLevelType w:val="hybridMultilevel"/>
    <w:tmpl w:val="B9987B64"/>
    <w:lvl w:ilvl="0" w:tplc="0C08CC08">
      <w:start w:val="1"/>
      <w:numFmt w:val="bullet"/>
      <w:pStyle w:val="ListParagraph"/>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096E0F"/>
    <w:multiLevelType w:val="hybridMultilevel"/>
    <w:tmpl w:val="0B9840A4"/>
    <w:lvl w:ilvl="0" w:tplc="4106E29C">
      <w:start w:val="1"/>
      <w:numFmt w:val="bullet"/>
      <w:lvlText w:val=""/>
      <w:lvlJc w:val="left"/>
      <w:pPr>
        <w:ind w:left="720" w:hanging="360"/>
      </w:pPr>
      <w:rPr>
        <w:rFonts w:ascii="Symbol" w:hAnsi="Symbol"/>
      </w:rPr>
    </w:lvl>
    <w:lvl w:ilvl="1" w:tplc="18E68C6A">
      <w:start w:val="1"/>
      <w:numFmt w:val="bullet"/>
      <w:lvlText w:val=""/>
      <w:lvlJc w:val="left"/>
      <w:pPr>
        <w:ind w:left="720" w:hanging="360"/>
      </w:pPr>
      <w:rPr>
        <w:rFonts w:ascii="Symbol" w:hAnsi="Symbol"/>
      </w:rPr>
    </w:lvl>
    <w:lvl w:ilvl="2" w:tplc="4530A970">
      <w:start w:val="1"/>
      <w:numFmt w:val="bullet"/>
      <w:lvlText w:val=""/>
      <w:lvlJc w:val="left"/>
      <w:pPr>
        <w:ind w:left="720" w:hanging="360"/>
      </w:pPr>
      <w:rPr>
        <w:rFonts w:ascii="Symbol" w:hAnsi="Symbol"/>
      </w:rPr>
    </w:lvl>
    <w:lvl w:ilvl="3" w:tplc="9B30E57A">
      <w:start w:val="1"/>
      <w:numFmt w:val="bullet"/>
      <w:lvlText w:val=""/>
      <w:lvlJc w:val="left"/>
      <w:pPr>
        <w:ind w:left="720" w:hanging="360"/>
      </w:pPr>
      <w:rPr>
        <w:rFonts w:ascii="Symbol" w:hAnsi="Symbol"/>
      </w:rPr>
    </w:lvl>
    <w:lvl w:ilvl="4" w:tplc="1AC2DAAC">
      <w:start w:val="1"/>
      <w:numFmt w:val="bullet"/>
      <w:lvlText w:val=""/>
      <w:lvlJc w:val="left"/>
      <w:pPr>
        <w:ind w:left="720" w:hanging="360"/>
      </w:pPr>
      <w:rPr>
        <w:rFonts w:ascii="Symbol" w:hAnsi="Symbol"/>
      </w:rPr>
    </w:lvl>
    <w:lvl w:ilvl="5" w:tplc="806C2916">
      <w:start w:val="1"/>
      <w:numFmt w:val="bullet"/>
      <w:lvlText w:val=""/>
      <w:lvlJc w:val="left"/>
      <w:pPr>
        <w:ind w:left="720" w:hanging="360"/>
      </w:pPr>
      <w:rPr>
        <w:rFonts w:ascii="Symbol" w:hAnsi="Symbol"/>
      </w:rPr>
    </w:lvl>
    <w:lvl w:ilvl="6" w:tplc="86CE14E0">
      <w:start w:val="1"/>
      <w:numFmt w:val="bullet"/>
      <w:lvlText w:val=""/>
      <w:lvlJc w:val="left"/>
      <w:pPr>
        <w:ind w:left="720" w:hanging="360"/>
      </w:pPr>
      <w:rPr>
        <w:rFonts w:ascii="Symbol" w:hAnsi="Symbol"/>
      </w:rPr>
    </w:lvl>
    <w:lvl w:ilvl="7" w:tplc="37F07E7E">
      <w:start w:val="1"/>
      <w:numFmt w:val="bullet"/>
      <w:lvlText w:val=""/>
      <w:lvlJc w:val="left"/>
      <w:pPr>
        <w:ind w:left="720" w:hanging="360"/>
      </w:pPr>
      <w:rPr>
        <w:rFonts w:ascii="Symbol" w:hAnsi="Symbol"/>
      </w:rPr>
    </w:lvl>
    <w:lvl w:ilvl="8" w:tplc="49FCCF14">
      <w:start w:val="1"/>
      <w:numFmt w:val="bullet"/>
      <w:lvlText w:val=""/>
      <w:lvlJc w:val="left"/>
      <w:pPr>
        <w:ind w:left="720" w:hanging="360"/>
      </w:pPr>
      <w:rPr>
        <w:rFonts w:ascii="Symbol" w:hAnsi="Symbol"/>
      </w:rPr>
    </w:lvl>
  </w:abstractNum>
  <w:abstractNum w:abstractNumId="16" w15:restartNumberingAfterBreak="0">
    <w:nsid w:val="3BA73568"/>
    <w:multiLevelType w:val="hybridMultilevel"/>
    <w:tmpl w:val="94783DFE"/>
    <w:lvl w:ilvl="0" w:tplc="6108DB88">
      <w:start w:val="1"/>
      <w:numFmt w:val="bullet"/>
      <w:lvlText w:val=""/>
      <w:lvlJc w:val="left"/>
      <w:pPr>
        <w:tabs>
          <w:tab w:val="num" w:pos="360"/>
        </w:tabs>
        <w:ind w:left="360" w:hanging="360"/>
      </w:pPr>
      <w:rPr>
        <w:rFonts w:ascii="Symbol" w:hAnsi="Symbol" w:hint="default"/>
      </w:rPr>
    </w:lvl>
    <w:lvl w:ilvl="1" w:tplc="BE020434">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C2342D"/>
    <w:multiLevelType w:val="hybridMultilevel"/>
    <w:tmpl w:val="D94A8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021875"/>
    <w:multiLevelType w:val="hybridMultilevel"/>
    <w:tmpl w:val="0F080608"/>
    <w:lvl w:ilvl="0" w:tplc="A5AC4620">
      <w:start w:val="1"/>
      <w:numFmt w:val="bullet"/>
      <w:lvlText w:val=""/>
      <w:lvlJc w:val="left"/>
      <w:pPr>
        <w:ind w:left="720" w:hanging="360"/>
      </w:pPr>
      <w:rPr>
        <w:rFonts w:ascii="Symbol" w:hAnsi="Symbol"/>
      </w:rPr>
    </w:lvl>
    <w:lvl w:ilvl="1" w:tplc="9A24CA10">
      <w:start w:val="1"/>
      <w:numFmt w:val="bullet"/>
      <w:lvlText w:val=""/>
      <w:lvlJc w:val="left"/>
      <w:pPr>
        <w:ind w:left="720" w:hanging="360"/>
      </w:pPr>
      <w:rPr>
        <w:rFonts w:ascii="Symbol" w:hAnsi="Symbol"/>
      </w:rPr>
    </w:lvl>
    <w:lvl w:ilvl="2" w:tplc="3C68F024">
      <w:start w:val="1"/>
      <w:numFmt w:val="bullet"/>
      <w:lvlText w:val=""/>
      <w:lvlJc w:val="left"/>
      <w:pPr>
        <w:ind w:left="720" w:hanging="360"/>
      </w:pPr>
      <w:rPr>
        <w:rFonts w:ascii="Symbol" w:hAnsi="Symbol"/>
      </w:rPr>
    </w:lvl>
    <w:lvl w:ilvl="3" w:tplc="22B4AC00">
      <w:start w:val="1"/>
      <w:numFmt w:val="bullet"/>
      <w:lvlText w:val=""/>
      <w:lvlJc w:val="left"/>
      <w:pPr>
        <w:ind w:left="720" w:hanging="360"/>
      </w:pPr>
      <w:rPr>
        <w:rFonts w:ascii="Symbol" w:hAnsi="Symbol"/>
      </w:rPr>
    </w:lvl>
    <w:lvl w:ilvl="4" w:tplc="FFAE4440">
      <w:start w:val="1"/>
      <w:numFmt w:val="bullet"/>
      <w:lvlText w:val=""/>
      <w:lvlJc w:val="left"/>
      <w:pPr>
        <w:ind w:left="720" w:hanging="360"/>
      </w:pPr>
      <w:rPr>
        <w:rFonts w:ascii="Symbol" w:hAnsi="Symbol"/>
      </w:rPr>
    </w:lvl>
    <w:lvl w:ilvl="5" w:tplc="D7BCF968">
      <w:start w:val="1"/>
      <w:numFmt w:val="bullet"/>
      <w:lvlText w:val=""/>
      <w:lvlJc w:val="left"/>
      <w:pPr>
        <w:ind w:left="720" w:hanging="360"/>
      </w:pPr>
      <w:rPr>
        <w:rFonts w:ascii="Symbol" w:hAnsi="Symbol"/>
      </w:rPr>
    </w:lvl>
    <w:lvl w:ilvl="6" w:tplc="C6962556">
      <w:start w:val="1"/>
      <w:numFmt w:val="bullet"/>
      <w:lvlText w:val=""/>
      <w:lvlJc w:val="left"/>
      <w:pPr>
        <w:ind w:left="720" w:hanging="360"/>
      </w:pPr>
      <w:rPr>
        <w:rFonts w:ascii="Symbol" w:hAnsi="Symbol"/>
      </w:rPr>
    </w:lvl>
    <w:lvl w:ilvl="7" w:tplc="CF3E1904">
      <w:start w:val="1"/>
      <w:numFmt w:val="bullet"/>
      <w:lvlText w:val=""/>
      <w:lvlJc w:val="left"/>
      <w:pPr>
        <w:ind w:left="720" w:hanging="360"/>
      </w:pPr>
      <w:rPr>
        <w:rFonts w:ascii="Symbol" w:hAnsi="Symbol"/>
      </w:rPr>
    </w:lvl>
    <w:lvl w:ilvl="8" w:tplc="29EEDF42">
      <w:start w:val="1"/>
      <w:numFmt w:val="bullet"/>
      <w:lvlText w:val=""/>
      <w:lvlJc w:val="left"/>
      <w:pPr>
        <w:ind w:left="720" w:hanging="360"/>
      </w:pPr>
      <w:rPr>
        <w:rFonts w:ascii="Symbol" w:hAnsi="Symbol"/>
      </w:rPr>
    </w:lvl>
  </w:abstractNum>
  <w:abstractNum w:abstractNumId="20" w15:restartNumberingAfterBreak="0">
    <w:nsid w:val="5150335C"/>
    <w:multiLevelType w:val="hybridMultilevel"/>
    <w:tmpl w:val="0642940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516E2E9C"/>
    <w:multiLevelType w:val="hybridMultilevel"/>
    <w:tmpl w:val="8FE6F7A2"/>
    <w:lvl w:ilvl="0" w:tplc="C73E2296">
      <w:start w:val="1"/>
      <w:numFmt w:val="bullet"/>
      <w:lvlText w:val=""/>
      <w:lvlJc w:val="left"/>
      <w:pPr>
        <w:ind w:left="720" w:hanging="360"/>
      </w:pPr>
      <w:rPr>
        <w:rFonts w:ascii="Symbol" w:hAnsi="Symbol"/>
      </w:rPr>
    </w:lvl>
    <w:lvl w:ilvl="1" w:tplc="5B42622E">
      <w:start w:val="1"/>
      <w:numFmt w:val="bullet"/>
      <w:lvlText w:val=""/>
      <w:lvlJc w:val="left"/>
      <w:pPr>
        <w:ind w:left="720" w:hanging="360"/>
      </w:pPr>
      <w:rPr>
        <w:rFonts w:ascii="Symbol" w:hAnsi="Symbol"/>
      </w:rPr>
    </w:lvl>
    <w:lvl w:ilvl="2" w:tplc="057EFBE8">
      <w:start w:val="1"/>
      <w:numFmt w:val="bullet"/>
      <w:lvlText w:val=""/>
      <w:lvlJc w:val="left"/>
      <w:pPr>
        <w:ind w:left="720" w:hanging="360"/>
      </w:pPr>
      <w:rPr>
        <w:rFonts w:ascii="Symbol" w:hAnsi="Symbol"/>
      </w:rPr>
    </w:lvl>
    <w:lvl w:ilvl="3" w:tplc="85E67244">
      <w:start w:val="1"/>
      <w:numFmt w:val="bullet"/>
      <w:lvlText w:val=""/>
      <w:lvlJc w:val="left"/>
      <w:pPr>
        <w:ind w:left="720" w:hanging="360"/>
      </w:pPr>
      <w:rPr>
        <w:rFonts w:ascii="Symbol" w:hAnsi="Symbol"/>
      </w:rPr>
    </w:lvl>
    <w:lvl w:ilvl="4" w:tplc="1CD0AA60">
      <w:start w:val="1"/>
      <w:numFmt w:val="bullet"/>
      <w:lvlText w:val=""/>
      <w:lvlJc w:val="left"/>
      <w:pPr>
        <w:ind w:left="720" w:hanging="360"/>
      </w:pPr>
      <w:rPr>
        <w:rFonts w:ascii="Symbol" w:hAnsi="Symbol"/>
      </w:rPr>
    </w:lvl>
    <w:lvl w:ilvl="5" w:tplc="B1EE83C8">
      <w:start w:val="1"/>
      <w:numFmt w:val="bullet"/>
      <w:lvlText w:val=""/>
      <w:lvlJc w:val="left"/>
      <w:pPr>
        <w:ind w:left="720" w:hanging="360"/>
      </w:pPr>
      <w:rPr>
        <w:rFonts w:ascii="Symbol" w:hAnsi="Symbol"/>
      </w:rPr>
    </w:lvl>
    <w:lvl w:ilvl="6" w:tplc="36907AE4">
      <w:start w:val="1"/>
      <w:numFmt w:val="bullet"/>
      <w:lvlText w:val=""/>
      <w:lvlJc w:val="left"/>
      <w:pPr>
        <w:ind w:left="720" w:hanging="360"/>
      </w:pPr>
      <w:rPr>
        <w:rFonts w:ascii="Symbol" w:hAnsi="Symbol"/>
      </w:rPr>
    </w:lvl>
    <w:lvl w:ilvl="7" w:tplc="2050E074">
      <w:start w:val="1"/>
      <w:numFmt w:val="bullet"/>
      <w:lvlText w:val=""/>
      <w:lvlJc w:val="left"/>
      <w:pPr>
        <w:ind w:left="720" w:hanging="360"/>
      </w:pPr>
      <w:rPr>
        <w:rFonts w:ascii="Symbol" w:hAnsi="Symbol"/>
      </w:rPr>
    </w:lvl>
    <w:lvl w:ilvl="8" w:tplc="5A504430">
      <w:start w:val="1"/>
      <w:numFmt w:val="bullet"/>
      <w:lvlText w:val=""/>
      <w:lvlJc w:val="left"/>
      <w:pPr>
        <w:ind w:left="720" w:hanging="360"/>
      </w:pPr>
      <w:rPr>
        <w:rFonts w:ascii="Symbol" w:hAnsi="Symbol"/>
      </w:rPr>
    </w:lvl>
  </w:abstractNum>
  <w:abstractNum w:abstractNumId="22" w15:restartNumberingAfterBreak="0">
    <w:nsid w:val="539F47C3"/>
    <w:multiLevelType w:val="hybridMultilevel"/>
    <w:tmpl w:val="6BF2A76E"/>
    <w:lvl w:ilvl="0" w:tplc="C2221706">
      <w:start w:val="1"/>
      <w:numFmt w:val="bullet"/>
      <w:lvlText w:val=""/>
      <w:lvlJc w:val="left"/>
      <w:pPr>
        <w:ind w:left="1260" w:hanging="360"/>
      </w:pPr>
      <w:rPr>
        <w:rFonts w:ascii="Symbol" w:hAnsi="Symbol"/>
      </w:rPr>
    </w:lvl>
    <w:lvl w:ilvl="1" w:tplc="B2446CF0">
      <w:start w:val="1"/>
      <w:numFmt w:val="bullet"/>
      <w:lvlText w:val=""/>
      <w:lvlJc w:val="left"/>
      <w:pPr>
        <w:ind w:left="1260" w:hanging="360"/>
      </w:pPr>
      <w:rPr>
        <w:rFonts w:ascii="Symbol" w:hAnsi="Symbol"/>
      </w:rPr>
    </w:lvl>
    <w:lvl w:ilvl="2" w:tplc="C18EE4AC">
      <w:start w:val="1"/>
      <w:numFmt w:val="bullet"/>
      <w:lvlText w:val=""/>
      <w:lvlJc w:val="left"/>
      <w:pPr>
        <w:ind w:left="1260" w:hanging="360"/>
      </w:pPr>
      <w:rPr>
        <w:rFonts w:ascii="Symbol" w:hAnsi="Symbol"/>
      </w:rPr>
    </w:lvl>
    <w:lvl w:ilvl="3" w:tplc="32A8D864">
      <w:start w:val="1"/>
      <w:numFmt w:val="bullet"/>
      <w:lvlText w:val=""/>
      <w:lvlJc w:val="left"/>
      <w:pPr>
        <w:ind w:left="1260" w:hanging="360"/>
      </w:pPr>
      <w:rPr>
        <w:rFonts w:ascii="Symbol" w:hAnsi="Symbol"/>
      </w:rPr>
    </w:lvl>
    <w:lvl w:ilvl="4" w:tplc="ED9AB694">
      <w:start w:val="1"/>
      <w:numFmt w:val="bullet"/>
      <w:lvlText w:val=""/>
      <w:lvlJc w:val="left"/>
      <w:pPr>
        <w:ind w:left="1260" w:hanging="360"/>
      </w:pPr>
      <w:rPr>
        <w:rFonts w:ascii="Symbol" w:hAnsi="Symbol"/>
      </w:rPr>
    </w:lvl>
    <w:lvl w:ilvl="5" w:tplc="BB868484">
      <w:start w:val="1"/>
      <w:numFmt w:val="bullet"/>
      <w:lvlText w:val=""/>
      <w:lvlJc w:val="left"/>
      <w:pPr>
        <w:ind w:left="1260" w:hanging="360"/>
      </w:pPr>
      <w:rPr>
        <w:rFonts w:ascii="Symbol" w:hAnsi="Symbol"/>
      </w:rPr>
    </w:lvl>
    <w:lvl w:ilvl="6" w:tplc="1F06A0DE">
      <w:start w:val="1"/>
      <w:numFmt w:val="bullet"/>
      <w:lvlText w:val=""/>
      <w:lvlJc w:val="left"/>
      <w:pPr>
        <w:ind w:left="1260" w:hanging="360"/>
      </w:pPr>
      <w:rPr>
        <w:rFonts w:ascii="Symbol" w:hAnsi="Symbol"/>
      </w:rPr>
    </w:lvl>
    <w:lvl w:ilvl="7" w:tplc="124C75A2">
      <w:start w:val="1"/>
      <w:numFmt w:val="bullet"/>
      <w:lvlText w:val=""/>
      <w:lvlJc w:val="left"/>
      <w:pPr>
        <w:ind w:left="1260" w:hanging="360"/>
      </w:pPr>
      <w:rPr>
        <w:rFonts w:ascii="Symbol" w:hAnsi="Symbol"/>
      </w:rPr>
    </w:lvl>
    <w:lvl w:ilvl="8" w:tplc="2B3027C8">
      <w:start w:val="1"/>
      <w:numFmt w:val="bullet"/>
      <w:lvlText w:val=""/>
      <w:lvlJc w:val="left"/>
      <w:pPr>
        <w:ind w:left="1260" w:hanging="360"/>
      </w:pPr>
      <w:rPr>
        <w:rFonts w:ascii="Symbol" w:hAnsi="Symbol"/>
      </w:rPr>
    </w:lvl>
  </w:abstractNum>
  <w:abstractNum w:abstractNumId="23" w15:restartNumberingAfterBreak="0">
    <w:nsid w:val="54E06D8B"/>
    <w:multiLevelType w:val="hybridMultilevel"/>
    <w:tmpl w:val="5DBA0C08"/>
    <w:lvl w:ilvl="0" w:tplc="0C090001">
      <w:start w:val="1"/>
      <w:numFmt w:val="bullet"/>
      <w:lvlText w:val=""/>
      <w:lvlJc w:val="left"/>
      <w:pPr>
        <w:ind w:left="1480" w:hanging="360"/>
      </w:pPr>
      <w:rPr>
        <w:rFonts w:ascii="Symbol" w:hAnsi="Symbol"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785CEB"/>
    <w:multiLevelType w:val="hybridMultilevel"/>
    <w:tmpl w:val="9ACE6B70"/>
    <w:lvl w:ilvl="0" w:tplc="0C090003">
      <w:start w:val="1"/>
      <w:numFmt w:val="bullet"/>
      <w:lvlText w:val="o"/>
      <w:lvlJc w:val="left"/>
      <w:pPr>
        <w:ind w:left="360" w:hanging="360"/>
      </w:pPr>
      <w:rPr>
        <w:rFonts w:ascii="Courier New" w:hAnsi="Courier New" w:cs="Courier New"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5E265CD"/>
    <w:multiLevelType w:val="hybridMultilevel"/>
    <w:tmpl w:val="5A04E92C"/>
    <w:lvl w:ilvl="0" w:tplc="CF7EAD50">
      <w:start w:val="1"/>
      <w:numFmt w:val="lowerLetter"/>
      <w:lvlText w:val="%1."/>
      <w:lvlJc w:val="left"/>
      <w:pPr>
        <w:ind w:left="1146" w:hanging="360"/>
      </w:pPr>
      <w:rPr>
        <w:i w:val="0"/>
        <w:iCs w: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1" w15:restartNumberingAfterBreak="0">
    <w:nsid w:val="66551631"/>
    <w:multiLevelType w:val="hybridMultilevel"/>
    <w:tmpl w:val="0B74D0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6A352EC"/>
    <w:multiLevelType w:val="hybridMultilevel"/>
    <w:tmpl w:val="A7284E2E"/>
    <w:lvl w:ilvl="0" w:tplc="F578C33A">
      <w:start w:val="1"/>
      <w:numFmt w:val="bullet"/>
      <w:pStyle w:val="Tablebullet"/>
      <w:lvlText w:val=""/>
      <w:lvlJc w:val="left"/>
      <w:pPr>
        <w:ind w:left="360" w:hanging="360"/>
      </w:pPr>
      <w:rPr>
        <w:rFonts w:ascii="Symbol" w:hAnsi="Symbol" w:hint="default"/>
        <w:b w:val="0"/>
        <w:i w:val="0"/>
        <w:caps w:val="0"/>
        <w:strike w:val="0"/>
        <w:dstrike w:val="0"/>
        <w:vanish w:val="0"/>
        <w:color w:val="FFFFFF" w:themeColor="background1"/>
        <w:sz w:val="20"/>
        <w:szCs w:val="20"/>
        <w:u w:val="none" w:color="FFFFFF"/>
        <w:vertAlign w:val="baseline"/>
      </w:rPr>
    </w:lvl>
    <w:lvl w:ilvl="1" w:tplc="C40EFE8A">
      <w:start w:val="1"/>
      <w:numFmt w:val="bullet"/>
      <w:pStyle w:val="TablebulletL2"/>
      <w:lvlText w:val="o"/>
      <w:lvlJc w:val="left"/>
      <w:pPr>
        <w:ind w:left="-725"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5B359E"/>
    <w:multiLevelType w:val="hybridMultilevel"/>
    <w:tmpl w:val="373A23FE"/>
    <w:lvl w:ilvl="0" w:tplc="10DC1432">
      <w:start w:val="1"/>
      <w:numFmt w:val="bullet"/>
      <w:lvlText w:val=""/>
      <w:lvlJc w:val="left"/>
      <w:pPr>
        <w:ind w:left="1260" w:hanging="360"/>
      </w:pPr>
      <w:rPr>
        <w:rFonts w:ascii="Symbol" w:hAnsi="Symbol"/>
      </w:rPr>
    </w:lvl>
    <w:lvl w:ilvl="1" w:tplc="0A0CB4CE">
      <w:start w:val="1"/>
      <w:numFmt w:val="bullet"/>
      <w:lvlText w:val=""/>
      <w:lvlJc w:val="left"/>
      <w:pPr>
        <w:ind w:left="1260" w:hanging="360"/>
      </w:pPr>
      <w:rPr>
        <w:rFonts w:ascii="Symbol" w:hAnsi="Symbol"/>
      </w:rPr>
    </w:lvl>
    <w:lvl w:ilvl="2" w:tplc="E2C8C18C">
      <w:start w:val="1"/>
      <w:numFmt w:val="bullet"/>
      <w:lvlText w:val=""/>
      <w:lvlJc w:val="left"/>
      <w:pPr>
        <w:ind w:left="1260" w:hanging="360"/>
      </w:pPr>
      <w:rPr>
        <w:rFonts w:ascii="Symbol" w:hAnsi="Symbol"/>
      </w:rPr>
    </w:lvl>
    <w:lvl w:ilvl="3" w:tplc="B65EDF46">
      <w:start w:val="1"/>
      <w:numFmt w:val="bullet"/>
      <w:lvlText w:val=""/>
      <w:lvlJc w:val="left"/>
      <w:pPr>
        <w:ind w:left="1260" w:hanging="360"/>
      </w:pPr>
      <w:rPr>
        <w:rFonts w:ascii="Symbol" w:hAnsi="Symbol"/>
      </w:rPr>
    </w:lvl>
    <w:lvl w:ilvl="4" w:tplc="3F003E3C">
      <w:start w:val="1"/>
      <w:numFmt w:val="bullet"/>
      <w:lvlText w:val=""/>
      <w:lvlJc w:val="left"/>
      <w:pPr>
        <w:ind w:left="1260" w:hanging="360"/>
      </w:pPr>
      <w:rPr>
        <w:rFonts w:ascii="Symbol" w:hAnsi="Symbol"/>
      </w:rPr>
    </w:lvl>
    <w:lvl w:ilvl="5" w:tplc="FA74F0DC">
      <w:start w:val="1"/>
      <w:numFmt w:val="bullet"/>
      <w:lvlText w:val=""/>
      <w:lvlJc w:val="left"/>
      <w:pPr>
        <w:ind w:left="1260" w:hanging="360"/>
      </w:pPr>
      <w:rPr>
        <w:rFonts w:ascii="Symbol" w:hAnsi="Symbol"/>
      </w:rPr>
    </w:lvl>
    <w:lvl w:ilvl="6" w:tplc="D5B64098">
      <w:start w:val="1"/>
      <w:numFmt w:val="bullet"/>
      <w:lvlText w:val=""/>
      <w:lvlJc w:val="left"/>
      <w:pPr>
        <w:ind w:left="1260" w:hanging="360"/>
      </w:pPr>
      <w:rPr>
        <w:rFonts w:ascii="Symbol" w:hAnsi="Symbol"/>
      </w:rPr>
    </w:lvl>
    <w:lvl w:ilvl="7" w:tplc="6D9A2586">
      <w:start w:val="1"/>
      <w:numFmt w:val="bullet"/>
      <w:lvlText w:val=""/>
      <w:lvlJc w:val="left"/>
      <w:pPr>
        <w:ind w:left="1260" w:hanging="360"/>
      </w:pPr>
      <w:rPr>
        <w:rFonts w:ascii="Symbol" w:hAnsi="Symbol"/>
      </w:rPr>
    </w:lvl>
    <w:lvl w:ilvl="8" w:tplc="05EA444C">
      <w:start w:val="1"/>
      <w:numFmt w:val="bullet"/>
      <w:lvlText w:val=""/>
      <w:lvlJc w:val="left"/>
      <w:pPr>
        <w:ind w:left="1260" w:hanging="360"/>
      </w:pPr>
      <w:rPr>
        <w:rFonts w:ascii="Symbol" w:hAnsi="Symbol"/>
      </w:rPr>
    </w:lvl>
  </w:abstractNum>
  <w:abstractNum w:abstractNumId="3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4F6F20"/>
    <w:multiLevelType w:val="hybridMultilevel"/>
    <w:tmpl w:val="F140AA62"/>
    <w:lvl w:ilvl="0" w:tplc="EC9C9CF4">
      <w:start w:val="1"/>
      <w:numFmt w:val="bullet"/>
      <w:lvlText w:val=""/>
      <w:lvlJc w:val="left"/>
      <w:pPr>
        <w:ind w:left="1260" w:hanging="360"/>
      </w:pPr>
      <w:rPr>
        <w:rFonts w:ascii="Symbol" w:hAnsi="Symbol"/>
      </w:rPr>
    </w:lvl>
    <w:lvl w:ilvl="1" w:tplc="CC2422B8">
      <w:start w:val="1"/>
      <w:numFmt w:val="bullet"/>
      <w:lvlText w:val=""/>
      <w:lvlJc w:val="left"/>
      <w:pPr>
        <w:ind w:left="1260" w:hanging="360"/>
      </w:pPr>
      <w:rPr>
        <w:rFonts w:ascii="Symbol" w:hAnsi="Symbol"/>
      </w:rPr>
    </w:lvl>
    <w:lvl w:ilvl="2" w:tplc="533800D8">
      <w:start w:val="1"/>
      <w:numFmt w:val="bullet"/>
      <w:lvlText w:val=""/>
      <w:lvlJc w:val="left"/>
      <w:pPr>
        <w:ind w:left="1260" w:hanging="360"/>
      </w:pPr>
      <w:rPr>
        <w:rFonts w:ascii="Symbol" w:hAnsi="Symbol"/>
      </w:rPr>
    </w:lvl>
    <w:lvl w:ilvl="3" w:tplc="95742D8A">
      <w:start w:val="1"/>
      <w:numFmt w:val="bullet"/>
      <w:lvlText w:val=""/>
      <w:lvlJc w:val="left"/>
      <w:pPr>
        <w:ind w:left="1260" w:hanging="360"/>
      </w:pPr>
      <w:rPr>
        <w:rFonts w:ascii="Symbol" w:hAnsi="Symbol"/>
      </w:rPr>
    </w:lvl>
    <w:lvl w:ilvl="4" w:tplc="6076042C">
      <w:start w:val="1"/>
      <w:numFmt w:val="bullet"/>
      <w:lvlText w:val=""/>
      <w:lvlJc w:val="left"/>
      <w:pPr>
        <w:ind w:left="1260" w:hanging="360"/>
      </w:pPr>
      <w:rPr>
        <w:rFonts w:ascii="Symbol" w:hAnsi="Symbol"/>
      </w:rPr>
    </w:lvl>
    <w:lvl w:ilvl="5" w:tplc="7FB25FE2">
      <w:start w:val="1"/>
      <w:numFmt w:val="bullet"/>
      <w:lvlText w:val=""/>
      <w:lvlJc w:val="left"/>
      <w:pPr>
        <w:ind w:left="1260" w:hanging="360"/>
      </w:pPr>
      <w:rPr>
        <w:rFonts w:ascii="Symbol" w:hAnsi="Symbol"/>
      </w:rPr>
    </w:lvl>
    <w:lvl w:ilvl="6" w:tplc="F7FAC1A8">
      <w:start w:val="1"/>
      <w:numFmt w:val="bullet"/>
      <w:lvlText w:val=""/>
      <w:lvlJc w:val="left"/>
      <w:pPr>
        <w:ind w:left="1260" w:hanging="360"/>
      </w:pPr>
      <w:rPr>
        <w:rFonts w:ascii="Symbol" w:hAnsi="Symbol"/>
      </w:rPr>
    </w:lvl>
    <w:lvl w:ilvl="7" w:tplc="C842152C">
      <w:start w:val="1"/>
      <w:numFmt w:val="bullet"/>
      <w:lvlText w:val=""/>
      <w:lvlJc w:val="left"/>
      <w:pPr>
        <w:ind w:left="1260" w:hanging="360"/>
      </w:pPr>
      <w:rPr>
        <w:rFonts w:ascii="Symbol" w:hAnsi="Symbol"/>
      </w:rPr>
    </w:lvl>
    <w:lvl w:ilvl="8" w:tplc="8A4E5080">
      <w:start w:val="1"/>
      <w:numFmt w:val="bullet"/>
      <w:lvlText w:val=""/>
      <w:lvlJc w:val="left"/>
      <w:pPr>
        <w:ind w:left="1260" w:hanging="360"/>
      </w:pPr>
      <w:rPr>
        <w:rFonts w:ascii="Symbol" w:hAnsi="Symbol"/>
      </w:rPr>
    </w:lvl>
  </w:abstractNum>
  <w:abstractNum w:abstractNumId="36"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39649C"/>
    <w:multiLevelType w:val="hybridMultilevel"/>
    <w:tmpl w:val="1264C4DC"/>
    <w:lvl w:ilvl="0" w:tplc="B6B84594">
      <w:start w:val="1"/>
      <w:numFmt w:val="bullet"/>
      <w:lvlText w:val=""/>
      <w:lvlJc w:val="left"/>
      <w:pPr>
        <w:ind w:left="1440" w:hanging="360"/>
      </w:pPr>
      <w:rPr>
        <w:rFonts w:ascii="Symbol" w:hAnsi="Symbol"/>
      </w:rPr>
    </w:lvl>
    <w:lvl w:ilvl="1" w:tplc="BF2EF762">
      <w:start w:val="1"/>
      <w:numFmt w:val="bullet"/>
      <w:lvlText w:val=""/>
      <w:lvlJc w:val="left"/>
      <w:pPr>
        <w:ind w:left="1440" w:hanging="360"/>
      </w:pPr>
      <w:rPr>
        <w:rFonts w:ascii="Symbol" w:hAnsi="Symbol"/>
      </w:rPr>
    </w:lvl>
    <w:lvl w:ilvl="2" w:tplc="371C814A">
      <w:start w:val="1"/>
      <w:numFmt w:val="bullet"/>
      <w:lvlText w:val=""/>
      <w:lvlJc w:val="left"/>
      <w:pPr>
        <w:ind w:left="1440" w:hanging="360"/>
      </w:pPr>
      <w:rPr>
        <w:rFonts w:ascii="Symbol" w:hAnsi="Symbol"/>
      </w:rPr>
    </w:lvl>
    <w:lvl w:ilvl="3" w:tplc="562E7340">
      <w:start w:val="1"/>
      <w:numFmt w:val="bullet"/>
      <w:lvlText w:val=""/>
      <w:lvlJc w:val="left"/>
      <w:pPr>
        <w:ind w:left="1440" w:hanging="360"/>
      </w:pPr>
      <w:rPr>
        <w:rFonts w:ascii="Symbol" w:hAnsi="Symbol"/>
      </w:rPr>
    </w:lvl>
    <w:lvl w:ilvl="4" w:tplc="C9183FDA">
      <w:start w:val="1"/>
      <w:numFmt w:val="bullet"/>
      <w:lvlText w:val=""/>
      <w:lvlJc w:val="left"/>
      <w:pPr>
        <w:ind w:left="1440" w:hanging="360"/>
      </w:pPr>
      <w:rPr>
        <w:rFonts w:ascii="Symbol" w:hAnsi="Symbol"/>
      </w:rPr>
    </w:lvl>
    <w:lvl w:ilvl="5" w:tplc="E02801CA">
      <w:start w:val="1"/>
      <w:numFmt w:val="bullet"/>
      <w:lvlText w:val=""/>
      <w:lvlJc w:val="left"/>
      <w:pPr>
        <w:ind w:left="1440" w:hanging="360"/>
      </w:pPr>
      <w:rPr>
        <w:rFonts w:ascii="Symbol" w:hAnsi="Symbol"/>
      </w:rPr>
    </w:lvl>
    <w:lvl w:ilvl="6" w:tplc="F5DCA970">
      <w:start w:val="1"/>
      <w:numFmt w:val="bullet"/>
      <w:lvlText w:val=""/>
      <w:lvlJc w:val="left"/>
      <w:pPr>
        <w:ind w:left="1440" w:hanging="360"/>
      </w:pPr>
      <w:rPr>
        <w:rFonts w:ascii="Symbol" w:hAnsi="Symbol"/>
      </w:rPr>
    </w:lvl>
    <w:lvl w:ilvl="7" w:tplc="A64647DA">
      <w:start w:val="1"/>
      <w:numFmt w:val="bullet"/>
      <w:lvlText w:val=""/>
      <w:lvlJc w:val="left"/>
      <w:pPr>
        <w:ind w:left="1440" w:hanging="360"/>
      </w:pPr>
      <w:rPr>
        <w:rFonts w:ascii="Symbol" w:hAnsi="Symbol"/>
      </w:rPr>
    </w:lvl>
    <w:lvl w:ilvl="8" w:tplc="FDAA3042">
      <w:start w:val="1"/>
      <w:numFmt w:val="bullet"/>
      <w:lvlText w:val=""/>
      <w:lvlJc w:val="left"/>
      <w:pPr>
        <w:ind w:left="1440" w:hanging="360"/>
      </w:pPr>
      <w:rPr>
        <w:rFonts w:ascii="Symbol" w:hAnsi="Symbol"/>
      </w:rPr>
    </w:lvl>
  </w:abstractNum>
  <w:abstractNum w:abstractNumId="38" w15:restartNumberingAfterBreak="0">
    <w:nsid w:val="79EC272B"/>
    <w:multiLevelType w:val="hybridMultilevel"/>
    <w:tmpl w:val="F0CEB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17793048">
    <w:abstractNumId w:val="18"/>
  </w:num>
  <w:num w:numId="2" w16cid:durableId="263461728">
    <w:abstractNumId w:val="0"/>
  </w:num>
  <w:num w:numId="3" w16cid:durableId="220360847">
    <w:abstractNumId w:val="29"/>
  </w:num>
  <w:num w:numId="4" w16cid:durableId="268196418">
    <w:abstractNumId w:val="14"/>
  </w:num>
  <w:num w:numId="5" w16cid:durableId="1048839230">
    <w:abstractNumId w:val="36"/>
  </w:num>
  <w:num w:numId="6" w16cid:durableId="1835298056">
    <w:abstractNumId w:val="27"/>
  </w:num>
  <w:num w:numId="7" w16cid:durableId="304313407">
    <w:abstractNumId w:val="16"/>
  </w:num>
  <w:num w:numId="8" w16cid:durableId="1516114538">
    <w:abstractNumId w:val="32"/>
  </w:num>
  <w:num w:numId="9" w16cid:durableId="1499078235">
    <w:abstractNumId w:val="38"/>
  </w:num>
  <w:num w:numId="10" w16cid:durableId="1238590012">
    <w:abstractNumId w:val="7"/>
  </w:num>
  <w:num w:numId="11" w16cid:durableId="1438450605">
    <w:abstractNumId w:val="17"/>
  </w:num>
  <w:num w:numId="12" w16cid:durableId="654380436">
    <w:abstractNumId w:val="10"/>
  </w:num>
  <w:num w:numId="13" w16cid:durableId="1855682155">
    <w:abstractNumId w:val="26"/>
  </w:num>
  <w:num w:numId="14" w16cid:durableId="79181773">
    <w:abstractNumId w:val="30"/>
  </w:num>
  <w:num w:numId="15" w16cid:durableId="2110083795">
    <w:abstractNumId w:val="14"/>
  </w:num>
  <w:num w:numId="16" w16cid:durableId="1660116426">
    <w:abstractNumId w:val="2"/>
  </w:num>
  <w:num w:numId="17" w16cid:durableId="185411036">
    <w:abstractNumId w:val="4"/>
  </w:num>
  <w:num w:numId="18" w16cid:durableId="408699874">
    <w:abstractNumId w:val="24"/>
  </w:num>
  <w:num w:numId="19" w16cid:durableId="1569418770">
    <w:abstractNumId w:val="3"/>
  </w:num>
  <w:num w:numId="20" w16cid:durableId="705176722">
    <w:abstractNumId w:val="1"/>
  </w:num>
  <w:num w:numId="21" w16cid:durableId="1926569401">
    <w:abstractNumId w:val="11"/>
  </w:num>
  <w:num w:numId="22" w16cid:durableId="1979457665">
    <w:abstractNumId w:val="12"/>
  </w:num>
  <w:num w:numId="23" w16cid:durableId="2038313566">
    <w:abstractNumId w:val="9"/>
  </w:num>
  <w:num w:numId="24" w16cid:durableId="129744317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997201">
    <w:abstractNumId w:val="34"/>
  </w:num>
  <w:num w:numId="26" w16cid:durableId="1779793034">
    <w:abstractNumId w:val="37"/>
  </w:num>
  <w:num w:numId="27" w16cid:durableId="16096617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6224065">
    <w:abstractNumId w:val="23"/>
  </w:num>
  <w:num w:numId="29" w16cid:durableId="861745857">
    <w:abstractNumId w:val="31"/>
  </w:num>
  <w:num w:numId="30" w16cid:durableId="993945836">
    <w:abstractNumId w:val="8"/>
  </w:num>
  <w:num w:numId="31" w16cid:durableId="721175808">
    <w:abstractNumId w:val="13"/>
  </w:num>
  <w:num w:numId="32" w16cid:durableId="1480343088">
    <w:abstractNumId w:val="13"/>
    <w:lvlOverride w:ilvl="1">
      <w:lvl w:ilvl="1">
        <w:numFmt w:val="bullet"/>
        <w:lvlText w:val=""/>
        <w:lvlJc w:val="left"/>
        <w:pPr>
          <w:tabs>
            <w:tab w:val="num" w:pos="1440"/>
          </w:tabs>
          <w:ind w:left="1440" w:hanging="360"/>
        </w:pPr>
        <w:rPr>
          <w:rFonts w:ascii="Symbol" w:hAnsi="Symbol" w:hint="default"/>
          <w:sz w:val="20"/>
        </w:rPr>
      </w:lvl>
    </w:lvlOverride>
  </w:num>
  <w:num w:numId="33" w16cid:durableId="1720858952">
    <w:abstractNumId w:val="25"/>
  </w:num>
  <w:num w:numId="34" w16cid:durableId="492913950">
    <w:abstractNumId w:val="6"/>
  </w:num>
  <w:num w:numId="35" w16cid:durableId="1937010720">
    <w:abstractNumId w:val="20"/>
  </w:num>
  <w:num w:numId="36" w16cid:durableId="1462186918">
    <w:abstractNumId w:val="22"/>
  </w:num>
  <w:num w:numId="37" w16cid:durableId="1218855056">
    <w:abstractNumId w:val="35"/>
  </w:num>
  <w:num w:numId="38" w16cid:durableId="1908563907">
    <w:abstractNumId w:val="15"/>
  </w:num>
  <w:num w:numId="39" w16cid:durableId="493834194">
    <w:abstractNumId w:val="5"/>
  </w:num>
  <w:num w:numId="40" w16cid:durableId="508376258">
    <w:abstractNumId w:val="21"/>
  </w:num>
  <w:num w:numId="41" w16cid:durableId="1230573947">
    <w:abstractNumId w:val="33"/>
  </w:num>
  <w:num w:numId="42" w16cid:durableId="933364207">
    <w:abstractNumId w:val="19"/>
  </w:num>
  <w:num w:numId="43" w16cid:durableId="2078166744">
    <w:abstractNumId w:val="36"/>
  </w:num>
  <w:num w:numId="44" w16cid:durableId="1632129284">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3F"/>
    <w:rsid w:val="0000058D"/>
    <w:rsid w:val="00000654"/>
    <w:rsid w:val="00000790"/>
    <w:rsid w:val="00000B31"/>
    <w:rsid w:val="00000CE2"/>
    <w:rsid w:val="00000D78"/>
    <w:rsid w:val="00000E2D"/>
    <w:rsid w:val="00000E35"/>
    <w:rsid w:val="00001080"/>
    <w:rsid w:val="0000110B"/>
    <w:rsid w:val="0000113B"/>
    <w:rsid w:val="000014AF"/>
    <w:rsid w:val="00001501"/>
    <w:rsid w:val="000015EB"/>
    <w:rsid w:val="0000165C"/>
    <w:rsid w:val="00001D50"/>
    <w:rsid w:val="00001D7A"/>
    <w:rsid w:val="00001F39"/>
    <w:rsid w:val="00001FA4"/>
    <w:rsid w:val="0000249F"/>
    <w:rsid w:val="000028C4"/>
    <w:rsid w:val="0000307C"/>
    <w:rsid w:val="00003499"/>
    <w:rsid w:val="000039B7"/>
    <w:rsid w:val="000039EC"/>
    <w:rsid w:val="00003D74"/>
    <w:rsid w:val="00003F7C"/>
    <w:rsid w:val="00004002"/>
    <w:rsid w:val="0000405C"/>
    <w:rsid w:val="0000421A"/>
    <w:rsid w:val="0000435D"/>
    <w:rsid w:val="0000437C"/>
    <w:rsid w:val="00004818"/>
    <w:rsid w:val="00004A77"/>
    <w:rsid w:val="00004F54"/>
    <w:rsid w:val="0000502D"/>
    <w:rsid w:val="000050AB"/>
    <w:rsid w:val="00005106"/>
    <w:rsid w:val="0000517A"/>
    <w:rsid w:val="000053BA"/>
    <w:rsid w:val="00005497"/>
    <w:rsid w:val="000054E7"/>
    <w:rsid w:val="000056B9"/>
    <w:rsid w:val="00005A7A"/>
    <w:rsid w:val="00005D9C"/>
    <w:rsid w:val="00005FFA"/>
    <w:rsid w:val="000060FC"/>
    <w:rsid w:val="0000638D"/>
    <w:rsid w:val="0000639A"/>
    <w:rsid w:val="00006B32"/>
    <w:rsid w:val="00006BA9"/>
    <w:rsid w:val="00006EDD"/>
    <w:rsid w:val="00007322"/>
    <w:rsid w:val="00007F1E"/>
    <w:rsid w:val="00007F6D"/>
    <w:rsid w:val="000101AA"/>
    <w:rsid w:val="0001078F"/>
    <w:rsid w:val="000107EF"/>
    <w:rsid w:val="000108D5"/>
    <w:rsid w:val="00011454"/>
    <w:rsid w:val="00011554"/>
    <w:rsid w:val="000119EF"/>
    <w:rsid w:val="00012655"/>
    <w:rsid w:val="00012690"/>
    <w:rsid w:val="00012AB8"/>
    <w:rsid w:val="00012B75"/>
    <w:rsid w:val="00012B95"/>
    <w:rsid w:val="00013247"/>
    <w:rsid w:val="00013352"/>
    <w:rsid w:val="00013579"/>
    <w:rsid w:val="000137AA"/>
    <w:rsid w:val="00013817"/>
    <w:rsid w:val="00013C21"/>
    <w:rsid w:val="00014403"/>
    <w:rsid w:val="000146CF"/>
    <w:rsid w:val="0001479C"/>
    <w:rsid w:val="00014BFE"/>
    <w:rsid w:val="00014F52"/>
    <w:rsid w:val="00015569"/>
    <w:rsid w:val="0001568D"/>
    <w:rsid w:val="00015886"/>
    <w:rsid w:val="00015A50"/>
    <w:rsid w:val="00015BE7"/>
    <w:rsid w:val="00015DAD"/>
    <w:rsid w:val="00015F22"/>
    <w:rsid w:val="00015FD1"/>
    <w:rsid w:val="000160B7"/>
    <w:rsid w:val="000161A0"/>
    <w:rsid w:val="000162EF"/>
    <w:rsid w:val="000163C7"/>
    <w:rsid w:val="000164EF"/>
    <w:rsid w:val="000165E2"/>
    <w:rsid w:val="00016903"/>
    <w:rsid w:val="0001690D"/>
    <w:rsid w:val="00016C14"/>
    <w:rsid w:val="00017058"/>
    <w:rsid w:val="0001751D"/>
    <w:rsid w:val="00017783"/>
    <w:rsid w:val="00017C66"/>
    <w:rsid w:val="00017E1B"/>
    <w:rsid w:val="00017FBA"/>
    <w:rsid w:val="000202FE"/>
    <w:rsid w:val="00020651"/>
    <w:rsid w:val="000207C9"/>
    <w:rsid w:val="000209FA"/>
    <w:rsid w:val="00020A2F"/>
    <w:rsid w:val="00020AC0"/>
    <w:rsid w:val="000210C1"/>
    <w:rsid w:val="000214A9"/>
    <w:rsid w:val="0002185D"/>
    <w:rsid w:val="00021AA7"/>
    <w:rsid w:val="00021BB9"/>
    <w:rsid w:val="00021CEB"/>
    <w:rsid w:val="00021E15"/>
    <w:rsid w:val="00021E3E"/>
    <w:rsid w:val="00022206"/>
    <w:rsid w:val="0002225F"/>
    <w:rsid w:val="00022354"/>
    <w:rsid w:val="00022612"/>
    <w:rsid w:val="000227B4"/>
    <w:rsid w:val="000227EB"/>
    <w:rsid w:val="00022DA5"/>
    <w:rsid w:val="00023763"/>
    <w:rsid w:val="00023905"/>
    <w:rsid w:val="000239EC"/>
    <w:rsid w:val="000246EF"/>
    <w:rsid w:val="00024870"/>
    <w:rsid w:val="00024CA2"/>
    <w:rsid w:val="00024DA0"/>
    <w:rsid w:val="00024EB5"/>
    <w:rsid w:val="000252C4"/>
    <w:rsid w:val="000259B2"/>
    <w:rsid w:val="00025B0F"/>
    <w:rsid w:val="00025CA6"/>
    <w:rsid w:val="00025EA8"/>
    <w:rsid w:val="00026160"/>
    <w:rsid w:val="0002673A"/>
    <w:rsid w:val="00026905"/>
    <w:rsid w:val="00026B48"/>
    <w:rsid w:val="0002718C"/>
    <w:rsid w:val="000274B8"/>
    <w:rsid w:val="00027735"/>
    <w:rsid w:val="0002776F"/>
    <w:rsid w:val="000279EE"/>
    <w:rsid w:val="00027A9B"/>
    <w:rsid w:val="00027D52"/>
    <w:rsid w:val="00030153"/>
    <w:rsid w:val="00030447"/>
    <w:rsid w:val="00030853"/>
    <w:rsid w:val="00030C8C"/>
    <w:rsid w:val="00030D4B"/>
    <w:rsid w:val="00030EA5"/>
    <w:rsid w:val="00030F5C"/>
    <w:rsid w:val="0003107F"/>
    <w:rsid w:val="000319C9"/>
    <w:rsid w:val="00031D4B"/>
    <w:rsid w:val="00031D70"/>
    <w:rsid w:val="00032204"/>
    <w:rsid w:val="00032595"/>
    <w:rsid w:val="000329DE"/>
    <w:rsid w:val="00032A76"/>
    <w:rsid w:val="00032B4B"/>
    <w:rsid w:val="00032CBF"/>
    <w:rsid w:val="000330D6"/>
    <w:rsid w:val="000332C3"/>
    <w:rsid w:val="00033432"/>
    <w:rsid w:val="000337F2"/>
    <w:rsid w:val="00033863"/>
    <w:rsid w:val="000339F6"/>
    <w:rsid w:val="00034043"/>
    <w:rsid w:val="000342A5"/>
    <w:rsid w:val="000344F4"/>
    <w:rsid w:val="00034542"/>
    <w:rsid w:val="000345CA"/>
    <w:rsid w:val="00034C33"/>
    <w:rsid w:val="00034C64"/>
    <w:rsid w:val="00035099"/>
    <w:rsid w:val="000359B0"/>
    <w:rsid w:val="00035B7F"/>
    <w:rsid w:val="00035DC0"/>
    <w:rsid w:val="0003634C"/>
    <w:rsid w:val="000363A8"/>
    <w:rsid w:val="00036523"/>
    <w:rsid w:val="00036829"/>
    <w:rsid w:val="00036A6B"/>
    <w:rsid w:val="00036EEE"/>
    <w:rsid w:val="000372A2"/>
    <w:rsid w:val="00040521"/>
    <w:rsid w:val="00040895"/>
    <w:rsid w:val="0004090A"/>
    <w:rsid w:val="00040DF2"/>
    <w:rsid w:val="00040FBE"/>
    <w:rsid w:val="000410A0"/>
    <w:rsid w:val="00041A98"/>
    <w:rsid w:val="00041FBA"/>
    <w:rsid w:val="0004276E"/>
    <w:rsid w:val="00042AB9"/>
    <w:rsid w:val="00042AF0"/>
    <w:rsid w:val="00042E00"/>
    <w:rsid w:val="00042F29"/>
    <w:rsid w:val="00043061"/>
    <w:rsid w:val="0004309F"/>
    <w:rsid w:val="000435EE"/>
    <w:rsid w:val="00043635"/>
    <w:rsid w:val="000436B3"/>
    <w:rsid w:val="00043725"/>
    <w:rsid w:val="00043C37"/>
    <w:rsid w:val="00043CE8"/>
    <w:rsid w:val="000445A7"/>
    <w:rsid w:val="000445EF"/>
    <w:rsid w:val="0004487B"/>
    <w:rsid w:val="00044A35"/>
    <w:rsid w:val="00044AD9"/>
    <w:rsid w:val="00044AF2"/>
    <w:rsid w:val="00044BD9"/>
    <w:rsid w:val="00045017"/>
    <w:rsid w:val="000456B4"/>
    <w:rsid w:val="000459DB"/>
    <w:rsid w:val="000459F6"/>
    <w:rsid w:val="00045A2B"/>
    <w:rsid w:val="00045B85"/>
    <w:rsid w:val="00046726"/>
    <w:rsid w:val="0004680C"/>
    <w:rsid w:val="0004698F"/>
    <w:rsid w:val="00046BD3"/>
    <w:rsid w:val="00046D64"/>
    <w:rsid w:val="00047061"/>
    <w:rsid w:val="0004729F"/>
    <w:rsid w:val="00047355"/>
    <w:rsid w:val="000476B6"/>
    <w:rsid w:val="00047BD5"/>
    <w:rsid w:val="000500D9"/>
    <w:rsid w:val="000503B5"/>
    <w:rsid w:val="00050585"/>
    <w:rsid w:val="000508C2"/>
    <w:rsid w:val="0005096F"/>
    <w:rsid w:val="00050A37"/>
    <w:rsid w:val="00051BDD"/>
    <w:rsid w:val="00051D02"/>
    <w:rsid w:val="00052049"/>
    <w:rsid w:val="0005269C"/>
    <w:rsid w:val="00052A31"/>
    <w:rsid w:val="00052A7A"/>
    <w:rsid w:val="00052AFF"/>
    <w:rsid w:val="00052CB9"/>
    <w:rsid w:val="0005302F"/>
    <w:rsid w:val="0005354B"/>
    <w:rsid w:val="000537A0"/>
    <w:rsid w:val="0005399D"/>
    <w:rsid w:val="000539D0"/>
    <w:rsid w:val="00054380"/>
    <w:rsid w:val="00054621"/>
    <w:rsid w:val="000546D7"/>
    <w:rsid w:val="00054741"/>
    <w:rsid w:val="00054A8D"/>
    <w:rsid w:val="00054E02"/>
    <w:rsid w:val="00054FB2"/>
    <w:rsid w:val="00055162"/>
    <w:rsid w:val="00055517"/>
    <w:rsid w:val="00055721"/>
    <w:rsid w:val="00055A35"/>
    <w:rsid w:val="00055CE3"/>
    <w:rsid w:val="00055D03"/>
    <w:rsid w:val="00055E67"/>
    <w:rsid w:val="00055ED5"/>
    <w:rsid w:val="0005608B"/>
    <w:rsid w:val="00056967"/>
    <w:rsid w:val="00056BAB"/>
    <w:rsid w:val="00056BAC"/>
    <w:rsid w:val="00056C1A"/>
    <w:rsid w:val="00056C4D"/>
    <w:rsid w:val="00056C83"/>
    <w:rsid w:val="00056E1B"/>
    <w:rsid w:val="00056E84"/>
    <w:rsid w:val="00056ECF"/>
    <w:rsid w:val="00056F7C"/>
    <w:rsid w:val="000571D1"/>
    <w:rsid w:val="000573BA"/>
    <w:rsid w:val="00057A88"/>
    <w:rsid w:val="000602D1"/>
    <w:rsid w:val="0006031C"/>
    <w:rsid w:val="000603A9"/>
    <w:rsid w:val="000604DF"/>
    <w:rsid w:val="00062324"/>
    <w:rsid w:val="00062348"/>
    <w:rsid w:val="0006268B"/>
    <w:rsid w:val="000627BC"/>
    <w:rsid w:val="00062836"/>
    <w:rsid w:val="000628CB"/>
    <w:rsid w:val="00062C99"/>
    <w:rsid w:val="00062CFF"/>
    <w:rsid w:val="00062D02"/>
    <w:rsid w:val="00062E4D"/>
    <w:rsid w:val="00062F50"/>
    <w:rsid w:val="00063078"/>
    <w:rsid w:val="00063233"/>
    <w:rsid w:val="0006344B"/>
    <w:rsid w:val="0006346E"/>
    <w:rsid w:val="0006385A"/>
    <w:rsid w:val="00063E1D"/>
    <w:rsid w:val="00063F19"/>
    <w:rsid w:val="00063F94"/>
    <w:rsid w:val="00064869"/>
    <w:rsid w:val="0006486A"/>
    <w:rsid w:val="00064BC3"/>
    <w:rsid w:val="00064F12"/>
    <w:rsid w:val="000653B5"/>
    <w:rsid w:val="00065573"/>
    <w:rsid w:val="00065A73"/>
    <w:rsid w:val="00065D22"/>
    <w:rsid w:val="00065EEC"/>
    <w:rsid w:val="00065EF5"/>
    <w:rsid w:val="00066360"/>
    <w:rsid w:val="00066580"/>
    <w:rsid w:val="000668B9"/>
    <w:rsid w:val="000668E1"/>
    <w:rsid w:val="00066AE0"/>
    <w:rsid w:val="00066AF8"/>
    <w:rsid w:val="00066D90"/>
    <w:rsid w:val="0006748E"/>
    <w:rsid w:val="000674A9"/>
    <w:rsid w:val="000677E4"/>
    <w:rsid w:val="00067BA1"/>
    <w:rsid w:val="0007022C"/>
    <w:rsid w:val="0007025C"/>
    <w:rsid w:val="00070B0D"/>
    <w:rsid w:val="00071121"/>
    <w:rsid w:val="00071248"/>
    <w:rsid w:val="000712BF"/>
    <w:rsid w:val="000718D9"/>
    <w:rsid w:val="00071EA0"/>
    <w:rsid w:val="00071EE8"/>
    <w:rsid w:val="00072038"/>
    <w:rsid w:val="000720B9"/>
    <w:rsid w:val="000721B1"/>
    <w:rsid w:val="0007233B"/>
    <w:rsid w:val="00072445"/>
    <w:rsid w:val="0007285A"/>
    <w:rsid w:val="0007289A"/>
    <w:rsid w:val="0007295A"/>
    <w:rsid w:val="00072A84"/>
    <w:rsid w:val="00072AC9"/>
    <w:rsid w:val="00072E9A"/>
    <w:rsid w:val="00072F6A"/>
    <w:rsid w:val="00073031"/>
    <w:rsid w:val="000736C0"/>
    <w:rsid w:val="00073765"/>
    <w:rsid w:val="000737F7"/>
    <w:rsid w:val="00073D50"/>
    <w:rsid w:val="00074051"/>
    <w:rsid w:val="00074070"/>
    <w:rsid w:val="00074686"/>
    <w:rsid w:val="00074697"/>
    <w:rsid w:val="00074779"/>
    <w:rsid w:val="000748AD"/>
    <w:rsid w:val="000749BE"/>
    <w:rsid w:val="0007513E"/>
    <w:rsid w:val="000757AE"/>
    <w:rsid w:val="00075ACA"/>
    <w:rsid w:val="00075B26"/>
    <w:rsid w:val="00075BA8"/>
    <w:rsid w:val="00075BD3"/>
    <w:rsid w:val="00075D11"/>
    <w:rsid w:val="00076160"/>
    <w:rsid w:val="0007672F"/>
    <w:rsid w:val="00076B54"/>
    <w:rsid w:val="00076C5D"/>
    <w:rsid w:val="00076CA0"/>
    <w:rsid w:val="00076F05"/>
    <w:rsid w:val="00077045"/>
    <w:rsid w:val="000770BA"/>
    <w:rsid w:val="000770C0"/>
    <w:rsid w:val="000774F0"/>
    <w:rsid w:val="0007753D"/>
    <w:rsid w:val="00077A63"/>
    <w:rsid w:val="00077A7C"/>
    <w:rsid w:val="00077D3D"/>
    <w:rsid w:val="00080256"/>
    <w:rsid w:val="000806DE"/>
    <w:rsid w:val="00080909"/>
    <w:rsid w:val="00081074"/>
    <w:rsid w:val="000812CA"/>
    <w:rsid w:val="00081B19"/>
    <w:rsid w:val="00081E63"/>
    <w:rsid w:val="0008201C"/>
    <w:rsid w:val="00082238"/>
    <w:rsid w:val="00082391"/>
    <w:rsid w:val="0008258D"/>
    <w:rsid w:val="000826E8"/>
    <w:rsid w:val="000827D0"/>
    <w:rsid w:val="00082875"/>
    <w:rsid w:val="00082979"/>
    <w:rsid w:val="00082DDD"/>
    <w:rsid w:val="00083007"/>
    <w:rsid w:val="000833AB"/>
    <w:rsid w:val="000836BC"/>
    <w:rsid w:val="00083D31"/>
    <w:rsid w:val="00083E99"/>
    <w:rsid w:val="000846FE"/>
    <w:rsid w:val="0008493F"/>
    <w:rsid w:val="00084AC7"/>
    <w:rsid w:val="00084C0B"/>
    <w:rsid w:val="00084E8D"/>
    <w:rsid w:val="00084FA8"/>
    <w:rsid w:val="00085662"/>
    <w:rsid w:val="000856C5"/>
    <w:rsid w:val="000857C9"/>
    <w:rsid w:val="00085908"/>
    <w:rsid w:val="00085C31"/>
    <w:rsid w:val="00085E2D"/>
    <w:rsid w:val="000863D2"/>
    <w:rsid w:val="00086F00"/>
    <w:rsid w:val="0008701B"/>
    <w:rsid w:val="00087A03"/>
    <w:rsid w:val="00087C69"/>
    <w:rsid w:val="00087DDD"/>
    <w:rsid w:val="00087E91"/>
    <w:rsid w:val="000902D9"/>
    <w:rsid w:val="000903D2"/>
    <w:rsid w:val="00090B46"/>
    <w:rsid w:val="00090C7E"/>
    <w:rsid w:val="00090FB3"/>
    <w:rsid w:val="0009118A"/>
    <w:rsid w:val="000911AC"/>
    <w:rsid w:val="00091C1F"/>
    <w:rsid w:val="00091D8F"/>
    <w:rsid w:val="0009201B"/>
    <w:rsid w:val="00092600"/>
    <w:rsid w:val="0009262B"/>
    <w:rsid w:val="00092694"/>
    <w:rsid w:val="00092ADD"/>
    <w:rsid w:val="00093310"/>
    <w:rsid w:val="000934B8"/>
    <w:rsid w:val="00093669"/>
    <w:rsid w:val="0009376A"/>
    <w:rsid w:val="000939AD"/>
    <w:rsid w:val="00093C48"/>
    <w:rsid w:val="00093CE3"/>
    <w:rsid w:val="00093D95"/>
    <w:rsid w:val="00094402"/>
    <w:rsid w:val="0009445C"/>
    <w:rsid w:val="00094673"/>
    <w:rsid w:val="000947D3"/>
    <w:rsid w:val="000948D9"/>
    <w:rsid w:val="00094C7E"/>
    <w:rsid w:val="00094F10"/>
    <w:rsid w:val="00095200"/>
    <w:rsid w:val="00095F9B"/>
    <w:rsid w:val="00095FE5"/>
    <w:rsid w:val="00096284"/>
    <w:rsid w:val="00096738"/>
    <w:rsid w:val="00096C36"/>
    <w:rsid w:val="000970EF"/>
    <w:rsid w:val="000978E5"/>
    <w:rsid w:val="00097FB8"/>
    <w:rsid w:val="00097FEA"/>
    <w:rsid w:val="000A048B"/>
    <w:rsid w:val="000A0599"/>
    <w:rsid w:val="000A0729"/>
    <w:rsid w:val="000A0A21"/>
    <w:rsid w:val="000A0C4A"/>
    <w:rsid w:val="000A0E5C"/>
    <w:rsid w:val="000A1237"/>
    <w:rsid w:val="000A188E"/>
    <w:rsid w:val="000A1964"/>
    <w:rsid w:val="000A1AAB"/>
    <w:rsid w:val="000A1AEB"/>
    <w:rsid w:val="000A1BC0"/>
    <w:rsid w:val="000A1CF0"/>
    <w:rsid w:val="000A2177"/>
    <w:rsid w:val="000A2299"/>
    <w:rsid w:val="000A26A1"/>
    <w:rsid w:val="000A275E"/>
    <w:rsid w:val="000A28C7"/>
    <w:rsid w:val="000A2A21"/>
    <w:rsid w:val="000A2D90"/>
    <w:rsid w:val="000A2F9E"/>
    <w:rsid w:val="000A3B1C"/>
    <w:rsid w:val="000A3D48"/>
    <w:rsid w:val="000A3DD8"/>
    <w:rsid w:val="000A3E47"/>
    <w:rsid w:val="000A498A"/>
    <w:rsid w:val="000A4B5D"/>
    <w:rsid w:val="000A4E63"/>
    <w:rsid w:val="000A522B"/>
    <w:rsid w:val="000A525C"/>
    <w:rsid w:val="000A5ABF"/>
    <w:rsid w:val="000A5B9A"/>
    <w:rsid w:val="000A5CB8"/>
    <w:rsid w:val="000A6039"/>
    <w:rsid w:val="000A630C"/>
    <w:rsid w:val="000A67C5"/>
    <w:rsid w:val="000A6B55"/>
    <w:rsid w:val="000A6B83"/>
    <w:rsid w:val="000A6EBE"/>
    <w:rsid w:val="000A71FC"/>
    <w:rsid w:val="000A7453"/>
    <w:rsid w:val="000A79DA"/>
    <w:rsid w:val="000A7D08"/>
    <w:rsid w:val="000A7DDD"/>
    <w:rsid w:val="000B00E8"/>
    <w:rsid w:val="000B0121"/>
    <w:rsid w:val="000B0670"/>
    <w:rsid w:val="000B0E75"/>
    <w:rsid w:val="000B100F"/>
    <w:rsid w:val="000B13D2"/>
    <w:rsid w:val="000B1816"/>
    <w:rsid w:val="000B1945"/>
    <w:rsid w:val="000B1965"/>
    <w:rsid w:val="000B1D5F"/>
    <w:rsid w:val="000B2094"/>
    <w:rsid w:val="000B210C"/>
    <w:rsid w:val="000B211F"/>
    <w:rsid w:val="000B21A4"/>
    <w:rsid w:val="000B2222"/>
    <w:rsid w:val="000B2622"/>
    <w:rsid w:val="000B271F"/>
    <w:rsid w:val="000B2926"/>
    <w:rsid w:val="000B2B40"/>
    <w:rsid w:val="000B2C65"/>
    <w:rsid w:val="000B2DCB"/>
    <w:rsid w:val="000B3A3E"/>
    <w:rsid w:val="000B3F52"/>
    <w:rsid w:val="000B4055"/>
    <w:rsid w:val="000B42A4"/>
    <w:rsid w:val="000B50AD"/>
    <w:rsid w:val="000B51FA"/>
    <w:rsid w:val="000B5334"/>
    <w:rsid w:val="000B582F"/>
    <w:rsid w:val="000B58CE"/>
    <w:rsid w:val="000B59E3"/>
    <w:rsid w:val="000B5C9E"/>
    <w:rsid w:val="000B5CE0"/>
    <w:rsid w:val="000B5DCD"/>
    <w:rsid w:val="000B60A6"/>
    <w:rsid w:val="000B60C3"/>
    <w:rsid w:val="000B6567"/>
    <w:rsid w:val="000B68E1"/>
    <w:rsid w:val="000B694D"/>
    <w:rsid w:val="000B6CAC"/>
    <w:rsid w:val="000B6D93"/>
    <w:rsid w:val="000B7612"/>
    <w:rsid w:val="000B7828"/>
    <w:rsid w:val="000B7878"/>
    <w:rsid w:val="000B789A"/>
    <w:rsid w:val="000B78AE"/>
    <w:rsid w:val="000B798A"/>
    <w:rsid w:val="000B7995"/>
    <w:rsid w:val="000C0392"/>
    <w:rsid w:val="000C0457"/>
    <w:rsid w:val="000C0818"/>
    <w:rsid w:val="000C0A50"/>
    <w:rsid w:val="000C0B5E"/>
    <w:rsid w:val="000C0ECC"/>
    <w:rsid w:val="000C16B5"/>
    <w:rsid w:val="000C1D9C"/>
    <w:rsid w:val="000C2108"/>
    <w:rsid w:val="000C2199"/>
    <w:rsid w:val="000C256F"/>
    <w:rsid w:val="000C25BE"/>
    <w:rsid w:val="000C29A3"/>
    <w:rsid w:val="000C29E1"/>
    <w:rsid w:val="000C2D2A"/>
    <w:rsid w:val="000C3199"/>
    <w:rsid w:val="000C3253"/>
    <w:rsid w:val="000C3D2E"/>
    <w:rsid w:val="000C3DF9"/>
    <w:rsid w:val="000C4343"/>
    <w:rsid w:val="000C43CF"/>
    <w:rsid w:val="000C490D"/>
    <w:rsid w:val="000C49F4"/>
    <w:rsid w:val="000C4B5B"/>
    <w:rsid w:val="000C4CF2"/>
    <w:rsid w:val="000C4D04"/>
    <w:rsid w:val="000C4E5D"/>
    <w:rsid w:val="000C4FDA"/>
    <w:rsid w:val="000C502D"/>
    <w:rsid w:val="000C522C"/>
    <w:rsid w:val="000C5251"/>
    <w:rsid w:val="000C54AD"/>
    <w:rsid w:val="000C5D6A"/>
    <w:rsid w:val="000C615F"/>
    <w:rsid w:val="000C61BE"/>
    <w:rsid w:val="000C64CC"/>
    <w:rsid w:val="000C64EF"/>
    <w:rsid w:val="000C6713"/>
    <w:rsid w:val="000C6994"/>
    <w:rsid w:val="000C70B8"/>
    <w:rsid w:val="000C744C"/>
    <w:rsid w:val="000C7526"/>
    <w:rsid w:val="000C7561"/>
    <w:rsid w:val="000C76E4"/>
    <w:rsid w:val="000C7C47"/>
    <w:rsid w:val="000C7F16"/>
    <w:rsid w:val="000C7FF8"/>
    <w:rsid w:val="000D0072"/>
    <w:rsid w:val="000D013B"/>
    <w:rsid w:val="000D0497"/>
    <w:rsid w:val="000D0579"/>
    <w:rsid w:val="000D0CFB"/>
    <w:rsid w:val="000D0DC1"/>
    <w:rsid w:val="000D11A2"/>
    <w:rsid w:val="000D14E6"/>
    <w:rsid w:val="000D15A8"/>
    <w:rsid w:val="000D18B3"/>
    <w:rsid w:val="000D19C4"/>
    <w:rsid w:val="000D1B64"/>
    <w:rsid w:val="000D1BFC"/>
    <w:rsid w:val="000D1D5D"/>
    <w:rsid w:val="000D259F"/>
    <w:rsid w:val="000D2774"/>
    <w:rsid w:val="000D280C"/>
    <w:rsid w:val="000D281A"/>
    <w:rsid w:val="000D2848"/>
    <w:rsid w:val="000D2B41"/>
    <w:rsid w:val="000D326A"/>
    <w:rsid w:val="000D3918"/>
    <w:rsid w:val="000D3E1B"/>
    <w:rsid w:val="000D437B"/>
    <w:rsid w:val="000D4691"/>
    <w:rsid w:val="000D4970"/>
    <w:rsid w:val="000D4989"/>
    <w:rsid w:val="000D4C48"/>
    <w:rsid w:val="000D4D73"/>
    <w:rsid w:val="000D51FB"/>
    <w:rsid w:val="000D5209"/>
    <w:rsid w:val="000D531C"/>
    <w:rsid w:val="000D5327"/>
    <w:rsid w:val="000D55A1"/>
    <w:rsid w:val="000D58C1"/>
    <w:rsid w:val="000D5D64"/>
    <w:rsid w:val="000D6284"/>
    <w:rsid w:val="000D63B8"/>
    <w:rsid w:val="000D665F"/>
    <w:rsid w:val="000D66F6"/>
    <w:rsid w:val="000D6883"/>
    <w:rsid w:val="000D691D"/>
    <w:rsid w:val="000D6B4E"/>
    <w:rsid w:val="000D6C3B"/>
    <w:rsid w:val="000D719E"/>
    <w:rsid w:val="000D760C"/>
    <w:rsid w:val="000D797B"/>
    <w:rsid w:val="000E02EC"/>
    <w:rsid w:val="000E0323"/>
    <w:rsid w:val="000E034F"/>
    <w:rsid w:val="000E0594"/>
    <w:rsid w:val="000E0640"/>
    <w:rsid w:val="000E0A42"/>
    <w:rsid w:val="000E0D6E"/>
    <w:rsid w:val="000E135D"/>
    <w:rsid w:val="000E14E6"/>
    <w:rsid w:val="000E1501"/>
    <w:rsid w:val="000E15A7"/>
    <w:rsid w:val="000E15BE"/>
    <w:rsid w:val="000E1C36"/>
    <w:rsid w:val="000E1CCD"/>
    <w:rsid w:val="000E1D9F"/>
    <w:rsid w:val="000E1F97"/>
    <w:rsid w:val="000E22F2"/>
    <w:rsid w:val="000E2309"/>
    <w:rsid w:val="000E2713"/>
    <w:rsid w:val="000E3416"/>
    <w:rsid w:val="000E34D0"/>
    <w:rsid w:val="000E35CA"/>
    <w:rsid w:val="000E3F0B"/>
    <w:rsid w:val="000E40D4"/>
    <w:rsid w:val="000E4127"/>
    <w:rsid w:val="000E41D7"/>
    <w:rsid w:val="000E4355"/>
    <w:rsid w:val="000E45F0"/>
    <w:rsid w:val="000E4669"/>
    <w:rsid w:val="000E4941"/>
    <w:rsid w:val="000E50D8"/>
    <w:rsid w:val="000E52D7"/>
    <w:rsid w:val="000E5C06"/>
    <w:rsid w:val="000E5D8A"/>
    <w:rsid w:val="000E6049"/>
    <w:rsid w:val="000E6055"/>
    <w:rsid w:val="000E6D0C"/>
    <w:rsid w:val="000E7022"/>
    <w:rsid w:val="000E7469"/>
    <w:rsid w:val="000E79A6"/>
    <w:rsid w:val="000E7C17"/>
    <w:rsid w:val="000E7D4B"/>
    <w:rsid w:val="000E7DA4"/>
    <w:rsid w:val="000F00BA"/>
    <w:rsid w:val="000F0A6F"/>
    <w:rsid w:val="000F0A8C"/>
    <w:rsid w:val="000F0C41"/>
    <w:rsid w:val="000F1113"/>
    <w:rsid w:val="000F11C4"/>
    <w:rsid w:val="000F15DF"/>
    <w:rsid w:val="000F1833"/>
    <w:rsid w:val="000F19D9"/>
    <w:rsid w:val="000F1A7B"/>
    <w:rsid w:val="000F1B63"/>
    <w:rsid w:val="000F1D2C"/>
    <w:rsid w:val="000F2015"/>
    <w:rsid w:val="000F20E4"/>
    <w:rsid w:val="000F22AC"/>
    <w:rsid w:val="000F2336"/>
    <w:rsid w:val="000F2467"/>
    <w:rsid w:val="000F2532"/>
    <w:rsid w:val="000F2571"/>
    <w:rsid w:val="000F278A"/>
    <w:rsid w:val="000F2912"/>
    <w:rsid w:val="000F2E7E"/>
    <w:rsid w:val="000F316A"/>
    <w:rsid w:val="000F37F5"/>
    <w:rsid w:val="000F3A64"/>
    <w:rsid w:val="000F3C74"/>
    <w:rsid w:val="000F3E22"/>
    <w:rsid w:val="000F4059"/>
    <w:rsid w:val="000F42FC"/>
    <w:rsid w:val="000F4403"/>
    <w:rsid w:val="000F4BB8"/>
    <w:rsid w:val="000F4EF2"/>
    <w:rsid w:val="000F4FA9"/>
    <w:rsid w:val="000F517A"/>
    <w:rsid w:val="000F52B0"/>
    <w:rsid w:val="000F53FB"/>
    <w:rsid w:val="000F55B9"/>
    <w:rsid w:val="000F56F4"/>
    <w:rsid w:val="000F58EE"/>
    <w:rsid w:val="000F5BAF"/>
    <w:rsid w:val="000F5D1C"/>
    <w:rsid w:val="000F67A0"/>
    <w:rsid w:val="000F6840"/>
    <w:rsid w:val="000F6858"/>
    <w:rsid w:val="000F6DDF"/>
    <w:rsid w:val="000F7127"/>
    <w:rsid w:val="000F724A"/>
    <w:rsid w:val="000F7B54"/>
    <w:rsid w:val="000F7DFA"/>
    <w:rsid w:val="000F7E30"/>
    <w:rsid w:val="001000B3"/>
    <w:rsid w:val="001002AD"/>
    <w:rsid w:val="00100449"/>
    <w:rsid w:val="001008B3"/>
    <w:rsid w:val="00100C7C"/>
    <w:rsid w:val="00100D56"/>
    <w:rsid w:val="00100DA7"/>
    <w:rsid w:val="00100F61"/>
    <w:rsid w:val="00100F8A"/>
    <w:rsid w:val="00100FF4"/>
    <w:rsid w:val="0010185F"/>
    <w:rsid w:val="0010192B"/>
    <w:rsid w:val="00101EEF"/>
    <w:rsid w:val="00102492"/>
    <w:rsid w:val="00102586"/>
    <w:rsid w:val="001028ED"/>
    <w:rsid w:val="00102AF4"/>
    <w:rsid w:val="00102BCD"/>
    <w:rsid w:val="00102FE1"/>
    <w:rsid w:val="001037DC"/>
    <w:rsid w:val="001038EA"/>
    <w:rsid w:val="00103A7D"/>
    <w:rsid w:val="00104515"/>
    <w:rsid w:val="0010452E"/>
    <w:rsid w:val="001045C2"/>
    <w:rsid w:val="00104672"/>
    <w:rsid w:val="001048E6"/>
    <w:rsid w:val="00104BF7"/>
    <w:rsid w:val="00104F93"/>
    <w:rsid w:val="0010563B"/>
    <w:rsid w:val="001056AB"/>
    <w:rsid w:val="00105780"/>
    <w:rsid w:val="00105AE2"/>
    <w:rsid w:val="00105C38"/>
    <w:rsid w:val="001060C6"/>
    <w:rsid w:val="001061C8"/>
    <w:rsid w:val="0010678A"/>
    <w:rsid w:val="00106B80"/>
    <w:rsid w:val="00106DAA"/>
    <w:rsid w:val="00107476"/>
    <w:rsid w:val="00107811"/>
    <w:rsid w:val="001101BD"/>
    <w:rsid w:val="00110291"/>
    <w:rsid w:val="0011032E"/>
    <w:rsid w:val="00110484"/>
    <w:rsid w:val="00110637"/>
    <w:rsid w:val="001106B6"/>
    <w:rsid w:val="0011083E"/>
    <w:rsid w:val="00110915"/>
    <w:rsid w:val="00110D2A"/>
    <w:rsid w:val="001113FE"/>
    <w:rsid w:val="001114CB"/>
    <w:rsid w:val="00111504"/>
    <w:rsid w:val="0011191A"/>
    <w:rsid w:val="0011196B"/>
    <w:rsid w:val="00111A07"/>
    <w:rsid w:val="00111EEB"/>
    <w:rsid w:val="00111FA1"/>
    <w:rsid w:val="00112023"/>
    <w:rsid w:val="001127CE"/>
    <w:rsid w:val="00112AD9"/>
    <w:rsid w:val="0011348B"/>
    <w:rsid w:val="0011355C"/>
    <w:rsid w:val="001135F1"/>
    <w:rsid w:val="0011433D"/>
    <w:rsid w:val="00114531"/>
    <w:rsid w:val="001149F4"/>
    <w:rsid w:val="00114B4C"/>
    <w:rsid w:val="001150C4"/>
    <w:rsid w:val="001156F9"/>
    <w:rsid w:val="00115982"/>
    <w:rsid w:val="001160DF"/>
    <w:rsid w:val="00116173"/>
    <w:rsid w:val="00116C53"/>
    <w:rsid w:val="00116D6D"/>
    <w:rsid w:val="001172AF"/>
    <w:rsid w:val="00117548"/>
    <w:rsid w:val="0011790E"/>
    <w:rsid w:val="00117A48"/>
    <w:rsid w:val="00117C8B"/>
    <w:rsid w:val="0012004B"/>
    <w:rsid w:val="001200B5"/>
    <w:rsid w:val="0012062B"/>
    <w:rsid w:val="001206C0"/>
    <w:rsid w:val="00120A26"/>
    <w:rsid w:val="00121543"/>
    <w:rsid w:val="00121799"/>
    <w:rsid w:val="001219AE"/>
    <w:rsid w:val="00121B60"/>
    <w:rsid w:val="00121B99"/>
    <w:rsid w:val="00122019"/>
    <w:rsid w:val="001220E7"/>
    <w:rsid w:val="00122181"/>
    <w:rsid w:val="001222FC"/>
    <w:rsid w:val="00122794"/>
    <w:rsid w:val="00122796"/>
    <w:rsid w:val="00122854"/>
    <w:rsid w:val="00122AEB"/>
    <w:rsid w:val="00122D0D"/>
    <w:rsid w:val="001233D6"/>
    <w:rsid w:val="001235BC"/>
    <w:rsid w:val="00123902"/>
    <w:rsid w:val="00123BD2"/>
    <w:rsid w:val="00123C34"/>
    <w:rsid w:val="00124A51"/>
    <w:rsid w:val="00124BE0"/>
    <w:rsid w:val="001250E9"/>
    <w:rsid w:val="001256AB"/>
    <w:rsid w:val="00125B59"/>
    <w:rsid w:val="00125C2A"/>
    <w:rsid w:val="00126621"/>
    <w:rsid w:val="00126B1D"/>
    <w:rsid w:val="00126C2D"/>
    <w:rsid w:val="00127158"/>
    <w:rsid w:val="001271A8"/>
    <w:rsid w:val="001271AB"/>
    <w:rsid w:val="001272FA"/>
    <w:rsid w:val="001274FA"/>
    <w:rsid w:val="00127909"/>
    <w:rsid w:val="00127D29"/>
    <w:rsid w:val="0013000C"/>
    <w:rsid w:val="001301E9"/>
    <w:rsid w:val="00130572"/>
    <w:rsid w:val="00130A02"/>
    <w:rsid w:val="001311C8"/>
    <w:rsid w:val="00131660"/>
    <w:rsid w:val="00131737"/>
    <w:rsid w:val="00131803"/>
    <w:rsid w:val="00131C8F"/>
    <w:rsid w:val="00131D82"/>
    <w:rsid w:val="0013205E"/>
    <w:rsid w:val="00132239"/>
    <w:rsid w:val="001326BF"/>
    <w:rsid w:val="001327E3"/>
    <w:rsid w:val="001328A7"/>
    <w:rsid w:val="001328D9"/>
    <w:rsid w:val="00132B22"/>
    <w:rsid w:val="00132CB6"/>
    <w:rsid w:val="00132F3E"/>
    <w:rsid w:val="00133079"/>
    <w:rsid w:val="001332AE"/>
    <w:rsid w:val="001332DD"/>
    <w:rsid w:val="00133400"/>
    <w:rsid w:val="00133877"/>
    <w:rsid w:val="00133D36"/>
    <w:rsid w:val="001340B7"/>
    <w:rsid w:val="0013421E"/>
    <w:rsid w:val="001344F8"/>
    <w:rsid w:val="0013463C"/>
    <w:rsid w:val="00134B77"/>
    <w:rsid w:val="00134CEB"/>
    <w:rsid w:val="00134CED"/>
    <w:rsid w:val="00134D37"/>
    <w:rsid w:val="00134F15"/>
    <w:rsid w:val="0013504C"/>
    <w:rsid w:val="001353C1"/>
    <w:rsid w:val="00135A3C"/>
    <w:rsid w:val="00135A78"/>
    <w:rsid w:val="00135DA7"/>
    <w:rsid w:val="00135E16"/>
    <w:rsid w:val="00135E64"/>
    <w:rsid w:val="00136115"/>
    <w:rsid w:val="0013648E"/>
    <w:rsid w:val="00136B06"/>
    <w:rsid w:val="00136C21"/>
    <w:rsid w:val="00136CEA"/>
    <w:rsid w:val="00136DFA"/>
    <w:rsid w:val="001371C3"/>
    <w:rsid w:val="001372C8"/>
    <w:rsid w:val="00137307"/>
    <w:rsid w:val="0013748D"/>
    <w:rsid w:val="00137645"/>
    <w:rsid w:val="001376E0"/>
    <w:rsid w:val="001378D7"/>
    <w:rsid w:val="00137A61"/>
    <w:rsid w:val="00137AFF"/>
    <w:rsid w:val="0014015A"/>
    <w:rsid w:val="00140195"/>
    <w:rsid w:val="001404B6"/>
    <w:rsid w:val="00140E99"/>
    <w:rsid w:val="00141032"/>
    <w:rsid w:val="001411CD"/>
    <w:rsid w:val="00141958"/>
    <w:rsid w:val="00141B19"/>
    <w:rsid w:val="0014228D"/>
    <w:rsid w:val="00142538"/>
    <w:rsid w:val="00142A52"/>
    <w:rsid w:val="00142BA5"/>
    <w:rsid w:val="00142E3A"/>
    <w:rsid w:val="001432BE"/>
    <w:rsid w:val="0014351B"/>
    <w:rsid w:val="00143600"/>
    <w:rsid w:val="00143889"/>
    <w:rsid w:val="00143A2A"/>
    <w:rsid w:val="00143B1A"/>
    <w:rsid w:val="00143D95"/>
    <w:rsid w:val="00143F67"/>
    <w:rsid w:val="00144863"/>
    <w:rsid w:val="00145234"/>
    <w:rsid w:val="00145266"/>
    <w:rsid w:val="00145305"/>
    <w:rsid w:val="0014553B"/>
    <w:rsid w:val="00145540"/>
    <w:rsid w:val="0014558B"/>
    <w:rsid w:val="00145647"/>
    <w:rsid w:val="001456B0"/>
    <w:rsid w:val="00145721"/>
    <w:rsid w:val="0014581A"/>
    <w:rsid w:val="00145843"/>
    <w:rsid w:val="00145F42"/>
    <w:rsid w:val="00146211"/>
    <w:rsid w:val="001466AF"/>
    <w:rsid w:val="00146917"/>
    <w:rsid w:val="001469DA"/>
    <w:rsid w:val="001469DB"/>
    <w:rsid w:val="00146BA3"/>
    <w:rsid w:val="00146E54"/>
    <w:rsid w:val="0014700A"/>
    <w:rsid w:val="001471FB"/>
    <w:rsid w:val="001471FD"/>
    <w:rsid w:val="00147341"/>
    <w:rsid w:val="00150881"/>
    <w:rsid w:val="0015088D"/>
    <w:rsid w:val="00150918"/>
    <w:rsid w:val="001509FC"/>
    <w:rsid w:val="001513AE"/>
    <w:rsid w:val="00151748"/>
    <w:rsid w:val="00151920"/>
    <w:rsid w:val="00151E34"/>
    <w:rsid w:val="00152685"/>
    <w:rsid w:val="0015297B"/>
    <w:rsid w:val="00152DFC"/>
    <w:rsid w:val="00153561"/>
    <w:rsid w:val="00154548"/>
    <w:rsid w:val="001547AB"/>
    <w:rsid w:val="00154819"/>
    <w:rsid w:val="00154922"/>
    <w:rsid w:val="00154B95"/>
    <w:rsid w:val="00154BEA"/>
    <w:rsid w:val="00154D57"/>
    <w:rsid w:val="00155045"/>
    <w:rsid w:val="00155C98"/>
    <w:rsid w:val="00155D7F"/>
    <w:rsid w:val="00155FC8"/>
    <w:rsid w:val="001560FB"/>
    <w:rsid w:val="0015630A"/>
    <w:rsid w:val="00156A58"/>
    <w:rsid w:val="00156B56"/>
    <w:rsid w:val="00156D9D"/>
    <w:rsid w:val="00156F8F"/>
    <w:rsid w:val="00157085"/>
    <w:rsid w:val="00157130"/>
    <w:rsid w:val="00157680"/>
    <w:rsid w:val="001576B1"/>
    <w:rsid w:val="00157A9F"/>
    <w:rsid w:val="00157C31"/>
    <w:rsid w:val="00157F50"/>
    <w:rsid w:val="0016047B"/>
    <w:rsid w:val="0016053E"/>
    <w:rsid w:val="001608E9"/>
    <w:rsid w:val="00160A41"/>
    <w:rsid w:val="00160A4C"/>
    <w:rsid w:val="00160B55"/>
    <w:rsid w:val="00160F88"/>
    <w:rsid w:val="00161092"/>
    <w:rsid w:val="001610EE"/>
    <w:rsid w:val="001618AC"/>
    <w:rsid w:val="00161BA3"/>
    <w:rsid w:val="00161DEC"/>
    <w:rsid w:val="001623DB"/>
    <w:rsid w:val="00162913"/>
    <w:rsid w:val="0016349A"/>
    <w:rsid w:val="00163533"/>
    <w:rsid w:val="00163EFF"/>
    <w:rsid w:val="00163F47"/>
    <w:rsid w:val="00163F66"/>
    <w:rsid w:val="001642B1"/>
    <w:rsid w:val="001642DF"/>
    <w:rsid w:val="00164318"/>
    <w:rsid w:val="00164610"/>
    <w:rsid w:val="0016478E"/>
    <w:rsid w:val="0016497A"/>
    <w:rsid w:val="00164BC9"/>
    <w:rsid w:val="00165117"/>
    <w:rsid w:val="0016520A"/>
    <w:rsid w:val="0016568A"/>
    <w:rsid w:val="001658BD"/>
    <w:rsid w:val="00165B98"/>
    <w:rsid w:val="00165DAD"/>
    <w:rsid w:val="00165EC4"/>
    <w:rsid w:val="00166180"/>
    <w:rsid w:val="001661FB"/>
    <w:rsid w:val="0016641C"/>
    <w:rsid w:val="00166CA3"/>
    <w:rsid w:val="00166D27"/>
    <w:rsid w:val="0016708B"/>
    <w:rsid w:val="001671A0"/>
    <w:rsid w:val="00167234"/>
    <w:rsid w:val="0016767F"/>
    <w:rsid w:val="0016789C"/>
    <w:rsid w:val="00167A97"/>
    <w:rsid w:val="00167D95"/>
    <w:rsid w:val="00167E6C"/>
    <w:rsid w:val="00167F21"/>
    <w:rsid w:val="00167F66"/>
    <w:rsid w:val="0017038A"/>
    <w:rsid w:val="00170B1B"/>
    <w:rsid w:val="00170E3F"/>
    <w:rsid w:val="00170EA6"/>
    <w:rsid w:val="00171542"/>
    <w:rsid w:val="00171C60"/>
    <w:rsid w:val="001729BD"/>
    <w:rsid w:val="00172E2C"/>
    <w:rsid w:val="001731AD"/>
    <w:rsid w:val="00173431"/>
    <w:rsid w:val="00173565"/>
    <w:rsid w:val="00173735"/>
    <w:rsid w:val="0017385C"/>
    <w:rsid w:val="0017393E"/>
    <w:rsid w:val="00173B07"/>
    <w:rsid w:val="0017402C"/>
    <w:rsid w:val="0017422A"/>
    <w:rsid w:val="001743C3"/>
    <w:rsid w:val="00174982"/>
    <w:rsid w:val="00174DD1"/>
    <w:rsid w:val="00175069"/>
    <w:rsid w:val="001751FA"/>
    <w:rsid w:val="00175B1A"/>
    <w:rsid w:val="00175CDD"/>
    <w:rsid w:val="001764F1"/>
    <w:rsid w:val="001766D7"/>
    <w:rsid w:val="00176C05"/>
    <w:rsid w:val="00176FA2"/>
    <w:rsid w:val="0017712A"/>
    <w:rsid w:val="0017723A"/>
    <w:rsid w:val="001774A9"/>
    <w:rsid w:val="00177B49"/>
    <w:rsid w:val="00177BC0"/>
    <w:rsid w:val="00177CB2"/>
    <w:rsid w:val="0018017B"/>
    <w:rsid w:val="00180355"/>
    <w:rsid w:val="00180598"/>
    <w:rsid w:val="00180754"/>
    <w:rsid w:val="001807C0"/>
    <w:rsid w:val="00180820"/>
    <w:rsid w:val="001808C8"/>
    <w:rsid w:val="00180A45"/>
    <w:rsid w:val="00180CA9"/>
    <w:rsid w:val="00180DBE"/>
    <w:rsid w:val="001810E4"/>
    <w:rsid w:val="001811F7"/>
    <w:rsid w:val="001816DA"/>
    <w:rsid w:val="001819AF"/>
    <w:rsid w:val="00181B68"/>
    <w:rsid w:val="00181C10"/>
    <w:rsid w:val="00181D02"/>
    <w:rsid w:val="00181D40"/>
    <w:rsid w:val="00181D9C"/>
    <w:rsid w:val="00181E5D"/>
    <w:rsid w:val="00182562"/>
    <w:rsid w:val="00182754"/>
    <w:rsid w:val="001828C1"/>
    <w:rsid w:val="00182919"/>
    <w:rsid w:val="0018312F"/>
    <w:rsid w:val="001832C1"/>
    <w:rsid w:val="0018336F"/>
    <w:rsid w:val="001837FF"/>
    <w:rsid w:val="00183AAC"/>
    <w:rsid w:val="00183CCC"/>
    <w:rsid w:val="00183FCD"/>
    <w:rsid w:val="001842D4"/>
    <w:rsid w:val="001846F3"/>
    <w:rsid w:val="0018497E"/>
    <w:rsid w:val="00184B0E"/>
    <w:rsid w:val="00184CBE"/>
    <w:rsid w:val="00184D8C"/>
    <w:rsid w:val="00184E87"/>
    <w:rsid w:val="00184F9A"/>
    <w:rsid w:val="001851E9"/>
    <w:rsid w:val="00185262"/>
    <w:rsid w:val="001852D5"/>
    <w:rsid w:val="0018553E"/>
    <w:rsid w:val="00185728"/>
    <w:rsid w:val="0018583F"/>
    <w:rsid w:val="00185DE3"/>
    <w:rsid w:val="0018622C"/>
    <w:rsid w:val="001862B0"/>
    <w:rsid w:val="00186436"/>
    <w:rsid w:val="00186872"/>
    <w:rsid w:val="0018704C"/>
    <w:rsid w:val="0018752F"/>
    <w:rsid w:val="00187858"/>
    <w:rsid w:val="00187A2E"/>
    <w:rsid w:val="00187CDD"/>
    <w:rsid w:val="0019001C"/>
    <w:rsid w:val="0019015C"/>
    <w:rsid w:val="001902B1"/>
    <w:rsid w:val="0019107B"/>
    <w:rsid w:val="0019120D"/>
    <w:rsid w:val="00191421"/>
    <w:rsid w:val="00191AB0"/>
    <w:rsid w:val="00191D4A"/>
    <w:rsid w:val="00192153"/>
    <w:rsid w:val="00192BC3"/>
    <w:rsid w:val="00192D5A"/>
    <w:rsid w:val="00192F11"/>
    <w:rsid w:val="001931A5"/>
    <w:rsid w:val="001931F8"/>
    <w:rsid w:val="00193319"/>
    <w:rsid w:val="00193666"/>
    <w:rsid w:val="00193766"/>
    <w:rsid w:val="00193838"/>
    <w:rsid w:val="00193899"/>
    <w:rsid w:val="00193A27"/>
    <w:rsid w:val="00193D2A"/>
    <w:rsid w:val="001940BE"/>
    <w:rsid w:val="001941E6"/>
    <w:rsid w:val="001945D8"/>
    <w:rsid w:val="00194914"/>
    <w:rsid w:val="00194AD8"/>
    <w:rsid w:val="00194FF4"/>
    <w:rsid w:val="00195222"/>
    <w:rsid w:val="00195452"/>
    <w:rsid w:val="001954C5"/>
    <w:rsid w:val="00195516"/>
    <w:rsid w:val="00195777"/>
    <w:rsid w:val="00195929"/>
    <w:rsid w:val="00195A4C"/>
    <w:rsid w:val="00195ADF"/>
    <w:rsid w:val="00195B9A"/>
    <w:rsid w:val="00195CF7"/>
    <w:rsid w:val="00195EC3"/>
    <w:rsid w:val="0019600A"/>
    <w:rsid w:val="00196207"/>
    <w:rsid w:val="00196512"/>
    <w:rsid w:val="00196A75"/>
    <w:rsid w:val="00196CC4"/>
    <w:rsid w:val="0019708A"/>
    <w:rsid w:val="00197318"/>
    <w:rsid w:val="001974E9"/>
    <w:rsid w:val="001975D8"/>
    <w:rsid w:val="00197755"/>
    <w:rsid w:val="0019777A"/>
    <w:rsid w:val="001978DE"/>
    <w:rsid w:val="00197DFA"/>
    <w:rsid w:val="00197F9F"/>
    <w:rsid w:val="00197FCB"/>
    <w:rsid w:val="001A0153"/>
    <w:rsid w:val="001A0372"/>
    <w:rsid w:val="001A0461"/>
    <w:rsid w:val="001A084B"/>
    <w:rsid w:val="001A0D60"/>
    <w:rsid w:val="001A10F4"/>
    <w:rsid w:val="001A165D"/>
    <w:rsid w:val="001A178E"/>
    <w:rsid w:val="001A180D"/>
    <w:rsid w:val="001A1A11"/>
    <w:rsid w:val="001A1C1B"/>
    <w:rsid w:val="001A1C67"/>
    <w:rsid w:val="001A1D6E"/>
    <w:rsid w:val="001A1E55"/>
    <w:rsid w:val="001A2D7B"/>
    <w:rsid w:val="001A2F9F"/>
    <w:rsid w:val="001A317E"/>
    <w:rsid w:val="001A3947"/>
    <w:rsid w:val="001A39BC"/>
    <w:rsid w:val="001A39C0"/>
    <w:rsid w:val="001A3C4A"/>
    <w:rsid w:val="001A3C93"/>
    <w:rsid w:val="001A3DEC"/>
    <w:rsid w:val="001A3FBE"/>
    <w:rsid w:val="001A42F1"/>
    <w:rsid w:val="001A43FA"/>
    <w:rsid w:val="001A444F"/>
    <w:rsid w:val="001A45A8"/>
    <w:rsid w:val="001A47C5"/>
    <w:rsid w:val="001A48C9"/>
    <w:rsid w:val="001A49E6"/>
    <w:rsid w:val="001A555C"/>
    <w:rsid w:val="001A58E6"/>
    <w:rsid w:val="001A59FB"/>
    <w:rsid w:val="001A5E10"/>
    <w:rsid w:val="001A5E43"/>
    <w:rsid w:val="001A5E9E"/>
    <w:rsid w:val="001A61F2"/>
    <w:rsid w:val="001A6354"/>
    <w:rsid w:val="001A6366"/>
    <w:rsid w:val="001A6641"/>
    <w:rsid w:val="001A689A"/>
    <w:rsid w:val="001A697E"/>
    <w:rsid w:val="001A6C23"/>
    <w:rsid w:val="001A6D49"/>
    <w:rsid w:val="001A6F7A"/>
    <w:rsid w:val="001A7265"/>
    <w:rsid w:val="001A77B5"/>
    <w:rsid w:val="001A785C"/>
    <w:rsid w:val="001A7AE8"/>
    <w:rsid w:val="001A7B50"/>
    <w:rsid w:val="001B0180"/>
    <w:rsid w:val="001B057D"/>
    <w:rsid w:val="001B1339"/>
    <w:rsid w:val="001B181F"/>
    <w:rsid w:val="001B18CE"/>
    <w:rsid w:val="001B1A8B"/>
    <w:rsid w:val="001B1B31"/>
    <w:rsid w:val="001B204E"/>
    <w:rsid w:val="001B2372"/>
    <w:rsid w:val="001B27D3"/>
    <w:rsid w:val="001B2BF5"/>
    <w:rsid w:val="001B31F6"/>
    <w:rsid w:val="001B3399"/>
    <w:rsid w:val="001B3443"/>
    <w:rsid w:val="001B3552"/>
    <w:rsid w:val="001B3B42"/>
    <w:rsid w:val="001B3DFE"/>
    <w:rsid w:val="001B3E37"/>
    <w:rsid w:val="001B421B"/>
    <w:rsid w:val="001B4390"/>
    <w:rsid w:val="001B44CD"/>
    <w:rsid w:val="001B454D"/>
    <w:rsid w:val="001B4556"/>
    <w:rsid w:val="001B490B"/>
    <w:rsid w:val="001B4D20"/>
    <w:rsid w:val="001B50CA"/>
    <w:rsid w:val="001B5423"/>
    <w:rsid w:val="001B5466"/>
    <w:rsid w:val="001B546A"/>
    <w:rsid w:val="001B5735"/>
    <w:rsid w:val="001B5B20"/>
    <w:rsid w:val="001B5E63"/>
    <w:rsid w:val="001B63A3"/>
    <w:rsid w:val="001B695D"/>
    <w:rsid w:val="001B6A23"/>
    <w:rsid w:val="001B6BB3"/>
    <w:rsid w:val="001B747C"/>
    <w:rsid w:val="001B752D"/>
    <w:rsid w:val="001B7724"/>
    <w:rsid w:val="001B7A89"/>
    <w:rsid w:val="001B7AE9"/>
    <w:rsid w:val="001B7D6E"/>
    <w:rsid w:val="001B7F84"/>
    <w:rsid w:val="001C01E5"/>
    <w:rsid w:val="001C0491"/>
    <w:rsid w:val="001C04EE"/>
    <w:rsid w:val="001C0AB7"/>
    <w:rsid w:val="001C0D68"/>
    <w:rsid w:val="001C1196"/>
    <w:rsid w:val="001C125B"/>
    <w:rsid w:val="001C1A20"/>
    <w:rsid w:val="001C2038"/>
    <w:rsid w:val="001C24B8"/>
    <w:rsid w:val="001C272D"/>
    <w:rsid w:val="001C282D"/>
    <w:rsid w:val="001C29BB"/>
    <w:rsid w:val="001C2A9B"/>
    <w:rsid w:val="001C2E3A"/>
    <w:rsid w:val="001C2FF5"/>
    <w:rsid w:val="001C30F7"/>
    <w:rsid w:val="001C3CB5"/>
    <w:rsid w:val="001C3DD6"/>
    <w:rsid w:val="001C3ECA"/>
    <w:rsid w:val="001C3F37"/>
    <w:rsid w:val="001C4198"/>
    <w:rsid w:val="001C4299"/>
    <w:rsid w:val="001C47A4"/>
    <w:rsid w:val="001C4874"/>
    <w:rsid w:val="001C4CC6"/>
    <w:rsid w:val="001C4D5C"/>
    <w:rsid w:val="001C4D79"/>
    <w:rsid w:val="001C4F7D"/>
    <w:rsid w:val="001C4F81"/>
    <w:rsid w:val="001C503A"/>
    <w:rsid w:val="001C56FF"/>
    <w:rsid w:val="001C5F18"/>
    <w:rsid w:val="001C5F85"/>
    <w:rsid w:val="001C5F94"/>
    <w:rsid w:val="001C6267"/>
    <w:rsid w:val="001C626A"/>
    <w:rsid w:val="001C62C2"/>
    <w:rsid w:val="001C6498"/>
    <w:rsid w:val="001C6776"/>
    <w:rsid w:val="001C6A78"/>
    <w:rsid w:val="001C6B60"/>
    <w:rsid w:val="001C6D1E"/>
    <w:rsid w:val="001C6D65"/>
    <w:rsid w:val="001C6E66"/>
    <w:rsid w:val="001C6FB1"/>
    <w:rsid w:val="001C7157"/>
    <w:rsid w:val="001C7553"/>
    <w:rsid w:val="001C7591"/>
    <w:rsid w:val="001C78D1"/>
    <w:rsid w:val="001C79FD"/>
    <w:rsid w:val="001C7CE3"/>
    <w:rsid w:val="001D0327"/>
    <w:rsid w:val="001D04A6"/>
    <w:rsid w:val="001D0BE9"/>
    <w:rsid w:val="001D1100"/>
    <w:rsid w:val="001D1203"/>
    <w:rsid w:val="001D12CC"/>
    <w:rsid w:val="001D1391"/>
    <w:rsid w:val="001D1854"/>
    <w:rsid w:val="001D1929"/>
    <w:rsid w:val="001D1A52"/>
    <w:rsid w:val="001D1EA9"/>
    <w:rsid w:val="001D2052"/>
    <w:rsid w:val="001D2210"/>
    <w:rsid w:val="001D23A8"/>
    <w:rsid w:val="001D24F0"/>
    <w:rsid w:val="001D25D7"/>
    <w:rsid w:val="001D2633"/>
    <w:rsid w:val="001D2FC7"/>
    <w:rsid w:val="001D38AF"/>
    <w:rsid w:val="001D3F46"/>
    <w:rsid w:val="001D4313"/>
    <w:rsid w:val="001D43E2"/>
    <w:rsid w:val="001D44BD"/>
    <w:rsid w:val="001D45A1"/>
    <w:rsid w:val="001D480E"/>
    <w:rsid w:val="001D4862"/>
    <w:rsid w:val="001D4A20"/>
    <w:rsid w:val="001D4E21"/>
    <w:rsid w:val="001D4E37"/>
    <w:rsid w:val="001D4F3A"/>
    <w:rsid w:val="001D50B2"/>
    <w:rsid w:val="001D525C"/>
    <w:rsid w:val="001D55FA"/>
    <w:rsid w:val="001D5601"/>
    <w:rsid w:val="001D569B"/>
    <w:rsid w:val="001D5D8D"/>
    <w:rsid w:val="001D6044"/>
    <w:rsid w:val="001D6055"/>
    <w:rsid w:val="001D6175"/>
    <w:rsid w:val="001D6328"/>
    <w:rsid w:val="001D636D"/>
    <w:rsid w:val="001D665D"/>
    <w:rsid w:val="001D669A"/>
    <w:rsid w:val="001D66F5"/>
    <w:rsid w:val="001D6841"/>
    <w:rsid w:val="001D686C"/>
    <w:rsid w:val="001D6902"/>
    <w:rsid w:val="001D71EA"/>
    <w:rsid w:val="001D71F4"/>
    <w:rsid w:val="001D741C"/>
    <w:rsid w:val="001D7645"/>
    <w:rsid w:val="001D774C"/>
    <w:rsid w:val="001D7824"/>
    <w:rsid w:val="001D78B7"/>
    <w:rsid w:val="001D79D9"/>
    <w:rsid w:val="001E0057"/>
    <w:rsid w:val="001E00C0"/>
    <w:rsid w:val="001E00CB"/>
    <w:rsid w:val="001E0380"/>
    <w:rsid w:val="001E0937"/>
    <w:rsid w:val="001E1005"/>
    <w:rsid w:val="001E149A"/>
    <w:rsid w:val="001E1B32"/>
    <w:rsid w:val="001E1D68"/>
    <w:rsid w:val="001E1E86"/>
    <w:rsid w:val="001E1FB3"/>
    <w:rsid w:val="001E20B2"/>
    <w:rsid w:val="001E225E"/>
    <w:rsid w:val="001E238E"/>
    <w:rsid w:val="001E2483"/>
    <w:rsid w:val="001E2575"/>
    <w:rsid w:val="001E2664"/>
    <w:rsid w:val="001E2727"/>
    <w:rsid w:val="001E27EE"/>
    <w:rsid w:val="001E28FB"/>
    <w:rsid w:val="001E2B1E"/>
    <w:rsid w:val="001E2CFF"/>
    <w:rsid w:val="001E2DDA"/>
    <w:rsid w:val="001E2F24"/>
    <w:rsid w:val="001E2F58"/>
    <w:rsid w:val="001E30D4"/>
    <w:rsid w:val="001E3462"/>
    <w:rsid w:val="001E34DF"/>
    <w:rsid w:val="001E3503"/>
    <w:rsid w:val="001E35A3"/>
    <w:rsid w:val="001E35AE"/>
    <w:rsid w:val="001E3899"/>
    <w:rsid w:val="001E39D9"/>
    <w:rsid w:val="001E39F4"/>
    <w:rsid w:val="001E3B7C"/>
    <w:rsid w:val="001E3C76"/>
    <w:rsid w:val="001E3CFE"/>
    <w:rsid w:val="001E3D8A"/>
    <w:rsid w:val="001E4309"/>
    <w:rsid w:val="001E4469"/>
    <w:rsid w:val="001E45B8"/>
    <w:rsid w:val="001E4784"/>
    <w:rsid w:val="001E4B42"/>
    <w:rsid w:val="001E4CB8"/>
    <w:rsid w:val="001E4F9F"/>
    <w:rsid w:val="001E51A5"/>
    <w:rsid w:val="001E52EB"/>
    <w:rsid w:val="001E54CA"/>
    <w:rsid w:val="001E56B4"/>
    <w:rsid w:val="001E5833"/>
    <w:rsid w:val="001E5AEA"/>
    <w:rsid w:val="001E5BDF"/>
    <w:rsid w:val="001E5E40"/>
    <w:rsid w:val="001E61D2"/>
    <w:rsid w:val="001E6829"/>
    <w:rsid w:val="001E68C7"/>
    <w:rsid w:val="001E6C56"/>
    <w:rsid w:val="001E6E0C"/>
    <w:rsid w:val="001E6E2F"/>
    <w:rsid w:val="001E71EF"/>
    <w:rsid w:val="001E740C"/>
    <w:rsid w:val="001E7617"/>
    <w:rsid w:val="001E7728"/>
    <w:rsid w:val="001E7793"/>
    <w:rsid w:val="001E79AB"/>
    <w:rsid w:val="001E7E17"/>
    <w:rsid w:val="001F0301"/>
    <w:rsid w:val="001F0907"/>
    <w:rsid w:val="001F0AD8"/>
    <w:rsid w:val="001F1235"/>
    <w:rsid w:val="001F1897"/>
    <w:rsid w:val="001F1BEC"/>
    <w:rsid w:val="001F1C6B"/>
    <w:rsid w:val="001F1CB3"/>
    <w:rsid w:val="001F1FAA"/>
    <w:rsid w:val="001F2019"/>
    <w:rsid w:val="001F2117"/>
    <w:rsid w:val="001F2251"/>
    <w:rsid w:val="001F24BD"/>
    <w:rsid w:val="001F29A7"/>
    <w:rsid w:val="001F2AB7"/>
    <w:rsid w:val="001F2C7B"/>
    <w:rsid w:val="001F2F4C"/>
    <w:rsid w:val="001F357D"/>
    <w:rsid w:val="001F3836"/>
    <w:rsid w:val="001F38B5"/>
    <w:rsid w:val="001F3B32"/>
    <w:rsid w:val="001F4081"/>
    <w:rsid w:val="001F4225"/>
    <w:rsid w:val="001F4264"/>
    <w:rsid w:val="001F4CD6"/>
    <w:rsid w:val="001F510F"/>
    <w:rsid w:val="001F5130"/>
    <w:rsid w:val="001F5202"/>
    <w:rsid w:val="001F5524"/>
    <w:rsid w:val="001F56CD"/>
    <w:rsid w:val="001F579A"/>
    <w:rsid w:val="001F594B"/>
    <w:rsid w:val="001F6413"/>
    <w:rsid w:val="001F6FDB"/>
    <w:rsid w:val="001F7361"/>
    <w:rsid w:val="001F73F8"/>
    <w:rsid w:val="001F7CF7"/>
    <w:rsid w:val="001F7F97"/>
    <w:rsid w:val="00200144"/>
    <w:rsid w:val="00200373"/>
    <w:rsid w:val="0020065F"/>
    <w:rsid w:val="00200AA3"/>
    <w:rsid w:val="00200C31"/>
    <w:rsid w:val="00200C78"/>
    <w:rsid w:val="002011AE"/>
    <w:rsid w:val="002011B0"/>
    <w:rsid w:val="002011F4"/>
    <w:rsid w:val="002012B7"/>
    <w:rsid w:val="00201D09"/>
    <w:rsid w:val="00201D4A"/>
    <w:rsid w:val="002023DE"/>
    <w:rsid w:val="00202694"/>
    <w:rsid w:val="00202AA2"/>
    <w:rsid w:val="00202AA9"/>
    <w:rsid w:val="00202C18"/>
    <w:rsid w:val="00202F3A"/>
    <w:rsid w:val="00203181"/>
    <w:rsid w:val="00203783"/>
    <w:rsid w:val="00203814"/>
    <w:rsid w:val="00203834"/>
    <w:rsid w:val="0020385F"/>
    <w:rsid w:val="002039B5"/>
    <w:rsid w:val="00203FF8"/>
    <w:rsid w:val="00204039"/>
    <w:rsid w:val="0020408A"/>
    <w:rsid w:val="00204172"/>
    <w:rsid w:val="0020423F"/>
    <w:rsid w:val="0020432E"/>
    <w:rsid w:val="00204D21"/>
    <w:rsid w:val="00204FDD"/>
    <w:rsid w:val="0020566D"/>
    <w:rsid w:val="002056CE"/>
    <w:rsid w:val="0020571D"/>
    <w:rsid w:val="00205A9B"/>
    <w:rsid w:val="00205B7B"/>
    <w:rsid w:val="00205D76"/>
    <w:rsid w:val="002062A8"/>
    <w:rsid w:val="002062AD"/>
    <w:rsid w:val="00206334"/>
    <w:rsid w:val="0020643C"/>
    <w:rsid w:val="002065E3"/>
    <w:rsid w:val="002068A0"/>
    <w:rsid w:val="00206C92"/>
    <w:rsid w:val="00206CB5"/>
    <w:rsid w:val="00206E91"/>
    <w:rsid w:val="00206FF8"/>
    <w:rsid w:val="00207021"/>
    <w:rsid w:val="00207245"/>
    <w:rsid w:val="0020732B"/>
    <w:rsid w:val="0020732F"/>
    <w:rsid w:val="00207386"/>
    <w:rsid w:val="002073F4"/>
    <w:rsid w:val="002077E8"/>
    <w:rsid w:val="00207D00"/>
    <w:rsid w:val="00207F4A"/>
    <w:rsid w:val="002105C1"/>
    <w:rsid w:val="002106B4"/>
    <w:rsid w:val="0021073B"/>
    <w:rsid w:val="00210892"/>
    <w:rsid w:val="00210EBF"/>
    <w:rsid w:val="0021116C"/>
    <w:rsid w:val="00211357"/>
    <w:rsid w:val="002114D6"/>
    <w:rsid w:val="002116FD"/>
    <w:rsid w:val="00211885"/>
    <w:rsid w:val="0021198D"/>
    <w:rsid w:val="002119B0"/>
    <w:rsid w:val="00211DD4"/>
    <w:rsid w:val="00211F4C"/>
    <w:rsid w:val="0021217A"/>
    <w:rsid w:val="00212848"/>
    <w:rsid w:val="002128E8"/>
    <w:rsid w:val="00212EF2"/>
    <w:rsid w:val="00213126"/>
    <w:rsid w:val="0021331D"/>
    <w:rsid w:val="002133D9"/>
    <w:rsid w:val="0021357A"/>
    <w:rsid w:val="00213ABE"/>
    <w:rsid w:val="00213EF5"/>
    <w:rsid w:val="00213FAB"/>
    <w:rsid w:val="00214225"/>
    <w:rsid w:val="002142BE"/>
    <w:rsid w:val="00214909"/>
    <w:rsid w:val="00214924"/>
    <w:rsid w:val="00215688"/>
    <w:rsid w:val="002157C2"/>
    <w:rsid w:val="00215AC4"/>
    <w:rsid w:val="00215D2C"/>
    <w:rsid w:val="002161FF"/>
    <w:rsid w:val="00216537"/>
    <w:rsid w:val="002166C8"/>
    <w:rsid w:val="00216744"/>
    <w:rsid w:val="0021697D"/>
    <w:rsid w:val="00216BF5"/>
    <w:rsid w:val="00216C96"/>
    <w:rsid w:val="00216FA6"/>
    <w:rsid w:val="002171C5"/>
    <w:rsid w:val="0021731C"/>
    <w:rsid w:val="0021743B"/>
    <w:rsid w:val="0021743E"/>
    <w:rsid w:val="002178A8"/>
    <w:rsid w:val="00217A5F"/>
    <w:rsid w:val="002202A5"/>
    <w:rsid w:val="00220309"/>
    <w:rsid w:val="00220581"/>
    <w:rsid w:val="002206F0"/>
    <w:rsid w:val="0022076A"/>
    <w:rsid w:val="00220909"/>
    <w:rsid w:val="00220A28"/>
    <w:rsid w:val="00220D9B"/>
    <w:rsid w:val="00221097"/>
    <w:rsid w:val="002213C6"/>
    <w:rsid w:val="00221863"/>
    <w:rsid w:val="00221E95"/>
    <w:rsid w:val="00222136"/>
    <w:rsid w:val="0022219B"/>
    <w:rsid w:val="002222E4"/>
    <w:rsid w:val="0022236A"/>
    <w:rsid w:val="0022244D"/>
    <w:rsid w:val="00222829"/>
    <w:rsid w:val="00222C22"/>
    <w:rsid w:val="00222C57"/>
    <w:rsid w:val="0022320C"/>
    <w:rsid w:val="002234A5"/>
    <w:rsid w:val="00223B49"/>
    <w:rsid w:val="00223CB1"/>
    <w:rsid w:val="00223D5A"/>
    <w:rsid w:val="0022405E"/>
    <w:rsid w:val="00224678"/>
    <w:rsid w:val="002246A5"/>
    <w:rsid w:val="00224901"/>
    <w:rsid w:val="00224B5C"/>
    <w:rsid w:val="00224DD4"/>
    <w:rsid w:val="00225122"/>
    <w:rsid w:val="0022534C"/>
    <w:rsid w:val="002255F3"/>
    <w:rsid w:val="00225809"/>
    <w:rsid w:val="0022595B"/>
    <w:rsid w:val="002265F9"/>
    <w:rsid w:val="00226BAD"/>
    <w:rsid w:val="00226D1D"/>
    <w:rsid w:val="00226FCA"/>
    <w:rsid w:val="00227038"/>
    <w:rsid w:val="0022708A"/>
    <w:rsid w:val="002270A4"/>
    <w:rsid w:val="002278A0"/>
    <w:rsid w:val="00227A1B"/>
    <w:rsid w:val="00227B66"/>
    <w:rsid w:val="00227F62"/>
    <w:rsid w:val="00227FC5"/>
    <w:rsid w:val="00227FDE"/>
    <w:rsid w:val="002300E8"/>
    <w:rsid w:val="002303B1"/>
    <w:rsid w:val="002304DA"/>
    <w:rsid w:val="002309CC"/>
    <w:rsid w:val="00230A17"/>
    <w:rsid w:val="00230FEA"/>
    <w:rsid w:val="0023160C"/>
    <w:rsid w:val="00231845"/>
    <w:rsid w:val="002319CC"/>
    <w:rsid w:val="00231BA9"/>
    <w:rsid w:val="00231D4B"/>
    <w:rsid w:val="0023209F"/>
    <w:rsid w:val="002320C9"/>
    <w:rsid w:val="002327A7"/>
    <w:rsid w:val="00232DA4"/>
    <w:rsid w:val="002330CE"/>
    <w:rsid w:val="0023345B"/>
    <w:rsid w:val="002334CC"/>
    <w:rsid w:val="002335B6"/>
    <w:rsid w:val="0023399F"/>
    <w:rsid w:val="00233C01"/>
    <w:rsid w:val="00233EEE"/>
    <w:rsid w:val="0023413C"/>
    <w:rsid w:val="0023456A"/>
    <w:rsid w:val="002346F0"/>
    <w:rsid w:val="00234BA1"/>
    <w:rsid w:val="00234E65"/>
    <w:rsid w:val="00235AB2"/>
    <w:rsid w:val="00235CAA"/>
    <w:rsid w:val="00235E35"/>
    <w:rsid w:val="002360A4"/>
    <w:rsid w:val="002360E7"/>
    <w:rsid w:val="0023629D"/>
    <w:rsid w:val="002364A0"/>
    <w:rsid w:val="002364F4"/>
    <w:rsid w:val="00236636"/>
    <w:rsid w:val="0023668E"/>
    <w:rsid w:val="00236C5D"/>
    <w:rsid w:val="00236D59"/>
    <w:rsid w:val="00236E2F"/>
    <w:rsid w:val="00237255"/>
    <w:rsid w:val="002377F8"/>
    <w:rsid w:val="0023788D"/>
    <w:rsid w:val="00237AFF"/>
    <w:rsid w:val="00237C48"/>
    <w:rsid w:val="002403AA"/>
    <w:rsid w:val="00240570"/>
    <w:rsid w:val="0024088D"/>
    <w:rsid w:val="00240AA8"/>
    <w:rsid w:val="00241430"/>
    <w:rsid w:val="00241CC7"/>
    <w:rsid w:val="00241DE0"/>
    <w:rsid w:val="00242126"/>
    <w:rsid w:val="002424AF"/>
    <w:rsid w:val="00243688"/>
    <w:rsid w:val="002438FB"/>
    <w:rsid w:val="002439DC"/>
    <w:rsid w:val="00243FF9"/>
    <w:rsid w:val="00244156"/>
    <w:rsid w:val="0024415A"/>
    <w:rsid w:val="002441D2"/>
    <w:rsid w:val="002442C0"/>
    <w:rsid w:val="00244538"/>
    <w:rsid w:val="002446D7"/>
    <w:rsid w:val="00244807"/>
    <w:rsid w:val="00244A80"/>
    <w:rsid w:val="00244AD8"/>
    <w:rsid w:val="00244D8D"/>
    <w:rsid w:val="00244DC8"/>
    <w:rsid w:val="00244F82"/>
    <w:rsid w:val="00245271"/>
    <w:rsid w:val="002455B8"/>
    <w:rsid w:val="002457DA"/>
    <w:rsid w:val="0024588D"/>
    <w:rsid w:val="002458BA"/>
    <w:rsid w:val="00245CE9"/>
    <w:rsid w:val="00245D69"/>
    <w:rsid w:val="00245F9D"/>
    <w:rsid w:val="00245FDB"/>
    <w:rsid w:val="0024636C"/>
    <w:rsid w:val="002464B3"/>
    <w:rsid w:val="00246597"/>
    <w:rsid w:val="00246D15"/>
    <w:rsid w:val="00246EE0"/>
    <w:rsid w:val="00247007"/>
    <w:rsid w:val="002471C8"/>
    <w:rsid w:val="002478EE"/>
    <w:rsid w:val="00247925"/>
    <w:rsid w:val="00247E13"/>
    <w:rsid w:val="0025063C"/>
    <w:rsid w:val="002506B8"/>
    <w:rsid w:val="00250A26"/>
    <w:rsid w:val="00250EF8"/>
    <w:rsid w:val="00251006"/>
    <w:rsid w:val="0025152B"/>
    <w:rsid w:val="00251980"/>
    <w:rsid w:val="00251C17"/>
    <w:rsid w:val="00251D84"/>
    <w:rsid w:val="002524D5"/>
    <w:rsid w:val="0025261E"/>
    <w:rsid w:val="002528C9"/>
    <w:rsid w:val="00252A13"/>
    <w:rsid w:val="002532EF"/>
    <w:rsid w:val="00253443"/>
    <w:rsid w:val="00253B1D"/>
    <w:rsid w:val="0025418D"/>
    <w:rsid w:val="00254248"/>
    <w:rsid w:val="00254388"/>
    <w:rsid w:val="002544BF"/>
    <w:rsid w:val="002544F3"/>
    <w:rsid w:val="00254DCF"/>
    <w:rsid w:val="00255174"/>
    <w:rsid w:val="0025534B"/>
    <w:rsid w:val="002553A6"/>
    <w:rsid w:val="002553FE"/>
    <w:rsid w:val="00255BB7"/>
    <w:rsid w:val="00255CA8"/>
    <w:rsid w:val="002560AB"/>
    <w:rsid w:val="0025614F"/>
    <w:rsid w:val="00256684"/>
    <w:rsid w:val="00256ECF"/>
    <w:rsid w:val="00257064"/>
    <w:rsid w:val="00257541"/>
    <w:rsid w:val="002575BD"/>
    <w:rsid w:val="0025775D"/>
    <w:rsid w:val="002578E0"/>
    <w:rsid w:val="00257A39"/>
    <w:rsid w:val="00257A80"/>
    <w:rsid w:val="00257AC4"/>
    <w:rsid w:val="00257AED"/>
    <w:rsid w:val="00257BBE"/>
    <w:rsid w:val="00257BDA"/>
    <w:rsid w:val="00257C12"/>
    <w:rsid w:val="00257FC4"/>
    <w:rsid w:val="00260186"/>
    <w:rsid w:val="00260216"/>
    <w:rsid w:val="00260231"/>
    <w:rsid w:val="0026029E"/>
    <w:rsid w:val="002603CA"/>
    <w:rsid w:val="0026049A"/>
    <w:rsid w:val="00260659"/>
    <w:rsid w:val="0026088D"/>
    <w:rsid w:val="00260ADB"/>
    <w:rsid w:val="00261089"/>
    <w:rsid w:val="002614C8"/>
    <w:rsid w:val="00261644"/>
    <w:rsid w:val="00261957"/>
    <w:rsid w:val="00261EEF"/>
    <w:rsid w:val="00261F6E"/>
    <w:rsid w:val="00261FD0"/>
    <w:rsid w:val="00262452"/>
    <w:rsid w:val="00262651"/>
    <w:rsid w:val="002626EE"/>
    <w:rsid w:val="00262703"/>
    <w:rsid w:val="00262A1A"/>
    <w:rsid w:val="00262A87"/>
    <w:rsid w:val="00262D13"/>
    <w:rsid w:val="00262EC7"/>
    <w:rsid w:val="0026344D"/>
    <w:rsid w:val="0026379B"/>
    <w:rsid w:val="00263EBE"/>
    <w:rsid w:val="00263F2A"/>
    <w:rsid w:val="0026416E"/>
    <w:rsid w:val="00264243"/>
    <w:rsid w:val="002645BD"/>
    <w:rsid w:val="00264D26"/>
    <w:rsid w:val="00265234"/>
    <w:rsid w:val="002657E6"/>
    <w:rsid w:val="00265AD5"/>
    <w:rsid w:val="00265D54"/>
    <w:rsid w:val="00265EE8"/>
    <w:rsid w:val="00266A66"/>
    <w:rsid w:val="00266E5A"/>
    <w:rsid w:val="00266F14"/>
    <w:rsid w:val="002670C2"/>
    <w:rsid w:val="002674FD"/>
    <w:rsid w:val="00267642"/>
    <w:rsid w:val="00267AEA"/>
    <w:rsid w:val="00267DB3"/>
    <w:rsid w:val="002700E6"/>
    <w:rsid w:val="0027017E"/>
    <w:rsid w:val="00270192"/>
    <w:rsid w:val="002706BC"/>
    <w:rsid w:val="00270A26"/>
    <w:rsid w:val="002711AD"/>
    <w:rsid w:val="00271B71"/>
    <w:rsid w:val="00271E43"/>
    <w:rsid w:val="002724C9"/>
    <w:rsid w:val="00272702"/>
    <w:rsid w:val="0027294B"/>
    <w:rsid w:val="002738C0"/>
    <w:rsid w:val="002739B6"/>
    <w:rsid w:val="00273EB4"/>
    <w:rsid w:val="00273FB0"/>
    <w:rsid w:val="00274682"/>
    <w:rsid w:val="0027498D"/>
    <w:rsid w:val="00275158"/>
    <w:rsid w:val="00275339"/>
    <w:rsid w:val="00275420"/>
    <w:rsid w:val="00275992"/>
    <w:rsid w:val="00275C5A"/>
    <w:rsid w:val="00275F23"/>
    <w:rsid w:val="00276060"/>
    <w:rsid w:val="00276094"/>
    <w:rsid w:val="002761A9"/>
    <w:rsid w:val="002763E7"/>
    <w:rsid w:val="0027653E"/>
    <w:rsid w:val="0027659D"/>
    <w:rsid w:val="002766B9"/>
    <w:rsid w:val="002766E3"/>
    <w:rsid w:val="00276760"/>
    <w:rsid w:val="002771BB"/>
    <w:rsid w:val="00277541"/>
    <w:rsid w:val="00277557"/>
    <w:rsid w:val="00277783"/>
    <w:rsid w:val="00277A19"/>
    <w:rsid w:val="00277C8E"/>
    <w:rsid w:val="00280147"/>
    <w:rsid w:val="00280215"/>
    <w:rsid w:val="0028032D"/>
    <w:rsid w:val="00280398"/>
    <w:rsid w:val="00280BA0"/>
    <w:rsid w:val="00280ED7"/>
    <w:rsid w:val="00280F77"/>
    <w:rsid w:val="00281014"/>
    <w:rsid w:val="0028101F"/>
    <w:rsid w:val="00281218"/>
    <w:rsid w:val="002814D3"/>
    <w:rsid w:val="00281596"/>
    <w:rsid w:val="002815E8"/>
    <w:rsid w:val="002819C1"/>
    <w:rsid w:val="0028222F"/>
    <w:rsid w:val="00282275"/>
    <w:rsid w:val="0028228F"/>
    <w:rsid w:val="00282368"/>
    <w:rsid w:val="002827C8"/>
    <w:rsid w:val="00282A91"/>
    <w:rsid w:val="00282E11"/>
    <w:rsid w:val="00282E6A"/>
    <w:rsid w:val="002831A6"/>
    <w:rsid w:val="00283356"/>
    <w:rsid w:val="00283C8C"/>
    <w:rsid w:val="00283D51"/>
    <w:rsid w:val="00284045"/>
    <w:rsid w:val="002847F4"/>
    <w:rsid w:val="00284BC9"/>
    <w:rsid w:val="00284C16"/>
    <w:rsid w:val="00284E28"/>
    <w:rsid w:val="00284E79"/>
    <w:rsid w:val="00284F52"/>
    <w:rsid w:val="002854FB"/>
    <w:rsid w:val="002855A9"/>
    <w:rsid w:val="002855D9"/>
    <w:rsid w:val="002858B2"/>
    <w:rsid w:val="00285BCE"/>
    <w:rsid w:val="00285FAD"/>
    <w:rsid w:val="00286249"/>
    <w:rsid w:val="002862E7"/>
    <w:rsid w:val="002863FD"/>
    <w:rsid w:val="0028665D"/>
    <w:rsid w:val="00286911"/>
    <w:rsid w:val="00286E8C"/>
    <w:rsid w:val="00286E96"/>
    <w:rsid w:val="00286EA7"/>
    <w:rsid w:val="00286FD7"/>
    <w:rsid w:val="00287850"/>
    <w:rsid w:val="0028787C"/>
    <w:rsid w:val="002878F5"/>
    <w:rsid w:val="00287902"/>
    <w:rsid w:val="00287AB8"/>
    <w:rsid w:val="0029043B"/>
    <w:rsid w:val="00290672"/>
    <w:rsid w:val="00290864"/>
    <w:rsid w:val="00290FE0"/>
    <w:rsid w:val="002918E6"/>
    <w:rsid w:val="00291951"/>
    <w:rsid w:val="00291B2A"/>
    <w:rsid w:val="00291C6E"/>
    <w:rsid w:val="00291D8F"/>
    <w:rsid w:val="00291ECA"/>
    <w:rsid w:val="002925AC"/>
    <w:rsid w:val="002925CE"/>
    <w:rsid w:val="0029295A"/>
    <w:rsid w:val="00292DA2"/>
    <w:rsid w:val="00293308"/>
    <w:rsid w:val="002938A4"/>
    <w:rsid w:val="00293D4D"/>
    <w:rsid w:val="00293E16"/>
    <w:rsid w:val="00294500"/>
    <w:rsid w:val="00294526"/>
    <w:rsid w:val="00294567"/>
    <w:rsid w:val="002947C4"/>
    <w:rsid w:val="00294872"/>
    <w:rsid w:val="00294BF7"/>
    <w:rsid w:val="00294F0D"/>
    <w:rsid w:val="002955B3"/>
    <w:rsid w:val="00295616"/>
    <w:rsid w:val="002958FF"/>
    <w:rsid w:val="002959B8"/>
    <w:rsid w:val="00295F8E"/>
    <w:rsid w:val="002961B7"/>
    <w:rsid w:val="0029637A"/>
    <w:rsid w:val="00296767"/>
    <w:rsid w:val="00296C8C"/>
    <w:rsid w:val="00296D41"/>
    <w:rsid w:val="00296FA3"/>
    <w:rsid w:val="00297033"/>
    <w:rsid w:val="002971EC"/>
    <w:rsid w:val="00297524"/>
    <w:rsid w:val="0029771F"/>
    <w:rsid w:val="0029795F"/>
    <w:rsid w:val="00297DED"/>
    <w:rsid w:val="002A019C"/>
    <w:rsid w:val="002A01CF"/>
    <w:rsid w:val="002A0208"/>
    <w:rsid w:val="002A05A6"/>
    <w:rsid w:val="002A06CB"/>
    <w:rsid w:val="002A0EF9"/>
    <w:rsid w:val="002A0F55"/>
    <w:rsid w:val="002A1362"/>
    <w:rsid w:val="002A1468"/>
    <w:rsid w:val="002A14AB"/>
    <w:rsid w:val="002A14CD"/>
    <w:rsid w:val="002A1709"/>
    <w:rsid w:val="002A172A"/>
    <w:rsid w:val="002A1F72"/>
    <w:rsid w:val="002A27A2"/>
    <w:rsid w:val="002A2ADE"/>
    <w:rsid w:val="002A2F50"/>
    <w:rsid w:val="002A307B"/>
    <w:rsid w:val="002A35E8"/>
    <w:rsid w:val="002A426D"/>
    <w:rsid w:val="002A4418"/>
    <w:rsid w:val="002A44F7"/>
    <w:rsid w:val="002A4587"/>
    <w:rsid w:val="002A4E25"/>
    <w:rsid w:val="002A51EE"/>
    <w:rsid w:val="002A5393"/>
    <w:rsid w:val="002A5C37"/>
    <w:rsid w:val="002A614F"/>
    <w:rsid w:val="002A671A"/>
    <w:rsid w:val="002A6AD5"/>
    <w:rsid w:val="002A7675"/>
    <w:rsid w:val="002A7943"/>
    <w:rsid w:val="002A79A3"/>
    <w:rsid w:val="002A7FFA"/>
    <w:rsid w:val="002B026D"/>
    <w:rsid w:val="002B0397"/>
    <w:rsid w:val="002B04CD"/>
    <w:rsid w:val="002B05A1"/>
    <w:rsid w:val="002B09A4"/>
    <w:rsid w:val="002B0D42"/>
    <w:rsid w:val="002B0DB5"/>
    <w:rsid w:val="002B175D"/>
    <w:rsid w:val="002B1873"/>
    <w:rsid w:val="002B1982"/>
    <w:rsid w:val="002B1BFC"/>
    <w:rsid w:val="002B1C1F"/>
    <w:rsid w:val="002B24CB"/>
    <w:rsid w:val="002B2D70"/>
    <w:rsid w:val="002B301D"/>
    <w:rsid w:val="002B3188"/>
    <w:rsid w:val="002B3E43"/>
    <w:rsid w:val="002B3E52"/>
    <w:rsid w:val="002B41E7"/>
    <w:rsid w:val="002B432F"/>
    <w:rsid w:val="002B483B"/>
    <w:rsid w:val="002B489D"/>
    <w:rsid w:val="002B4B82"/>
    <w:rsid w:val="002B4C2C"/>
    <w:rsid w:val="002B4CC0"/>
    <w:rsid w:val="002B503C"/>
    <w:rsid w:val="002B5839"/>
    <w:rsid w:val="002B5D96"/>
    <w:rsid w:val="002B62B3"/>
    <w:rsid w:val="002B66C0"/>
    <w:rsid w:val="002B6754"/>
    <w:rsid w:val="002B6777"/>
    <w:rsid w:val="002B6CCE"/>
    <w:rsid w:val="002B6F5C"/>
    <w:rsid w:val="002B7150"/>
    <w:rsid w:val="002B76EF"/>
    <w:rsid w:val="002B78A0"/>
    <w:rsid w:val="002B7991"/>
    <w:rsid w:val="002B7CA9"/>
    <w:rsid w:val="002B7D55"/>
    <w:rsid w:val="002B7D8B"/>
    <w:rsid w:val="002C01CE"/>
    <w:rsid w:val="002C0749"/>
    <w:rsid w:val="002C09C8"/>
    <w:rsid w:val="002C0A2C"/>
    <w:rsid w:val="002C0A85"/>
    <w:rsid w:val="002C1587"/>
    <w:rsid w:val="002C15E8"/>
    <w:rsid w:val="002C1C02"/>
    <w:rsid w:val="002C1D8C"/>
    <w:rsid w:val="002C2123"/>
    <w:rsid w:val="002C248E"/>
    <w:rsid w:val="002C2510"/>
    <w:rsid w:val="002C2718"/>
    <w:rsid w:val="002C2775"/>
    <w:rsid w:val="002C27C1"/>
    <w:rsid w:val="002C2868"/>
    <w:rsid w:val="002C2D45"/>
    <w:rsid w:val="002C31BC"/>
    <w:rsid w:val="002C3394"/>
    <w:rsid w:val="002C34F6"/>
    <w:rsid w:val="002C36E3"/>
    <w:rsid w:val="002C3750"/>
    <w:rsid w:val="002C3A75"/>
    <w:rsid w:val="002C3CD4"/>
    <w:rsid w:val="002C3DF7"/>
    <w:rsid w:val="002C4100"/>
    <w:rsid w:val="002C4129"/>
    <w:rsid w:val="002C41C2"/>
    <w:rsid w:val="002C4460"/>
    <w:rsid w:val="002C4504"/>
    <w:rsid w:val="002C4577"/>
    <w:rsid w:val="002C4A82"/>
    <w:rsid w:val="002C4BCD"/>
    <w:rsid w:val="002C4F10"/>
    <w:rsid w:val="002C4FCF"/>
    <w:rsid w:val="002C5099"/>
    <w:rsid w:val="002C51FF"/>
    <w:rsid w:val="002C534B"/>
    <w:rsid w:val="002C5400"/>
    <w:rsid w:val="002C5889"/>
    <w:rsid w:val="002C5D6B"/>
    <w:rsid w:val="002C67BC"/>
    <w:rsid w:val="002C6A49"/>
    <w:rsid w:val="002C6AE1"/>
    <w:rsid w:val="002C6C35"/>
    <w:rsid w:val="002C6DA2"/>
    <w:rsid w:val="002C6EC0"/>
    <w:rsid w:val="002C70C0"/>
    <w:rsid w:val="002C71CE"/>
    <w:rsid w:val="002C72DC"/>
    <w:rsid w:val="002C76C7"/>
    <w:rsid w:val="002C7732"/>
    <w:rsid w:val="002C7735"/>
    <w:rsid w:val="002C79DC"/>
    <w:rsid w:val="002C7BC1"/>
    <w:rsid w:val="002C7ED7"/>
    <w:rsid w:val="002D006C"/>
    <w:rsid w:val="002D00D9"/>
    <w:rsid w:val="002D08F8"/>
    <w:rsid w:val="002D0DF6"/>
    <w:rsid w:val="002D1312"/>
    <w:rsid w:val="002D1566"/>
    <w:rsid w:val="002D1819"/>
    <w:rsid w:val="002D1C1B"/>
    <w:rsid w:val="002D1EA9"/>
    <w:rsid w:val="002D1F64"/>
    <w:rsid w:val="002D234E"/>
    <w:rsid w:val="002D2AC1"/>
    <w:rsid w:val="002D2AFA"/>
    <w:rsid w:val="002D2BA0"/>
    <w:rsid w:val="002D2BAF"/>
    <w:rsid w:val="002D2C1F"/>
    <w:rsid w:val="002D2CE1"/>
    <w:rsid w:val="002D31FE"/>
    <w:rsid w:val="002D335C"/>
    <w:rsid w:val="002D3663"/>
    <w:rsid w:val="002D3672"/>
    <w:rsid w:val="002D371C"/>
    <w:rsid w:val="002D3ED4"/>
    <w:rsid w:val="002D426B"/>
    <w:rsid w:val="002D4E4D"/>
    <w:rsid w:val="002D577C"/>
    <w:rsid w:val="002D57C1"/>
    <w:rsid w:val="002D5BCC"/>
    <w:rsid w:val="002D5D74"/>
    <w:rsid w:val="002D67EA"/>
    <w:rsid w:val="002D69BC"/>
    <w:rsid w:val="002D6ED3"/>
    <w:rsid w:val="002D74AF"/>
    <w:rsid w:val="002D75A6"/>
    <w:rsid w:val="002D7832"/>
    <w:rsid w:val="002D78F5"/>
    <w:rsid w:val="002E042C"/>
    <w:rsid w:val="002E06C4"/>
    <w:rsid w:val="002E0BAF"/>
    <w:rsid w:val="002E0C8A"/>
    <w:rsid w:val="002E1071"/>
    <w:rsid w:val="002E15B9"/>
    <w:rsid w:val="002E15D7"/>
    <w:rsid w:val="002E16D2"/>
    <w:rsid w:val="002E1D0E"/>
    <w:rsid w:val="002E2158"/>
    <w:rsid w:val="002E2428"/>
    <w:rsid w:val="002E29FB"/>
    <w:rsid w:val="002E2CDE"/>
    <w:rsid w:val="002E3B6A"/>
    <w:rsid w:val="002E459B"/>
    <w:rsid w:val="002E485F"/>
    <w:rsid w:val="002E4921"/>
    <w:rsid w:val="002E4B3E"/>
    <w:rsid w:val="002E4DF7"/>
    <w:rsid w:val="002E4EA6"/>
    <w:rsid w:val="002E4F02"/>
    <w:rsid w:val="002E4F94"/>
    <w:rsid w:val="002E53CB"/>
    <w:rsid w:val="002E58CF"/>
    <w:rsid w:val="002E5951"/>
    <w:rsid w:val="002E5A55"/>
    <w:rsid w:val="002E61DE"/>
    <w:rsid w:val="002E6302"/>
    <w:rsid w:val="002E6BA5"/>
    <w:rsid w:val="002E7722"/>
    <w:rsid w:val="002E7897"/>
    <w:rsid w:val="002E7917"/>
    <w:rsid w:val="002E7EBE"/>
    <w:rsid w:val="002E7FF8"/>
    <w:rsid w:val="002F01B0"/>
    <w:rsid w:val="002F07BA"/>
    <w:rsid w:val="002F07CD"/>
    <w:rsid w:val="002F0912"/>
    <w:rsid w:val="002F0DA9"/>
    <w:rsid w:val="002F1014"/>
    <w:rsid w:val="002F1150"/>
    <w:rsid w:val="002F12F2"/>
    <w:rsid w:val="002F168A"/>
    <w:rsid w:val="002F1761"/>
    <w:rsid w:val="002F1943"/>
    <w:rsid w:val="002F1C5B"/>
    <w:rsid w:val="002F1E3B"/>
    <w:rsid w:val="002F204D"/>
    <w:rsid w:val="002F208C"/>
    <w:rsid w:val="002F271D"/>
    <w:rsid w:val="002F2B9E"/>
    <w:rsid w:val="002F2DF9"/>
    <w:rsid w:val="002F2EB7"/>
    <w:rsid w:val="002F2FBD"/>
    <w:rsid w:val="002F31D7"/>
    <w:rsid w:val="002F323B"/>
    <w:rsid w:val="002F334D"/>
    <w:rsid w:val="002F378F"/>
    <w:rsid w:val="002F3FB8"/>
    <w:rsid w:val="002F43EF"/>
    <w:rsid w:val="002F4482"/>
    <w:rsid w:val="002F46DD"/>
    <w:rsid w:val="002F48FC"/>
    <w:rsid w:val="002F4B78"/>
    <w:rsid w:val="002F4BD0"/>
    <w:rsid w:val="002F4C4B"/>
    <w:rsid w:val="002F4DFF"/>
    <w:rsid w:val="002F5A3C"/>
    <w:rsid w:val="002F5FA4"/>
    <w:rsid w:val="002F60D9"/>
    <w:rsid w:val="002F643C"/>
    <w:rsid w:val="002F686F"/>
    <w:rsid w:val="002F6892"/>
    <w:rsid w:val="002F6EA7"/>
    <w:rsid w:val="002F71C0"/>
    <w:rsid w:val="002F74F1"/>
    <w:rsid w:val="002F753C"/>
    <w:rsid w:val="002F787F"/>
    <w:rsid w:val="002F7971"/>
    <w:rsid w:val="002F799E"/>
    <w:rsid w:val="002F7C21"/>
    <w:rsid w:val="002F7EC0"/>
    <w:rsid w:val="00300206"/>
    <w:rsid w:val="00300329"/>
    <w:rsid w:val="003006F1"/>
    <w:rsid w:val="00300869"/>
    <w:rsid w:val="00300A3D"/>
    <w:rsid w:val="00300BCC"/>
    <w:rsid w:val="00300CDB"/>
    <w:rsid w:val="00300FAB"/>
    <w:rsid w:val="00301017"/>
    <w:rsid w:val="0030136C"/>
    <w:rsid w:val="0030155F"/>
    <w:rsid w:val="003017B7"/>
    <w:rsid w:val="0030190F"/>
    <w:rsid w:val="00301EBB"/>
    <w:rsid w:val="0030207D"/>
    <w:rsid w:val="00302457"/>
    <w:rsid w:val="00302870"/>
    <w:rsid w:val="003028C6"/>
    <w:rsid w:val="00303088"/>
    <w:rsid w:val="00303259"/>
    <w:rsid w:val="003033AB"/>
    <w:rsid w:val="003033BB"/>
    <w:rsid w:val="00303405"/>
    <w:rsid w:val="003037E0"/>
    <w:rsid w:val="00303D06"/>
    <w:rsid w:val="00303D72"/>
    <w:rsid w:val="003043B0"/>
    <w:rsid w:val="003045F7"/>
    <w:rsid w:val="003047B7"/>
    <w:rsid w:val="0030487F"/>
    <w:rsid w:val="00304B6C"/>
    <w:rsid w:val="00304DB6"/>
    <w:rsid w:val="00304E2B"/>
    <w:rsid w:val="0030517F"/>
    <w:rsid w:val="003055AB"/>
    <w:rsid w:val="0030570B"/>
    <w:rsid w:val="0030587B"/>
    <w:rsid w:val="00305AC2"/>
    <w:rsid w:val="00305B0F"/>
    <w:rsid w:val="00305B68"/>
    <w:rsid w:val="00306653"/>
    <w:rsid w:val="0030685B"/>
    <w:rsid w:val="003069A5"/>
    <w:rsid w:val="00306ACF"/>
    <w:rsid w:val="00306B23"/>
    <w:rsid w:val="00306D98"/>
    <w:rsid w:val="00307016"/>
    <w:rsid w:val="00307031"/>
    <w:rsid w:val="003070A9"/>
    <w:rsid w:val="003070BE"/>
    <w:rsid w:val="003077AD"/>
    <w:rsid w:val="0030786C"/>
    <w:rsid w:val="00307D3D"/>
    <w:rsid w:val="00307DB3"/>
    <w:rsid w:val="0031005F"/>
    <w:rsid w:val="00310138"/>
    <w:rsid w:val="0031031A"/>
    <w:rsid w:val="00310981"/>
    <w:rsid w:val="00310C60"/>
    <w:rsid w:val="0031101F"/>
    <w:rsid w:val="003110F1"/>
    <w:rsid w:val="0031188E"/>
    <w:rsid w:val="00311B2A"/>
    <w:rsid w:val="00311BE4"/>
    <w:rsid w:val="00311BFE"/>
    <w:rsid w:val="00311D9B"/>
    <w:rsid w:val="0031209E"/>
    <w:rsid w:val="0031232A"/>
    <w:rsid w:val="00312487"/>
    <w:rsid w:val="003124D9"/>
    <w:rsid w:val="00312594"/>
    <w:rsid w:val="0031286F"/>
    <w:rsid w:val="00312A70"/>
    <w:rsid w:val="00312A94"/>
    <w:rsid w:val="00312ADD"/>
    <w:rsid w:val="00312ADE"/>
    <w:rsid w:val="00312BA1"/>
    <w:rsid w:val="00312C2F"/>
    <w:rsid w:val="0031303E"/>
    <w:rsid w:val="00313132"/>
    <w:rsid w:val="0031315E"/>
    <w:rsid w:val="003134E7"/>
    <w:rsid w:val="00313A04"/>
    <w:rsid w:val="00314650"/>
    <w:rsid w:val="00314FE6"/>
    <w:rsid w:val="0031516B"/>
    <w:rsid w:val="00315498"/>
    <w:rsid w:val="00315BF3"/>
    <w:rsid w:val="00315CDA"/>
    <w:rsid w:val="00315D09"/>
    <w:rsid w:val="00316474"/>
    <w:rsid w:val="00316661"/>
    <w:rsid w:val="00316C49"/>
    <w:rsid w:val="00316C9B"/>
    <w:rsid w:val="00317202"/>
    <w:rsid w:val="00317937"/>
    <w:rsid w:val="00317A15"/>
    <w:rsid w:val="00317AC5"/>
    <w:rsid w:val="00317B6B"/>
    <w:rsid w:val="003201E3"/>
    <w:rsid w:val="0032042A"/>
    <w:rsid w:val="003204B3"/>
    <w:rsid w:val="00320875"/>
    <w:rsid w:val="0032089B"/>
    <w:rsid w:val="0032099D"/>
    <w:rsid w:val="00320C84"/>
    <w:rsid w:val="00321040"/>
    <w:rsid w:val="00321186"/>
    <w:rsid w:val="00321399"/>
    <w:rsid w:val="0032149B"/>
    <w:rsid w:val="003216E5"/>
    <w:rsid w:val="003218AA"/>
    <w:rsid w:val="00321EA9"/>
    <w:rsid w:val="00322107"/>
    <w:rsid w:val="0032217F"/>
    <w:rsid w:val="00322355"/>
    <w:rsid w:val="00322365"/>
    <w:rsid w:val="00322469"/>
    <w:rsid w:val="00322846"/>
    <w:rsid w:val="0032284B"/>
    <w:rsid w:val="00322B6D"/>
    <w:rsid w:val="00322DB5"/>
    <w:rsid w:val="00322DEB"/>
    <w:rsid w:val="00322E8D"/>
    <w:rsid w:val="00322F8E"/>
    <w:rsid w:val="0032352C"/>
    <w:rsid w:val="00323535"/>
    <w:rsid w:val="00323667"/>
    <w:rsid w:val="00323739"/>
    <w:rsid w:val="003238EE"/>
    <w:rsid w:val="00323C05"/>
    <w:rsid w:val="00323DDA"/>
    <w:rsid w:val="0032412A"/>
    <w:rsid w:val="00324345"/>
    <w:rsid w:val="0032434D"/>
    <w:rsid w:val="003244CD"/>
    <w:rsid w:val="00324778"/>
    <w:rsid w:val="003248B6"/>
    <w:rsid w:val="00324B99"/>
    <w:rsid w:val="00324D35"/>
    <w:rsid w:val="00324E34"/>
    <w:rsid w:val="00324F0C"/>
    <w:rsid w:val="00324F6E"/>
    <w:rsid w:val="003263BF"/>
    <w:rsid w:val="00326DA7"/>
    <w:rsid w:val="00326DC2"/>
    <w:rsid w:val="003270E4"/>
    <w:rsid w:val="0032714E"/>
    <w:rsid w:val="0032745B"/>
    <w:rsid w:val="00327461"/>
    <w:rsid w:val="00327683"/>
    <w:rsid w:val="00327845"/>
    <w:rsid w:val="00327981"/>
    <w:rsid w:val="00327996"/>
    <w:rsid w:val="00327A04"/>
    <w:rsid w:val="00327A85"/>
    <w:rsid w:val="00327BE6"/>
    <w:rsid w:val="00327C89"/>
    <w:rsid w:val="003301AB"/>
    <w:rsid w:val="00330583"/>
    <w:rsid w:val="00330B8F"/>
    <w:rsid w:val="00330DAA"/>
    <w:rsid w:val="00330F5C"/>
    <w:rsid w:val="00330F93"/>
    <w:rsid w:val="00331130"/>
    <w:rsid w:val="00331549"/>
    <w:rsid w:val="0033155C"/>
    <w:rsid w:val="003319BE"/>
    <w:rsid w:val="003319C8"/>
    <w:rsid w:val="00331A29"/>
    <w:rsid w:val="00331D23"/>
    <w:rsid w:val="00331D41"/>
    <w:rsid w:val="00331E3B"/>
    <w:rsid w:val="00331EE2"/>
    <w:rsid w:val="00332115"/>
    <w:rsid w:val="003321D5"/>
    <w:rsid w:val="00332532"/>
    <w:rsid w:val="00332590"/>
    <w:rsid w:val="00332C97"/>
    <w:rsid w:val="00332D28"/>
    <w:rsid w:val="00332FA9"/>
    <w:rsid w:val="00332FCC"/>
    <w:rsid w:val="00332FEF"/>
    <w:rsid w:val="00333329"/>
    <w:rsid w:val="00333333"/>
    <w:rsid w:val="00333526"/>
    <w:rsid w:val="00333530"/>
    <w:rsid w:val="0033362A"/>
    <w:rsid w:val="00333B32"/>
    <w:rsid w:val="00333BDE"/>
    <w:rsid w:val="00333CEA"/>
    <w:rsid w:val="00333DE5"/>
    <w:rsid w:val="00333E44"/>
    <w:rsid w:val="003345E4"/>
    <w:rsid w:val="00334B1A"/>
    <w:rsid w:val="00334B47"/>
    <w:rsid w:val="00335306"/>
    <w:rsid w:val="003354FF"/>
    <w:rsid w:val="00335592"/>
    <w:rsid w:val="003358D4"/>
    <w:rsid w:val="003366C9"/>
    <w:rsid w:val="0033685B"/>
    <w:rsid w:val="00336BD0"/>
    <w:rsid w:val="00336D55"/>
    <w:rsid w:val="0033709E"/>
    <w:rsid w:val="003370AC"/>
    <w:rsid w:val="003370DB"/>
    <w:rsid w:val="003371B0"/>
    <w:rsid w:val="00337394"/>
    <w:rsid w:val="003373B5"/>
    <w:rsid w:val="00337416"/>
    <w:rsid w:val="00337501"/>
    <w:rsid w:val="003375BA"/>
    <w:rsid w:val="0034004C"/>
    <w:rsid w:val="003408DD"/>
    <w:rsid w:val="00340CAB"/>
    <w:rsid w:val="00340DB6"/>
    <w:rsid w:val="00340DF1"/>
    <w:rsid w:val="00341237"/>
    <w:rsid w:val="003413FF"/>
    <w:rsid w:val="00341515"/>
    <w:rsid w:val="003417C2"/>
    <w:rsid w:val="003417F3"/>
    <w:rsid w:val="00341A33"/>
    <w:rsid w:val="00341C78"/>
    <w:rsid w:val="00341CA5"/>
    <w:rsid w:val="00341F34"/>
    <w:rsid w:val="003426CE"/>
    <w:rsid w:val="003426EB"/>
    <w:rsid w:val="00342A8F"/>
    <w:rsid w:val="00342BF7"/>
    <w:rsid w:val="00343783"/>
    <w:rsid w:val="00343B39"/>
    <w:rsid w:val="00343E25"/>
    <w:rsid w:val="0034473F"/>
    <w:rsid w:val="00344A35"/>
    <w:rsid w:val="00344D97"/>
    <w:rsid w:val="00345217"/>
    <w:rsid w:val="00345808"/>
    <w:rsid w:val="00345B98"/>
    <w:rsid w:val="00345C0B"/>
    <w:rsid w:val="00345F0C"/>
    <w:rsid w:val="00345F1B"/>
    <w:rsid w:val="0034625F"/>
    <w:rsid w:val="00346278"/>
    <w:rsid w:val="00346BDB"/>
    <w:rsid w:val="00346C0B"/>
    <w:rsid w:val="00346DB7"/>
    <w:rsid w:val="00346E11"/>
    <w:rsid w:val="003479E0"/>
    <w:rsid w:val="003479F3"/>
    <w:rsid w:val="00347A06"/>
    <w:rsid w:val="00347BFA"/>
    <w:rsid w:val="003500D9"/>
    <w:rsid w:val="0035040A"/>
    <w:rsid w:val="0035044D"/>
    <w:rsid w:val="00350607"/>
    <w:rsid w:val="00350855"/>
    <w:rsid w:val="0035095E"/>
    <w:rsid w:val="00350A5F"/>
    <w:rsid w:val="003510A5"/>
    <w:rsid w:val="0035128A"/>
    <w:rsid w:val="00351529"/>
    <w:rsid w:val="00351539"/>
    <w:rsid w:val="003517F9"/>
    <w:rsid w:val="0035195D"/>
    <w:rsid w:val="00351BA9"/>
    <w:rsid w:val="00351C0C"/>
    <w:rsid w:val="00351FEC"/>
    <w:rsid w:val="0035315F"/>
    <w:rsid w:val="00353C32"/>
    <w:rsid w:val="00353F5D"/>
    <w:rsid w:val="0035402B"/>
    <w:rsid w:val="003541C4"/>
    <w:rsid w:val="003543E6"/>
    <w:rsid w:val="003545FB"/>
    <w:rsid w:val="00354691"/>
    <w:rsid w:val="00354C3F"/>
    <w:rsid w:val="00354E80"/>
    <w:rsid w:val="00354F64"/>
    <w:rsid w:val="00355274"/>
    <w:rsid w:val="00355286"/>
    <w:rsid w:val="003556AC"/>
    <w:rsid w:val="003557DF"/>
    <w:rsid w:val="00355BD9"/>
    <w:rsid w:val="00355D62"/>
    <w:rsid w:val="00355E0F"/>
    <w:rsid w:val="0035604F"/>
    <w:rsid w:val="0035620E"/>
    <w:rsid w:val="003562B2"/>
    <w:rsid w:val="003566ED"/>
    <w:rsid w:val="003569A9"/>
    <w:rsid w:val="00356C32"/>
    <w:rsid w:val="00356EB0"/>
    <w:rsid w:val="00356ECD"/>
    <w:rsid w:val="00357027"/>
    <w:rsid w:val="00357086"/>
    <w:rsid w:val="003575BE"/>
    <w:rsid w:val="003576A7"/>
    <w:rsid w:val="003576D0"/>
    <w:rsid w:val="00357B90"/>
    <w:rsid w:val="00357EC4"/>
    <w:rsid w:val="00360174"/>
    <w:rsid w:val="00360345"/>
    <w:rsid w:val="00360BC5"/>
    <w:rsid w:val="00360F09"/>
    <w:rsid w:val="0036149D"/>
    <w:rsid w:val="0036171C"/>
    <w:rsid w:val="00361A05"/>
    <w:rsid w:val="00361AEF"/>
    <w:rsid w:val="00361B59"/>
    <w:rsid w:val="00361C29"/>
    <w:rsid w:val="00361D92"/>
    <w:rsid w:val="00362157"/>
    <w:rsid w:val="00362362"/>
    <w:rsid w:val="003624C4"/>
    <w:rsid w:val="00362BF5"/>
    <w:rsid w:val="0036321E"/>
    <w:rsid w:val="00363865"/>
    <w:rsid w:val="003638AE"/>
    <w:rsid w:val="0036398D"/>
    <w:rsid w:val="00363B00"/>
    <w:rsid w:val="00363BA7"/>
    <w:rsid w:val="00363C2C"/>
    <w:rsid w:val="00363CD3"/>
    <w:rsid w:val="00363F85"/>
    <w:rsid w:val="00363FF5"/>
    <w:rsid w:val="00364148"/>
    <w:rsid w:val="00364151"/>
    <w:rsid w:val="0036415B"/>
    <w:rsid w:val="0036459C"/>
    <w:rsid w:val="003646EF"/>
    <w:rsid w:val="00364807"/>
    <w:rsid w:val="00364A10"/>
    <w:rsid w:val="00364B08"/>
    <w:rsid w:val="0036549F"/>
    <w:rsid w:val="003654AC"/>
    <w:rsid w:val="003655C0"/>
    <w:rsid w:val="00365798"/>
    <w:rsid w:val="00365940"/>
    <w:rsid w:val="00365969"/>
    <w:rsid w:val="00365FD8"/>
    <w:rsid w:val="0036640D"/>
    <w:rsid w:val="00366B3C"/>
    <w:rsid w:val="00366B43"/>
    <w:rsid w:val="00366EED"/>
    <w:rsid w:val="0036732E"/>
    <w:rsid w:val="00367A46"/>
    <w:rsid w:val="00367D97"/>
    <w:rsid w:val="00367E9F"/>
    <w:rsid w:val="0037077D"/>
    <w:rsid w:val="00370EED"/>
    <w:rsid w:val="0037102B"/>
    <w:rsid w:val="003710CF"/>
    <w:rsid w:val="00371330"/>
    <w:rsid w:val="0037135D"/>
    <w:rsid w:val="0037150D"/>
    <w:rsid w:val="0037168B"/>
    <w:rsid w:val="00371F00"/>
    <w:rsid w:val="00372759"/>
    <w:rsid w:val="00372A0D"/>
    <w:rsid w:val="00373408"/>
    <w:rsid w:val="0037358A"/>
    <w:rsid w:val="003739CC"/>
    <w:rsid w:val="00373CBE"/>
    <w:rsid w:val="00373D2A"/>
    <w:rsid w:val="00373DFE"/>
    <w:rsid w:val="003744BC"/>
    <w:rsid w:val="003745D3"/>
    <w:rsid w:val="003746E7"/>
    <w:rsid w:val="00374E9A"/>
    <w:rsid w:val="003750F6"/>
    <w:rsid w:val="003751EB"/>
    <w:rsid w:val="003752F4"/>
    <w:rsid w:val="00375584"/>
    <w:rsid w:val="0037567A"/>
    <w:rsid w:val="00375728"/>
    <w:rsid w:val="0037592E"/>
    <w:rsid w:val="00375BA4"/>
    <w:rsid w:val="00375F8F"/>
    <w:rsid w:val="003760FC"/>
    <w:rsid w:val="003762B5"/>
    <w:rsid w:val="003762F5"/>
    <w:rsid w:val="00376391"/>
    <w:rsid w:val="0037698B"/>
    <w:rsid w:val="00376A1F"/>
    <w:rsid w:val="00376AAB"/>
    <w:rsid w:val="00376E41"/>
    <w:rsid w:val="003771CD"/>
    <w:rsid w:val="003774E8"/>
    <w:rsid w:val="00377734"/>
    <w:rsid w:val="00377A51"/>
    <w:rsid w:val="00377AC0"/>
    <w:rsid w:val="00377AF4"/>
    <w:rsid w:val="00377C2E"/>
    <w:rsid w:val="00377DF8"/>
    <w:rsid w:val="00380831"/>
    <w:rsid w:val="003809F9"/>
    <w:rsid w:val="00380C62"/>
    <w:rsid w:val="00380E1F"/>
    <w:rsid w:val="00382651"/>
    <w:rsid w:val="003828E2"/>
    <w:rsid w:val="00382963"/>
    <w:rsid w:val="0038299F"/>
    <w:rsid w:val="00382DDF"/>
    <w:rsid w:val="00382F20"/>
    <w:rsid w:val="003831BE"/>
    <w:rsid w:val="0038365C"/>
    <w:rsid w:val="0038369B"/>
    <w:rsid w:val="003838E8"/>
    <w:rsid w:val="00383A56"/>
    <w:rsid w:val="00383B0A"/>
    <w:rsid w:val="00383B78"/>
    <w:rsid w:val="00383E7D"/>
    <w:rsid w:val="00384019"/>
    <w:rsid w:val="0038402F"/>
    <w:rsid w:val="003854AC"/>
    <w:rsid w:val="003858D6"/>
    <w:rsid w:val="00385A9D"/>
    <w:rsid w:val="003862D0"/>
    <w:rsid w:val="00386368"/>
    <w:rsid w:val="003864F7"/>
    <w:rsid w:val="00386587"/>
    <w:rsid w:val="00387121"/>
    <w:rsid w:val="00387227"/>
    <w:rsid w:val="0038743B"/>
    <w:rsid w:val="00387550"/>
    <w:rsid w:val="003876E4"/>
    <w:rsid w:val="00387F39"/>
    <w:rsid w:val="003902B1"/>
    <w:rsid w:val="00390406"/>
    <w:rsid w:val="00390721"/>
    <w:rsid w:val="00390A54"/>
    <w:rsid w:val="00390BAD"/>
    <w:rsid w:val="003910F5"/>
    <w:rsid w:val="003911BE"/>
    <w:rsid w:val="003912C2"/>
    <w:rsid w:val="003915A3"/>
    <w:rsid w:val="0039179C"/>
    <w:rsid w:val="00391966"/>
    <w:rsid w:val="00391978"/>
    <w:rsid w:val="003919EA"/>
    <w:rsid w:val="00392009"/>
    <w:rsid w:val="00392334"/>
    <w:rsid w:val="00392362"/>
    <w:rsid w:val="003923DA"/>
    <w:rsid w:val="0039286E"/>
    <w:rsid w:val="00393847"/>
    <w:rsid w:val="00393CB6"/>
    <w:rsid w:val="00394949"/>
    <w:rsid w:val="00394FA5"/>
    <w:rsid w:val="00394FF6"/>
    <w:rsid w:val="00395236"/>
    <w:rsid w:val="003957C5"/>
    <w:rsid w:val="00395B38"/>
    <w:rsid w:val="00395D61"/>
    <w:rsid w:val="00395F4F"/>
    <w:rsid w:val="003960CA"/>
    <w:rsid w:val="0039658B"/>
    <w:rsid w:val="003965DE"/>
    <w:rsid w:val="00396694"/>
    <w:rsid w:val="00396896"/>
    <w:rsid w:val="00396C6B"/>
    <w:rsid w:val="00396D44"/>
    <w:rsid w:val="00396FD0"/>
    <w:rsid w:val="00397206"/>
    <w:rsid w:val="0039787D"/>
    <w:rsid w:val="00397946"/>
    <w:rsid w:val="003979CA"/>
    <w:rsid w:val="003979EB"/>
    <w:rsid w:val="00397A06"/>
    <w:rsid w:val="00397E44"/>
    <w:rsid w:val="00397EF8"/>
    <w:rsid w:val="003A002B"/>
    <w:rsid w:val="003A01AE"/>
    <w:rsid w:val="003A063B"/>
    <w:rsid w:val="003A08EF"/>
    <w:rsid w:val="003A09D2"/>
    <w:rsid w:val="003A0DAD"/>
    <w:rsid w:val="003A0F11"/>
    <w:rsid w:val="003A0F48"/>
    <w:rsid w:val="003A15B9"/>
    <w:rsid w:val="003A1620"/>
    <w:rsid w:val="003A1868"/>
    <w:rsid w:val="003A1A7A"/>
    <w:rsid w:val="003A1ABF"/>
    <w:rsid w:val="003A1BE9"/>
    <w:rsid w:val="003A1FCC"/>
    <w:rsid w:val="003A2008"/>
    <w:rsid w:val="003A2150"/>
    <w:rsid w:val="003A2392"/>
    <w:rsid w:val="003A2539"/>
    <w:rsid w:val="003A2831"/>
    <w:rsid w:val="003A28EE"/>
    <w:rsid w:val="003A2CBA"/>
    <w:rsid w:val="003A2D10"/>
    <w:rsid w:val="003A30AF"/>
    <w:rsid w:val="003A33EF"/>
    <w:rsid w:val="003A3463"/>
    <w:rsid w:val="003A3A2A"/>
    <w:rsid w:val="003A3A42"/>
    <w:rsid w:val="003A3CB6"/>
    <w:rsid w:val="003A3ED1"/>
    <w:rsid w:val="003A401E"/>
    <w:rsid w:val="003A4403"/>
    <w:rsid w:val="003A44DB"/>
    <w:rsid w:val="003A4820"/>
    <w:rsid w:val="003A4900"/>
    <w:rsid w:val="003A4C14"/>
    <w:rsid w:val="003A4CAF"/>
    <w:rsid w:val="003A4F86"/>
    <w:rsid w:val="003A5289"/>
    <w:rsid w:val="003A56CE"/>
    <w:rsid w:val="003A5837"/>
    <w:rsid w:val="003A5B0E"/>
    <w:rsid w:val="003A601E"/>
    <w:rsid w:val="003A6294"/>
    <w:rsid w:val="003A65A3"/>
    <w:rsid w:val="003A6609"/>
    <w:rsid w:val="003A66DB"/>
    <w:rsid w:val="003A78D8"/>
    <w:rsid w:val="003A7B03"/>
    <w:rsid w:val="003A7EE9"/>
    <w:rsid w:val="003A7F72"/>
    <w:rsid w:val="003B025C"/>
    <w:rsid w:val="003B0916"/>
    <w:rsid w:val="003B0BA7"/>
    <w:rsid w:val="003B0D13"/>
    <w:rsid w:val="003B11AE"/>
    <w:rsid w:val="003B11D7"/>
    <w:rsid w:val="003B1304"/>
    <w:rsid w:val="003B162E"/>
    <w:rsid w:val="003B16CD"/>
    <w:rsid w:val="003B194E"/>
    <w:rsid w:val="003B1B14"/>
    <w:rsid w:val="003B1DAD"/>
    <w:rsid w:val="003B241C"/>
    <w:rsid w:val="003B242F"/>
    <w:rsid w:val="003B317C"/>
    <w:rsid w:val="003B3426"/>
    <w:rsid w:val="003B3971"/>
    <w:rsid w:val="003B3A6F"/>
    <w:rsid w:val="003B4245"/>
    <w:rsid w:val="003B4A03"/>
    <w:rsid w:val="003B4EB5"/>
    <w:rsid w:val="003B55D1"/>
    <w:rsid w:val="003B560B"/>
    <w:rsid w:val="003B564D"/>
    <w:rsid w:val="003B5B61"/>
    <w:rsid w:val="003B5C10"/>
    <w:rsid w:val="003B6117"/>
    <w:rsid w:val="003B6591"/>
    <w:rsid w:val="003B6742"/>
    <w:rsid w:val="003B6A4A"/>
    <w:rsid w:val="003B6D01"/>
    <w:rsid w:val="003B71DA"/>
    <w:rsid w:val="003B71DE"/>
    <w:rsid w:val="003B72E7"/>
    <w:rsid w:val="003B735E"/>
    <w:rsid w:val="003B7532"/>
    <w:rsid w:val="003B7898"/>
    <w:rsid w:val="003B7EE9"/>
    <w:rsid w:val="003C08C3"/>
    <w:rsid w:val="003C0ADB"/>
    <w:rsid w:val="003C0E30"/>
    <w:rsid w:val="003C0F94"/>
    <w:rsid w:val="003C107D"/>
    <w:rsid w:val="003C10F6"/>
    <w:rsid w:val="003C1183"/>
    <w:rsid w:val="003C1484"/>
    <w:rsid w:val="003C1654"/>
    <w:rsid w:val="003C1704"/>
    <w:rsid w:val="003C1D6D"/>
    <w:rsid w:val="003C215C"/>
    <w:rsid w:val="003C2442"/>
    <w:rsid w:val="003C2D02"/>
    <w:rsid w:val="003C2F61"/>
    <w:rsid w:val="003C3064"/>
    <w:rsid w:val="003C375A"/>
    <w:rsid w:val="003C39B4"/>
    <w:rsid w:val="003C3B19"/>
    <w:rsid w:val="003C40DF"/>
    <w:rsid w:val="003C45D7"/>
    <w:rsid w:val="003C4BD0"/>
    <w:rsid w:val="003C4E35"/>
    <w:rsid w:val="003C53A3"/>
    <w:rsid w:val="003C5542"/>
    <w:rsid w:val="003C577C"/>
    <w:rsid w:val="003C57BD"/>
    <w:rsid w:val="003C6095"/>
    <w:rsid w:val="003C65F2"/>
    <w:rsid w:val="003C69B0"/>
    <w:rsid w:val="003C6C3D"/>
    <w:rsid w:val="003C6C4F"/>
    <w:rsid w:val="003C6EFA"/>
    <w:rsid w:val="003C6FE8"/>
    <w:rsid w:val="003C7706"/>
    <w:rsid w:val="003C7722"/>
    <w:rsid w:val="003C77FE"/>
    <w:rsid w:val="003C7A44"/>
    <w:rsid w:val="003C7C15"/>
    <w:rsid w:val="003C7D19"/>
    <w:rsid w:val="003C7D2F"/>
    <w:rsid w:val="003C7F7F"/>
    <w:rsid w:val="003D0195"/>
    <w:rsid w:val="003D02A1"/>
    <w:rsid w:val="003D0626"/>
    <w:rsid w:val="003D0663"/>
    <w:rsid w:val="003D0C5A"/>
    <w:rsid w:val="003D1103"/>
    <w:rsid w:val="003D17CB"/>
    <w:rsid w:val="003D1828"/>
    <w:rsid w:val="003D1DE4"/>
    <w:rsid w:val="003D1E9A"/>
    <w:rsid w:val="003D1F55"/>
    <w:rsid w:val="003D2422"/>
    <w:rsid w:val="003D277E"/>
    <w:rsid w:val="003D2892"/>
    <w:rsid w:val="003D2B0E"/>
    <w:rsid w:val="003D2BE8"/>
    <w:rsid w:val="003D36E7"/>
    <w:rsid w:val="003D39A1"/>
    <w:rsid w:val="003D3AFC"/>
    <w:rsid w:val="003D3FB9"/>
    <w:rsid w:val="003D3FBF"/>
    <w:rsid w:val="003D4259"/>
    <w:rsid w:val="003D42A8"/>
    <w:rsid w:val="003D4A30"/>
    <w:rsid w:val="003D4AC7"/>
    <w:rsid w:val="003D5171"/>
    <w:rsid w:val="003D5619"/>
    <w:rsid w:val="003D56BB"/>
    <w:rsid w:val="003D5B75"/>
    <w:rsid w:val="003D60D3"/>
    <w:rsid w:val="003D67EF"/>
    <w:rsid w:val="003D6880"/>
    <w:rsid w:val="003D6975"/>
    <w:rsid w:val="003D6FED"/>
    <w:rsid w:val="003D7452"/>
    <w:rsid w:val="003D75F8"/>
    <w:rsid w:val="003D7794"/>
    <w:rsid w:val="003D7795"/>
    <w:rsid w:val="003D79B0"/>
    <w:rsid w:val="003D79BB"/>
    <w:rsid w:val="003D7C98"/>
    <w:rsid w:val="003D7D9D"/>
    <w:rsid w:val="003D7E25"/>
    <w:rsid w:val="003D7E37"/>
    <w:rsid w:val="003D7E5B"/>
    <w:rsid w:val="003D7FE5"/>
    <w:rsid w:val="003E000F"/>
    <w:rsid w:val="003E0090"/>
    <w:rsid w:val="003E01DD"/>
    <w:rsid w:val="003E0500"/>
    <w:rsid w:val="003E0543"/>
    <w:rsid w:val="003E0986"/>
    <w:rsid w:val="003E0D05"/>
    <w:rsid w:val="003E0D8D"/>
    <w:rsid w:val="003E1205"/>
    <w:rsid w:val="003E16DF"/>
    <w:rsid w:val="003E17A0"/>
    <w:rsid w:val="003E17CB"/>
    <w:rsid w:val="003E1843"/>
    <w:rsid w:val="003E18BA"/>
    <w:rsid w:val="003E1BC3"/>
    <w:rsid w:val="003E1F1E"/>
    <w:rsid w:val="003E2333"/>
    <w:rsid w:val="003E259E"/>
    <w:rsid w:val="003E27DF"/>
    <w:rsid w:val="003E2E62"/>
    <w:rsid w:val="003E2F14"/>
    <w:rsid w:val="003E38F5"/>
    <w:rsid w:val="003E3EF4"/>
    <w:rsid w:val="003E3F70"/>
    <w:rsid w:val="003E4344"/>
    <w:rsid w:val="003E4867"/>
    <w:rsid w:val="003E4A28"/>
    <w:rsid w:val="003E4CDA"/>
    <w:rsid w:val="003E500C"/>
    <w:rsid w:val="003E520E"/>
    <w:rsid w:val="003E5603"/>
    <w:rsid w:val="003E5663"/>
    <w:rsid w:val="003E645D"/>
    <w:rsid w:val="003E664D"/>
    <w:rsid w:val="003E6844"/>
    <w:rsid w:val="003E68FE"/>
    <w:rsid w:val="003E6B92"/>
    <w:rsid w:val="003E6EB7"/>
    <w:rsid w:val="003E704D"/>
    <w:rsid w:val="003E7399"/>
    <w:rsid w:val="003E749E"/>
    <w:rsid w:val="003E7730"/>
    <w:rsid w:val="003E7A6E"/>
    <w:rsid w:val="003F04F6"/>
    <w:rsid w:val="003F0556"/>
    <w:rsid w:val="003F07CC"/>
    <w:rsid w:val="003F0CFC"/>
    <w:rsid w:val="003F0D15"/>
    <w:rsid w:val="003F0E13"/>
    <w:rsid w:val="003F1A08"/>
    <w:rsid w:val="003F20B2"/>
    <w:rsid w:val="003F2231"/>
    <w:rsid w:val="003F2928"/>
    <w:rsid w:val="003F302C"/>
    <w:rsid w:val="003F31B2"/>
    <w:rsid w:val="003F34EA"/>
    <w:rsid w:val="003F37A5"/>
    <w:rsid w:val="003F3814"/>
    <w:rsid w:val="003F39B4"/>
    <w:rsid w:val="003F4156"/>
    <w:rsid w:val="003F4588"/>
    <w:rsid w:val="003F4594"/>
    <w:rsid w:val="003F4CFA"/>
    <w:rsid w:val="003F4E95"/>
    <w:rsid w:val="003F4F5C"/>
    <w:rsid w:val="003F5241"/>
    <w:rsid w:val="003F5432"/>
    <w:rsid w:val="003F55D2"/>
    <w:rsid w:val="003F55F1"/>
    <w:rsid w:val="003F57A9"/>
    <w:rsid w:val="003F5842"/>
    <w:rsid w:val="003F5ADF"/>
    <w:rsid w:val="003F6255"/>
    <w:rsid w:val="003F6996"/>
    <w:rsid w:val="003F6C07"/>
    <w:rsid w:val="003F6CFE"/>
    <w:rsid w:val="003F721A"/>
    <w:rsid w:val="003F72D0"/>
    <w:rsid w:val="003F7651"/>
    <w:rsid w:val="003F7CA4"/>
    <w:rsid w:val="003F7E4E"/>
    <w:rsid w:val="003F7FDC"/>
    <w:rsid w:val="004000E8"/>
    <w:rsid w:val="00400610"/>
    <w:rsid w:val="004007E5"/>
    <w:rsid w:val="00400B29"/>
    <w:rsid w:val="00400C77"/>
    <w:rsid w:val="00400CF6"/>
    <w:rsid w:val="00400E5C"/>
    <w:rsid w:val="00400FD5"/>
    <w:rsid w:val="00401097"/>
    <w:rsid w:val="0040139E"/>
    <w:rsid w:val="004014F9"/>
    <w:rsid w:val="00401507"/>
    <w:rsid w:val="004019B7"/>
    <w:rsid w:val="00401FF0"/>
    <w:rsid w:val="004023F4"/>
    <w:rsid w:val="004026B3"/>
    <w:rsid w:val="00402812"/>
    <w:rsid w:val="00402CDE"/>
    <w:rsid w:val="00402E4D"/>
    <w:rsid w:val="00403145"/>
    <w:rsid w:val="0040325F"/>
    <w:rsid w:val="00403689"/>
    <w:rsid w:val="00403A7E"/>
    <w:rsid w:val="00403B92"/>
    <w:rsid w:val="00403D3B"/>
    <w:rsid w:val="00403F1D"/>
    <w:rsid w:val="0040412B"/>
    <w:rsid w:val="004042D3"/>
    <w:rsid w:val="00404717"/>
    <w:rsid w:val="004047FB"/>
    <w:rsid w:val="00404BE9"/>
    <w:rsid w:val="00404BED"/>
    <w:rsid w:val="00404D21"/>
    <w:rsid w:val="00404D3A"/>
    <w:rsid w:val="0040504B"/>
    <w:rsid w:val="00405236"/>
    <w:rsid w:val="00405391"/>
    <w:rsid w:val="004057E3"/>
    <w:rsid w:val="004059F4"/>
    <w:rsid w:val="00405B30"/>
    <w:rsid w:val="0040639D"/>
    <w:rsid w:val="0040648D"/>
    <w:rsid w:val="004065AA"/>
    <w:rsid w:val="004067F8"/>
    <w:rsid w:val="00406956"/>
    <w:rsid w:val="00406B5B"/>
    <w:rsid w:val="00406CD7"/>
    <w:rsid w:val="00406E48"/>
    <w:rsid w:val="00407299"/>
    <w:rsid w:val="00407487"/>
    <w:rsid w:val="00407545"/>
    <w:rsid w:val="004079E4"/>
    <w:rsid w:val="00407BC7"/>
    <w:rsid w:val="00407D06"/>
    <w:rsid w:val="00407FE5"/>
    <w:rsid w:val="004101B0"/>
    <w:rsid w:val="00410249"/>
    <w:rsid w:val="00410326"/>
    <w:rsid w:val="0041042F"/>
    <w:rsid w:val="00410708"/>
    <w:rsid w:val="00410A43"/>
    <w:rsid w:val="00410B76"/>
    <w:rsid w:val="00410BD1"/>
    <w:rsid w:val="00410CED"/>
    <w:rsid w:val="00410E1A"/>
    <w:rsid w:val="00410EC7"/>
    <w:rsid w:val="00410F27"/>
    <w:rsid w:val="0041116A"/>
    <w:rsid w:val="00411418"/>
    <w:rsid w:val="00411552"/>
    <w:rsid w:val="004118A8"/>
    <w:rsid w:val="00411B39"/>
    <w:rsid w:val="00411F37"/>
    <w:rsid w:val="004121C5"/>
    <w:rsid w:val="004127A7"/>
    <w:rsid w:val="00412D06"/>
    <w:rsid w:val="00413340"/>
    <w:rsid w:val="00413A1E"/>
    <w:rsid w:val="00413A77"/>
    <w:rsid w:val="00414054"/>
    <w:rsid w:val="00414476"/>
    <w:rsid w:val="004144CE"/>
    <w:rsid w:val="00414643"/>
    <w:rsid w:val="00414C2E"/>
    <w:rsid w:val="00414D59"/>
    <w:rsid w:val="00414DC6"/>
    <w:rsid w:val="004151CF"/>
    <w:rsid w:val="00415286"/>
    <w:rsid w:val="0041537C"/>
    <w:rsid w:val="0041552E"/>
    <w:rsid w:val="004156CA"/>
    <w:rsid w:val="00415749"/>
    <w:rsid w:val="004157AE"/>
    <w:rsid w:val="0041586F"/>
    <w:rsid w:val="00416146"/>
    <w:rsid w:val="00416262"/>
    <w:rsid w:val="00416364"/>
    <w:rsid w:val="0041643B"/>
    <w:rsid w:val="004170B3"/>
    <w:rsid w:val="0041780E"/>
    <w:rsid w:val="00417B52"/>
    <w:rsid w:val="00417BDF"/>
    <w:rsid w:val="00417EA5"/>
    <w:rsid w:val="004202F8"/>
    <w:rsid w:val="0042047F"/>
    <w:rsid w:val="004207F5"/>
    <w:rsid w:val="004208BB"/>
    <w:rsid w:val="00420AA6"/>
    <w:rsid w:val="00420B9F"/>
    <w:rsid w:val="0042122F"/>
    <w:rsid w:val="004214B2"/>
    <w:rsid w:val="00421681"/>
    <w:rsid w:val="004218E0"/>
    <w:rsid w:val="0042192C"/>
    <w:rsid w:val="00422015"/>
    <w:rsid w:val="00422260"/>
    <w:rsid w:val="00422501"/>
    <w:rsid w:val="00422575"/>
    <w:rsid w:val="0042259A"/>
    <w:rsid w:val="00423973"/>
    <w:rsid w:val="00423B40"/>
    <w:rsid w:val="00423C78"/>
    <w:rsid w:val="00423D9E"/>
    <w:rsid w:val="004240EC"/>
    <w:rsid w:val="0042413F"/>
    <w:rsid w:val="00424A5F"/>
    <w:rsid w:val="00424A6E"/>
    <w:rsid w:val="00424B48"/>
    <w:rsid w:val="00424D9D"/>
    <w:rsid w:val="00424E52"/>
    <w:rsid w:val="0042525A"/>
    <w:rsid w:val="00425849"/>
    <w:rsid w:val="00425B23"/>
    <w:rsid w:val="00426065"/>
    <w:rsid w:val="00426165"/>
    <w:rsid w:val="00426384"/>
    <w:rsid w:val="004263A8"/>
    <w:rsid w:val="00426B38"/>
    <w:rsid w:val="0042718C"/>
    <w:rsid w:val="00427525"/>
    <w:rsid w:val="00427777"/>
    <w:rsid w:val="00427A45"/>
    <w:rsid w:val="00427B7C"/>
    <w:rsid w:val="00427C23"/>
    <w:rsid w:val="00427F34"/>
    <w:rsid w:val="00430395"/>
    <w:rsid w:val="00430772"/>
    <w:rsid w:val="00430933"/>
    <w:rsid w:val="00430CB5"/>
    <w:rsid w:val="00430F22"/>
    <w:rsid w:val="00431140"/>
    <w:rsid w:val="004319F8"/>
    <w:rsid w:val="00431C90"/>
    <w:rsid w:val="00431D9E"/>
    <w:rsid w:val="00431E55"/>
    <w:rsid w:val="00431FD7"/>
    <w:rsid w:val="004321F6"/>
    <w:rsid w:val="004325F7"/>
    <w:rsid w:val="0043261F"/>
    <w:rsid w:val="0043277C"/>
    <w:rsid w:val="004328BD"/>
    <w:rsid w:val="00432B36"/>
    <w:rsid w:val="00432D08"/>
    <w:rsid w:val="00433044"/>
    <w:rsid w:val="004334CE"/>
    <w:rsid w:val="004336E6"/>
    <w:rsid w:val="00433764"/>
    <w:rsid w:val="004339F9"/>
    <w:rsid w:val="00433C08"/>
    <w:rsid w:val="00434088"/>
    <w:rsid w:val="0043477D"/>
    <w:rsid w:val="004347BC"/>
    <w:rsid w:val="004348D4"/>
    <w:rsid w:val="00434F3E"/>
    <w:rsid w:val="00435F1B"/>
    <w:rsid w:val="004362ED"/>
    <w:rsid w:val="00436329"/>
    <w:rsid w:val="004363E2"/>
    <w:rsid w:val="0043652B"/>
    <w:rsid w:val="00436531"/>
    <w:rsid w:val="0043665B"/>
    <w:rsid w:val="00436698"/>
    <w:rsid w:val="00436A29"/>
    <w:rsid w:val="004375B9"/>
    <w:rsid w:val="0043761C"/>
    <w:rsid w:val="004376B8"/>
    <w:rsid w:val="0043777F"/>
    <w:rsid w:val="00437A36"/>
    <w:rsid w:val="00437EA4"/>
    <w:rsid w:val="00437ECD"/>
    <w:rsid w:val="0044006B"/>
    <w:rsid w:val="00440140"/>
    <w:rsid w:val="00440604"/>
    <w:rsid w:val="00440856"/>
    <w:rsid w:val="00440EED"/>
    <w:rsid w:val="004410FA"/>
    <w:rsid w:val="004411BF"/>
    <w:rsid w:val="00441412"/>
    <w:rsid w:val="00441648"/>
    <w:rsid w:val="004422EF"/>
    <w:rsid w:val="00442675"/>
    <w:rsid w:val="004428D0"/>
    <w:rsid w:val="00442962"/>
    <w:rsid w:val="004429BD"/>
    <w:rsid w:val="00442AA3"/>
    <w:rsid w:val="00443A3A"/>
    <w:rsid w:val="00443C9D"/>
    <w:rsid w:val="00444185"/>
    <w:rsid w:val="004443A7"/>
    <w:rsid w:val="0044442C"/>
    <w:rsid w:val="004455C8"/>
    <w:rsid w:val="0044587E"/>
    <w:rsid w:val="0044589B"/>
    <w:rsid w:val="00445941"/>
    <w:rsid w:val="00445A62"/>
    <w:rsid w:val="00445A80"/>
    <w:rsid w:val="00445EBC"/>
    <w:rsid w:val="00446070"/>
    <w:rsid w:val="004464EB"/>
    <w:rsid w:val="00446848"/>
    <w:rsid w:val="00446943"/>
    <w:rsid w:val="00446A35"/>
    <w:rsid w:val="00446B78"/>
    <w:rsid w:val="00446F2A"/>
    <w:rsid w:val="004478A0"/>
    <w:rsid w:val="00447BA9"/>
    <w:rsid w:val="00447D26"/>
    <w:rsid w:val="00447DD9"/>
    <w:rsid w:val="00447DFC"/>
    <w:rsid w:val="00447F52"/>
    <w:rsid w:val="004500B2"/>
    <w:rsid w:val="00450380"/>
    <w:rsid w:val="00450509"/>
    <w:rsid w:val="0045075F"/>
    <w:rsid w:val="00450DC6"/>
    <w:rsid w:val="004512BF"/>
    <w:rsid w:val="004517AF"/>
    <w:rsid w:val="0045188F"/>
    <w:rsid w:val="00451C35"/>
    <w:rsid w:val="0045218D"/>
    <w:rsid w:val="004521CC"/>
    <w:rsid w:val="004525E5"/>
    <w:rsid w:val="0045269C"/>
    <w:rsid w:val="0045290E"/>
    <w:rsid w:val="00452927"/>
    <w:rsid w:val="00452C22"/>
    <w:rsid w:val="00452CA4"/>
    <w:rsid w:val="004532D2"/>
    <w:rsid w:val="004538FE"/>
    <w:rsid w:val="00453925"/>
    <w:rsid w:val="00453B78"/>
    <w:rsid w:val="00453D28"/>
    <w:rsid w:val="00454305"/>
    <w:rsid w:val="004545FC"/>
    <w:rsid w:val="00454709"/>
    <w:rsid w:val="0045470E"/>
    <w:rsid w:val="00454734"/>
    <w:rsid w:val="00454AE6"/>
    <w:rsid w:val="00454B2E"/>
    <w:rsid w:val="00454BC5"/>
    <w:rsid w:val="00455148"/>
    <w:rsid w:val="00455C5B"/>
    <w:rsid w:val="00455D45"/>
    <w:rsid w:val="00455D9E"/>
    <w:rsid w:val="00456EBD"/>
    <w:rsid w:val="00456F09"/>
    <w:rsid w:val="0045727F"/>
    <w:rsid w:val="00457318"/>
    <w:rsid w:val="004575AF"/>
    <w:rsid w:val="00457F07"/>
    <w:rsid w:val="0046050B"/>
    <w:rsid w:val="004608D9"/>
    <w:rsid w:val="00460907"/>
    <w:rsid w:val="0046093C"/>
    <w:rsid w:val="00460C0E"/>
    <w:rsid w:val="00461512"/>
    <w:rsid w:val="00461583"/>
    <w:rsid w:val="004615FC"/>
    <w:rsid w:val="004618F2"/>
    <w:rsid w:val="00461E5D"/>
    <w:rsid w:val="00461F30"/>
    <w:rsid w:val="0046211F"/>
    <w:rsid w:val="00462464"/>
    <w:rsid w:val="00462CC9"/>
    <w:rsid w:val="004631AB"/>
    <w:rsid w:val="004635A0"/>
    <w:rsid w:val="00463A7D"/>
    <w:rsid w:val="00463A8F"/>
    <w:rsid w:val="00463AAE"/>
    <w:rsid w:val="00463B18"/>
    <w:rsid w:val="00463F86"/>
    <w:rsid w:val="00464097"/>
    <w:rsid w:val="00464134"/>
    <w:rsid w:val="00464322"/>
    <w:rsid w:val="004643A2"/>
    <w:rsid w:val="004643C2"/>
    <w:rsid w:val="00464568"/>
    <w:rsid w:val="00464595"/>
    <w:rsid w:val="00464D4B"/>
    <w:rsid w:val="00464DF2"/>
    <w:rsid w:val="004658B5"/>
    <w:rsid w:val="0046598D"/>
    <w:rsid w:val="004659AD"/>
    <w:rsid w:val="00465A93"/>
    <w:rsid w:val="00465C87"/>
    <w:rsid w:val="00465D71"/>
    <w:rsid w:val="00465E2D"/>
    <w:rsid w:val="00465EB2"/>
    <w:rsid w:val="004663D0"/>
    <w:rsid w:val="004663F0"/>
    <w:rsid w:val="004665D4"/>
    <w:rsid w:val="0046691B"/>
    <w:rsid w:val="00466D87"/>
    <w:rsid w:val="00466F81"/>
    <w:rsid w:val="00467362"/>
    <w:rsid w:val="004673C2"/>
    <w:rsid w:val="00467DCC"/>
    <w:rsid w:val="00470075"/>
    <w:rsid w:val="004704E2"/>
    <w:rsid w:val="00470A4B"/>
    <w:rsid w:val="00471266"/>
    <w:rsid w:val="00471276"/>
    <w:rsid w:val="0047182D"/>
    <w:rsid w:val="00471951"/>
    <w:rsid w:val="00471EA5"/>
    <w:rsid w:val="00471FAD"/>
    <w:rsid w:val="00471FD1"/>
    <w:rsid w:val="00472220"/>
    <w:rsid w:val="00472420"/>
    <w:rsid w:val="0047259F"/>
    <w:rsid w:val="00472A79"/>
    <w:rsid w:val="00472AC0"/>
    <w:rsid w:val="00472C61"/>
    <w:rsid w:val="00472E98"/>
    <w:rsid w:val="0047372C"/>
    <w:rsid w:val="0047390D"/>
    <w:rsid w:val="00473D43"/>
    <w:rsid w:val="00473F19"/>
    <w:rsid w:val="00474025"/>
    <w:rsid w:val="0047422C"/>
    <w:rsid w:val="00474873"/>
    <w:rsid w:val="004749E1"/>
    <w:rsid w:val="00474C84"/>
    <w:rsid w:val="00475092"/>
    <w:rsid w:val="004751BA"/>
    <w:rsid w:val="00475327"/>
    <w:rsid w:val="004753BB"/>
    <w:rsid w:val="004755BB"/>
    <w:rsid w:val="00475DD9"/>
    <w:rsid w:val="00475E22"/>
    <w:rsid w:val="00475F8E"/>
    <w:rsid w:val="00476245"/>
    <w:rsid w:val="004767F1"/>
    <w:rsid w:val="00476872"/>
    <w:rsid w:val="004778A5"/>
    <w:rsid w:val="00477DD0"/>
    <w:rsid w:val="0048032E"/>
    <w:rsid w:val="00480739"/>
    <w:rsid w:val="0048088E"/>
    <w:rsid w:val="00480F2B"/>
    <w:rsid w:val="00481027"/>
    <w:rsid w:val="0048102E"/>
    <w:rsid w:val="004811A9"/>
    <w:rsid w:val="00481204"/>
    <w:rsid w:val="004818DA"/>
    <w:rsid w:val="00481DFF"/>
    <w:rsid w:val="004821F9"/>
    <w:rsid w:val="00482720"/>
    <w:rsid w:val="0048273F"/>
    <w:rsid w:val="00482A7B"/>
    <w:rsid w:val="00482B5C"/>
    <w:rsid w:val="00482B9C"/>
    <w:rsid w:val="004833DC"/>
    <w:rsid w:val="004835E7"/>
    <w:rsid w:val="004836BD"/>
    <w:rsid w:val="00483B0E"/>
    <w:rsid w:val="004842F2"/>
    <w:rsid w:val="004844FF"/>
    <w:rsid w:val="0048453C"/>
    <w:rsid w:val="0048484B"/>
    <w:rsid w:val="0048490D"/>
    <w:rsid w:val="00484C65"/>
    <w:rsid w:val="00485222"/>
    <w:rsid w:val="0048525F"/>
    <w:rsid w:val="00485269"/>
    <w:rsid w:val="0048530E"/>
    <w:rsid w:val="004859E1"/>
    <w:rsid w:val="00485D5E"/>
    <w:rsid w:val="00485F7C"/>
    <w:rsid w:val="0048641C"/>
    <w:rsid w:val="004866F9"/>
    <w:rsid w:val="004867E2"/>
    <w:rsid w:val="0048697B"/>
    <w:rsid w:val="0048711B"/>
    <w:rsid w:val="004873F3"/>
    <w:rsid w:val="00487CF1"/>
    <w:rsid w:val="00490A48"/>
    <w:rsid w:val="00490ADE"/>
    <w:rsid w:val="00490B17"/>
    <w:rsid w:val="00490F89"/>
    <w:rsid w:val="0049134D"/>
    <w:rsid w:val="00491A45"/>
    <w:rsid w:val="00491B3A"/>
    <w:rsid w:val="00491D42"/>
    <w:rsid w:val="00492540"/>
    <w:rsid w:val="0049261D"/>
    <w:rsid w:val="004927D3"/>
    <w:rsid w:val="00492A49"/>
    <w:rsid w:val="00492CFD"/>
    <w:rsid w:val="00493501"/>
    <w:rsid w:val="00493689"/>
    <w:rsid w:val="00493860"/>
    <w:rsid w:val="004939A2"/>
    <w:rsid w:val="00494207"/>
    <w:rsid w:val="00494B7E"/>
    <w:rsid w:val="00494D5D"/>
    <w:rsid w:val="00494DD5"/>
    <w:rsid w:val="00495CA6"/>
    <w:rsid w:val="004962C3"/>
    <w:rsid w:val="004962D2"/>
    <w:rsid w:val="004967E3"/>
    <w:rsid w:val="0049682C"/>
    <w:rsid w:val="00496B40"/>
    <w:rsid w:val="00496CE2"/>
    <w:rsid w:val="00496D1E"/>
    <w:rsid w:val="00496D3B"/>
    <w:rsid w:val="00496E93"/>
    <w:rsid w:val="00496EEB"/>
    <w:rsid w:val="00496FF3"/>
    <w:rsid w:val="004972E2"/>
    <w:rsid w:val="00497CBA"/>
    <w:rsid w:val="004A0151"/>
    <w:rsid w:val="004A037C"/>
    <w:rsid w:val="004A04F3"/>
    <w:rsid w:val="004A0779"/>
    <w:rsid w:val="004A0DA1"/>
    <w:rsid w:val="004A11F2"/>
    <w:rsid w:val="004A12FC"/>
    <w:rsid w:val="004A13D6"/>
    <w:rsid w:val="004A19E3"/>
    <w:rsid w:val="004A1C09"/>
    <w:rsid w:val="004A2030"/>
    <w:rsid w:val="004A29AA"/>
    <w:rsid w:val="004A33E8"/>
    <w:rsid w:val="004A3AE7"/>
    <w:rsid w:val="004A3BE0"/>
    <w:rsid w:val="004A3D21"/>
    <w:rsid w:val="004A3F4D"/>
    <w:rsid w:val="004A44E4"/>
    <w:rsid w:val="004A48BA"/>
    <w:rsid w:val="004A49D2"/>
    <w:rsid w:val="004A4C32"/>
    <w:rsid w:val="004A50C4"/>
    <w:rsid w:val="004A512F"/>
    <w:rsid w:val="004A52E9"/>
    <w:rsid w:val="004A5337"/>
    <w:rsid w:val="004A55FC"/>
    <w:rsid w:val="004A5608"/>
    <w:rsid w:val="004A5B5C"/>
    <w:rsid w:val="004A5D05"/>
    <w:rsid w:val="004A5D5C"/>
    <w:rsid w:val="004A6040"/>
    <w:rsid w:val="004A6242"/>
    <w:rsid w:val="004A640D"/>
    <w:rsid w:val="004A6597"/>
    <w:rsid w:val="004A684A"/>
    <w:rsid w:val="004A6926"/>
    <w:rsid w:val="004A6B31"/>
    <w:rsid w:val="004A6C24"/>
    <w:rsid w:val="004A6C84"/>
    <w:rsid w:val="004A6CEC"/>
    <w:rsid w:val="004A6EF5"/>
    <w:rsid w:val="004A73E3"/>
    <w:rsid w:val="004A7598"/>
    <w:rsid w:val="004A7848"/>
    <w:rsid w:val="004A793B"/>
    <w:rsid w:val="004A7B90"/>
    <w:rsid w:val="004B0176"/>
    <w:rsid w:val="004B0CC5"/>
    <w:rsid w:val="004B0DA6"/>
    <w:rsid w:val="004B0E4A"/>
    <w:rsid w:val="004B1356"/>
    <w:rsid w:val="004B14FE"/>
    <w:rsid w:val="004B16D6"/>
    <w:rsid w:val="004B1790"/>
    <w:rsid w:val="004B1CB4"/>
    <w:rsid w:val="004B1E98"/>
    <w:rsid w:val="004B1EBB"/>
    <w:rsid w:val="004B24B9"/>
    <w:rsid w:val="004B2F18"/>
    <w:rsid w:val="004B2F5A"/>
    <w:rsid w:val="004B3502"/>
    <w:rsid w:val="004B3A09"/>
    <w:rsid w:val="004B3D3B"/>
    <w:rsid w:val="004B3DDB"/>
    <w:rsid w:val="004B3F9D"/>
    <w:rsid w:val="004B43B2"/>
    <w:rsid w:val="004B4407"/>
    <w:rsid w:val="004B44FD"/>
    <w:rsid w:val="004B4691"/>
    <w:rsid w:val="004B4823"/>
    <w:rsid w:val="004B4B5C"/>
    <w:rsid w:val="004B4C0F"/>
    <w:rsid w:val="004B4D61"/>
    <w:rsid w:val="004B4D96"/>
    <w:rsid w:val="004B4DCD"/>
    <w:rsid w:val="004B4FFC"/>
    <w:rsid w:val="004B5599"/>
    <w:rsid w:val="004B591F"/>
    <w:rsid w:val="004B5CB0"/>
    <w:rsid w:val="004B5CFC"/>
    <w:rsid w:val="004B5D58"/>
    <w:rsid w:val="004B64A7"/>
    <w:rsid w:val="004B6C81"/>
    <w:rsid w:val="004B6DCA"/>
    <w:rsid w:val="004B6F79"/>
    <w:rsid w:val="004B7415"/>
    <w:rsid w:val="004B7492"/>
    <w:rsid w:val="004B7638"/>
    <w:rsid w:val="004B7649"/>
    <w:rsid w:val="004B774D"/>
    <w:rsid w:val="004B7795"/>
    <w:rsid w:val="004B77FB"/>
    <w:rsid w:val="004B7B2F"/>
    <w:rsid w:val="004B7BEE"/>
    <w:rsid w:val="004B7EF7"/>
    <w:rsid w:val="004B7F3A"/>
    <w:rsid w:val="004C05FE"/>
    <w:rsid w:val="004C0BC9"/>
    <w:rsid w:val="004C0F3C"/>
    <w:rsid w:val="004C0F8F"/>
    <w:rsid w:val="004C1057"/>
    <w:rsid w:val="004C1691"/>
    <w:rsid w:val="004C1B2E"/>
    <w:rsid w:val="004C1F82"/>
    <w:rsid w:val="004C2342"/>
    <w:rsid w:val="004C23D9"/>
    <w:rsid w:val="004C2AC2"/>
    <w:rsid w:val="004C3061"/>
    <w:rsid w:val="004C333E"/>
    <w:rsid w:val="004C3629"/>
    <w:rsid w:val="004C374B"/>
    <w:rsid w:val="004C387F"/>
    <w:rsid w:val="004C3B02"/>
    <w:rsid w:val="004C3D08"/>
    <w:rsid w:val="004C3F01"/>
    <w:rsid w:val="004C3F4E"/>
    <w:rsid w:val="004C4330"/>
    <w:rsid w:val="004C4640"/>
    <w:rsid w:val="004C49FF"/>
    <w:rsid w:val="004C4AED"/>
    <w:rsid w:val="004C4B44"/>
    <w:rsid w:val="004C4D0C"/>
    <w:rsid w:val="004C4D9A"/>
    <w:rsid w:val="004C4FB0"/>
    <w:rsid w:val="004C55D1"/>
    <w:rsid w:val="004C56BD"/>
    <w:rsid w:val="004C5E84"/>
    <w:rsid w:val="004C5E98"/>
    <w:rsid w:val="004C5F31"/>
    <w:rsid w:val="004C5F53"/>
    <w:rsid w:val="004C6382"/>
    <w:rsid w:val="004C6641"/>
    <w:rsid w:val="004C6788"/>
    <w:rsid w:val="004C6C36"/>
    <w:rsid w:val="004C6FA8"/>
    <w:rsid w:val="004C7385"/>
    <w:rsid w:val="004C7420"/>
    <w:rsid w:val="004C7662"/>
    <w:rsid w:val="004C7F2E"/>
    <w:rsid w:val="004D0210"/>
    <w:rsid w:val="004D0393"/>
    <w:rsid w:val="004D0455"/>
    <w:rsid w:val="004D05D9"/>
    <w:rsid w:val="004D0762"/>
    <w:rsid w:val="004D0D4A"/>
    <w:rsid w:val="004D130D"/>
    <w:rsid w:val="004D18D5"/>
    <w:rsid w:val="004D1D2C"/>
    <w:rsid w:val="004D1DA2"/>
    <w:rsid w:val="004D1E59"/>
    <w:rsid w:val="004D1ECD"/>
    <w:rsid w:val="004D1FDC"/>
    <w:rsid w:val="004D21F5"/>
    <w:rsid w:val="004D2237"/>
    <w:rsid w:val="004D25A6"/>
    <w:rsid w:val="004D2760"/>
    <w:rsid w:val="004D2B0B"/>
    <w:rsid w:val="004D2BF7"/>
    <w:rsid w:val="004D2C2D"/>
    <w:rsid w:val="004D3327"/>
    <w:rsid w:val="004D3450"/>
    <w:rsid w:val="004D3A6D"/>
    <w:rsid w:val="004D3B21"/>
    <w:rsid w:val="004D3C47"/>
    <w:rsid w:val="004D43F9"/>
    <w:rsid w:val="004D4682"/>
    <w:rsid w:val="004D4AB5"/>
    <w:rsid w:val="004D4C66"/>
    <w:rsid w:val="004D4D57"/>
    <w:rsid w:val="004D53A5"/>
    <w:rsid w:val="004D5842"/>
    <w:rsid w:val="004D5976"/>
    <w:rsid w:val="004D5B2B"/>
    <w:rsid w:val="004D5BAD"/>
    <w:rsid w:val="004D5EC0"/>
    <w:rsid w:val="004D6419"/>
    <w:rsid w:val="004D6623"/>
    <w:rsid w:val="004D6726"/>
    <w:rsid w:val="004D6878"/>
    <w:rsid w:val="004D6940"/>
    <w:rsid w:val="004D6966"/>
    <w:rsid w:val="004D69B5"/>
    <w:rsid w:val="004D6E48"/>
    <w:rsid w:val="004D7227"/>
    <w:rsid w:val="004D7974"/>
    <w:rsid w:val="004D7AE8"/>
    <w:rsid w:val="004D7B5E"/>
    <w:rsid w:val="004D7E85"/>
    <w:rsid w:val="004E08E9"/>
    <w:rsid w:val="004E0915"/>
    <w:rsid w:val="004E0E7F"/>
    <w:rsid w:val="004E0EB8"/>
    <w:rsid w:val="004E134B"/>
    <w:rsid w:val="004E164B"/>
    <w:rsid w:val="004E18E9"/>
    <w:rsid w:val="004E1D16"/>
    <w:rsid w:val="004E1FDA"/>
    <w:rsid w:val="004E23D0"/>
    <w:rsid w:val="004E2691"/>
    <w:rsid w:val="004E2ADC"/>
    <w:rsid w:val="004E2BB1"/>
    <w:rsid w:val="004E2EB9"/>
    <w:rsid w:val="004E38A6"/>
    <w:rsid w:val="004E3AD5"/>
    <w:rsid w:val="004E3B45"/>
    <w:rsid w:val="004E4129"/>
    <w:rsid w:val="004E4293"/>
    <w:rsid w:val="004E43B2"/>
    <w:rsid w:val="004E44D1"/>
    <w:rsid w:val="004E49D0"/>
    <w:rsid w:val="004E5789"/>
    <w:rsid w:val="004E580A"/>
    <w:rsid w:val="004E5AAC"/>
    <w:rsid w:val="004E5FF7"/>
    <w:rsid w:val="004E61B2"/>
    <w:rsid w:val="004E655C"/>
    <w:rsid w:val="004E6C1F"/>
    <w:rsid w:val="004E7197"/>
    <w:rsid w:val="004E76CD"/>
    <w:rsid w:val="004E788A"/>
    <w:rsid w:val="004E7940"/>
    <w:rsid w:val="004F000A"/>
    <w:rsid w:val="004F03D6"/>
    <w:rsid w:val="004F0425"/>
    <w:rsid w:val="004F06F5"/>
    <w:rsid w:val="004F0C35"/>
    <w:rsid w:val="004F0C3F"/>
    <w:rsid w:val="004F11E7"/>
    <w:rsid w:val="004F12CD"/>
    <w:rsid w:val="004F17B3"/>
    <w:rsid w:val="004F17CF"/>
    <w:rsid w:val="004F1D02"/>
    <w:rsid w:val="004F2502"/>
    <w:rsid w:val="004F2679"/>
    <w:rsid w:val="004F275E"/>
    <w:rsid w:val="004F2F21"/>
    <w:rsid w:val="004F2FDB"/>
    <w:rsid w:val="004F30B0"/>
    <w:rsid w:val="004F30CE"/>
    <w:rsid w:val="004F3127"/>
    <w:rsid w:val="004F3159"/>
    <w:rsid w:val="004F3249"/>
    <w:rsid w:val="004F3308"/>
    <w:rsid w:val="004F338E"/>
    <w:rsid w:val="004F33F8"/>
    <w:rsid w:val="004F358A"/>
    <w:rsid w:val="004F38FF"/>
    <w:rsid w:val="004F3D92"/>
    <w:rsid w:val="004F3DE5"/>
    <w:rsid w:val="004F40E5"/>
    <w:rsid w:val="004F4259"/>
    <w:rsid w:val="004F45C1"/>
    <w:rsid w:val="004F491E"/>
    <w:rsid w:val="004F49EB"/>
    <w:rsid w:val="004F511F"/>
    <w:rsid w:val="004F5304"/>
    <w:rsid w:val="004F535F"/>
    <w:rsid w:val="004F59FB"/>
    <w:rsid w:val="004F5D29"/>
    <w:rsid w:val="004F5D2E"/>
    <w:rsid w:val="004F5D56"/>
    <w:rsid w:val="004F5E69"/>
    <w:rsid w:val="004F60D6"/>
    <w:rsid w:val="004F656B"/>
    <w:rsid w:val="004F6913"/>
    <w:rsid w:val="004F6B96"/>
    <w:rsid w:val="004F7345"/>
    <w:rsid w:val="004F7445"/>
    <w:rsid w:val="004F7729"/>
    <w:rsid w:val="004F7865"/>
    <w:rsid w:val="004F7CB7"/>
    <w:rsid w:val="00500767"/>
    <w:rsid w:val="00500B11"/>
    <w:rsid w:val="00500D91"/>
    <w:rsid w:val="00500E26"/>
    <w:rsid w:val="00501011"/>
    <w:rsid w:val="0050121E"/>
    <w:rsid w:val="0050122F"/>
    <w:rsid w:val="0050174E"/>
    <w:rsid w:val="0050182C"/>
    <w:rsid w:val="00501854"/>
    <w:rsid w:val="00501BFA"/>
    <w:rsid w:val="0050219B"/>
    <w:rsid w:val="005021A3"/>
    <w:rsid w:val="0050233B"/>
    <w:rsid w:val="00502709"/>
    <w:rsid w:val="0050289E"/>
    <w:rsid w:val="00502A78"/>
    <w:rsid w:val="005031C8"/>
    <w:rsid w:val="005032C2"/>
    <w:rsid w:val="005032CE"/>
    <w:rsid w:val="005033C5"/>
    <w:rsid w:val="00503B31"/>
    <w:rsid w:val="00503C0F"/>
    <w:rsid w:val="00503F17"/>
    <w:rsid w:val="00503F3A"/>
    <w:rsid w:val="0050414C"/>
    <w:rsid w:val="00504152"/>
    <w:rsid w:val="005046EB"/>
    <w:rsid w:val="00505099"/>
    <w:rsid w:val="0050553B"/>
    <w:rsid w:val="0050581E"/>
    <w:rsid w:val="005058CB"/>
    <w:rsid w:val="00505CE1"/>
    <w:rsid w:val="00505F03"/>
    <w:rsid w:val="00505F38"/>
    <w:rsid w:val="00505F85"/>
    <w:rsid w:val="0050637F"/>
    <w:rsid w:val="00506928"/>
    <w:rsid w:val="0050705B"/>
    <w:rsid w:val="005072DA"/>
    <w:rsid w:val="0050755B"/>
    <w:rsid w:val="005077EF"/>
    <w:rsid w:val="00507BE0"/>
    <w:rsid w:val="0051011C"/>
    <w:rsid w:val="005104F6"/>
    <w:rsid w:val="0051055D"/>
    <w:rsid w:val="00510AAB"/>
    <w:rsid w:val="00510F66"/>
    <w:rsid w:val="00511037"/>
    <w:rsid w:val="00511188"/>
    <w:rsid w:val="00511776"/>
    <w:rsid w:val="00511A43"/>
    <w:rsid w:val="00511AD5"/>
    <w:rsid w:val="00511DC7"/>
    <w:rsid w:val="00512150"/>
    <w:rsid w:val="00512651"/>
    <w:rsid w:val="005129AD"/>
    <w:rsid w:val="00512CFC"/>
    <w:rsid w:val="00512D46"/>
    <w:rsid w:val="00512D60"/>
    <w:rsid w:val="005131C2"/>
    <w:rsid w:val="0051334D"/>
    <w:rsid w:val="00513361"/>
    <w:rsid w:val="00513549"/>
    <w:rsid w:val="005135D4"/>
    <w:rsid w:val="00513F40"/>
    <w:rsid w:val="00514077"/>
    <w:rsid w:val="00514176"/>
    <w:rsid w:val="00514251"/>
    <w:rsid w:val="005142C5"/>
    <w:rsid w:val="00514CC2"/>
    <w:rsid w:val="00514D00"/>
    <w:rsid w:val="0051501B"/>
    <w:rsid w:val="005152B5"/>
    <w:rsid w:val="005153BE"/>
    <w:rsid w:val="00515886"/>
    <w:rsid w:val="005158AC"/>
    <w:rsid w:val="00515A44"/>
    <w:rsid w:val="00515D13"/>
    <w:rsid w:val="00515FFD"/>
    <w:rsid w:val="00516245"/>
    <w:rsid w:val="00516E22"/>
    <w:rsid w:val="0051751A"/>
    <w:rsid w:val="005175DB"/>
    <w:rsid w:val="005176D5"/>
    <w:rsid w:val="0052044C"/>
    <w:rsid w:val="005204D2"/>
    <w:rsid w:val="005205CA"/>
    <w:rsid w:val="00520BD9"/>
    <w:rsid w:val="00520C09"/>
    <w:rsid w:val="00521239"/>
    <w:rsid w:val="0052123C"/>
    <w:rsid w:val="00521319"/>
    <w:rsid w:val="00521552"/>
    <w:rsid w:val="00521D4D"/>
    <w:rsid w:val="00521F7E"/>
    <w:rsid w:val="00522017"/>
    <w:rsid w:val="005220AC"/>
    <w:rsid w:val="00522541"/>
    <w:rsid w:val="005225C9"/>
    <w:rsid w:val="0052266A"/>
    <w:rsid w:val="00522BBC"/>
    <w:rsid w:val="00522BC8"/>
    <w:rsid w:val="00522D5A"/>
    <w:rsid w:val="00523C28"/>
    <w:rsid w:val="0052409B"/>
    <w:rsid w:val="005244E8"/>
    <w:rsid w:val="005245B3"/>
    <w:rsid w:val="00524D1E"/>
    <w:rsid w:val="00524FBD"/>
    <w:rsid w:val="00524FCB"/>
    <w:rsid w:val="005252E8"/>
    <w:rsid w:val="005255BC"/>
    <w:rsid w:val="00525912"/>
    <w:rsid w:val="00525FC3"/>
    <w:rsid w:val="0052611A"/>
    <w:rsid w:val="00526532"/>
    <w:rsid w:val="00526B78"/>
    <w:rsid w:val="00526DE2"/>
    <w:rsid w:val="00526FBF"/>
    <w:rsid w:val="00527882"/>
    <w:rsid w:val="00527B06"/>
    <w:rsid w:val="005302E4"/>
    <w:rsid w:val="0053037F"/>
    <w:rsid w:val="0053101B"/>
    <w:rsid w:val="0053126B"/>
    <w:rsid w:val="005315C5"/>
    <w:rsid w:val="00531719"/>
    <w:rsid w:val="0053176B"/>
    <w:rsid w:val="00531B8B"/>
    <w:rsid w:val="00531BBC"/>
    <w:rsid w:val="005325DB"/>
    <w:rsid w:val="005328D3"/>
    <w:rsid w:val="00532952"/>
    <w:rsid w:val="00533380"/>
    <w:rsid w:val="00533571"/>
    <w:rsid w:val="00533634"/>
    <w:rsid w:val="005336EB"/>
    <w:rsid w:val="0053399B"/>
    <w:rsid w:val="005341B3"/>
    <w:rsid w:val="00534616"/>
    <w:rsid w:val="00534630"/>
    <w:rsid w:val="00534752"/>
    <w:rsid w:val="005348D3"/>
    <w:rsid w:val="00534CC3"/>
    <w:rsid w:val="00534EC4"/>
    <w:rsid w:val="00536099"/>
    <w:rsid w:val="005360AB"/>
    <w:rsid w:val="005368CF"/>
    <w:rsid w:val="00536A4F"/>
    <w:rsid w:val="00536F42"/>
    <w:rsid w:val="00537182"/>
    <w:rsid w:val="00537336"/>
    <w:rsid w:val="005373F6"/>
    <w:rsid w:val="00537406"/>
    <w:rsid w:val="00537768"/>
    <w:rsid w:val="00537CFF"/>
    <w:rsid w:val="0054024A"/>
    <w:rsid w:val="005405CF"/>
    <w:rsid w:val="0054063F"/>
    <w:rsid w:val="00541168"/>
    <w:rsid w:val="005415F4"/>
    <w:rsid w:val="00541976"/>
    <w:rsid w:val="00541EDD"/>
    <w:rsid w:val="005421A4"/>
    <w:rsid w:val="005421E8"/>
    <w:rsid w:val="00542417"/>
    <w:rsid w:val="005424B5"/>
    <w:rsid w:val="00542606"/>
    <w:rsid w:val="00542630"/>
    <w:rsid w:val="00542743"/>
    <w:rsid w:val="00542C2D"/>
    <w:rsid w:val="00542C97"/>
    <w:rsid w:val="00542F61"/>
    <w:rsid w:val="0054310A"/>
    <w:rsid w:val="005432FB"/>
    <w:rsid w:val="00543880"/>
    <w:rsid w:val="00543EFD"/>
    <w:rsid w:val="00543F8B"/>
    <w:rsid w:val="00544259"/>
    <w:rsid w:val="0054468F"/>
    <w:rsid w:val="00544CAD"/>
    <w:rsid w:val="0054537F"/>
    <w:rsid w:val="00545869"/>
    <w:rsid w:val="00545CD2"/>
    <w:rsid w:val="00545CE5"/>
    <w:rsid w:val="00545D55"/>
    <w:rsid w:val="00545F99"/>
    <w:rsid w:val="00546ACD"/>
    <w:rsid w:val="00546C9E"/>
    <w:rsid w:val="00546EC0"/>
    <w:rsid w:val="005471D3"/>
    <w:rsid w:val="0054762D"/>
    <w:rsid w:val="005478B3"/>
    <w:rsid w:val="005478BD"/>
    <w:rsid w:val="005479E3"/>
    <w:rsid w:val="0055035E"/>
    <w:rsid w:val="00550772"/>
    <w:rsid w:val="005509F4"/>
    <w:rsid w:val="00550A63"/>
    <w:rsid w:val="00551672"/>
    <w:rsid w:val="00551985"/>
    <w:rsid w:val="00551CF1"/>
    <w:rsid w:val="00551D92"/>
    <w:rsid w:val="00551E0F"/>
    <w:rsid w:val="0055269F"/>
    <w:rsid w:val="00552A24"/>
    <w:rsid w:val="00552AF5"/>
    <w:rsid w:val="00552BD3"/>
    <w:rsid w:val="00552D81"/>
    <w:rsid w:val="00552E54"/>
    <w:rsid w:val="00553115"/>
    <w:rsid w:val="0055323D"/>
    <w:rsid w:val="005532A0"/>
    <w:rsid w:val="005534B2"/>
    <w:rsid w:val="005539F7"/>
    <w:rsid w:val="00553B9D"/>
    <w:rsid w:val="00553E2C"/>
    <w:rsid w:val="00554442"/>
    <w:rsid w:val="005547FC"/>
    <w:rsid w:val="00554F31"/>
    <w:rsid w:val="00554FB1"/>
    <w:rsid w:val="00555109"/>
    <w:rsid w:val="00555168"/>
    <w:rsid w:val="00555292"/>
    <w:rsid w:val="005557B2"/>
    <w:rsid w:val="00555FD2"/>
    <w:rsid w:val="00556568"/>
    <w:rsid w:val="00556ABF"/>
    <w:rsid w:val="00556B35"/>
    <w:rsid w:val="0055741A"/>
    <w:rsid w:val="00557BA0"/>
    <w:rsid w:val="00557CCE"/>
    <w:rsid w:val="00557FD5"/>
    <w:rsid w:val="00560050"/>
    <w:rsid w:val="00560A96"/>
    <w:rsid w:val="00560C79"/>
    <w:rsid w:val="00560CD3"/>
    <w:rsid w:val="00560D74"/>
    <w:rsid w:val="00560E7F"/>
    <w:rsid w:val="00560F9D"/>
    <w:rsid w:val="005611B7"/>
    <w:rsid w:val="00561336"/>
    <w:rsid w:val="00561463"/>
    <w:rsid w:val="00561648"/>
    <w:rsid w:val="005618D4"/>
    <w:rsid w:val="00562AD4"/>
    <w:rsid w:val="00562BCC"/>
    <w:rsid w:val="005630C1"/>
    <w:rsid w:val="005631F5"/>
    <w:rsid w:val="0056359E"/>
    <w:rsid w:val="0056375A"/>
    <w:rsid w:val="00563A67"/>
    <w:rsid w:val="00563B82"/>
    <w:rsid w:val="00563D67"/>
    <w:rsid w:val="005640B4"/>
    <w:rsid w:val="00564867"/>
    <w:rsid w:val="00564A09"/>
    <w:rsid w:val="00564B76"/>
    <w:rsid w:val="00564FC9"/>
    <w:rsid w:val="005650A3"/>
    <w:rsid w:val="0056510A"/>
    <w:rsid w:val="0056521A"/>
    <w:rsid w:val="0056522F"/>
    <w:rsid w:val="0056564A"/>
    <w:rsid w:val="00565738"/>
    <w:rsid w:val="00565C79"/>
    <w:rsid w:val="00565DF0"/>
    <w:rsid w:val="00566151"/>
    <w:rsid w:val="0056662A"/>
    <w:rsid w:val="0056696F"/>
    <w:rsid w:val="00567480"/>
    <w:rsid w:val="00567502"/>
    <w:rsid w:val="00567507"/>
    <w:rsid w:val="005675FC"/>
    <w:rsid w:val="005676B6"/>
    <w:rsid w:val="00567ADF"/>
    <w:rsid w:val="00570144"/>
    <w:rsid w:val="00570A48"/>
    <w:rsid w:val="00570CD2"/>
    <w:rsid w:val="00570CEA"/>
    <w:rsid w:val="00570E3F"/>
    <w:rsid w:val="00570F17"/>
    <w:rsid w:val="0057123F"/>
    <w:rsid w:val="005714FB"/>
    <w:rsid w:val="0057182C"/>
    <w:rsid w:val="00571A37"/>
    <w:rsid w:val="00571C0A"/>
    <w:rsid w:val="00572269"/>
    <w:rsid w:val="0057244A"/>
    <w:rsid w:val="005724D3"/>
    <w:rsid w:val="005725BE"/>
    <w:rsid w:val="005725CE"/>
    <w:rsid w:val="0057270D"/>
    <w:rsid w:val="0057277F"/>
    <w:rsid w:val="00572C2B"/>
    <w:rsid w:val="00572F26"/>
    <w:rsid w:val="005730F8"/>
    <w:rsid w:val="00573108"/>
    <w:rsid w:val="0057343A"/>
    <w:rsid w:val="00574966"/>
    <w:rsid w:val="00574BB9"/>
    <w:rsid w:val="00574BDF"/>
    <w:rsid w:val="005750C5"/>
    <w:rsid w:val="005752DE"/>
    <w:rsid w:val="005759DE"/>
    <w:rsid w:val="00575D60"/>
    <w:rsid w:val="00575D71"/>
    <w:rsid w:val="00575D8D"/>
    <w:rsid w:val="005761AE"/>
    <w:rsid w:val="00576336"/>
    <w:rsid w:val="005763ED"/>
    <w:rsid w:val="00576555"/>
    <w:rsid w:val="00576972"/>
    <w:rsid w:val="00576A10"/>
    <w:rsid w:val="00576B15"/>
    <w:rsid w:val="00576D68"/>
    <w:rsid w:val="00576EFC"/>
    <w:rsid w:val="00577248"/>
    <w:rsid w:val="00577354"/>
    <w:rsid w:val="0057784C"/>
    <w:rsid w:val="00577B01"/>
    <w:rsid w:val="00577C5A"/>
    <w:rsid w:val="0058020E"/>
    <w:rsid w:val="0058060F"/>
    <w:rsid w:val="005809FC"/>
    <w:rsid w:val="005811A0"/>
    <w:rsid w:val="005813A5"/>
    <w:rsid w:val="005813F9"/>
    <w:rsid w:val="00581554"/>
    <w:rsid w:val="005816E0"/>
    <w:rsid w:val="00581832"/>
    <w:rsid w:val="00581AAD"/>
    <w:rsid w:val="00581B16"/>
    <w:rsid w:val="00581D27"/>
    <w:rsid w:val="005820BB"/>
    <w:rsid w:val="00583053"/>
    <w:rsid w:val="005833A7"/>
    <w:rsid w:val="005834A6"/>
    <w:rsid w:val="0058355E"/>
    <w:rsid w:val="005835CB"/>
    <w:rsid w:val="00583699"/>
    <w:rsid w:val="0058383E"/>
    <w:rsid w:val="00583D1A"/>
    <w:rsid w:val="00583DDE"/>
    <w:rsid w:val="00584478"/>
    <w:rsid w:val="00584508"/>
    <w:rsid w:val="00584A0A"/>
    <w:rsid w:val="0058535D"/>
    <w:rsid w:val="0058595D"/>
    <w:rsid w:val="00585AC7"/>
    <w:rsid w:val="00585C2F"/>
    <w:rsid w:val="00585CDD"/>
    <w:rsid w:val="00585D77"/>
    <w:rsid w:val="005865A1"/>
    <w:rsid w:val="00586755"/>
    <w:rsid w:val="00586A5D"/>
    <w:rsid w:val="00586DFF"/>
    <w:rsid w:val="00587058"/>
    <w:rsid w:val="00587394"/>
    <w:rsid w:val="005878FE"/>
    <w:rsid w:val="00587A1F"/>
    <w:rsid w:val="00587D3A"/>
    <w:rsid w:val="00590614"/>
    <w:rsid w:val="00590FDE"/>
    <w:rsid w:val="00591957"/>
    <w:rsid w:val="00591A07"/>
    <w:rsid w:val="00591D28"/>
    <w:rsid w:val="00591FC2"/>
    <w:rsid w:val="00592102"/>
    <w:rsid w:val="0059211E"/>
    <w:rsid w:val="005921C4"/>
    <w:rsid w:val="005923B4"/>
    <w:rsid w:val="00592806"/>
    <w:rsid w:val="005941E2"/>
    <w:rsid w:val="0059445B"/>
    <w:rsid w:val="00594F27"/>
    <w:rsid w:val="00595587"/>
    <w:rsid w:val="005959F8"/>
    <w:rsid w:val="00595D06"/>
    <w:rsid w:val="005964EA"/>
    <w:rsid w:val="00596BFE"/>
    <w:rsid w:val="00596FAC"/>
    <w:rsid w:val="00597350"/>
    <w:rsid w:val="005973AF"/>
    <w:rsid w:val="00597B6E"/>
    <w:rsid w:val="00597BF9"/>
    <w:rsid w:val="00597D81"/>
    <w:rsid w:val="00597DF2"/>
    <w:rsid w:val="005A0251"/>
    <w:rsid w:val="005A02C5"/>
    <w:rsid w:val="005A07B8"/>
    <w:rsid w:val="005A0C11"/>
    <w:rsid w:val="005A15B5"/>
    <w:rsid w:val="005A1C0F"/>
    <w:rsid w:val="005A1CCE"/>
    <w:rsid w:val="005A22E4"/>
    <w:rsid w:val="005A23E4"/>
    <w:rsid w:val="005A2856"/>
    <w:rsid w:val="005A2BC6"/>
    <w:rsid w:val="005A2E1E"/>
    <w:rsid w:val="005A2F6B"/>
    <w:rsid w:val="005A309A"/>
    <w:rsid w:val="005A348E"/>
    <w:rsid w:val="005A360A"/>
    <w:rsid w:val="005A373D"/>
    <w:rsid w:val="005A3836"/>
    <w:rsid w:val="005A3C3F"/>
    <w:rsid w:val="005A4684"/>
    <w:rsid w:val="005A4802"/>
    <w:rsid w:val="005A5378"/>
    <w:rsid w:val="005A562D"/>
    <w:rsid w:val="005A5A3D"/>
    <w:rsid w:val="005A5F60"/>
    <w:rsid w:val="005A6211"/>
    <w:rsid w:val="005A6315"/>
    <w:rsid w:val="005A679B"/>
    <w:rsid w:val="005A6B24"/>
    <w:rsid w:val="005A6B48"/>
    <w:rsid w:val="005A6EEC"/>
    <w:rsid w:val="005A7282"/>
    <w:rsid w:val="005A73E2"/>
    <w:rsid w:val="005A76BF"/>
    <w:rsid w:val="005A7AA7"/>
    <w:rsid w:val="005B018C"/>
    <w:rsid w:val="005B0824"/>
    <w:rsid w:val="005B0B58"/>
    <w:rsid w:val="005B0DDD"/>
    <w:rsid w:val="005B16ED"/>
    <w:rsid w:val="005B187A"/>
    <w:rsid w:val="005B1E3E"/>
    <w:rsid w:val="005B1E61"/>
    <w:rsid w:val="005B1F95"/>
    <w:rsid w:val="005B2057"/>
    <w:rsid w:val="005B21C9"/>
    <w:rsid w:val="005B2355"/>
    <w:rsid w:val="005B288E"/>
    <w:rsid w:val="005B2964"/>
    <w:rsid w:val="005B2AFE"/>
    <w:rsid w:val="005B2D2B"/>
    <w:rsid w:val="005B31D2"/>
    <w:rsid w:val="005B345E"/>
    <w:rsid w:val="005B36A2"/>
    <w:rsid w:val="005B36C3"/>
    <w:rsid w:val="005B387B"/>
    <w:rsid w:val="005B3C84"/>
    <w:rsid w:val="005B4107"/>
    <w:rsid w:val="005B4401"/>
    <w:rsid w:val="005B487A"/>
    <w:rsid w:val="005B4A97"/>
    <w:rsid w:val="005B4AD9"/>
    <w:rsid w:val="005B4C34"/>
    <w:rsid w:val="005B4E53"/>
    <w:rsid w:val="005B4E61"/>
    <w:rsid w:val="005B4F70"/>
    <w:rsid w:val="005B5199"/>
    <w:rsid w:val="005B51AE"/>
    <w:rsid w:val="005B573A"/>
    <w:rsid w:val="005B5857"/>
    <w:rsid w:val="005B5A22"/>
    <w:rsid w:val="005B5B67"/>
    <w:rsid w:val="005B604E"/>
    <w:rsid w:val="005B6135"/>
    <w:rsid w:val="005B6250"/>
    <w:rsid w:val="005B6358"/>
    <w:rsid w:val="005B6842"/>
    <w:rsid w:val="005B6AD6"/>
    <w:rsid w:val="005B6EBD"/>
    <w:rsid w:val="005B729D"/>
    <w:rsid w:val="005B7385"/>
    <w:rsid w:val="005B7487"/>
    <w:rsid w:val="005B7493"/>
    <w:rsid w:val="005B76D9"/>
    <w:rsid w:val="005B78CA"/>
    <w:rsid w:val="005B7C95"/>
    <w:rsid w:val="005B7E2E"/>
    <w:rsid w:val="005C02B3"/>
    <w:rsid w:val="005C04DD"/>
    <w:rsid w:val="005C1123"/>
    <w:rsid w:val="005C118D"/>
    <w:rsid w:val="005C127B"/>
    <w:rsid w:val="005C19C4"/>
    <w:rsid w:val="005C1B83"/>
    <w:rsid w:val="005C1B9C"/>
    <w:rsid w:val="005C25FF"/>
    <w:rsid w:val="005C2742"/>
    <w:rsid w:val="005C2929"/>
    <w:rsid w:val="005C2D55"/>
    <w:rsid w:val="005C2D56"/>
    <w:rsid w:val="005C2D6C"/>
    <w:rsid w:val="005C319E"/>
    <w:rsid w:val="005C346B"/>
    <w:rsid w:val="005C3482"/>
    <w:rsid w:val="005C34A3"/>
    <w:rsid w:val="005C3675"/>
    <w:rsid w:val="005C3BFF"/>
    <w:rsid w:val="005C3F34"/>
    <w:rsid w:val="005C43C4"/>
    <w:rsid w:val="005C49BE"/>
    <w:rsid w:val="005C4BB5"/>
    <w:rsid w:val="005C4E9C"/>
    <w:rsid w:val="005C4EA5"/>
    <w:rsid w:val="005C5208"/>
    <w:rsid w:val="005C5331"/>
    <w:rsid w:val="005C55D2"/>
    <w:rsid w:val="005C57ED"/>
    <w:rsid w:val="005C5ABC"/>
    <w:rsid w:val="005C5D3D"/>
    <w:rsid w:val="005C5F1A"/>
    <w:rsid w:val="005C654B"/>
    <w:rsid w:val="005C68D8"/>
    <w:rsid w:val="005C6EDC"/>
    <w:rsid w:val="005C70EF"/>
    <w:rsid w:val="005C7CC6"/>
    <w:rsid w:val="005C7EA8"/>
    <w:rsid w:val="005D032C"/>
    <w:rsid w:val="005D044D"/>
    <w:rsid w:val="005D09F9"/>
    <w:rsid w:val="005D0ABD"/>
    <w:rsid w:val="005D0D5A"/>
    <w:rsid w:val="005D0EDE"/>
    <w:rsid w:val="005D12A8"/>
    <w:rsid w:val="005D152B"/>
    <w:rsid w:val="005D1834"/>
    <w:rsid w:val="005D18A2"/>
    <w:rsid w:val="005D18AD"/>
    <w:rsid w:val="005D19E4"/>
    <w:rsid w:val="005D1E2A"/>
    <w:rsid w:val="005D20A1"/>
    <w:rsid w:val="005D246E"/>
    <w:rsid w:val="005D26B4"/>
    <w:rsid w:val="005D2823"/>
    <w:rsid w:val="005D2897"/>
    <w:rsid w:val="005D2E5D"/>
    <w:rsid w:val="005D3316"/>
    <w:rsid w:val="005D3932"/>
    <w:rsid w:val="005D3C98"/>
    <w:rsid w:val="005D423C"/>
    <w:rsid w:val="005D4624"/>
    <w:rsid w:val="005D5002"/>
    <w:rsid w:val="005D51DE"/>
    <w:rsid w:val="005D532D"/>
    <w:rsid w:val="005D5442"/>
    <w:rsid w:val="005D5566"/>
    <w:rsid w:val="005D56E2"/>
    <w:rsid w:val="005D5832"/>
    <w:rsid w:val="005D5BA8"/>
    <w:rsid w:val="005D5BD3"/>
    <w:rsid w:val="005D694A"/>
    <w:rsid w:val="005D701C"/>
    <w:rsid w:val="005D7192"/>
    <w:rsid w:val="005D7822"/>
    <w:rsid w:val="005D7C09"/>
    <w:rsid w:val="005D7D1A"/>
    <w:rsid w:val="005D7D1F"/>
    <w:rsid w:val="005E030B"/>
    <w:rsid w:val="005E0359"/>
    <w:rsid w:val="005E0373"/>
    <w:rsid w:val="005E04E6"/>
    <w:rsid w:val="005E06A3"/>
    <w:rsid w:val="005E0876"/>
    <w:rsid w:val="005E0EBF"/>
    <w:rsid w:val="005E0EF7"/>
    <w:rsid w:val="005E15F5"/>
    <w:rsid w:val="005E1995"/>
    <w:rsid w:val="005E1A37"/>
    <w:rsid w:val="005E1A8E"/>
    <w:rsid w:val="005E1BC5"/>
    <w:rsid w:val="005E1BEF"/>
    <w:rsid w:val="005E1BF9"/>
    <w:rsid w:val="005E1FFC"/>
    <w:rsid w:val="005E24DA"/>
    <w:rsid w:val="005E2613"/>
    <w:rsid w:val="005E26D9"/>
    <w:rsid w:val="005E2877"/>
    <w:rsid w:val="005E35E5"/>
    <w:rsid w:val="005E3CF0"/>
    <w:rsid w:val="005E3E6A"/>
    <w:rsid w:val="005E3F33"/>
    <w:rsid w:val="005E40E2"/>
    <w:rsid w:val="005E435B"/>
    <w:rsid w:val="005E470B"/>
    <w:rsid w:val="005E4A17"/>
    <w:rsid w:val="005E4B4C"/>
    <w:rsid w:val="005E5165"/>
    <w:rsid w:val="005E53DE"/>
    <w:rsid w:val="005E54E6"/>
    <w:rsid w:val="005E5845"/>
    <w:rsid w:val="005E5886"/>
    <w:rsid w:val="005E5D25"/>
    <w:rsid w:val="005E5D83"/>
    <w:rsid w:val="005E5F67"/>
    <w:rsid w:val="005E6CB6"/>
    <w:rsid w:val="005E6CBC"/>
    <w:rsid w:val="005E6CE6"/>
    <w:rsid w:val="005E6E52"/>
    <w:rsid w:val="005E6F7C"/>
    <w:rsid w:val="005E72FF"/>
    <w:rsid w:val="005E7346"/>
    <w:rsid w:val="005E73C0"/>
    <w:rsid w:val="005E7552"/>
    <w:rsid w:val="005E75B9"/>
    <w:rsid w:val="005E7D15"/>
    <w:rsid w:val="005E7DFA"/>
    <w:rsid w:val="005E7F58"/>
    <w:rsid w:val="005F0015"/>
    <w:rsid w:val="005F02F5"/>
    <w:rsid w:val="005F03C1"/>
    <w:rsid w:val="005F045E"/>
    <w:rsid w:val="005F07ED"/>
    <w:rsid w:val="005F07F5"/>
    <w:rsid w:val="005F082F"/>
    <w:rsid w:val="005F0BFF"/>
    <w:rsid w:val="005F0C2F"/>
    <w:rsid w:val="005F0CDA"/>
    <w:rsid w:val="005F0EE5"/>
    <w:rsid w:val="005F0EE7"/>
    <w:rsid w:val="005F1231"/>
    <w:rsid w:val="005F1812"/>
    <w:rsid w:val="005F1E86"/>
    <w:rsid w:val="005F1F16"/>
    <w:rsid w:val="005F2074"/>
    <w:rsid w:val="005F2706"/>
    <w:rsid w:val="005F2B3E"/>
    <w:rsid w:val="005F2CCF"/>
    <w:rsid w:val="005F32D5"/>
    <w:rsid w:val="005F3969"/>
    <w:rsid w:val="005F3AE2"/>
    <w:rsid w:val="005F3DC9"/>
    <w:rsid w:val="005F416E"/>
    <w:rsid w:val="005F4360"/>
    <w:rsid w:val="005F4797"/>
    <w:rsid w:val="005F4ECB"/>
    <w:rsid w:val="005F53B9"/>
    <w:rsid w:val="005F58B2"/>
    <w:rsid w:val="005F5B18"/>
    <w:rsid w:val="005F5C51"/>
    <w:rsid w:val="005F5F2D"/>
    <w:rsid w:val="005F5F7F"/>
    <w:rsid w:val="005F6137"/>
    <w:rsid w:val="005F620E"/>
    <w:rsid w:val="005F6476"/>
    <w:rsid w:val="005F67B2"/>
    <w:rsid w:val="005F68F7"/>
    <w:rsid w:val="005F6A8F"/>
    <w:rsid w:val="005F6BB7"/>
    <w:rsid w:val="005F6DF6"/>
    <w:rsid w:val="005F7526"/>
    <w:rsid w:val="005F7588"/>
    <w:rsid w:val="005F7E63"/>
    <w:rsid w:val="00600196"/>
    <w:rsid w:val="0060023B"/>
    <w:rsid w:val="00600340"/>
    <w:rsid w:val="00600504"/>
    <w:rsid w:val="006006E9"/>
    <w:rsid w:val="0060091F"/>
    <w:rsid w:val="0060092A"/>
    <w:rsid w:val="00600997"/>
    <w:rsid w:val="00600EFB"/>
    <w:rsid w:val="00601262"/>
    <w:rsid w:val="0060135C"/>
    <w:rsid w:val="0060158F"/>
    <w:rsid w:val="0060187B"/>
    <w:rsid w:val="00601A43"/>
    <w:rsid w:val="00601AA0"/>
    <w:rsid w:val="0060233D"/>
    <w:rsid w:val="00602395"/>
    <w:rsid w:val="0060243B"/>
    <w:rsid w:val="00602573"/>
    <w:rsid w:val="0060268B"/>
    <w:rsid w:val="006028D3"/>
    <w:rsid w:val="0060368A"/>
    <w:rsid w:val="006036E4"/>
    <w:rsid w:val="00603886"/>
    <w:rsid w:val="00603B32"/>
    <w:rsid w:val="00603D49"/>
    <w:rsid w:val="00603DB9"/>
    <w:rsid w:val="0060436F"/>
    <w:rsid w:val="0060476B"/>
    <w:rsid w:val="00604772"/>
    <w:rsid w:val="00604D19"/>
    <w:rsid w:val="00605291"/>
    <w:rsid w:val="0060540B"/>
    <w:rsid w:val="0060545C"/>
    <w:rsid w:val="00605692"/>
    <w:rsid w:val="00605FA6"/>
    <w:rsid w:val="00606013"/>
    <w:rsid w:val="00606422"/>
    <w:rsid w:val="00606891"/>
    <w:rsid w:val="00606929"/>
    <w:rsid w:val="00606CBD"/>
    <w:rsid w:val="00606FBA"/>
    <w:rsid w:val="00607023"/>
    <w:rsid w:val="006073CE"/>
    <w:rsid w:val="00607400"/>
    <w:rsid w:val="006074C5"/>
    <w:rsid w:val="00607669"/>
    <w:rsid w:val="006076F4"/>
    <w:rsid w:val="00607AFD"/>
    <w:rsid w:val="006103B6"/>
    <w:rsid w:val="0061065B"/>
    <w:rsid w:val="006108AE"/>
    <w:rsid w:val="00610AE4"/>
    <w:rsid w:val="00611B12"/>
    <w:rsid w:val="00611CED"/>
    <w:rsid w:val="0061206D"/>
    <w:rsid w:val="00612262"/>
    <w:rsid w:val="00612587"/>
    <w:rsid w:val="00612F97"/>
    <w:rsid w:val="00612FAA"/>
    <w:rsid w:val="00613105"/>
    <w:rsid w:val="00613199"/>
    <w:rsid w:val="0061345D"/>
    <w:rsid w:val="0061347A"/>
    <w:rsid w:val="006134F9"/>
    <w:rsid w:val="00613515"/>
    <w:rsid w:val="00613E09"/>
    <w:rsid w:val="00614109"/>
    <w:rsid w:val="00614644"/>
    <w:rsid w:val="0061471B"/>
    <w:rsid w:val="00614794"/>
    <w:rsid w:val="006148E8"/>
    <w:rsid w:val="00614C87"/>
    <w:rsid w:val="00614C8F"/>
    <w:rsid w:val="006150A5"/>
    <w:rsid w:val="00615120"/>
    <w:rsid w:val="0061513E"/>
    <w:rsid w:val="0061549B"/>
    <w:rsid w:val="006156CE"/>
    <w:rsid w:val="00615899"/>
    <w:rsid w:val="0061591F"/>
    <w:rsid w:val="00616122"/>
    <w:rsid w:val="006163F4"/>
    <w:rsid w:val="0061645E"/>
    <w:rsid w:val="0061646B"/>
    <w:rsid w:val="006164C2"/>
    <w:rsid w:val="006165D2"/>
    <w:rsid w:val="00616802"/>
    <w:rsid w:val="006168A8"/>
    <w:rsid w:val="00616C5C"/>
    <w:rsid w:val="00616D9B"/>
    <w:rsid w:val="00616F36"/>
    <w:rsid w:val="0061719B"/>
    <w:rsid w:val="0061754A"/>
    <w:rsid w:val="006179C0"/>
    <w:rsid w:val="00617C7C"/>
    <w:rsid w:val="00617E12"/>
    <w:rsid w:val="00620225"/>
    <w:rsid w:val="00620C25"/>
    <w:rsid w:val="006212B0"/>
    <w:rsid w:val="00621477"/>
    <w:rsid w:val="006214B0"/>
    <w:rsid w:val="00621ADA"/>
    <w:rsid w:val="00621E48"/>
    <w:rsid w:val="00621EDB"/>
    <w:rsid w:val="006221A4"/>
    <w:rsid w:val="00622205"/>
    <w:rsid w:val="00622257"/>
    <w:rsid w:val="00622265"/>
    <w:rsid w:val="00622513"/>
    <w:rsid w:val="0062255D"/>
    <w:rsid w:val="00622AB6"/>
    <w:rsid w:val="00622F8B"/>
    <w:rsid w:val="0062315B"/>
    <w:rsid w:val="00623870"/>
    <w:rsid w:val="0062394A"/>
    <w:rsid w:val="00623A17"/>
    <w:rsid w:val="00623F7B"/>
    <w:rsid w:val="00624001"/>
    <w:rsid w:val="0062453E"/>
    <w:rsid w:val="00624829"/>
    <w:rsid w:val="00624BD4"/>
    <w:rsid w:val="00624E1E"/>
    <w:rsid w:val="00625248"/>
    <w:rsid w:val="0062561D"/>
    <w:rsid w:val="006258A9"/>
    <w:rsid w:val="00625908"/>
    <w:rsid w:val="00625AE1"/>
    <w:rsid w:val="00625BA1"/>
    <w:rsid w:val="00625BD4"/>
    <w:rsid w:val="00625D80"/>
    <w:rsid w:val="00625E88"/>
    <w:rsid w:val="00626172"/>
    <w:rsid w:val="00626C63"/>
    <w:rsid w:val="00626E73"/>
    <w:rsid w:val="00626FE2"/>
    <w:rsid w:val="006273E6"/>
    <w:rsid w:val="006274BE"/>
    <w:rsid w:val="0062752E"/>
    <w:rsid w:val="00627811"/>
    <w:rsid w:val="0062795D"/>
    <w:rsid w:val="006279F8"/>
    <w:rsid w:val="00627E79"/>
    <w:rsid w:val="00627EBD"/>
    <w:rsid w:val="0063012F"/>
    <w:rsid w:val="0063025D"/>
    <w:rsid w:val="006303A7"/>
    <w:rsid w:val="006303D3"/>
    <w:rsid w:val="006303F6"/>
    <w:rsid w:val="00630F36"/>
    <w:rsid w:val="0063103C"/>
    <w:rsid w:val="0063158F"/>
    <w:rsid w:val="00631C34"/>
    <w:rsid w:val="00631D6B"/>
    <w:rsid w:val="00632183"/>
    <w:rsid w:val="00632342"/>
    <w:rsid w:val="006327CB"/>
    <w:rsid w:val="00632A91"/>
    <w:rsid w:val="00632C23"/>
    <w:rsid w:val="00632E51"/>
    <w:rsid w:val="00632FC1"/>
    <w:rsid w:val="006330A1"/>
    <w:rsid w:val="0063310B"/>
    <w:rsid w:val="0063312A"/>
    <w:rsid w:val="00633C3C"/>
    <w:rsid w:val="00634092"/>
    <w:rsid w:val="00634181"/>
    <w:rsid w:val="0063438F"/>
    <w:rsid w:val="0063479E"/>
    <w:rsid w:val="0063479F"/>
    <w:rsid w:val="0063485F"/>
    <w:rsid w:val="00634895"/>
    <w:rsid w:val="006349AF"/>
    <w:rsid w:val="00634A5E"/>
    <w:rsid w:val="00634D52"/>
    <w:rsid w:val="00634EF0"/>
    <w:rsid w:val="00635330"/>
    <w:rsid w:val="006353F0"/>
    <w:rsid w:val="00635781"/>
    <w:rsid w:val="006357B5"/>
    <w:rsid w:val="00635C53"/>
    <w:rsid w:val="00635C5C"/>
    <w:rsid w:val="00635E4D"/>
    <w:rsid w:val="00635F3F"/>
    <w:rsid w:val="00636290"/>
    <w:rsid w:val="006364A1"/>
    <w:rsid w:val="006366C5"/>
    <w:rsid w:val="0063678E"/>
    <w:rsid w:val="00636F5F"/>
    <w:rsid w:val="006372E2"/>
    <w:rsid w:val="00637681"/>
    <w:rsid w:val="00637960"/>
    <w:rsid w:val="0063799C"/>
    <w:rsid w:val="00637BFD"/>
    <w:rsid w:val="00637C3F"/>
    <w:rsid w:val="00637C5C"/>
    <w:rsid w:val="00637DD6"/>
    <w:rsid w:val="00637EFB"/>
    <w:rsid w:val="006400F9"/>
    <w:rsid w:val="00640D56"/>
    <w:rsid w:val="00641A85"/>
    <w:rsid w:val="00641C4E"/>
    <w:rsid w:val="00641D5A"/>
    <w:rsid w:val="00641FB3"/>
    <w:rsid w:val="00642060"/>
    <w:rsid w:val="0064251F"/>
    <w:rsid w:val="00642540"/>
    <w:rsid w:val="006428D4"/>
    <w:rsid w:val="00642ACC"/>
    <w:rsid w:val="00642ACD"/>
    <w:rsid w:val="00642B7F"/>
    <w:rsid w:val="006433A3"/>
    <w:rsid w:val="006435E1"/>
    <w:rsid w:val="00643639"/>
    <w:rsid w:val="00643848"/>
    <w:rsid w:val="006438EB"/>
    <w:rsid w:val="00643ACE"/>
    <w:rsid w:val="0064434C"/>
    <w:rsid w:val="006445F7"/>
    <w:rsid w:val="00644E8E"/>
    <w:rsid w:val="00645435"/>
    <w:rsid w:val="00645631"/>
    <w:rsid w:val="0064569B"/>
    <w:rsid w:val="006456A4"/>
    <w:rsid w:val="0064582A"/>
    <w:rsid w:val="0064650B"/>
    <w:rsid w:val="00646B99"/>
    <w:rsid w:val="00646C3A"/>
    <w:rsid w:val="00646C49"/>
    <w:rsid w:val="00646D34"/>
    <w:rsid w:val="00646DDF"/>
    <w:rsid w:val="00646F34"/>
    <w:rsid w:val="006471CC"/>
    <w:rsid w:val="006472FE"/>
    <w:rsid w:val="006476D7"/>
    <w:rsid w:val="006478AE"/>
    <w:rsid w:val="00647A29"/>
    <w:rsid w:val="00647F57"/>
    <w:rsid w:val="00650573"/>
    <w:rsid w:val="0065079F"/>
    <w:rsid w:val="006508C0"/>
    <w:rsid w:val="0065096E"/>
    <w:rsid w:val="00650A9F"/>
    <w:rsid w:val="00650EBD"/>
    <w:rsid w:val="00650F55"/>
    <w:rsid w:val="0065101B"/>
    <w:rsid w:val="00651191"/>
    <w:rsid w:val="00651205"/>
    <w:rsid w:val="0065132C"/>
    <w:rsid w:val="00651751"/>
    <w:rsid w:val="006517D4"/>
    <w:rsid w:val="006518FA"/>
    <w:rsid w:val="00651B2E"/>
    <w:rsid w:val="006520E0"/>
    <w:rsid w:val="0065256F"/>
    <w:rsid w:val="006525D3"/>
    <w:rsid w:val="0065273C"/>
    <w:rsid w:val="00652A28"/>
    <w:rsid w:val="00652C12"/>
    <w:rsid w:val="00652C78"/>
    <w:rsid w:val="006530BC"/>
    <w:rsid w:val="00653420"/>
    <w:rsid w:val="00653740"/>
    <w:rsid w:val="00653754"/>
    <w:rsid w:val="0065379F"/>
    <w:rsid w:val="00653970"/>
    <w:rsid w:val="006539A4"/>
    <w:rsid w:val="006539E4"/>
    <w:rsid w:val="00654082"/>
    <w:rsid w:val="00654274"/>
    <w:rsid w:val="00654768"/>
    <w:rsid w:val="006548C5"/>
    <w:rsid w:val="0065493A"/>
    <w:rsid w:val="0065516A"/>
    <w:rsid w:val="00655194"/>
    <w:rsid w:val="00655263"/>
    <w:rsid w:val="00655470"/>
    <w:rsid w:val="00655778"/>
    <w:rsid w:val="006558B5"/>
    <w:rsid w:val="00655DE0"/>
    <w:rsid w:val="00655E72"/>
    <w:rsid w:val="00656188"/>
    <w:rsid w:val="006561A7"/>
    <w:rsid w:val="0065635B"/>
    <w:rsid w:val="00656423"/>
    <w:rsid w:val="00656886"/>
    <w:rsid w:val="006568A2"/>
    <w:rsid w:val="00656A24"/>
    <w:rsid w:val="00656FA2"/>
    <w:rsid w:val="0065702E"/>
    <w:rsid w:val="006570A0"/>
    <w:rsid w:val="0065715A"/>
    <w:rsid w:val="0065734E"/>
    <w:rsid w:val="0065744C"/>
    <w:rsid w:val="00657664"/>
    <w:rsid w:val="00657AF3"/>
    <w:rsid w:val="0066029A"/>
    <w:rsid w:val="006605D9"/>
    <w:rsid w:val="0066071A"/>
    <w:rsid w:val="006608D7"/>
    <w:rsid w:val="00660BD2"/>
    <w:rsid w:val="00660BE0"/>
    <w:rsid w:val="00660C8D"/>
    <w:rsid w:val="006610F1"/>
    <w:rsid w:val="006615CB"/>
    <w:rsid w:val="00661C6B"/>
    <w:rsid w:val="00661F76"/>
    <w:rsid w:val="006620EC"/>
    <w:rsid w:val="006623A0"/>
    <w:rsid w:val="006626CF"/>
    <w:rsid w:val="006626F8"/>
    <w:rsid w:val="00662956"/>
    <w:rsid w:val="00662BE6"/>
    <w:rsid w:val="00662D3E"/>
    <w:rsid w:val="0066330B"/>
    <w:rsid w:val="00663387"/>
    <w:rsid w:val="00663CC6"/>
    <w:rsid w:val="00664212"/>
    <w:rsid w:val="00664264"/>
    <w:rsid w:val="0066432D"/>
    <w:rsid w:val="00664506"/>
    <w:rsid w:val="00664BF5"/>
    <w:rsid w:val="00664D71"/>
    <w:rsid w:val="00664E8A"/>
    <w:rsid w:val="006654F9"/>
    <w:rsid w:val="006659ED"/>
    <w:rsid w:val="00665A74"/>
    <w:rsid w:val="00665D33"/>
    <w:rsid w:val="00666133"/>
    <w:rsid w:val="00666724"/>
    <w:rsid w:val="00666A25"/>
    <w:rsid w:val="00666B72"/>
    <w:rsid w:val="00666FDE"/>
    <w:rsid w:val="00666FEB"/>
    <w:rsid w:val="006678B1"/>
    <w:rsid w:val="006678D3"/>
    <w:rsid w:val="00667BE3"/>
    <w:rsid w:val="00667D3D"/>
    <w:rsid w:val="00667DC2"/>
    <w:rsid w:val="00667EE0"/>
    <w:rsid w:val="00670345"/>
    <w:rsid w:val="00670D9F"/>
    <w:rsid w:val="00670E5E"/>
    <w:rsid w:val="00671004"/>
    <w:rsid w:val="0067100C"/>
    <w:rsid w:val="00671142"/>
    <w:rsid w:val="006712D9"/>
    <w:rsid w:val="006713A8"/>
    <w:rsid w:val="006714CD"/>
    <w:rsid w:val="00671F62"/>
    <w:rsid w:val="006724AB"/>
    <w:rsid w:val="00672594"/>
    <w:rsid w:val="00672646"/>
    <w:rsid w:val="006727FA"/>
    <w:rsid w:val="00672C55"/>
    <w:rsid w:val="00672E4A"/>
    <w:rsid w:val="00673181"/>
    <w:rsid w:val="00673342"/>
    <w:rsid w:val="00673894"/>
    <w:rsid w:val="00673933"/>
    <w:rsid w:val="00673DDE"/>
    <w:rsid w:val="006741D4"/>
    <w:rsid w:val="006743CC"/>
    <w:rsid w:val="0067476A"/>
    <w:rsid w:val="00674D92"/>
    <w:rsid w:val="00674E42"/>
    <w:rsid w:val="00675119"/>
    <w:rsid w:val="0067533C"/>
    <w:rsid w:val="0067572B"/>
    <w:rsid w:val="00675CB9"/>
    <w:rsid w:val="00675ECB"/>
    <w:rsid w:val="006760E6"/>
    <w:rsid w:val="00676376"/>
    <w:rsid w:val="0067639D"/>
    <w:rsid w:val="006764BD"/>
    <w:rsid w:val="00676506"/>
    <w:rsid w:val="00676563"/>
    <w:rsid w:val="00676683"/>
    <w:rsid w:val="00676EB1"/>
    <w:rsid w:val="0067708A"/>
    <w:rsid w:val="006771F0"/>
    <w:rsid w:val="00677B2B"/>
    <w:rsid w:val="00680277"/>
    <w:rsid w:val="006805EB"/>
    <w:rsid w:val="006806DF"/>
    <w:rsid w:val="00680A2B"/>
    <w:rsid w:val="00681087"/>
    <w:rsid w:val="00681208"/>
    <w:rsid w:val="00681332"/>
    <w:rsid w:val="006813F8"/>
    <w:rsid w:val="00681905"/>
    <w:rsid w:val="00681959"/>
    <w:rsid w:val="00681A5B"/>
    <w:rsid w:val="00681D54"/>
    <w:rsid w:val="00681D72"/>
    <w:rsid w:val="00682112"/>
    <w:rsid w:val="0068231E"/>
    <w:rsid w:val="00682421"/>
    <w:rsid w:val="00682A2A"/>
    <w:rsid w:val="00682BA6"/>
    <w:rsid w:val="00682C95"/>
    <w:rsid w:val="00682C98"/>
    <w:rsid w:val="00682E62"/>
    <w:rsid w:val="006831AB"/>
    <w:rsid w:val="0068345E"/>
    <w:rsid w:val="00683775"/>
    <w:rsid w:val="00683A92"/>
    <w:rsid w:val="00683D3C"/>
    <w:rsid w:val="00683F3F"/>
    <w:rsid w:val="0068441B"/>
    <w:rsid w:val="00684523"/>
    <w:rsid w:val="00684819"/>
    <w:rsid w:val="00684C66"/>
    <w:rsid w:val="0068529C"/>
    <w:rsid w:val="00685576"/>
    <w:rsid w:val="006856CB"/>
    <w:rsid w:val="006859E0"/>
    <w:rsid w:val="00685A97"/>
    <w:rsid w:val="00685B22"/>
    <w:rsid w:val="00685EA3"/>
    <w:rsid w:val="0068610E"/>
    <w:rsid w:val="00686279"/>
    <w:rsid w:val="006865A6"/>
    <w:rsid w:val="006868A3"/>
    <w:rsid w:val="00686957"/>
    <w:rsid w:val="0068706A"/>
    <w:rsid w:val="006872BA"/>
    <w:rsid w:val="006873A7"/>
    <w:rsid w:val="006873B2"/>
    <w:rsid w:val="00687425"/>
    <w:rsid w:val="006875C9"/>
    <w:rsid w:val="00687654"/>
    <w:rsid w:val="0068781F"/>
    <w:rsid w:val="00687AB4"/>
    <w:rsid w:val="00687F85"/>
    <w:rsid w:val="006901DD"/>
    <w:rsid w:val="00690393"/>
    <w:rsid w:val="006904B8"/>
    <w:rsid w:val="00690687"/>
    <w:rsid w:val="006906E0"/>
    <w:rsid w:val="00690795"/>
    <w:rsid w:val="00690AD8"/>
    <w:rsid w:val="006915C1"/>
    <w:rsid w:val="00691648"/>
    <w:rsid w:val="006917D7"/>
    <w:rsid w:val="00691828"/>
    <w:rsid w:val="00692642"/>
    <w:rsid w:val="00692958"/>
    <w:rsid w:val="006932BA"/>
    <w:rsid w:val="006939E9"/>
    <w:rsid w:val="0069434C"/>
    <w:rsid w:val="00694886"/>
    <w:rsid w:val="00694ABB"/>
    <w:rsid w:val="00694F44"/>
    <w:rsid w:val="00695729"/>
    <w:rsid w:val="00695732"/>
    <w:rsid w:val="006959FB"/>
    <w:rsid w:val="00695AD1"/>
    <w:rsid w:val="00695B82"/>
    <w:rsid w:val="00695EF3"/>
    <w:rsid w:val="00695FF0"/>
    <w:rsid w:val="006960A1"/>
    <w:rsid w:val="0069619B"/>
    <w:rsid w:val="00696603"/>
    <w:rsid w:val="00696EF9"/>
    <w:rsid w:val="00696F51"/>
    <w:rsid w:val="00696F69"/>
    <w:rsid w:val="0069721A"/>
    <w:rsid w:val="00697677"/>
    <w:rsid w:val="006979A5"/>
    <w:rsid w:val="00697B12"/>
    <w:rsid w:val="00697B9A"/>
    <w:rsid w:val="00697F71"/>
    <w:rsid w:val="006A002C"/>
    <w:rsid w:val="006A016F"/>
    <w:rsid w:val="006A01C7"/>
    <w:rsid w:val="006A068C"/>
    <w:rsid w:val="006A0DF7"/>
    <w:rsid w:val="006A10BB"/>
    <w:rsid w:val="006A1393"/>
    <w:rsid w:val="006A1DDE"/>
    <w:rsid w:val="006A2410"/>
    <w:rsid w:val="006A27DD"/>
    <w:rsid w:val="006A2B1C"/>
    <w:rsid w:val="006A30C6"/>
    <w:rsid w:val="006A36C1"/>
    <w:rsid w:val="006A3806"/>
    <w:rsid w:val="006A3B0B"/>
    <w:rsid w:val="006A3BA3"/>
    <w:rsid w:val="006A41E9"/>
    <w:rsid w:val="006A4321"/>
    <w:rsid w:val="006A43D9"/>
    <w:rsid w:val="006A486F"/>
    <w:rsid w:val="006A4A42"/>
    <w:rsid w:val="006A4C0E"/>
    <w:rsid w:val="006A4D44"/>
    <w:rsid w:val="006A4E56"/>
    <w:rsid w:val="006A4F90"/>
    <w:rsid w:val="006A4FA6"/>
    <w:rsid w:val="006A5BDB"/>
    <w:rsid w:val="006A5F9C"/>
    <w:rsid w:val="006A605C"/>
    <w:rsid w:val="006A64DA"/>
    <w:rsid w:val="006A696B"/>
    <w:rsid w:val="006A6AB6"/>
    <w:rsid w:val="006A6B99"/>
    <w:rsid w:val="006A6DB7"/>
    <w:rsid w:val="006A775D"/>
    <w:rsid w:val="006A783A"/>
    <w:rsid w:val="006A7E5F"/>
    <w:rsid w:val="006A7FB9"/>
    <w:rsid w:val="006B00CA"/>
    <w:rsid w:val="006B01C9"/>
    <w:rsid w:val="006B064C"/>
    <w:rsid w:val="006B0B1C"/>
    <w:rsid w:val="006B0C70"/>
    <w:rsid w:val="006B1006"/>
    <w:rsid w:val="006B1534"/>
    <w:rsid w:val="006B167E"/>
    <w:rsid w:val="006B1E40"/>
    <w:rsid w:val="006B1EA7"/>
    <w:rsid w:val="006B2024"/>
    <w:rsid w:val="006B22FC"/>
    <w:rsid w:val="006B261B"/>
    <w:rsid w:val="006B2C90"/>
    <w:rsid w:val="006B323F"/>
    <w:rsid w:val="006B35E6"/>
    <w:rsid w:val="006B3F92"/>
    <w:rsid w:val="006B40E2"/>
    <w:rsid w:val="006B413B"/>
    <w:rsid w:val="006B465A"/>
    <w:rsid w:val="006B465C"/>
    <w:rsid w:val="006B47F5"/>
    <w:rsid w:val="006B4921"/>
    <w:rsid w:val="006B4BB4"/>
    <w:rsid w:val="006B4C8C"/>
    <w:rsid w:val="006B5024"/>
    <w:rsid w:val="006B5196"/>
    <w:rsid w:val="006B52B0"/>
    <w:rsid w:val="006B5535"/>
    <w:rsid w:val="006B58DB"/>
    <w:rsid w:val="006B59DB"/>
    <w:rsid w:val="006B5BCB"/>
    <w:rsid w:val="006B5E2B"/>
    <w:rsid w:val="006B5F4A"/>
    <w:rsid w:val="006B5FE0"/>
    <w:rsid w:val="006B601C"/>
    <w:rsid w:val="006B62B6"/>
    <w:rsid w:val="006B64D5"/>
    <w:rsid w:val="006B6821"/>
    <w:rsid w:val="006B6884"/>
    <w:rsid w:val="006B6981"/>
    <w:rsid w:val="006B6BB6"/>
    <w:rsid w:val="006B6DD0"/>
    <w:rsid w:val="006B6E66"/>
    <w:rsid w:val="006B6F72"/>
    <w:rsid w:val="006B7011"/>
    <w:rsid w:val="006B7227"/>
    <w:rsid w:val="006B767C"/>
    <w:rsid w:val="006B798D"/>
    <w:rsid w:val="006B7A33"/>
    <w:rsid w:val="006B7B5C"/>
    <w:rsid w:val="006B7C11"/>
    <w:rsid w:val="006C0399"/>
    <w:rsid w:val="006C0517"/>
    <w:rsid w:val="006C0524"/>
    <w:rsid w:val="006C07EB"/>
    <w:rsid w:val="006C0A07"/>
    <w:rsid w:val="006C0A69"/>
    <w:rsid w:val="006C0F52"/>
    <w:rsid w:val="006C1965"/>
    <w:rsid w:val="006C242C"/>
    <w:rsid w:val="006C26FD"/>
    <w:rsid w:val="006C2728"/>
    <w:rsid w:val="006C2780"/>
    <w:rsid w:val="006C2A8E"/>
    <w:rsid w:val="006C2CC0"/>
    <w:rsid w:val="006C2D47"/>
    <w:rsid w:val="006C2F3A"/>
    <w:rsid w:val="006C3255"/>
    <w:rsid w:val="006C34D3"/>
    <w:rsid w:val="006C363A"/>
    <w:rsid w:val="006C3B2E"/>
    <w:rsid w:val="006C3F26"/>
    <w:rsid w:val="006C3FE0"/>
    <w:rsid w:val="006C435F"/>
    <w:rsid w:val="006C4465"/>
    <w:rsid w:val="006C46AF"/>
    <w:rsid w:val="006C521C"/>
    <w:rsid w:val="006C53F6"/>
    <w:rsid w:val="006C551F"/>
    <w:rsid w:val="006C5900"/>
    <w:rsid w:val="006C5B00"/>
    <w:rsid w:val="006C6022"/>
    <w:rsid w:val="006C65E6"/>
    <w:rsid w:val="006C6A3E"/>
    <w:rsid w:val="006C6FBB"/>
    <w:rsid w:val="006C7BAF"/>
    <w:rsid w:val="006C7EDD"/>
    <w:rsid w:val="006D0222"/>
    <w:rsid w:val="006D0547"/>
    <w:rsid w:val="006D067D"/>
    <w:rsid w:val="006D0A7F"/>
    <w:rsid w:val="006D0D17"/>
    <w:rsid w:val="006D150F"/>
    <w:rsid w:val="006D194E"/>
    <w:rsid w:val="006D1C70"/>
    <w:rsid w:val="006D1D6C"/>
    <w:rsid w:val="006D224A"/>
    <w:rsid w:val="006D2428"/>
    <w:rsid w:val="006D272C"/>
    <w:rsid w:val="006D2897"/>
    <w:rsid w:val="006D31CA"/>
    <w:rsid w:val="006D3690"/>
    <w:rsid w:val="006D3945"/>
    <w:rsid w:val="006D3C7D"/>
    <w:rsid w:val="006D4024"/>
    <w:rsid w:val="006D4659"/>
    <w:rsid w:val="006D46F3"/>
    <w:rsid w:val="006D4CD2"/>
    <w:rsid w:val="006D5180"/>
    <w:rsid w:val="006D5284"/>
    <w:rsid w:val="006D57F6"/>
    <w:rsid w:val="006D5836"/>
    <w:rsid w:val="006D5D5F"/>
    <w:rsid w:val="006D5F36"/>
    <w:rsid w:val="006D634D"/>
    <w:rsid w:val="006D6518"/>
    <w:rsid w:val="006D66D5"/>
    <w:rsid w:val="006D6774"/>
    <w:rsid w:val="006D68FB"/>
    <w:rsid w:val="006D70BD"/>
    <w:rsid w:val="006D713E"/>
    <w:rsid w:val="006D739F"/>
    <w:rsid w:val="006D753E"/>
    <w:rsid w:val="006D7B7E"/>
    <w:rsid w:val="006E112D"/>
    <w:rsid w:val="006E1362"/>
    <w:rsid w:val="006E136C"/>
    <w:rsid w:val="006E1664"/>
    <w:rsid w:val="006E16BE"/>
    <w:rsid w:val="006E1A41"/>
    <w:rsid w:val="006E1A5A"/>
    <w:rsid w:val="006E1D89"/>
    <w:rsid w:val="006E1E6A"/>
    <w:rsid w:val="006E1F71"/>
    <w:rsid w:val="006E2159"/>
    <w:rsid w:val="006E24FB"/>
    <w:rsid w:val="006E25DB"/>
    <w:rsid w:val="006E2860"/>
    <w:rsid w:val="006E2868"/>
    <w:rsid w:val="006E2CED"/>
    <w:rsid w:val="006E30D5"/>
    <w:rsid w:val="006E326F"/>
    <w:rsid w:val="006E3341"/>
    <w:rsid w:val="006E37B6"/>
    <w:rsid w:val="006E3B12"/>
    <w:rsid w:val="006E3FCF"/>
    <w:rsid w:val="006E4622"/>
    <w:rsid w:val="006E4809"/>
    <w:rsid w:val="006E496A"/>
    <w:rsid w:val="006E4A58"/>
    <w:rsid w:val="006E506B"/>
    <w:rsid w:val="006E5085"/>
    <w:rsid w:val="006E5158"/>
    <w:rsid w:val="006E51BA"/>
    <w:rsid w:val="006E52DD"/>
    <w:rsid w:val="006E5342"/>
    <w:rsid w:val="006E5372"/>
    <w:rsid w:val="006E5761"/>
    <w:rsid w:val="006E5A27"/>
    <w:rsid w:val="006E60CD"/>
    <w:rsid w:val="006E61D0"/>
    <w:rsid w:val="006E7128"/>
    <w:rsid w:val="006E7174"/>
    <w:rsid w:val="006E7269"/>
    <w:rsid w:val="006E7697"/>
    <w:rsid w:val="006E7A47"/>
    <w:rsid w:val="006E7E2E"/>
    <w:rsid w:val="006E7F8C"/>
    <w:rsid w:val="006E7FAD"/>
    <w:rsid w:val="006F0631"/>
    <w:rsid w:val="006F0699"/>
    <w:rsid w:val="006F0C37"/>
    <w:rsid w:val="006F0CAA"/>
    <w:rsid w:val="006F12FE"/>
    <w:rsid w:val="006F14F5"/>
    <w:rsid w:val="006F2094"/>
    <w:rsid w:val="006F306C"/>
    <w:rsid w:val="006F31E5"/>
    <w:rsid w:val="006F3268"/>
    <w:rsid w:val="006F34EC"/>
    <w:rsid w:val="006F3528"/>
    <w:rsid w:val="006F3C6E"/>
    <w:rsid w:val="006F42C2"/>
    <w:rsid w:val="006F4537"/>
    <w:rsid w:val="006F4A51"/>
    <w:rsid w:val="006F502E"/>
    <w:rsid w:val="006F539C"/>
    <w:rsid w:val="006F53A3"/>
    <w:rsid w:val="006F5781"/>
    <w:rsid w:val="006F58AC"/>
    <w:rsid w:val="006F5968"/>
    <w:rsid w:val="006F5C1D"/>
    <w:rsid w:val="006F63A5"/>
    <w:rsid w:val="006F66F9"/>
    <w:rsid w:val="006F6ADC"/>
    <w:rsid w:val="006F6BC6"/>
    <w:rsid w:val="006F7F30"/>
    <w:rsid w:val="00700156"/>
    <w:rsid w:val="007012E9"/>
    <w:rsid w:val="0070142B"/>
    <w:rsid w:val="00701556"/>
    <w:rsid w:val="007016EB"/>
    <w:rsid w:val="007016F1"/>
    <w:rsid w:val="00701B06"/>
    <w:rsid w:val="00701E54"/>
    <w:rsid w:val="00701EAD"/>
    <w:rsid w:val="007022C3"/>
    <w:rsid w:val="0070236A"/>
    <w:rsid w:val="00702712"/>
    <w:rsid w:val="0070276D"/>
    <w:rsid w:val="0070276E"/>
    <w:rsid w:val="00702786"/>
    <w:rsid w:val="007028D5"/>
    <w:rsid w:val="00702D7E"/>
    <w:rsid w:val="00702F7F"/>
    <w:rsid w:val="00702F8F"/>
    <w:rsid w:val="00703C4D"/>
    <w:rsid w:val="00703DF6"/>
    <w:rsid w:val="00703ED9"/>
    <w:rsid w:val="00704337"/>
    <w:rsid w:val="00704453"/>
    <w:rsid w:val="007044E2"/>
    <w:rsid w:val="0070544E"/>
    <w:rsid w:val="00705571"/>
    <w:rsid w:val="007057FA"/>
    <w:rsid w:val="0070597A"/>
    <w:rsid w:val="00705F01"/>
    <w:rsid w:val="00705F94"/>
    <w:rsid w:val="007060C3"/>
    <w:rsid w:val="0070612B"/>
    <w:rsid w:val="00706450"/>
    <w:rsid w:val="00707023"/>
    <w:rsid w:val="00707030"/>
    <w:rsid w:val="007070C1"/>
    <w:rsid w:val="0070743A"/>
    <w:rsid w:val="00707839"/>
    <w:rsid w:val="007079FC"/>
    <w:rsid w:val="00707BCF"/>
    <w:rsid w:val="0071033C"/>
    <w:rsid w:val="00710360"/>
    <w:rsid w:val="007103D2"/>
    <w:rsid w:val="00710435"/>
    <w:rsid w:val="00710537"/>
    <w:rsid w:val="00710A7A"/>
    <w:rsid w:val="0071104E"/>
    <w:rsid w:val="007114A0"/>
    <w:rsid w:val="007117E9"/>
    <w:rsid w:val="0071185A"/>
    <w:rsid w:val="00711A36"/>
    <w:rsid w:val="007125D3"/>
    <w:rsid w:val="007125FC"/>
    <w:rsid w:val="0071290E"/>
    <w:rsid w:val="00712F42"/>
    <w:rsid w:val="00713143"/>
    <w:rsid w:val="007132C3"/>
    <w:rsid w:val="007137D1"/>
    <w:rsid w:val="00713B3F"/>
    <w:rsid w:val="00713BE7"/>
    <w:rsid w:val="00713F1E"/>
    <w:rsid w:val="007140CE"/>
    <w:rsid w:val="0071418F"/>
    <w:rsid w:val="00714287"/>
    <w:rsid w:val="007144BF"/>
    <w:rsid w:val="00714C26"/>
    <w:rsid w:val="00714E9B"/>
    <w:rsid w:val="00714FCC"/>
    <w:rsid w:val="007151EC"/>
    <w:rsid w:val="0071529C"/>
    <w:rsid w:val="007154E4"/>
    <w:rsid w:val="0071589E"/>
    <w:rsid w:val="007163AB"/>
    <w:rsid w:val="00716650"/>
    <w:rsid w:val="00716854"/>
    <w:rsid w:val="00716865"/>
    <w:rsid w:val="007169B1"/>
    <w:rsid w:val="00716CD6"/>
    <w:rsid w:val="00716D68"/>
    <w:rsid w:val="00716F2A"/>
    <w:rsid w:val="007170DA"/>
    <w:rsid w:val="0071720E"/>
    <w:rsid w:val="007172AD"/>
    <w:rsid w:val="007173A4"/>
    <w:rsid w:val="0071753B"/>
    <w:rsid w:val="00717546"/>
    <w:rsid w:val="0071756D"/>
    <w:rsid w:val="00717998"/>
    <w:rsid w:val="00717C42"/>
    <w:rsid w:val="00717D07"/>
    <w:rsid w:val="007203BB"/>
    <w:rsid w:val="00720664"/>
    <w:rsid w:val="007207A5"/>
    <w:rsid w:val="00720801"/>
    <w:rsid w:val="00720C29"/>
    <w:rsid w:val="00720F1B"/>
    <w:rsid w:val="007210AC"/>
    <w:rsid w:val="00721265"/>
    <w:rsid w:val="00721547"/>
    <w:rsid w:val="0072162D"/>
    <w:rsid w:val="007217F0"/>
    <w:rsid w:val="00721B4A"/>
    <w:rsid w:val="00721E58"/>
    <w:rsid w:val="007220D8"/>
    <w:rsid w:val="00722446"/>
    <w:rsid w:val="007224C8"/>
    <w:rsid w:val="00722567"/>
    <w:rsid w:val="00722716"/>
    <w:rsid w:val="0072296E"/>
    <w:rsid w:val="00722B1B"/>
    <w:rsid w:val="00722BE8"/>
    <w:rsid w:val="00722E17"/>
    <w:rsid w:val="00722FAD"/>
    <w:rsid w:val="007230D4"/>
    <w:rsid w:val="00723A95"/>
    <w:rsid w:val="0072416F"/>
    <w:rsid w:val="00724686"/>
    <w:rsid w:val="0072509F"/>
    <w:rsid w:val="0072563C"/>
    <w:rsid w:val="00726100"/>
    <w:rsid w:val="0072683D"/>
    <w:rsid w:val="00726D07"/>
    <w:rsid w:val="007275A2"/>
    <w:rsid w:val="007279C2"/>
    <w:rsid w:val="00727A80"/>
    <w:rsid w:val="00727B43"/>
    <w:rsid w:val="00727C94"/>
    <w:rsid w:val="0073002F"/>
    <w:rsid w:val="00730183"/>
    <w:rsid w:val="007309C6"/>
    <w:rsid w:val="00730F44"/>
    <w:rsid w:val="007319D3"/>
    <w:rsid w:val="00731B0A"/>
    <w:rsid w:val="00731EAE"/>
    <w:rsid w:val="00731EE2"/>
    <w:rsid w:val="00732144"/>
    <w:rsid w:val="0073231A"/>
    <w:rsid w:val="0073232C"/>
    <w:rsid w:val="00732340"/>
    <w:rsid w:val="00732601"/>
    <w:rsid w:val="00732829"/>
    <w:rsid w:val="007328DD"/>
    <w:rsid w:val="00732B96"/>
    <w:rsid w:val="00732D2A"/>
    <w:rsid w:val="00733073"/>
    <w:rsid w:val="00733312"/>
    <w:rsid w:val="00733740"/>
    <w:rsid w:val="00733881"/>
    <w:rsid w:val="00733981"/>
    <w:rsid w:val="00733E1D"/>
    <w:rsid w:val="00733EA6"/>
    <w:rsid w:val="00734193"/>
    <w:rsid w:val="00734351"/>
    <w:rsid w:val="007345A0"/>
    <w:rsid w:val="00734E93"/>
    <w:rsid w:val="00734E9A"/>
    <w:rsid w:val="00734FB0"/>
    <w:rsid w:val="00735033"/>
    <w:rsid w:val="0073509B"/>
    <w:rsid w:val="00735328"/>
    <w:rsid w:val="00735600"/>
    <w:rsid w:val="00735AEA"/>
    <w:rsid w:val="00735ECE"/>
    <w:rsid w:val="00735FCE"/>
    <w:rsid w:val="0073602F"/>
    <w:rsid w:val="00736048"/>
    <w:rsid w:val="007360A0"/>
    <w:rsid w:val="00736176"/>
    <w:rsid w:val="007361F7"/>
    <w:rsid w:val="00736206"/>
    <w:rsid w:val="00736398"/>
    <w:rsid w:val="007363F3"/>
    <w:rsid w:val="00736511"/>
    <w:rsid w:val="0073685B"/>
    <w:rsid w:val="00736E4F"/>
    <w:rsid w:val="007375D8"/>
    <w:rsid w:val="00737933"/>
    <w:rsid w:val="00737ABB"/>
    <w:rsid w:val="00737B8B"/>
    <w:rsid w:val="00737BEC"/>
    <w:rsid w:val="00737CFF"/>
    <w:rsid w:val="00737D44"/>
    <w:rsid w:val="00737D72"/>
    <w:rsid w:val="00737DAB"/>
    <w:rsid w:val="007400B4"/>
    <w:rsid w:val="0074068F"/>
    <w:rsid w:val="00740C1E"/>
    <w:rsid w:val="00740C33"/>
    <w:rsid w:val="00740D5F"/>
    <w:rsid w:val="007415A9"/>
    <w:rsid w:val="007417AF"/>
    <w:rsid w:val="0074267D"/>
    <w:rsid w:val="00742C00"/>
    <w:rsid w:val="0074317D"/>
    <w:rsid w:val="007431C7"/>
    <w:rsid w:val="00743652"/>
    <w:rsid w:val="00743B37"/>
    <w:rsid w:val="00743B79"/>
    <w:rsid w:val="00743CBC"/>
    <w:rsid w:val="00743DC5"/>
    <w:rsid w:val="00743FDD"/>
    <w:rsid w:val="007440EC"/>
    <w:rsid w:val="0074476E"/>
    <w:rsid w:val="007447A4"/>
    <w:rsid w:val="007449BF"/>
    <w:rsid w:val="00744E45"/>
    <w:rsid w:val="00745667"/>
    <w:rsid w:val="00745675"/>
    <w:rsid w:val="0074582C"/>
    <w:rsid w:val="00745967"/>
    <w:rsid w:val="00745C0C"/>
    <w:rsid w:val="007461A4"/>
    <w:rsid w:val="007463FE"/>
    <w:rsid w:val="00746708"/>
    <w:rsid w:val="00746B50"/>
    <w:rsid w:val="00746BC0"/>
    <w:rsid w:val="00746ED7"/>
    <w:rsid w:val="007472CC"/>
    <w:rsid w:val="00747BA1"/>
    <w:rsid w:val="007500D2"/>
    <w:rsid w:val="0075027A"/>
    <w:rsid w:val="00750478"/>
    <w:rsid w:val="007505BD"/>
    <w:rsid w:val="00750684"/>
    <w:rsid w:val="007509EA"/>
    <w:rsid w:val="007510B4"/>
    <w:rsid w:val="00751A1B"/>
    <w:rsid w:val="00751A4E"/>
    <w:rsid w:val="00751B69"/>
    <w:rsid w:val="00751C17"/>
    <w:rsid w:val="00752142"/>
    <w:rsid w:val="007521DE"/>
    <w:rsid w:val="007523F9"/>
    <w:rsid w:val="00752412"/>
    <w:rsid w:val="0075261D"/>
    <w:rsid w:val="00753096"/>
    <w:rsid w:val="00753302"/>
    <w:rsid w:val="0075357E"/>
    <w:rsid w:val="007538A4"/>
    <w:rsid w:val="00753B29"/>
    <w:rsid w:val="007543FC"/>
    <w:rsid w:val="007546E6"/>
    <w:rsid w:val="00754A1B"/>
    <w:rsid w:val="00754B01"/>
    <w:rsid w:val="00754C42"/>
    <w:rsid w:val="00754F6A"/>
    <w:rsid w:val="007552A3"/>
    <w:rsid w:val="007556C8"/>
    <w:rsid w:val="007556D9"/>
    <w:rsid w:val="00755ED2"/>
    <w:rsid w:val="00755FE0"/>
    <w:rsid w:val="0075639A"/>
    <w:rsid w:val="00756706"/>
    <w:rsid w:val="00756B16"/>
    <w:rsid w:val="00756FFD"/>
    <w:rsid w:val="00757211"/>
    <w:rsid w:val="00757361"/>
    <w:rsid w:val="007573E8"/>
    <w:rsid w:val="007576FF"/>
    <w:rsid w:val="00757F56"/>
    <w:rsid w:val="00760407"/>
    <w:rsid w:val="007606B5"/>
    <w:rsid w:val="00760AAD"/>
    <w:rsid w:val="00760C4E"/>
    <w:rsid w:val="00760DDD"/>
    <w:rsid w:val="00760EEF"/>
    <w:rsid w:val="00760F96"/>
    <w:rsid w:val="00760F9E"/>
    <w:rsid w:val="00761105"/>
    <w:rsid w:val="00761488"/>
    <w:rsid w:val="00761677"/>
    <w:rsid w:val="007616E6"/>
    <w:rsid w:val="0076191F"/>
    <w:rsid w:val="007623FB"/>
    <w:rsid w:val="007627BE"/>
    <w:rsid w:val="007628F7"/>
    <w:rsid w:val="00762C08"/>
    <w:rsid w:val="00762D88"/>
    <w:rsid w:val="00762FBD"/>
    <w:rsid w:val="0076374A"/>
    <w:rsid w:val="007637C4"/>
    <w:rsid w:val="00764287"/>
    <w:rsid w:val="00764462"/>
    <w:rsid w:val="00764490"/>
    <w:rsid w:val="00764A3F"/>
    <w:rsid w:val="00764F03"/>
    <w:rsid w:val="00765205"/>
    <w:rsid w:val="00765233"/>
    <w:rsid w:val="007653A2"/>
    <w:rsid w:val="0076547A"/>
    <w:rsid w:val="007655BB"/>
    <w:rsid w:val="007658EF"/>
    <w:rsid w:val="00765B1A"/>
    <w:rsid w:val="00765B1C"/>
    <w:rsid w:val="00765B4A"/>
    <w:rsid w:val="00765DC1"/>
    <w:rsid w:val="00765F01"/>
    <w:rsid w:val="007661D3"/>
    <w:rsid w:val="00767302"/>
    <w:rsid w:val="00767775"/>
    <w:rsid w:val="007677C0"/>
    <w:rsid w:val="007678B9"/>
    <w:rsid w:val="00767AE7"/>
    <w:rsid w:val="00767FC8"/>
    <w:rsid w:val="00770AF3"/>
    <w:rsid w:val="00771088"/>
    <w:rsid w:val="0077125E"/>
    <w:rsid w:val="00771699"/>
    <w:rsid w:val="00771E20"/>
    <w:rsid w:val="00772043"/>
    <w:rsid w:val="007722D8"/>
    <w:rsid w:val="00772497"/>
    <w:rsid w:val="0077262F"/>
    <w:rsid w:val="0077263D"/>
    <w:rsid w:val="00772F24"/>
    <w:rsid w:val="00773213"/>
    <w:rsid w:val="00773431"/>
    <w:rsid w:val="0077371D"/>
    <w:rsid w:val="00773A0A"/>
    <w:rsid w:val="00773A95"/>
    <w:rsid w:val="007740A2"/>
    <w:rsid w:val="00774A7A"/>
    <w:rsid w:val="00774ADF"/>
    <w:rsid w:val="00774B99"/>
    <w:rsid w:val="00774D1E"/>
    <w:rsid w:val="00774D2D"/>
    <w:rsid w:val="0077573B"/>
    <w:rsid w:val="00775824"/>
    <w:rsid w:val="00775C60"/>
    <w:rsid w:val="00776026"/>
    <w:rsid w:val="0077607A"/>
    <w:rsid w:val="00776223"/>
    <w:rsid w:val="00776277"/>
    <w:rsid w:val="007762DA"/>
    <w:rsid w:val="007763C2"/>
    <w:rsid w:val="00776A29"/>
    <w:rsid w:val="00776D6D"/>
    <w:rsid w:val="00776DE4"/>
    <w:rsid w:val="00776F7B"/>
    <w:rsid w:val="007771DB"/>
    <w:rsid w:val="007772CC"/>
    <w:rsid w:val="00777335"/>
    <w:rsid w:val="00777343"/>
    <w:rsid w:val="00777D2A"/>
    <w:rsid w:val="00780043"/>
    <w:rsid w:val="0078046B"/>
    <w:rsid w:val="00780563"/>
    <w:rsid w:val="00780C6E"/>
    <w:rsid w:val="0078118E"/>
    <w:rsid w:val="007817BC"/>
    <w:rsid w:val="007819AF"/>
    <w:rsid w:val="00781B52"/>
    <w:rsid w:val="00781C24"/>
    <w:rsid w:val="00781FDC"/>
    <w:rsid w:val="0078209F"/>
    <w:rsid w:val="007821EB"/>
    <w:rsid w:val="007824D4"/>
    <w:rsid w:val="007831EB"/>
    <w:rsid w:val="00783283"/>
    <w:rsid w:val="00783409"/>
    <w:rsid w:val="00783947"/>
    <w:rsid w:val="00783C80"/>
    <w:rsid w:val="00784017"/>
    <w:rsid w:val="007843F2"/>
    <w:rsid w:val="007846FA"/>
    <w:rsid w:val="007849D3"/>
    <w:rsid w:val="00785040"/>
    <w:rsid w:val="00785059"/>
    <w:rsid w:val="0078506C"/>
    <w:rsid w:val="00785471"/>
    <w:rsid w:val="00785647"/>
    <w:rsid w:val="0078591A"/>
    <w:rsid w:val="00785A9F"/>
    <w:rsid w:val="00785C8C"/>
    <w:rsid w:val="00785D1A"/>
    <w:rsid w:val="00785E26"/>
    <w:rsid w:val="00786102"/>
    <w:rsid w:val="00786A19"/>
    <w:rsid w:val="00786C07"/>
    <w:rsid w:val="00786CBC"/>
    <w:rsid w:val="00787193"/>
    <w:rsid w:val="0078729D"/>
    <w:rsid w:val="00787591"/>
    <w:rsid w:val="00787922"/>
    <w:rsid w:val="00787958"/>
    <w:rsid w:val="007902EC"/>
    <w:rsid w:val="007909E7"/>
    <w:rsid w:val="00790F30"/>
    <w:rsid w:val="0079115C"/>
    <w:rsid w:val="00791794"/>
    <w:rsid w:val="0079195C"/>
    <w:rsid w:val="00791B2A"/>
    <w:rsid w:val="00791BC1"/>
    <w:rsid w:val="00791DDC"/>
    <w:rsid w:val="00791EE0"/>
    <w:rsid w:val="00792060"/>
    <w:rsid w:val="007925DF"/>
    <w:rsid w:val="007928DA"/>
    <w:rsid w:val="00792940"/>
    <w:rsid w:val="00792AEC"/>
    <w:rsid w:val="00792DEC"/>
    <w:rsid w:val="00792F93"/>
    <w:rsid w:val="00793AC3"/>
    <w:rsid w:val="0079407E"/>
    <w:rsid w:val="00794163"/>
    <w:rsid w:val="007945E7"/>
    <w:rsid w:val="00794CE4"/>
    <w:rsid w:val="00795203"/>
    <w:rsid w:val="00795207"/>
    <w:rsid w:val="007956CF"/>
    <w:rsid w:val="0079578C"/>
    <w:rsid w:val="00795BAE"/>
    <w:rsid w:val="00795BDF"/>
    <w:rsid w:val="00795BFF"/>
    <w:rsid w:val="00796038"/>
    <w:rsid w:val="0079637C"/>
    <w:rsid w:val="007966E5"/>
    <w:rsid w:val="00796890"/>
    <w:rsid w:val="00796FFF"/>
    <w:rsid w:val="00797264"/>
    <w:rsid w:val="0079731D"/>
    <w:rsid w:val="007973DD"/>
    <w:rsid w:val="007977B5"/>
    <w:rsid w:val="007978C8"/>
    <w:rsid w:val="00797F7E"/>
    <w:rsid w:val="007A02E4"/>
    <w:rsid w:val="007A04F5"/>
    <w:rsid w:val="007A0590"/>
    <w:rsid w:val="007A08AA"/>
    <w:rsid w:val="007A0A12"/>
    <w:rsid w:val="007A0D03"/>
    <w:rsid w:val="007A120C"/>
    <w:rsid w:val="007A132D"/>
    <w:rsid w:val="007A1345"/>
    <w:rsid w:val="007A1536"/>
    <w:rsid w:val="007A15F8"/>
    <w:rsid w:val="007A194C"/>
    <w:rsid w:val="007A1A80"/>
    <w:rsid w:val="007A1FB2"/>
    <w:rsid w:val="007A2839"/>
    <w:rsid w:val="007A29AA"/>
    <w:rsid w:val="007A2DDB"/>
    <w:rsid w:val="007A304B"/>
    <w:rsid w:val="007A3581"/>
    <w:rsid w:val="007A368B"/>
    <w:rsid w:val="007A36D4"/>
    <w:rsid w:val="007A3D5D"/>
    <w:rsid w:val="007A4525"/>
    <w:rsid w:val="007A46A7"/>
    <w:rsid w:val="007A4705"/>
    <w:rsid w:val="007A488A"/>
    <w:rsid w:val="007A48AC"/>
    <w:rsid w:val="007A4B62"/>
    <w:rsid w:val="007A4D6C"/>
    <w:rsid w:val="007A4E21"/>
    <w:rsid w:val="007A4F8C"/>
    <w:rsid w:val="007A5006"/>
    <w:rsid w:val="007A50BB"/>
    <w:rsid w:val="007A50FC"/>
    <w:rsid w:val="007A528E"/>
    <w:rsid w:val="007A5E26"/>
    <w:rsid w:val="007A5E53"/>
    <w:rsid w:val="007A6017"/>
    <w:rsid w:val="007A6765"/>
    <w:rsid w:val="007A68C9"/>
    <w:rsid w:val="007A6B6C"/>
    <w:rsid w:val="007A6C3B"/>
    <w:rsid w:val="007A6CE3"/>
    <w:rsid w:val="007A6ED7"/>
    <w:rsid w:val="007A70BA"/>
    <w:rsid w:val="007A7746"/>
    <w:rsid w:val="007A7938"/>
    <w:rsid w:val="007A7F55"/>
    <w:rsid w:val="007B02AE"/>
    <w:rsid w:val="007B043E"/>
    <w:rsid w:val="007B05DD"/>
    <w:rsid w:val="007B0A52"/>
    <w:rsid w:val="007B0D68"/>
    <w:rsid w:val="007B1151"/>
    <w:rsid w:val="007B1775"/>
    <w:rsid w:val="007B1838"/>
    <w:rsid w:val="007B1D37"/>
    <w:rsid w:val="007B2504"/>
    <w:rsid w:val="007B251D"/>
    <w:rsid w:val="007B2A64"/>
    <w:rsid w:val="007B2C79"/>
    <w:rsid w:val="007B3073"/>
    <w:rsid w:val="007B31C7"/>
    <w:rsid w:val="007B3533"/>
    <w:rsid w:val="007B354D"/>
    <w:rsid w:val="007B359E"/>
    <w:rsid w:val="007B359F"/>
    <w:rsid w:val="007B35A4"/>
    <w:rsid w:val="007B36E0"/>
    <w:rsid w:val="007B37A4"/>
    <w:rsid w:val="007B383A"/>
    <w:rsid w:val="007B3AF7"/>
    <w:rsid w:val="007B4100"/>
    <w:rsid w:val="007B448A"/>
    <w:rsid w:val="007B486B"/>
    <w:rsid w:val="007B4D87"/>
    <w:rsid w:val="007B4E17"/>
    <w:rsid w:val="007B4F58"/>
    <w:rsid w:val="007B5231"/>
    <w:rsid w:val="007B528D"/>
    <w:rsid w:val="007B5C6E"/>
    <w:rsid w:val="007B5C71"/>
    <w:rsid w:val="007B5C78"/>
    <w:rsid w:val="007B5FD4"/>
    <w:rsid w:val="007B61AA"/>
    <w:rsid w:val="007B6356"/>
    <w:rsid w:val="007B63CA"/>
    <w:rsid w:val="007B64D7"/>
    <w:rsid w:val="007B6503"/>
    <w:rsid w:val="007B6741"/>
    <w:rsid w:val="007B6861"/>
    <w:rsid w:val="007B6D7C"/>
    <w:rsid w:val="007B6D8D"/>
    <w:rsid w:val="007B6D99"/>
    <w:rsid w:val="007B77D1"/>
    <w:rsid w:val="007B7813"/>
    <w:rsid w:val="007B79C6"/>
    <w:rsid w:val="007B7A8D"/>
    <w:rsid w:val="007B7D81"/>
    <w:rsid w:val="007C008F"/>
    <w:rsid w:val="007C0417"/>
    <w:rsid w:val="007C059A"/>
    <w:rsid w:val="007C07C7"/>
    <w:rsid w:val="007C118D"/>
    <w:rsid w:val="007C14EB"/>
    <w:rsid w:val="007C19B8"/>
    <w:rsid w:val="007C1CD9"/>
    <w:rsid w:val="007C1CF1"/>
    <w:rsid w:val="007C207D"/>
    <w:rsid w:val="007C2498"/>
    <w:rsid w:val="007C255D"/>
    <w:rsid w:val="007C26FC"/>
    <w:rsid w:val="007C2702"/>
    <w:rsid w:val="007C32EF"/>
    <w:rsid w:val="007C3327"/>
    <w:rsid w:val="007C3406"/>
    <w:rsid w:val="007C361D"/>
    <w:rsid w:val="007C3A4E"/>
    <w:rsid w:val="007C3A6E"/>
    <w:rsid w:val="007C3D5F"/>
    <w:rsid w:val="007C3FD4"/>
    <w:rsid w:val="007C418E"/>
    <w:rsid w:val="007C43BE"/>
    <w:rsid w:val="007C4597"/>
    <w:rsid w:val="007C45E2"/>
    <w:rsid w:val="007C4B84"/>
    <w:rsid w:val="007C5160"/>
    <w:rsid w:val="007C5235"/>
    <w:rsid w:val="007C5605"/>
    <w:rsid w:val="007C572B"/>
    <w:rsid w:val="007C62D8"/>
    <w:rsid w:val="007C65BD"/>
    <w:rsid w:val="007C6DD7"/>
    <w:rsid w:val="007C70FF"/>
    <w:rsid w:val="007C7106"/>
    <w:rsid w:val="007C7983"/>
    <w:rsid w:val="007C7C25"/>
    <w:rsid w:val="007C7C5C"/>
    <w:rsid w:val="007D004F"/>
    <w:rsid w:val="007D01E5"/>
    <w:rsid w:val="007D035F"/>
    <w:rsid w:val="007D06A3"/>
    <w:rsid w:val="007D06B2"/>
    <w:rsid w:val="007D0834"/>
    <w:rsid w:val="007D0B38"/>
    <w:rsid w:val="007D0B59"/>
    <w:rsid w:val="007D0D4F"/>
    <w:rsid w:val="007D0F29"/>
    <w:rsid w:val="007D10CF"/>
    <w:rsid w:val="007D1204"/>
    <w:rsid w:val="007D198C"/>
    <w:rsid w:val="007D1BB1"/>
    <w:rsid w:val="007D1D0B"/>
    <w:rsid w:val="007D1DBD"/>
    <w:rsid w:val="007D1EFE"/>
    <w:rsid w:val="007D200F"/>
    <w:rsid w:val="007D2348"/>
    <w:rsid w:val="007D27BC"/>
    <w:rsid w:val="007D2816"/>
    <w:rsid w:val="007D2924"/>
    <w:rsid w:val="007D2B1D"/>
    <w:rsid w:val="007D2CAD"/>
    <w:rsid w:val="007D2E24"/>
    <w:rsid w:val="007D2E6B"/>
    <w:rsid w:val="007D3442"/>
    <w:rsid w:val="007D3971"/>
    <w:rsid w:val="007D4221"/>
    <w:rsid w:val="007D4998"/>
    <w:rsid w:val="007D5287"/>
    <w:rsid w:val="007D5440"/>
    <w:rsid w:val="007D565B"/>
    <w:rsid w:val="007D5A1E"/>
    <w:rsid w:val="007D5F06"/>
    <w:rsid w:val="007D5F30"/>
    <w:rsid w:val="007D6181"/>
    <w:rsid w:val="007D6449"/>
    <w:rsid w:val="007D649B"/>
    <w:rsid w:val="007D657D"/>
    <w:rsid w:val="007D692A"/>
    <w:rsid w:val="007D69CC"/>
    <w:rsid w:val="007D69E2"/>
    <w:rsid w:val="007D69EB"/>
    <w:rsid w:val="007D72A8"/>
    <w:rsid w:val="007D7723"/>
    <w:rsid w:val="007D7D86"/>
    <w:rsid w:val="007D7F66"/>
    <w:rsid w:val="007E0742"/>
    <w:rsid w:val="007E09B5"/>
    <w:rsid w:val="007E09EA"/>
    <w:rsid w:val="007E0A92"/>
    <w:rsid w:val="007E1147"/>
    <w:rsid w:val="007E1209"/>
    <w:rsid w:val="007E128F"/>
    <w:rsid w:val="007E14B7"/>
    <w:rsid w:val="007E1606"/>
    <w:rsid w:val="007E19EA"/>
    <w:rsid w:val="007E1A9F"/>
    <w:rsid w:val="007E2920"/>
    <w:rsid w:val="007E307F"/>
    <w:rsid w:val="007E3236"/>
    <w:rsid w:val="007E3553"/>
    <w:rsid w:val="007E3862"/>
    <w:rsid w:val="007E3B9C"/>
    <w:rsid w:val="007E4068"/>
    <w:rsid w:val="007E4173"/>
    <w:rsid w:val="007E4468"/>
    <w:rsid w:val="007E4AE0"/>
    <w:rsid w:val="007E50E6"/>
    <w:rsid w:val="007E5484"/>
    <w:rsid w:val="007E550E"/>
    <w:rsid w:val="007E55F2"/>
    <w:rsid w:val="007E58AE"/>
    <w:rsid w:val="007E5AA6"/>
    <w:rsid w:val="007E5E31"/>
    <w:rsid w:val="007E623C"/>
    <w:rsid w:val="007E671E"/>
    <w:rsid w:val="007E6C21"/>
    <w:rsid w:val="007E6D2D"/>
    <w:rsid w:val="007E6DC4"/>
    <w:rsid w:val="007E7392"/>
    <w:rsid w:val="007E7ABA"/>
    <w:rsid w:val="007E7B9F"/>
    <w:rsid w:val="007E7E56"/>
    <w:rsid w:val="007E7EE2"/>
    <w:rsid w:val="007F0183"/>
    <w:rsid w:val="007F08F6"/>
    <w:rsid w:val="007F0DEE"/>
    <w:rsid w:val="007F1017"/>
    <w:rsid w:val="007F120A"/>
    <w:rsid w:val="007F14B6"/>
    <w:rsid w:val="007F1789"/>
    <w:rsid w:val="007F1866"/>
    <w:rsid w:val="007F1A01"/>
    <w:rsid w:val="007F1E38"/>
    <w:rsid w:val="007F23B3"/>
    <w:rsid w:val="007F2739"/>
    <w:rsid w:val="007F2D97"/>
    <w:rsid w:val="007F30FB"/>
    <w:rsid w:val="007F354B"/>
    <w:rsid w:val="007F35CE"/>
    <w:rsid w:val="007F4069"/>
    <w:rsid w:val="007F479E"/>
    <w:rsid w:val="007F4A3F"/>
    <w:rsid w:val="007F4A61"/>
    <w:rsid w:val="007F4C9E"/>
    <w:rsid w:val="007F4D7D"/>
    <w:rsid w:val="007F4EA7"/>
    <w:rsid w:val="007F4FDA"/>
    <w:rsid w:val="007F5020"/>
    <w:rsid w:val="007F5255"/>
    <w:rsid w:val="007F5264"/>
    <w:rsid w:val="007F5409"/>
    <w:rsid w:val="007F56CC"/>
    <w:rsid w:val="007F59F7"/>
    <w:rsid w:val="007F5A6B"/>
    <w:rsid w:val="007F5A7F"/>
    <w:rsid w:val="007F5F6F"/>
    <w:rsid w:val="007F61C2"/>
    <w:rsid w:val="007F66AE"/>
    <w:rsid w:val="007F66CF"/>
    <w:rsid w:val="007F6ABE"/>
    <w:rsid w:val="007F6EC9"/>
    <w:rsid w:val="007F718B"/>
    <w:rsid w:val="007F7515"/>
    <w:rsid w:val="007F7595"/>
    <w:rsid w:val="007F7750"/>
    <w:rsid w:val="007F79EF"/>
    <w:rsid w:val="007F7BF7"/>
    <w:rsid w:val="0080008C"/>
    <w:rsid w:val="0080033F"/>
    <w:rsid w:val="008006CF"/>
    <w:rsid w:val="00800A13"/>
    <w:rsid w:val="00800A90"/>
    <w:rsid w:val="00800B67"/>
    <w:rsid w:val="00800E24"/>
    <w:rsid w:val="008011CA"/>
    <w:rsid w:val="00801737"/>
    <w:rsid w:val="00801C89"/>
    <w:rsid w:val="00801E44"/>
    <w:rsid w:val="0080294E"/>
    <w:rsid w:val="00802AAB"/>
    <w:rsid w:val="00802ACC"/>
    <w:rsid w:val="00802DA1"/>
    <w:rsid w:val="00802F76"/>
    <w:rsid w:val="0080349B"/>
    <w:rsid w:val="008036C3"/>
    <w:rsid w:val="00803FA5"/>
    <w:rsid w:val="0080404D"/>
    <w:rsid w:val="00804832"/>
    <w:rsid w:val="0080489F"/>
    <w:rsid w:val="00804BE4"/>
    <w:rsid w:val="00804E96"/>
    <w:rsid w:val="008050AC"/>
    <w:rsid w:val="00805142"/>
    <w:rsid w:val="008053E8"/>
    <w:rsid w:val="008055CD"/>
    <w:rsid w:val="0080566B"/>
    <w:rsid w:val="0080583B"/>
    <w:rsid w:val="00805CAF"/>
    <w:rsid w:val="00805F1B"/>
    <w:rsid w:val="00805FCE"/>
    <w:rsid w:val="0080679F"/>
    <w:rsid w:val="00806D67"/>
    <w:rsid w:val="00806E58"/>
    <w:rsid w:val="00807107"/>
    <w:rsid w:val="008071D8"/>
    <w:rsid w:val="0080770D"/>
    <w:rsid w:val="00807A8B"/>
    <w:rsid w:val="00807CDF"/>
    <w:rsid w:val="00807DCA"/>
    <w:rsid w:val="00807E25"/>
    <w:rsid w:val="00810299"/>
    <w:rsid w:val="00810526"/>
    <w:rsid w:val="008106FE"/>
    <w:rsid w:val="00810868"/>
    <w:rsid w:val="00811383"/>
    <w:rsid w:val="008113E1"/>
    <w:rsid w:val="00811790"/>
    <w:rsid w:val="0081182B"/>
    <w:rsid w:val="00811852"/>
    <w:rsid w:val="00811A6F"/>
    <w:rsid w:val="00811B35"/>
    <w:rsid w:val="00811F91"/>
    <w:rsid w:val="00812149"/>
    <w:rsid w:val="008121DF"/>
    <w:rsid w:val="00812310"/>
    <w:rsid w:val="0081292B"/>
    <w:rsid w:val="00812A66"/>
    <w:rsid w:val="00812CAC"/>
    <w:rsid w:val="00812D39"/>
    <w:rsid w:val="00812F19"/>
    <w:rsid w:val="0081366F"/>
    <w:rsid w:val="00813BC6"/>
    <w:rsid w:val="00814494"/>
    <w:rsid w:val="008145F3"/>
    <w:rsid w:val="0081481E"/>
    <w:rsid w:val="00814A2A"/>
    <w:rsid w:val="00814E6E"/>
    <w:rsid w:val="00815135"/>
    <w:rsid w:val="0081517A"/>
    <w:rsid w:val="008152A3"/>
    <w:rsid w:val="00815798"/>
    <w:rsid w:val="00815A86"/>
    <w:rsid w:val="00815C41"/>
    <w:rsid w:val="00815C9B"/>
    <w:rsid w:val="00815DC8"/>
    <w:rsid w:val="00815E1D"/>
    <w:rsid w:val="0081623A"/>
    <w:rsid w:val="00816361"/>
    <w:rsid w:val="008163A1"/>
    <w:rsid w:val="008166EF"/>
    <w:rsid w:val="008166F7"/>
    <w:rsid w:val="0081696E"/>
    <w:rsid w:val="00816FEF"/>
    <w:rsid w:val="00817033"/>
    <w:rsid w:val="008170D9"/>
    <w:rsid w:val="0081710F"/>
    <w:rsid w:val="0081715A"/>
    <w:rsid w:val="00817223"/>
    <w:rsid w:val="0081746B"/>
    <w:rsid w:val="008175D2"/>
    <w:rsid w:val="008176DA"/>
    <w:rsid w:val="00817DD4"/>
    <w:rsid w:val="00820A8C"/>
    <w:rsid w:val="00820B3F"/>
    <w:rsid w:val="00820B91"/>
    <w:rsid w:val="00820C93"/>
    <w:rsid w:val="00820E34"/>
    <w:rsid w:val="00821076"/>
    <w:rsid w:val="008215FB"/>
    <w:rsid w:val="008216DE"/>
    <w:rsid w:val="008218F3"/>
    <w:rsid w:val="00821AF2"/>
    <w:rsid w:val="00821B6D"/>
    <w:rsid w:val="00821E8E"/>
    <w:rsid w:val="008220CC"/>
    <w:rsid w:val="00822331"/>
    <w:rsid w:val="00822671"/>
    <w:rsid w:val="0082303D"/>
    <w:rsid w:val="00823174"/>
    <w:rsid w:val="008231A4"/>
    <w:rsid w:val="0082331C"/>
    <w:rsid w:val="00823492"/>
    <w:rsid w:val="0082393C"/>
    <w:rsid w:val="00823B27"/>
    <w:rsid w:val="00823B32"/>
    <w:rsid w:val="00823E0C"/>
    <w:rsid w:val="00823F7F"/>
    <w:rsid w:val="008246F2"/>
    <w:rsid w:val="00824C93"/>
    <w:rsid w:val="00824D8A"/>
    <w:rsid w:val="00824E24"/>
    <w:rsid w:val="00824FAD"/>
    <w:rsid w:val="00825751"/>
    <w:rsid w:val="00825838"/>
    <w:rsid w:val="00825A88"/>
    <w:rsid w:val="00825CFB"/>
    <w:rsid w:val="00825F35"/>
    <w:rsid w:val="00825F68"/>
    <w:rsid w:val="008260CA"/>
    <w:rsid w:val="008264EB"/>
    <w:rsid w:val="00826683"/>
    <w:rsid w:val="008268C3"/>
    <w:rsid w:val="008268CE"/>
    <w:rsid w:val="00827030"/>
    <w:rsid w:val="008278A4"/>
    <w:rsid w:val="00827C23"/>
    <w:rsid w:val="00830308"/>
    <w:rsid w:val="008303A8"/>
    <w:rsid w:val="0083047B"/>
    <w:rsid w:val="00830759"/>
    <w:rsid w:val="00830A76"/>
    <w:rsid w:val="00830D99"/>
    <w:rsid w:val="00831202"/>
    <w:rsid w:val="0083161A"/>
    <w:rsid w:val="00831988"/>
    <w:rsid w:val="00831A7E"/>
    <w:rsid w:val="00831BDD"/>
    <w:rsid w:val="00832AAB"/>
    <w:rsid w:val="00832B41"/>
    <w:rsid w:val="008333A9"/>
    <w:rsid w:val="008333B6"/>
    <w:rsid w:val="00833791"/>
    <w:rsid w:val="00833B05"/>
    <w:rsid w:val="00833CD2"/>
    <w:rsid w:val="00833D1C"/>
    <w:rsid w:val="00833DB1"/>
    <w:rsid w:val="00834049"/>
    <w:rsid w:val="008340D9"/>
    <w:rsid w:val="00834825"/>
    <w:rsid w:val="008348B2"/>
    <w:rsid w:val="00834A76"/>
    <w:rsid w:val="00834E7C"/>
    <w:rsid w:val="00834EAF"/>
    <w:rsid w:val="00834F5C"/>
    <w:rsid w:val="008357FA"/>
    <w:rsid w:val="00835C88"/>
    <w:rsid w:val="00835FD5"/>
    <w:rsid w:val="008362B4"/>
    <w:rsid w:val="0083644A"/>
    <w:rsid w:val="008365D8"/>
    <w:rsid w:val="0083791F"/>
    <w:rsid w:val="00837A70"/>
    <w:rsid w:val="00837FFA"/>
    <w:rsid w:val="00840053"/>
    <w:rsid w:val="0084024E"/>
    <w:rsid w:val="008407F0"/>
    <w:rsid w:val="00840CA2"/>
    <w:rsid w:val="00840D38"/>
    <w:rsid w:val="00840D5D"/>
    <w:rsid w:val="00841E95"/>
    <w:rsid w:val="008420B3"/>
    <w:rsid w:val="0084250F"/>
    <w:rsid w:val="00842602"/>
    <w:rsid w:val="008426F9"/>
    <w:rsid w:val="00842813"/>
    <w:rsid w:val="008430AF"/>
    <w:rsid w:val="008435B5"/>
    <w:rsid w:val="0084374F"/>
    <w:rsid w:val="00843807"/>
    <w:rsid w:val="00843993"/>
    <w:rsid w:val="00843D16"/>
    <w:rsid w:val="00844574"/>
    <w:rsid w:val="00844A22"/>
    <w:rsid w:val="00844B6C"/>
    <w:rsid w:val="00844BDB"/>
    <w:rsid w:val="00844C41"/>
    <w:rsid w:val="00844D01"/>
    <w:rsid w:val="00844E97"/>
    <w:rsid w:val="008451D5"/>
    <w:rsid w:val="008451FF"/>
    <w:rsid w:val="00845373"/>
    <w:rsid w:val="00845381"/>
    <w:rsid w:val="00845C3E"/>
    <w:rsid w:val="00845CD4"/>
    <w:rsid w:val="00845CE5"/>
    <w:rsid w:val="00846016"/>
    <w:rsid w:val="0084615E"/>
    <w:rsid w:val="00846239"/>
    <w:rsid w:val="00846B18"/>
    <w:rsid w:val="00846EE5"/>
    <w:rsid w:val="008472B7"/>
    <w:rsid w:val="00847414"/>
    <w:rsid w:val="00847703"/>
    <w:rsid w:val="00847DF5"/>
    <w:rsid w:val="00847F33"/>
    <w:rsid w:val="008500B8"/>
    <w:rsid w:val="00850460"/>
    <w:rsid w:val="008504C7"/>
    <w:rsid w:val="0085096D"/>
    <w:rsid w:val="00850C2B"/>
    <w:rsid w:val="00850C8E"/>
    <w:rsid w:val="00850CE0"/>
    <w:rsid w:val="00850E65"/>
    <w:rsid w:val="00850F16"/>
    <w:rsid w:val="00851022"/>
    <w:rsid w:val="0085156D"/>
    <w:rsid w:val="008519E0"/>
    <w:rsid w:val="00851D55"/>
    <w:rsid w:val="00851DDD"/>
    <w:rsid w:val="00851E87"/>
    <w:rsid w:val="00851EE2"/>
    <w:rsid w:val="00852485"/>
    <w:rsid w:val="00852632"/>
    <w:rsid w:val="00852677"/>
    <w:rsid w:val="0085274F"/>
    <w:rsid w:val="00852D44"/>
    <w:rsid w:val="00852EBF"/>
    <w:rsid w:val="00853047"/>
    <w:rsid w:val="0085309D"/>
    <w:rsid w:val="00853163"/>
    <w:rsid w:val="0085353D"/>
    <w:rsid w:val="00853B89"/>
    <w:rsid w:val="008543F6"/>
    <w:rsid w:val="0085456B"/>
    <w:rsid w:val="008547F6"/>
    <w:rsid w:val="00854A4A"/>
    <w:rsid w:val="00854E61"/>
    <w:rsid w:val="0085570C"/>
    <w:rsid w:val="00855CAD"/>
    <w:rsid w:val="008560F0"/>
    <w:rsid w:val="0085625A"/>
    <w:rsid w:val="00856897"/>
    <w:rsid w:val="00856E9A"/>
    <w:rsid w:val="00856FD0"/>
    <w:rsid w:val="0085727D"/>
    <w:rsid w:val="00857533"/>
    <w:rsid w:val="0085775F"/>
    <w:rsid w:val="00857919"/>
    <w:rsid w:val="00857CAC"/>
    <w:rsid w:val="00857F9C"/>
    <w:rsid w:val="0086069C"/>
    <w:rsid w:val="0086075D"/>
    <w:rsid w:val="008607EC"/>
    <w:rsid w:val="00860AD0"/>
    <w:rsid w:val="00860C0C"/>
    <w:rsid w:val="00860D8E"/>
    <w:rsid w:val="00860FF1"/>
    <w:rsid w:val="0086118A"/>
    <w:rsid w:val="0086155B"/>
    <w:rsid w:val="00861865"/>
    <w:rsid w:val="008619C5"/>
    <w:rsid w:val="00861A12"/>
    <w:rsid w:val="00861B0A"/>
    <w:rsid w:val="00861B13"/>
    <w:rsid w:val="00861B76"/>
    <w:rsid w:val="00861B97"/>
    <w:rsid w:val="00861D92"/>
    <w:rsid w:val="0086247F"/>
    <w:rsid w:val="00862502"/>
    <w:rsid w:val="00862585"/>
    <w:rsid w:val="00862941"/>
    <w:rsid w:val="00862C83"/>
    <w:rsid w:val="00862CC1"/>
    <w:rsid w:val="00862DBB"/>
    <w:rsid w:val="0086354D"/>
    <w:rsid w:val="008639AB"/>
    <w:rsid w:val="0086406B"/>
    <w:rsid w:val="00864087"/>
    <w:rsid w:val="008642A7"/>
    <w:rsid w:val="00864933"/>
    <w:rsid w:val="00864BBC"/>
    <w:rsid w:val="008656D0"/>
    <w:rsid w:val="00865CAF"/>
    <w:rsid w:val="00865DDB"/>
    <w:rsid w:val="008660D4"/>
    <w:rsid w:val="008661A5"/>
    <w:rsid w:val="0086647D"/>
    <w:rsid w:val="00866851"/>
    <w:rsid w:val="00866CD8"/>
    <w:rsid w:val="008673D6"/>
    <w:rsid w:val="0086744F"/>
    <w:rsid w:val="0086752C"/>
    <w:rsid w:val="008675CA"/>
    <w:rsid w:val="008676EA"/>
    <w:rsid w:val="00867C5D"/>
    <w:rsid w:val="00867CE3"/>
    <w:rsid w:val="00867F26"/>
    <w:rsid w:val="0087036B"/>
    <w:rsid w:val="008705EE"/>
    <w:rsid w:val="0087075B"/>
    <w:rsid w:val="0087083A"/>
    <w:rsid w:val="00870987"/>
    <w:rsid w:val="00870A24"/>
    <w:rsid w:val="00870A40"/>
    <w:rsid w:val="00870C17"/>
    <w:rsid w:val="00870F6C"/>
    <w:rsid w:val="0087106D"/>
    <w:rsid w:val="00871501"/>
    <w:rsid w:val="0087175C"/>
    <w:rsid w:val="00871B47"/>
    <w:rsid w:val="00871B68"/>
    <w:rsid w:val="00871B7C"/>
    <w:rsid w:val="00871D82"/>
    <w:rsid w:val="00871FA9"/>
    <w:rsid w:val="008720F0"/>
    <w:rsid w:val="008726A4"/>
    <w:rsid w:val="008728E9"/>
    <w:rsid w:val="00872992"/>
    <w:rsid w:val="00872C72"/>
    <w:rsid w:val="00872DC6"/>
    <w:rsid w:val="00872E33"/>
    <w:rsid w:val="008739EF"/>
    <w:rsid w:val="00873B55"/>
    <w:rsid w:val="00873C7C"/>
    <w:rsid w:val="00874135"/>
    <w:rsid w:val="00874485"/>
    <w:rsid w:val="00874602"/>
    <w:rsid w:val="00874E72"/>
    <w:rsid w:val="00874F75"/>
    <w:rsid w:val="008754EF"/>
    <w:rsid w:val="008756BF"/>
    <w:rsid w:val="00875782"/>
    <w:rsid w:val="00875E61"/>
    <w:rsid w:val="00876257"/>
    <w:rsid w:val="00876259"/>
    <w:rsid w:val="008762EB"/>
    <w:rsid w:val="008762F2"/>
    <w:rsid w:val="0087665D"/>
    <w:rsid w:val="00876B1C"/>
    <w:rsid w:val="0087713A"/>
    <w:rsid w:val="008773FF"/>
    <w:rsid w:val="00877409"/>
    <w:rsid w:val="00877783"/>
    <w:rsid w:val="00877ADB"/>
    <w:rsid w:val="00880409"/>
    <w:rsid w:val="008804E6"/>
    <w:rsid w:val="008808FC"/>
    <w:rsid w:val="00880EF1"/>
    <w:rsid w:val="00880F9F"/>
    <w:rsid w:val="00881164"/>
    <w:rsid w:val="008816DB"/>
    <w:rsid w:val="008822C8"/>
    <w:rsid w:val="00882508"/>
    <w:rsid w:val="00882652"/>
    <w:rsid w:val="00882874"/>
    <w:rsid w:val="00882A7F"/>
    <w:rsid w:val="00882B92"/>
    <w:rsid w:val="00882E3C"/>
    <w:rsid w:val="0088308A"/>
    <w:rsid w:val="00883408"/>
    <w:rsid w:val="0088341B"/>
    <w:rsid w:val="00883772"/>
    <w:rsid w:val="00883787"/>
    <w:rsid w:val="00883A53"/>
    <w:rsid w:val="00884526"/>
    <w:rsid w:val="008848F4"/>
    <w:rsid w:val="00884900"/>
    <w:rsid w:val="00884CD0"/>
    <w:rsid w:val="00884D9F"/>
    <w:rsid w:val="00885572"/>
    <w:rsid w:val="008855E4"/>
    <w:rsid w:val="0088593B"/>
    <w:rsid w:val="00885E54"/>
    <w:rsid w:val="00885E65"/>
    <w:rsid w:val="00886499"/>
    <w:rsid w:val="0088699C"/>
    <w:rsid w:val="00886CD2"/>
    <w:rsid w:val="00887392"/>
    <w:rsid w:val="008874B2"/>
    <w:rsid w:val="00887B2A"/>
    <w:rsid w:val="008905ED"/>
    <w:rsid w:val="008908BE"/>
    <w:rsid w:val="00890962"/>
    <w:rsid w:val="00890BD3"/>
    <w:rsid w:val="00890FF2"/>
    <w:rsid w:val="00891037"/>
    <w:rsid w:val="008912E0"/>
    <w:rsid w:val="00891568"/>
    <w:rsid w:val="0089167A"/>
    <w:rsid w:val="00891830"/>
    <w:rsid w:val="00891B44"/>
    <w:rsid w:val="00891E6F"/>
    <w:rsid w:val="008921FB"/>
    <w:rsid w:val="0089223C"/>
    <w:rsid w:val="0089253D"/>
    <w:rsid w:val="008925A5"/>
    <w:rsid w:val="008926FD"/>
    <w:rsid w:val="0089275D"/>
    <w:rsid w:val="008928EC"/>
    <w:rsid w:val="00892A36"/>
    <w:rsid w:val="00892B39"/>
    <w:rsid w:val="00892CB3"/>
    <w:rsid w:val="0089306F"/>
    <w:rsid w:val="00893239"/>
    <w:rsid w:val="00893A2B"/>
    <w:rsid w:val="00893FAE"/>
    <w:rsid w:val="0089420E"/>
    <w:rsid w:val="00894398"/>
    <w:rsid w:val="008943A4"/>
    <w:rsid w:val="00894489"/>
    <w:rsid w:val="008946C9"/>
    <w:rsid w:val="00894772"/>
    <w:rsid w:val="00894873"/>
    <w:rsid w:val="00894963"/>
    <w:rsid w:val="0089496C"/>
    <w:rsid w:val="00894BE0"/>
    <w:rsid w:val="00894CD6"/>
    <w:rsid w:val="0089579A"/>
    <w:rsid w:val="008958AD"/>
    <w:rsid w:val="00895997"/>
    <w:rsid w:val="00895EEB"/>
    <w:rsid w:val="008963A5"/>
    <w:rsid w:val="00896432"/>
    <w:rsid w:val="0089658E"/>
    <w:rsid w:val="00896A0F"/>
    <w:rsid w:val="00896B8B"/>
    <w:rsid w:val="00896D5D"/>
    <w:rsid w:val="00897265"/>
    <w:rsid w:val="00897360"/>
    <w:rsid w:val="0089756B"/>
    <w:rsid w:val="008977F2"/>
    <w:rsid w:val="008A03E3"/>
    <w:rsid w:val="008A04EC"/>
    <w:rsid w:val="008A09F1"/>
    <w:rsid w:val="008A0E9E"/>
    <w:rsid w:val="008A11C2"/>
    <w:rsid w:val="008A154E"/>
    <w:rsid w:val="008A1FA3"/>
    <w:rsid w:val="008A2057"/>
    <w:rsid w:val="008A20BA"/>
    <w:rsid w:val="008A23B8"/>
    <w:rsid w:val="008A290F"/>
    <w:rsid w:val="008A2E8A"/>
    <w:rsid w:val="008A3158"/>
    <w:rsid w:val="008A31D9"/>
    <w:rsid w:val="008A32B3"/>
    <w:rsid w:val="008A334C"/>
    <w:rsid w:val="008A3363"/>
    <w:rsid w:val="008A3371"/>
    <w:rsid w:val="008A3430"/>
    <w:rsid w:val="008A3937"/>
    <w:rsid w:val="008A3962"/>
    <w:rsid w:val="008A3B40"/>
    <w:rsid w:val="008A3C3E"/>
    <w:rsid w:val="008A43B2"/>
    <w:rsid w:val="008A4991"/>
    <w:rsid w:val="008A49C3"/>
    <w:rsid w:val="008A49CE"/>
    <w:rsid w:val="008A4ADB"/>
    <w:rsid w:val="008A5114"/>
    <w:rsid w:val="008A588C"/>
    <w:rsid w:val="008A5A33"/>
    <w:rsid w:val="008A5AB1"/>
    <w:rsid w:val="008A5B57"/>
    <w:rsid w:val="008A5D13"/>
    <w:rsid w:val="008A5D6A"/>
    <w:rsid w:val="008A62A2"/>
    <w:rsid w:val="008A6304"/>
    <w:rsid w:val="008A65A4"/>
    <w:rsid w:val="008A65FB"/>
    <w:rsid w:val="008A6810"/>
    <w:rsid w:val="008A69D3"/>
    <w:rsid w:val="008A6A20"/>
    <w:rsid w:val="008A6CAD"/>
    <w:rsid w:val="008A6FB1"/>
    <w:rsid w:val="008A729F"/>
    <w:rsid w:val="008A7882"/>
    <w:rsid w:val="008A78EE"/>
    <w:rsid w:val="008A79DE"/>
    <w:rsid w:val="008A7DE6"/>
    <w:rsid w:val="008B077A"/>
    <w:rsid w:val="008B07C9"/>
    <w:rsid w:val="008B09FE"/>
    <w:rsid w:val="008B0A20"/>
    <w:rsid w:val="008B0AC0"/>
    <w:rsid w:val="008B0C94"/>
    <w:rsid w:val="008B0EF3"/>
    <w:rsid w:val="008B10BD"/>
    <w:rsid w:val="008B1328"/>
    <w:rsid w:val="008B133D"/>
    <w:rsid w:val="008B141B"/>
    <w:rsid w:val="008B1757"/>
    <w:rsid w:val="008B18C4"/>
    <w:rsid w:val="008B1AE9"/>
    <w:rsid w:val="008B1C33"/>
    <w:rsid w:val="008B1ED1"/>
    <w:rsid w:val="008B2425"/>
    <w:rsid w:val="008B24A0"/>
    <w:rsid w:val="008B2600"/>
    <w:rsid w:val="008B27EA"/>
    <w:rsid w:val="008B2BC6"/>
    <w:rsid w:val="008B2E54"/>
    <w:rsid w:val="008B318E"/>
    <w:rsid w:val="008B32EE"/>
    <w:rsid w:val="008B358B"/>
    <w:rsid w:val="008B3948"/>
    <w:rsid w:val="008B4439"/>
    <w:rsid w:val="008B4480"/>
    <w:rsid w:val="008B44F1"/>
    <w:rsid w:val="008B4B17"/>
    <w:rsid w:val="008B4B6F"/>
    <w:rsid w:val="008B5597"/>
    <w:rsid w:val="008B61EC"/>
    <w:rsid w:val="008B650E"/>
    <w:rsid w:val="008B670B"/>
    <w:rsid w:val="008B6851"/>
    <w:rsid w:val="008B68FA"/>
    <w:rsid w:val="008B69F0"/>
    <w:rsid w:val="008B6E46"/>
    <w:rsid w:val="008B7067"/>
    <w:rsid w:val="008B712A"/>
    <w:rsid w:val="008B770F"/>
    <w:rsid w:val="008B7733"/>
    <w:rsid w:val="008B7992"/>
    <w:rsid w:val="008B7B80"/>
    <w:rsid w:val="008B7B8E"/>
    <w:rsid w:val="008B7CB7"/>
    <w:rsid w:val="008B7D7E"/>
    <w:rsid w:val="008B7EBC"/>
    <w:rsid w:val="008B7EF1"/>
    <w:rsid w:val="008C03D4"/>
    <w:rsid w:val="008C0DE5"/>
    <w:rsid w:val="008C10ED"/>
    <w:rsid w:val="008C1523"/>
    <w:rsid w:val="008C1560"/>
    <w:rsid w:val="008C17E8"/>
    <w:rsid w:val="008C185D"/>
    <w:rsid w:val="008C19D6"/>
    <w:rsid w:val="008C1ADE"/>
    <w:rsid w:val="008C1AED"/>
    <w:rsid w:val="008C1D05"/>
    <w:rsid w:val="008C1FBB"/>
    <w:rsid w:val="008C2DE1"/>
    <w:rsid w:val="008C3A67"/>
    <w:rsid w:val="008C3A76"/>
    <w:rsid w:val="008C3AC9"/>
    <w:rsid w:val="008C3EA0"/>
    <w:rsid w:val="008C40AA"/>
    <w:rsid w:val="008C444D"/>
    <w:rsid w:val="008C4525"/>
    <w:rsid w:val="008C473D"/>
    <w:rsid w:val="008C475B"/>
    <w:rsid w:val="008C49CA"/>
    <w:rsid w:val="008C4A59"/>
    <w:rsid w:val="008C4B7E"/>
    <w:rsid w:val="008C4BF2"/>
    <w:rsid w:val="008C4D21"/>
    <w:rsid w:val="008C4EAC"/>
    <w:rsid w:val="008C5610"/>
    <w:rsid w:val="008C5639"/>
    <w:rsid w:val="008C5642"/>
    <w:rsid w:val="008C5739"/>
    <w:rsid w:val="008C595B"/>
    <w:rsid w:val="008C5B04"/>
    <w:rsid w:val="008C6181"/>
    <w:rsid w:val="008C62D5"/>
    <w:rsid w:val="008C62D8"/>
    <w:rsid w:val="008C66D4"/>
    <w:rsid w:val="008C6849"/>
    <w:rsid w:val="008C69B8"/>
    <w:rsid w:val="008C6AE7"/>
    <w:rsid w:val="008C6C78"/>
    <w:rsid w:val="008C6CAE"/>
    <w:rsid w:val="008C6D97"/>
    <w:rsid w:val="008C7282"/>
    <w:rsid w:val="008C7CEB"/>
    <w:rsid w:val="008C7ECB"/>
    <w:rsid w:val="008D0375"/>
    <w:rsid w:val="008D05D8"/>
    <w:rsid w:val="008D0747"/>
    <w:rsid w:val="008D0D17"/>
    <w:rsid w:val="008D0FB1"/>
    <w:rsid w:val="008D1097"/>
    <w:rsid w:val="008D1421"/>
    <w:rsid w:val="008D1787"/>
    <w:rsid w:val="008D17CA"/>
    <w:rsid w:val="008D198A"/>
    <w:rsid w:val="008D1AA1"/>
    <w:rsid w:val="008D1D24"/>
    <w:rsid w:val="008D2198"/>
    <w:rsid w:val="008D25CF"/>
    <w:rsid w:val="008D2621"/>
    <w:rsid w:val="008D2A50"/>
    <w:rsid w:val="008D32B7"/>
    <w:rsid w:val="008D338B"/>
    <w:rsid w:val="008D3932"/>
    <w:rsid w:val="008D3B86"/>
    <w:rsid w:val="008D430E"/>
    <w:rsid w:val="008D43FD"/>
    <w:rsid w:val="008D4507"/>
    <w:rsid w:val="008D4645"/>
    <w:rsid w:val="008D4755"/>
    <w:rsid w:val="008D4C3D"/>
    <w:rsid w:val="008D606B"/>
    <w:rsid w:val="008D6135"/>
    <w:rsid w:val="008D6AB9"/>
    <w:rsid w:val="008D6DC2"/>
    <w:rsid w:val="008D6ED9"/>
    <w:rsid w:val="008D743C"/>
    <w:rsid w:val="008D78BC"/>
    <w:rsid w:val="008D7DB4"/>
    <w:rsid w:val="008D7DCC"/>
    <w:rsid w:val="008E0089"/>
    <w:rsid w:val="008E017E"/>
    <w:rsid w:val="008E057A"/>
    <w:rsid w:val="008E0881"/>
    <w:rsid w:val="008E088D"/>
    <w:rsid w:val="008E0A96"/>
    <w:rsid w:val="008E0D12"/>
    <w:rsid w:val="008E0D3C"/>
    <w:rsid w:val="008E0DD2"/>
    <w:rsid w:val="008E1238"/>
    <w:rsid w:val="008E1752"/>
    <w:rsid w:val="008E1A49"/>
    <w:rsid w:val="008E1B76"/>
    <w:rsid w:val="008E1B9E"/>
    <w:rsid w:val="008E1CF8"/>
    <w:rsid w:val="008E224E"/>
    <w:rsid w:val="008E2375"/>
    <w:rsid w:val="008E2490"/>
    <w:rsid w:val="008E2857"/>
    <w:rsid w:val="008E2B1C"/>
    <w:rsid w:val="008E2BAA"/>
    <w:rsid w:val="008E2C37"/>
    <w:rsid w:val="008E2CAE"/>
    <w:rsid w:val="008E2DC5"/>
    <w:rsid w:val="008E3068"/>
    <w:rsid w:val="008E33D9"/>
    <w:rsid w:val="008E3486"/>
    <w:rsid w:val="008E377B"/>
    <w:rsid w:val="008E3A5D"/>
    <w:rsid w:val="008E4AED"/>
    <w:rsid w:val="008E4E97"/>
    <w:rsid w:val="008E4EE1"/>
    <w:rsid w:val="008E4FCA"/>
    <w:rsid w:val="008E52CB"/>
    <w:rsid w:val="008E5461"/>
    <w:rsid w:val="008E55AB"/>
    <w:rsid w:val="008E57A5"/>
    <w:rsid w:val="008E5844"/>
    <w:rsid w:val="008E595F"/>
    <w:rsid w:val="008E5D02"/>
    <w:rsid w:val="008E5D42"/>
    <w:rsid w:val="008E60B6"/>
    <w:rsid w:val="008E6189"/>
    <w:rsid w:val="008E61B4"/>
    <w:rsid w:val="008E63EA"/>
    <w:rsid w:val="008E6427"/>
    <w:rsid w:val="008E65FC"/>
    <w:rsid w:val="008E6A86"/>
    <w:rsid w:val="008E6B6F"/>
    <w:rsid w:val="008E70B4"/>
    <w:rsid w:val="008E714F"/>
    <w:rsid w:val="008E745C"/>
    <w:rsid w:val="008E7550"/>
    <w:rsid w:val="008E7585"/>
    <w:rsid w:val="008E7BDF"/>
    <w:rsid w:val="008E7D95"/>
    <w:rsid w:val="008F020E"/>
    <w:rsid w:val="008F0949"/>
    <w:rsid w:val="008F0B5B"/>
    <w:rsid w:val="008F0D4E"/>
    <w:rsid w:val="008F11F6"/>
    <w:rsid w:val="008F120A"/>
    <w:rsid w:val="008F13D3"/>
    <w:rsid w:val="008F1807"/>
    <w:rsid w:val="008F1E5C"/>
    <w:rsid w:val="008F23A9"/>
    <w:rsid w:val="008F25B1"/>
    <w:rsid w:val="008F27E0"/>
    <w:rsid w:val="008F2852"/>
    <w:rsid w:val="008F28EB"/>
    <w:rsid w:val="008F3407"/>
    <w:rsid w:val="008F35BA"/>
    <w:rsid w:val="008F374C"/>
    <w:rsid w:val="008F3AF1"/>
    <w:rsid w:val="008F3B4C"/>
    <w:rsid w:val="008F3FED"/>
    <w:rsid w:val="008F447E"/>
    <w:rsid w:val="008F4520"/>
    <w:rsid w:val="008F4880"/>
    <w:rsid w:val="008F48EB"/>
    <w:rsid w:val="008F4980"/>
    <w:rsid w:val="008F4A8A"/>
    <w:rsid w:val="008F4B0A"/>
    <w:rsid w:val="008F4BE8"/>
    <w:rsid w:val="008F4CA8"/>
    <w:rsid w:val="008F4F0B"/>
    <w:rsid w:val="008F52FC"/>
    <w:rsid w:val="008F554D"/>
    <w:rsid w:val="008F578A"/>
    <w:rsid w:val="008F5867"/>
    <w:rsid w:val="008F5A89"/>
    <w:rsid w:val="008F619F"/>
    <w:rsid w:val="008F62CA"/>
    <w:rsid w:val="008F6622"/>
    <w:rsid w:val="008F67D5"/>
    <w:rsid w:val="008F710E"/>
    <w:rsid w:val="008F7538"/>
    <w:rsid w:val="008F7652"/>
    <w:rsid w:val="008F7BC4"/>
    <w:rsid w:val="008F7E8E"/>
    <w:rsid w:val="008F7FC8"/>
    <w:rsid w:val="0090010A"/>
    <w:rsid w:val="0090040A"/>
    <w:rsid w:val="009008D3"/>
    <w:rsid w:val="0090096F"/>
    <w:rsid w:val="009009ED"/>
    <w:rsid w:val="00900BB4"/>
    <w:rsid w:val="00900C2A"/>
    <w:rsid w:val="0090125B"/>
    <w:rsid w:val="00901335"/>
    <w:rsid w:val="00901465"/>
    <w:rsid w:val="009014FC"/>
    <w:rsid w:val="009015CC"/>
    <w:rsid w:val="009019F0"/>
    <w:rsid w:val="00901DFC"/>
    <w:rsid w:val="009020C3"/>
    <w:rsid w:val="00902288"/>
    <w:rsid w:val="00902860"/>
    <w:rsid w:val="00902BF4"/>
    <w:rsid w:val="00903171"/>
    <w:rsid w:val="009032A8"/>
    <w:rsid w:val="009038BA"/>
    <w:rsid w:val="009038BF"/>
    <w:rsid w:val="00903D99"/>
    <w:rsid w:val="00903E20"/>
    <w:rsid w:val="00903E41"/>
    <w:rsid w:val="00904603"/>
    <w:rsid w:val="009046C4"/>
    <w:rsid w:val="009048FE"/>
    <w:rsid w:val="0090498D"/>
    <w:rsid w:val="00904FA9"/>
    <w:rsid w:val="0090517E"/>
    <w:rsid w:val="0090552A"/>
    <w:rsid w:val="00905B3A"/>
    <w:rsid w:val="00905E43"/>
    <w:rsid w:val="009060F3"/>
    <w:rsid w:val="009062A5"/>
    <w:rsid w:val="00906441"/>
    <w:rsid w:val="0090664A"/>
    <w:rsid w:val="0090713B"/>
    <w:rsid w:val="009072E5"/>
    <w:rsid w:val="009073AF"/>
    <w:rsid w:val="0090745F"/>
    <w:rsid w:val="00907664"/>
    <w:rsid w:val="00907699"/>
    <w:rsid w:val="00907B8C"/>
    <w:rsid w:val="0091007C"/>
    <w:rsid w:val="009102CD"/>
    <w:rsid w:val="0091031A"/>
    <w:rsid w:val="009108E5"/>
    <w:rsid w:val="00910F88"/>
    <w:rsid w:val="00910FA7"/>
    <w:rsid w:val="009110EA"/>
    <w:rsid w:val="00911272"/>
    <w:rsid w:val="00911315"/>
    <w:rsid w:val="00911339"/>
    <w:rsid w:val="00911576"/>
    <w:rsid w:val="00911C63"/>
    <w:rsid w:val="00911FFD"/>
    <w:rsid w:val="00912D4F"/>
    <w:rsid w:val="009130CA"/>
    <w:rsid w:val="009135D6"/>
    <w:rsid w:val="00913A72"/>
    <w:rsid w:val="00913A8D"/>
    <w:rsid w:val="00913E93"/>
    <w:rsid w:val="0091480A"/>
    <w:rsid w:val="00914B63"/>
    <w:rsid w:val="00914B90"/>
    <w:rsid w:val="00914C77"/>
    <w:rsid w:val="00914E5A"/>
    <w:rsid w:val="00914F5C"/>
    <w:rsid w:val="009151A1"/>
    <w:rsid w:val="00915265"/>
    <w:rsid w:val="0091575D"/>
    <w:rsid w:val="009159D8"/>
    <w:rsid w:val="00915C01"/>
    <w:rsid w:val="00915D7F"/>
    <w:rsid w:val="00916073"/>
    <w:rsid w:val="00916489"/>
    <w:rsid w:val="00916818"/>
    <w:rsid w:val="00916A73"/>
    <w:rsid w:val="00916B9B"/>
    <w:rsid w:val="00916E47"/>
    <w:rsid w:val="00917EAE"/>
    <w:rsid w:val="00917F3D"/>
    <w:rsid w:val="00920393"/>
    <w:rsid w:val="0092040D"/>
    <w:rsid w:val="00920B8E"/>
    <w:rsid w:val="00920E46"/>
    <w:rsid w:val="00920F62"/>
    <w:rsid w:val="0092168D"/>
    <w:rsid w:val="00921805"/>
    <w:rsid w:val="00921ACB"/>
    <w:rsid w:val="00921B9B"/>
    <w:rsid w:val="00921E36"/>
    <w:rsid w:val="009221C2"/>
    <w:rsid w:val="00922475"/>
    <w:rsid w:val="00922A99"/>
    <w:rsid w:val="00922E24"/>
    <w:rsid w:val="00923623"/>
    <w:rsid w:val="0092369B"/>
    <w:rsid w:val="009237EA"/>
    <w:rsid w:val="00923A8C"/>
    <w:rsid w:val="009241D0"/>
    <w:rsid w:val="009246D4"/>
    <w:rsid w:val="009249C8"/>
    <w:rsid w:val="00924CC4"/>
    <w:rsid w:val="00924FB8"/>
    <w:rsid w:val="00925061"/>
    <w:rsid w:val="00925100"/>
    <w:rsid w:val="0092531F"/>
    <w:rsid w:val="0092546D"/>
    <w:rsid w:val="0092557E"/>
    <w:rsid w:val="00925A13"/>
    <w:rsid w:val="00925D32"/>
    <w:rsid w:val="00925FDE"/>
    <w:rsid w:val="00926203"/>
    <w:rsid w:val="009264A9"/>
    <w:rsid w:val="009269CD"/>
    <w:rsid w:val="00926A9F"/>
    <w:rsid w:val="00926AC0"/>
    <w:rsid w:val="00926C98"/>
    <w:rsid w:val="0092710A"/>
    <w:rsid w:val="00927320"/>
    <w:rsid w:val="00927804"/>
    <w:rsid w:val="00927B97"/>
    <w:rsid w:val="009302D8"/>
    <w:rsid w:val="0093094D"/>
    <w:rsid w:val="0093145B"/>
    <w:rsid w:val="009316AF"/>
    <w:rsid w:val="00931C71"/>
    <w:rsid w:val="00931D1A"/>
    <w:rsid w:val="00931EE4"/>
    <w:rsid w:val="00931F7E"/>
    <w:rsid w:val="00932448"/>
    <w:rsid w:val="00932715"/>
    <w:rsid w:val="00932A5A"/>
    <w:rsid w:val="00932A8F"/>
    <w:rsid w:val="00932D52"/>
    <w:rsid w:val="00933236"/>
    <w:rsid w:val="00933489"/>
    <w:rsid w:val="00933764"/>
    <w:rsid w:val="0093385E"/>
    <w:rsid w:val="00933931"/>
    <w:rsid w:val="0093397C"/>
    <w:rsid w:val="009339CB"/>
    <w:rsid w:val="00934222"/>
    <w:rsid w:val="0093479C"/>
    <w:rsid w:val="009347E2"/>
    <w:rsid w:val="00934988"/>
    <w:rsid w:val="00934A03"/>
    <w:rsid w:val="00934A70"/>
    <w:rsid w:val="00934AF5"/>
    <w:rsid w:val="00934B3D"/>
    <w:rsid w:val="00934E39"/>
    <w:rsid w:val="00935560"/>
    <w:rsid w:val="00935734"/>
    <w:rsid w:val="00935766"/>
    <w:rsid w:val="00935828"/>
    <w:rsid w:val="00935861"/>
    <w:rsid w:val="00935986"/>
    <w:rsid w:val="00935A0D"/>
    <w:rsid w:val="00935C15"/>
    <w:rsid w:val="00935EEA"/>
    <w:rsid w:val="00936461"/>
    <w:rsid w:val="009366C1"/>
    <w:rsid w:val="009366EE"/>
    <w:rsid w:val="009369F6"/>
    <w:rsid w:val="00936CE5"/>
    <w:rsid w:val="00936D31"/>
    <w:rsid w:val="00937089"/>
    <w:rsid w:val="0093730F"/>
    <w:rsid w:val="00937550"/>
    <w:rsid w:val="0093770F"/>
    <w:rsid w:val="00937D3B"/>
    <w:rsid w:val="00937F8E"/>
    <w:rsid w:val="009403FE"/>
    <w:rsid w:val="00940961"/>
    <w:rsid w:val="00940A72"/>
    <w:rsid w:val="00940AC3"/>
    <w:rsid w:val="00940DAE"/>
    <w:rsid w:val="00941453"/>
    <w:rsid w:val="0094145E"/>
    <w:rsid w:val="00941737"/>
    <w:rsid w:val="009417A8"/>
    <w:rsid w:val="00941E3D"/>
    <w:rsid w:val="0094237F"/>
    <w:rsid w:val="00942654"/>
    <w:rsid w:val="00942CA1"/>
    <w:rsid w:val="00942D47"/>
    <w:rsid w:val="009432C0"/>
    <w:rsid w:val="0094333E"/>
    <w:rsid w:val="00943999"/>
    <w:rsid w:val="00943A9B"/>
    <w:rsid w:val="00943ACE"/>
    <w:rsid w:val="00944254"/>
    <w:rsid w:val="009443CD"/>
    <w:rsid w:val="00944637"/>
    <w:rsid w:val="00944793"/>
    <w:rsid w:val="00944A63"/>
    <w:rsid w:val="00944BA9"/>
    <w:rsid w:val="00944D44"/>
    <w:rsid w:val="00944EDF"/>
    <w:rsid w:val="00944F8A"/>
    <w:rsid w:val="0094517E"/>
    <w:rsid w:val="009451AE"/>
    <w:rsid w:val="00945399"/>
    <w:rsid w:val="00945873"/>
    <w:rsid w:val="00945C8E"/>
    <w:rsid w:val="00945DB9"/>
    <w:rsid w:val="00945E90"/>
    <w:rsid w:val="0094605C"/>
    <w:rsid w:val="0094625C"/>
    <w:rsid w:val="00946477"/>
    <w:rsid w:val="0094650E"/>
    <w:rsid w:val="009465B6"/>
    <w:rsid w:val="0094697E"/>
    <w:rsid w:val="00946A5F"/>
    <w:rsid w:val="00946AF1"/>
    <w:rsid w:val="00946E63"/>
    <w:rsid w:val="00946F00"/>
    <w:rsid w:val="00947359"/>
    <w:rsid w:val="0094757C"/>
    <w:rsid w:val="00947BED"/>
    <w:rsid w:val="00947DFC"/>
    <w:rsid w:val="00947E25"/>
    <w:rsid w:val="0095031A"/>
    <w:rsid w:val="00950363"/>
    <w:rsid w:val="009505F7"/>
    <w:rsid w:val="00950987"/>
    <w:rsid w:val="009509B2"/>
    <w:rsid w:val="00950DCF"/>
    <w:rsid w:val="00950DEB"/>
    <w:rsid w:val="00950FDB"/>
    <w:rsid w:val="009510A2"/>
    <w:rsid w:val="00951499"/>
    <w:rsid w:val="0095166E"/>
    <w:rsid w:val="009517BE"/>
    <w:rsid w:val="00951AAD"/>
    <w:rsid w:val="00951AB3"/>
    <w:rsid w:val="00951AC1"/>
    <w:rsid w:val="009521FC"/>
    <w:rsid w:val="00952675"/>
    <w:rsid w:val="00952726"/>
    <w:rsid w:val="00952954"/>
    <w:rsid w:val="00952C4C"/>
    <w:rsid w:val="00952D9E"/>
    <w:rsid w:val="00953257"/>
    <w:rsid w:val="0095325A"/>
    <w:rsid w:val="00953271"/>
    <w:rsid w:val="009532F2"/>
    <w:rsid w:val="0095383D"/>
    <w:rsid w:val="00953C79"/>
    <w:rsid w:val="0095424E"/>
    <w:rsid w:val="00954403"/>
    <w:rsid w:val="00954435"/>
    <w:rsid w:val="00954581"/>
    <w:rsid w:val="009545F3"/>
    <w:rsid w:val="0095474C"/>
    <w:rsid w:val="00954911"/>
    <w:rsid w:val="00954C10"/>
    <w:rsid w:val="00954D5C"/>
    <w:rsid w:val="0095513C"/>
    <w:rsid w:val="009551AD"/>
    <w:rsid w:val="009552BB"/>
    <w:rsid w:val="00956003"/>
    <w:rsid w:val="00956409"/>
    <w:rsid w:val="009566D1"/>
    <w:rsid w:val="00956937"/>
    <w:rsid w:val="00956AB5"/>
    <w:rsid w:val="00956E75"/>
    <w:rsid w:val="00957119"/>
    <w:rsid w:val="00957305"/>
    <w:rsid w:val="00957449"/>
    <w:rsid w:val="009577E7"/>
    <w:rsid w:val="00957CB9"/>
    <w:rsid w:val="00957D92"/>
    <w:rsid w:val="00957FBF"/>
    <w:rsid w:val="009600B7"/>
    <w:rsid w:val="00960100"/>
    <w:rsid w:val="009601ED"/>
    <w:rsid w:val="0096056A"/>
    <w:rsid w:val="00960810"/>
    <w:rsid w:val="0096141E"/>
    <w:rsid w:val="0096160E"/>
    <w:rsid w:val="009618D0"/>
    <w:rsid w:val="00961D4E"/>
    <w:rsid w:val="0096223E"/>
    <w:rsid w:val="009624E9"/>
    <w:rsid w:val="00962532"/>
    <w:rsid w:val="00962A19"/>
    <w:rsid w:val="00962CB9"/>
    <w:rsid w:val="00962D6A"/>
    <w:rsid w:val="00962D9D"/>
    <w:rsid w:val="00962DA5"/>
    <w:rsid w:val="00962E61"/>
    <w:rsid w:val="00963381"/>
    <w:rsid w:val="009635F5"/>
    <w:rsid w:val="00963969"/>
    <w:rsid w:val="00963A6F"/>
    <w:rsid w:val="00963A9C"/>
    <w:rsid w:val="00963E57"/>
    <w:rsid w:val="00963E8D"/>
    <w:rsid w:val="00963F10"/>
    <w:rsid w:val="00964312"/>
    <w:rsid w:val="00964451"/>
    <w:rsid w:val="009646AB"/>
    <w:rsid w:val="009646C8"/>
    <w:rsid w:val="009648C4"/>
    <w:rsid w:val="00964E16"/>
    <w:rsid w:val="0096503D"/>
    <w:rsid w:val="009654F9"/>
    <w:rsid w:val="009659A0"/>
    <w:rsid w:val="00965B8A"/>
    <w:rsid w:val="009663B9"/>
    <w:rsid w:val="0096684E"/>
    <w:rsid w:val="00966A0A"/>
    <w:rsid w:val="00966FC8"/>
    <w:rsid w:val="0096733C"/>
    <w:rsid w:val="0096780A"/>
    <w:rsid w:val="009679BA"/>
    <w:rsid w:val="00967F92"/>
    <w:rsid w:val="00967FA0"/>
    <w:rsid w:val="0097071F"/>
    <w:rsid w:val="00970A14"/>
    <w:rsid w:val="009715D8"/>
    <w:rsid w:val="009717AC"/>
    <w:rsid w:val="00972793"/>
    <w:rsid w:val="009728AA"/>
    <w:rsid w:val="00972AF8"/>
    <w:rsid w:val="00972EBB"/>
    <w:rsid w:val="00973067"/>
    <w:rsid w:val="009739FD"/>
    <w:rsid w:val="00973E28"/>
    <w:rsid w:val="00973F35"/>
    <w:rsid w:val="00973F36"/>
    <w:rsid w:val="00974053"/>
    <w:rsid w:val="00974961"/>
    <w:rsid w:val="00974DD1"/>
    <w:rsid w:val="009751C1"/>
    <w:rsid w:val="00975884"/>
    <w:rsid w:val="009759E4"/>
    <w:rsid w:val="00975A70"/>
    <w:rsid w:val="00975AFF"/>
    <w:rsid w:val="00975E1C"/>
    <w:rsid w:val="00976170"/>
    <w:rsid w:val="0097637D"/>
    <w:rsid w:val="009769B0"/>
    <w:rsid w:val="00976A7D"/>
    <w:rsid w:val="00976BA5"/>
    <w:rsid w:val="00976D7B"/>
    <w:rsid w:val="009770F3"/>
    <w:rsid w:val="009778F2"/>
    <w:rsid w:val="00977A27"/>
    <w:rsid w:val="00977C26"/>
    <w:rsid w:val="00977E9E"/>
    <w:rsid w:val="009801D7"/>
    <w:rsid w:val="009803D3"/>
    <w:rsid w:val="00980883"/>
    <w:rsid w:val="00980FC6"/>
    <w:rsid w:val="009811F1"/>
    <w:rsid w:val="009817CE"/>
    <w:rsid w:val="009818F3"/>
    <w:rsid w:val="00981B80"/>
    <w:rsid w:val="00981BCB"/>
    <w:rsid w:val="00981C32"/>
    <w:rsid w:val="00981D48"/>
    <w:rsid w:val="00982427"/>
    <w:rsid w:val="0098262F"/>
    <w:rsid w:val="00982CAF"/>
    <w:rsid w:val="00982CDB"/>
    <w:rsid w:val="00983622"/>
    <w:rsid w:val="00983871"/>
    <w:rsid w:val="00983D92"/>
    <w:rsid w:val="00983DE7"/>
    <w:rsid w:val="00983E57"/>
    <w:rsid w:val="00984008"/>
    <w:rsid w:val="00984829"/>
    <w:rsid w:val="00984837"/>
    <w:rsid w:val="00984B93"/>
    <w:rsid w:val="009858B6"/>
    <w:rsid w:val="00985A29"/>
    <w:rsid w:val="00985DE2"/>
    <w:rsid w:val="00985ED0"/>
    <w:rsid w:val="0098646B"/>
    <w:rsid w:val="0098648D"/>
    <w:rsid w:val="0098653A"/>
    <w:rsid w:val="00986635"/>
    <w:rsid w:val="0098675D"/>
    <w:rsid w:val="0098676D"/>
    <w:rsid w:val="00986BF2"/>
    <w:rsid w:val="00986F42"/>
    <w:rsid w:val="009871A0"/>
    <w:rsid w:val="009872AC"/>
    <w:rsid w:val="00987A94"/>
    <w:rsid w:val="00987BA4"/>
    <w:rsid w:val="00990136"/>
    <w:rsid w:val="00990255"/>
    <w:rsid w:val="00990A88"/>
    <w:rsid w:val="00990B8F"/>
    <w:rsid w:val="00990C26"/>
    <w:rsid w:val="00990D97"/>
    <w:rsid w:val="00990F10"/>
    <w:rsid w:val="00990F6C"/>
    <w:rsid w:val="00991141"/>
    <w:rsid w:val="009912FF"/>
    <w:rsid w:val="009915E3"/>
    <w:rsid w:val="0099174D"/>
    <w:rsid w:val="0099186B"/>
    <w:rsid w:val="009919E6"/>
    <w:rsid w:val="00991B1A"/>
    <w:rsid w:val="00991C5A"/>
    <w:rsid w:val="00991D30"/>
    <w:rsid w:val="0099201A"/>
    <w:rsid w:val="00992214"/>
    <w:rsid w:val="009923F8"/>
    <w:rsid w:val="00992446"/>
    <w:rsid w:val="009924D8"/>
    <w:rsid w:val="009926E0"/>
    <w:rsid w:val="00992B44"/>
    <w:rsid w:val="009932F1"/>
    <w:rsid w:val="009937E2"/>
    <w:rsid w:val="00993F6C"/>
    <w:rsid w:val="0099438D"/>
    <w:rsid w:val="0099451E"/>
    <w:rsid w:val="00994603"/>
    <w:rsid w:val="00995B36"/>
    <w:rsid w:val="00995C8C"/>
    <w:rsid w:val="00995F9C"/>
    <w:rsid w:val="00996085"/>
    <w:rsid w:val="009964FD"/>
    <w:rsid w:val="00996567"/>
    <w:rsid w:val="00996883"/>
    <w:rsid w:val="00996A89"/>
    <w:rsid w:val="00996B1A"/>
    <w:rsid w:val="00996DB9"/>
    <w:rsid w:val="009971D4"/>
    <w:rsid w:val="0099790D"/>
    <w:rsid w:val="00997E79"/>
    <w:rsid w:val="009A02CF"/>
    <w:rsid w:val="009A0841"/>
    <w:rsid w:val="009A0BB0"/>
    <w:rsid w:val="009A0EF7"/>
    <w:rsid w:val="009A1593"/>
    <w:rsid w:val="009A166D"/>
    <w:rsid w:val="009A18F6"/>
    <w:rsid w:val="009A1969"/>
    <w:rsid w:val="009A2162"/>
    <w:rsid w:val="009A2176"/>
    <w:rsid w:val="009A2527"/>
    <w:rsid w:val="009A257C"/>
    <w:rsid w:val="009A297D"/>
    <w:rsid w:val="009A2A1D"/>
    <w:rsid w:val="009A2DCC"/>
    <w:rsid w:val="009A331C"/>
    <w:rsid w:val="009A370A"/>
    <w:rsid w:val="009A3D24"/>
    <w:rsid w:val="009A3F01"/>
    <w:rsid w:val="009A400D"/>
    <w:rsid w:val="009A4390"/>
    <w:rsid w:val="009A453A"/>
    <w:rsid w:val="009A475A"/>
    <w:rsid w:val="009A4DC2"/>
    <w:rsid w:val="009A5070"/>
    <w:rsid w:val="009A5427"/>
    <w:rsid w:val="009A566C"/>
    <w:rsid w:val="009A56EA"/>
    <w:rsid w:val="009A58F9"/>
    <w:rsid w:val="009A591A"/>
    <w:rsid w:val="009A591B"/>
    <w:rsid w:val="009A5ABC"/>
    <w:rsid w:val="009A5BBB"/>
    <w:rsid w:val="009A7069"/>
    <w:rsid w:val="009A74AC"/>
    <w:rsid w:val="009A7908"/>
    <w:rsid w:val="009A7A19"/>
    <w:rsid w:val="009A7B03"/>
    <w:rsid w:val="009A7B86"/>
    <w:rsid w:val="009A7F10"/>
    <w:rsid w:val="009A7F31"/>
    <w:rsid w:val="009B046F"/>
    <w:rsid w:val="009B0B92"/>
    <w:rsid w:val="009B10EF"/>
    <w:rsid w:val="009B14A1"/>
    <w:rsid w:val="009B1A6E"/>
    <w:rsid w:val="009B1DC3"/>
    <w:rsid w:val="009B1DDE"/>
    <w:rsid w:val="009B2A3C"/>
    <w:rsid w:val="009B3029"/>
    <w:rsid w:val="009B3186"/>
    <w:rsid w:val="009B35D9"/>
    <w:rsid w:val="009B3ABF"/>
    <w:rsid w:val="009B3C92"/>
    <w:rsid w:val="009B3D3C"/>
    <w:rsid w:val="009B3E26"/>
    <w:rsid w:val="009B476D"/>
    <w:rsid w:val="009B4967"/>
    <w:rsid w:val="009B4E01"/>
    <w:rsid w:val="009B519A"/>
    <w:rsid w:val="009B56C9"/>
    <w:rsid w:val="009B60C4"/>
    <w:rsid w:val="009B61F3"/>
    <w:rsid w:val="009B6612"/>
    <w:rsid w:val="009B6889"/>
    <w:rsid w:val="009B6A0B"/>
    <w:rsid w:val="009B7640"/>
    <w:rsid w:val="009B77C3"/>
    <w:rsid w:val="009B7A5B"/>
    <w:rsid w:val="009B7C7A"/>
    <w:rsid w:val="009B7CB0"/>
    <w:rsid w:val="009C02D3"/>
    <w:rsid w:val="009C0887"/>
    <w:rsid w:val="009C0923"/>
    <w:rsid w:val="009C0F40"/>
    <w:rsid w:val="009C0F99"/>
    <w:rsid w:val="009C1092"/>
    <w:rsid w:val="009C10FD"/>
    <w:rsid w:val="009C1271"/>
    <w:rsid w:val="009C12F6"/>
    <w:rsid w:val="009C15C7"/>
    <w:rsid w:val="009C1A0E"/>
    <w:rsid w:val="009C21B9"/>
    <w:rsid w:val="009C21D7"/>
    <w:rsid w:val="009C2389"/>
    <w:rsid w:val="009C24D6"/>
    <w:rsid w:val="009C29E9"/>
    <w:rsid w:val="009C2AEF"/>
    <w:rsid w:val="009C3225"/>
    <w:rsid w:val="009C3706"/>
    <w:rsid w:val="009C37B3"/>
    <w:rsid w:val="009C384C"/>
    <w:rsid w:val="009C3923"/>
    <w:rsid w:val="009C3A3A"/>
    <w:rsid w:val="009C3AF9"/>
    <w:rsid w:val="009C3B2B"/>
    <w:rsid w:val="009C3BC6"/>
    <w:rsid w:val="009C3C8C"/>
    <w:rsid w:val="009C3ED9"/>
    <w:rsid w:val="009C3FA9"/>
    <w:rsid w:val="009C426B"/>
    <w:rsid w:val="009C4411"/>
    <w:rsid w:val="009C4758"/>
    <w:rsid w:val="009C49AC"/>
    <w:rsid w:val="009C50B5"/>
    <w:rsid w:val="009C5115"/>
    <w:rsid w:val="009C5277"/>
    <w:rsid w:val="009C5664"/>
    <w:rsid w:val="009C594E"/>
    <w:rsid w:val="009C5C20"/>
    <w:rsid w:val="009C5C7D"/>
    <w:rsid w:val="009C5E8D"/>
    <w:rsid w:val="009C610D"/>
    <w:rsid w:val="009C61E4"/>
    <w:rsid w:val="009C6564"/>
    <w:rsid w:val="009C6939"/>
    <w:rsid w:val="009C6A3F"/>
    <w:rsid w:val="009C6B91"/>
    <w:rsid w:val="009C6C6C"/>
    <w:rsid w:val="009C6CEA"/>
    <w:rsid w:val="009C7374"/>
    <w:rsid w:val="009C767B"/>
    <w:rsid w:val="009C786C"/>
    <w:rsid w:val="009C78E5"/>
    <w:rsid w:val="009C7B85"/>
    <w:rsid w:val="009C7DCB"/>
    <w:rsid w:val="009C7E95"/>
    <w:rsid w:val="009D00F4"/>
    <w:rsid w:val="009D0254"/>
    <w:rsid w:val="009D0821"/>
    <w:rsid w:val="009D0910"/>
    <w:rsid w:val="009D0940"/>
    <w:rsid w:val="009D0944"/>
    <w:rsid w:val="009D0C81"/>
    <w:rsid w:val="009D0F68"/>
    <w:rsid w:val="009D0F92"/>
    <w:rsid w:val="009D1665"/>
    <w:rsid w:val="009D1A47"/>
    <w:rsid w:val="009D1A64"/>
    <w:rsid w:val="009D1AF3"/>
    <w:rsid w:val="009D2017"/>
    <w:rsid w:val="009D20C4"/>
    <w:rsid w:val="009D20F7"/>
    <w:rsid w:val="009D2415"/>
    <w:rsid w:val="009D26D1"/>
    <w:rsid w:val="009D289D"/>
    <w:rsid w:val="009D2BE4"/>
    <w:rsid w:val="009D2D3C"/>
    <w:rsid w:val="009D3045"/>
    <w:rsid w:val="009D3578"/>
    <w:rsid w:val="009D3D27"/>
    <w:rsid w:val="009D4086"/>
    <w:rsid w:val="009D4155"/>
    <w:rsid w:val="009D4703"/>
    <w:rsid w:val="009D48CD"/>
    <w:rsid w:val="009D4941"/>
    <w:rsid w:val="009D4945"/>
    <w:rsid w:val="009D4AA2"/>
    <w:rsid w:val="009D4DB8"/>
    <w:rsid w:val="009D4F2D"/>
    <w:rsid w:val="009D4F61"/>
    <w:rsid w:val="009D4F73"/>
    <w:rsid w:val="009D51ED"/>
    <w:rsid w:val="009D54EB"/>
    <w:rsid w:val="009D5B91"/>
    <w:rsid w:val="009D6020"/>
    <w:rsid w:val="009D621C"/>
    <w:rsid w:val="009D65DE"/>
    <w:rsid w:val="009D6B1C"/>
    <w:rsid w:val="009D6E0F"/>
    <w:rsid w:val="009D6E31"/>
    <w:rsid w:val="009D71F4"/>
    <w:rsid w:val="009D7586"/>
    <w:rsid w:val="009D792E"/>
    <w:rsid w:val="009D7B01"/>
    <w:rsid w:val="009D7CB7"/>
    <w:rsid w:val="009E0019"/>
    <w:rsid w:val="009E06BA"/>
    <w:rsid w:val="009E0A76"/>
    <w:rsid w:val="009E0CB3"/>
    <w:rsid w:val="009E0DFE"/>
    <w:rsid w:val="009E0E9F"/>
    <w:rsid w:val="009E0FA0"/>
    <w:rsid w:val="009E119F"/>
    <w:rsid w:val="009E14E2"/>
    <w:rsid w:val="009E1B30"/>
    <w:rsid w:val="009E220E"/>
    <w:rsid w:val="009E2451"/>
    <w:rsid w:val="009E296E"/>
    <w:rsid w:val="009E2B5F"/>
    <w:rsid w:val="009E317E"/>
    <w:rsid w:val="009E31F6"/>
    <w:rsid w:val="009E3524"/>
    <w:rsid w:val="009E36FC"/>
    <w:rsid w:val="009E3E4C"/>
    <w:rsid w:val="009E44A8"/>
    <w:rsid w:val="009E48AA"/>
    <w:rsid w:val="009E4C07"/>
    <w:rsid w:val="009E4C55"/>
    <w:rsid w:val="009E4E9E"/>
    <w:rsid w:val="009E5083"/>
    <w:rsid w:val="009E50FB"/>
    <w:rsid w:val="009E5414"/>
    <w:rsid w:val="009E57EA"/>
    <w:rsid w:val="009E6070"/>
    <w:rsid w:val="009E607C"/>
    <w:rsid w:val="009E6093"/>
    <w:rsid w:val="009E643F"/>
    <w:rsid w:val="009E66B8"/>
    <w:rsid w:val="009E6A5A"/>
    <w:rsid w:val="009E6B8A"/>
    <w:rsid w:val="009E6BDD"/>
    <w:rsid w:val="009E701F"/>
    <w:rsid w:val="009E756F"/>
    <w:rsid w:val="009E777F"/>
    <w:rsid w:val="009E7846"/>
    <w:rsid w:val="009E7952"/>
    <w:rsid w:val="009F0449"/>
    <w:rsid w:val="009F06D8"/>
    <w:rsid w:val="009F074C"/>
    <w:rsid w:val="009F0A00"/>
    <w:rsid w:val="009F0B45"/>
    <w:rsid w:val="009F0DE8"/>
    <w:rsid w:val="009F1122"/>
    <w:rsid w:val="009F1218"/>
    <w:rsid w:val="009F16A4"/>
    <w:rsid w:val="009F18FD"/>
    <w:rsid w:val="009F1F30"/>
    <w:rsid w:val="009F1F5D"/>
    <w:rsid w:val="009F21C6"/>
    <w:rsid w:val="009F251E"/>
    <w:rsid w:val="009F2655"/>
    <w:rsid w:val="009F26F1"/>
    <w:rsid w:val="009F27FD"/>
    <w:rsid w:val="009F2ABE"/>
    <w:rsid w:val="009F3426"/>
    <w:rsid w:val="009F354C"/>
    <w:rsid w:val="009F3AE9"/>
    <w:rsid w:val="009F3FC2"/>
    <w:rsid w:val="009F4782"/>
    <w:rsid w:val="009F5013"/>
    <w:rsid w:val="009F50A8"/>
    <w:rsid w:val="009F521D"/>
    <w:rsid w:val="009F57B4"/>
    <w:rsid w:val="009F5892"/>
    <w:rsid w:val="009F58EE"/>
    <w:rsid w:val="009F5939"/>
    <w:rsid w:val="009F5AC3"/>
    <w:rsid w:val="009F5DD1"/>
    <w:rsid w:val="009F6120"/>
    <w:rsid w:val="009F6153"/>
    <w:rsid w:val="009F623F"/>
    <w:rsid w:val="009F63DA"/>
    <w:rsid w:val="009F64E7"/>
    <w:rsid w:val="009F68C9"/>
    <w:rsid w:val="009F7899"/>
    <w:rsid w:val="009F7A72"/>
    <w:rsid w:val="009F7AC6"/>
    <w:rsid w:val="009F7AD7"/>
    <w:rsid w:val="009F7C0E"/>
    <w:rsid w:val="009F7DD2"/>
    <w:rsid w:val="009F7FF9"/>
    <w:rsid w:val="00A001F3"/>
    <w:rsid w:val="00A003E3"/>
    <w:rsid w:val="00A00595"/>
    <w:rsid w:val="00A00A5E"/>
    <w:rsid w:val="00A00C6B"/>
    <w:rsid w:val="00A00D76"/>
    <w:rsid w:val="00A01174"/>
    <w:rsid w:val="00A01184"/>
    <w:rsid w:val="00A01434"/>
    <w:rsid w:val="00A01449"/>
    <w:rsid w:val="00A01699"/>
    <w:rsid w:val="00A017CE"/>
    <w:rsid w:val="00A01800"/>
    <w:rsid w:val="00A01890"/>
    <w:rsid w:val="00A019BC"/>
    <w:rsid w:val="00A01CC2"/>
    <w:rsid w:val="00A01D80"/>
    <w:rsid w:val="00A02A22"/>
    <w:rsid w:val="00A02CC6"/>
    <w:rsid w:val="00A02DFA"/>
    <w:rsid w:val="00A03169"/>
    <w:rsid w:val="00A037C2"/>
    <w:rsid w:val="00A038B8"/>
    <w:rsid w:val="00A0397F"/>
    <w:rsid w:val="00A03B26"/>
    <w:rsid w:val="00A03CC5"/>
    <w:rsid w:val="00A03D43"/>
    <w:rsid w:val="00A041E8"/>
    <w:rsid w:val="00A04380"/>
    <w:rsid w:val="00A043A1"/>
    <w:rsid w:val="00A043CA"/>
    <w:rsid w:val="00A04469"/>
    <w:rsid w:val="00A045DE"/>
    <w:rsid w:val="00A04786"/>
    <w:rsid w:val="00A05472"/>
    <w:rsid w:val="00A055A2"/>
    <w:rsid w:val="00A055D2"/>
    <w:rsid w:val="00A05604"/>
    <w:rsid w:val="00A05C32"/>
    <w:rsid w:val="00A05CF9"/>
    <w:rsid w:val="00A05D93"/>
    <w:rsid w:val="00A05E61"/>
    <w:rsid w:val="00A05E9D"/>
    <w:rsid w:val="00A05EBE"/>
    <w:rsid w:val="00A05FF7"/>
    <w:rsid w:val="00A0653F"/>
    <w:rsid w:val="00A068FA"/>
    <w:rsid w:val="00A06ABA"/>
    <w:rsid w:val="00A06B26"/>
    <w:rsid w:val="00A06E87"/>
    <w:rsid w:val="00A07293"/>
    <w:rsid w:val="00A0737E"/>
    <w:rsid w:val="00A07412"/>
    <w:rsid w:val="00A07C39"/>
    <w:rsid w:val="00A07F0F"/>
    <w:rsid w:val="00A07F5D"/>
    <w:rsid w:val="00A10499"/>
    <w:rsid w:val="00A1061C"/>
    <w:rsid w:val="00A1075C"/>
    <w:rsid w:val="00A111B4"/>
    <w:rsid w:val="00A1124A"/>
    <w:rsid w:val="00A113D8"/>
    <w:rsid w:val="00A113F4"/>
    <w:rsid w:val="00A11929"/>
    <w:rsid w:val="00A11B73"/>
    <w:rsid w:val="00A11CD0"/>
    <w:rsid w:val="00A11E9F"/>
    <w:rsid w:val="00A125E6"/>
    <w:rsid w:val="00A12796"/>
    <w:rsid w:val="00A13042"/>
    <w:rsid w:val="00A13948"/>
    <w:rsid w:val="00A13C6B"/>
    <w:rsid w:val="00A13D42"/>
    <w:rsid w:val="00A13DAF"/>
    <w:rsid w:val="00A13EE2"/>
    <w:rsid w:val="00A14143"/>
    <w:rsid w:val="00A144CC"/>
    <w:rsid w:val="00A144CD"/>
    <w:rsid w:val="00A1555B"/>
    <w:rsid w:val="00A155C5"/>
    <w:rsid w:val="00A15CB3"/>
    <w:rsid w:val="00A15FB0"/>
    <w:rsid w:val="00A1613B"/>
    <w:rsid w:val="00A1617B"/>
    <w:rsid w:val="00A16209"/>
    <w:rsid w:val="00A1632C"/>
    <w:rsid w:val="00A164C5"/>
    <w:rsid w:val="00A16AD8"/>
    <w:rsid w:val="00A16C4D"/>
    <w:rsid w:val="00A16ED4"/>
    <w:rsid w:val="00A1705B"/>
    <w:rsid w:val="00A171B5"/>
    <w:rsid w:val="00A17286"/>
    <w:rsid w:val="00A17518"/>
    <w:rsid w:val="00A177C5"/>
    <w:rsid w:val="00A17DC2"/>
    <w:rsid w:val="00A17EC0"/>
    <w:rsid w:val="00A201C3"/>
    <w:rsid w:val="00A2021E"/>
    <w:rsid w:val="00A2026E"/>
    <w:rsid w:val="00A203EF"/>
    <w:rsid w:val="00A20445"/>
    <w:rsid w:val="00A20583"/>
    <w:rsid w:val="00A20875"/>
    <w:rsid w:val="00A2090C"/>
    <w:rsid w:val="00A20BE0"/>
    <w:rsid w:val="00A21675"/>
    <w:rsid w:val="00A216D4"/>
    <w:rsid w:val="00A2181C"/>
    <w:rsid w:val="00A219E8"/>
    <w:rsid w:val="00A21C95"/>
    <w:rsid w:val="00A21CF3"/>
    <w:rsid w:val="00A21E41"/>
    <w:rsid w:val="00A22280"/>
    <w:rsid w:val="00A224FF"/>
    <w:rsid w:val="00A2276B"/>
    <w:rsid w:val="00A229B5"/>
    <w:rsid w:val="00A22D4D"/>
    <w:rsid w:val="00A22E2C"/>
    <w:rsid w:val="00A22EB3"/>
    <w:rsid w:val="00A2306C"/>
    <w:rsid w:val="00A23156"/>
    <w:rsid w:val="00A2330D"/>
    <w:rsid w:val="00A23344"/>
    <w:rsid w:val="00A2340B"/>
    <w:rsid w:val="00A2340C"/>
    <w:rsid w:val="00A240F2"/>
    <w:rsid w:val="00A24521"/>
    <w:rsid w:val="00A24813"/>
    <w:rsid w:val="00A2487A"/>
    <w:rsid w:val="00A2496F"/>
    <w:rsid w:val="00A24B28"/>
    <w:rsid w:val="00A24B6E"/>
    <w:rsid w:val="00A24DC0"/>
    <w:rsid w:val="00A24E06"/>
    <w:rsid w:val="00A25050"/>
    <w:rsid w:val="00A253C3"/>
    <w:rsid w:val="00A25618"/>
    <w:rsid w:val="00A25910"/>
    <w:rsid w:val="00A25961"/>
    <w:rsid w:val="00A25AA4"/>
    <w:rsid w:val="00A25FBD"/>
    <w:rsid w:val="00A26091"/>
    <w:rsid w:val="00A2610A"/>
    <w:rsid w:val="00A27217"/>
    <w:rsid w:val="00A27AEC"/>
    <w:rsid w:val="00A27BCD"/>
    <w:rsid w:val="00A27C12"/>
    <w:rsid w:val="00A309CC"/>
    <w:rsid w:val="00A30B7A"/>
    <w:rsid w:val="00A30C45"/>
    <w:rsid w:val="00A310F7"/>
    <w:rsid w:val="00A313E6"/>
    <w:rsid w:val="00A31500"/>
    <w:rsid w:val="00A3154F"/>
    <w:rsid w:val="00A318D6"/>
    <w:rsid w:val="00A31AA2"/>
    <w:rsid w:val="00A31FCF"/>
    <w:rsid w:val="00A320DB"/>
    <w:rsid w:val="00A32269"/>
    <w:rsid w:val="00A327F5"/>
    <w:rsid w:val="00A3287E"/>
    <w:rsid w:val="00A328E4"/>
    <w:rsid w:val="00A32BE0"/>
    <w:rsid w:val="00A32F51"/>
    <w:rsid w:val="00A332EC"/>
    <w:rsid w:val="00A33427"/>
    <w:rsid w:val="00A334E0"/>
    <w:rsid w:val="00A33587"/>
    <w:rsid w:val="00A335EF"/>
    <w:rsid w:val="00A33612"/>
    <w:rsid w:val="00A336D3"/>
    <w:rsid w:val="00A3370D"/>
    <w:rsid w:val="00A33A04"/>
    <w:rsid w:val="00A33C5C"/>
    <w:rsid w:val="00A34063"/>
    <w:rsid w:val="00A34571"/>
    <w:rsid w:val="00A3498C"/>
    <w:rsid w:val="00A34D2F"/>
    <w:rsid w:val="00A34DDB"/>
    <w:rsid w:val="00A35573"/>
    <w:rsid w:val="00A35971"/>
    <w:rsid w:val="00A35D16"/>
    <w:rsid w:val="00A3613B"/>
    <w:rsid w:val="00A362AB"/>
    <w:rsid w:val="00A3678A"/>
    <w:rsid w:val="00A369A3"/>
    <w:rsid w:val="00A369AA"/>
    <w:rsid w:val="00A369B5"/>
    <w:rsid w:val="00A36B07"/>
    <w:rsid w:val="00A36FDE"/>
    <w:rsid w:val="00A37094"/>
    <w:rsid w:val="00A3765F"/>
    <w:rsid w:val="00A3792C"/>
    <w:rsid w:val="00A37A71"/>
    <w:rsid w:val="00A37BCD"/>
    <w:rsid w:val="00A37BEB"/>
    <w:rsid w:val="00A37C2F"/>
    <w:rsid w:val="00A404AA"/>
    <w:rsid w:val="00A40687"/>
    <w:rsid w:val="00A4098A"/>
    <w:rsid w:val="00A411F4"/>
    <w:rsid w:val="00A41689"/>
    <w:rsid w:val="00A41CE9"/>
    <w:rsid w:val="00A41E1F"/>
    <w:rsid w:val="00A41F5A"/>
    <w:rsid w:val="00A42097"/>
    <w:rsid w:val="00A42592"/>
    <w:rsid w:val="00A425F5"/>
    <w:rsid w:val="00A426CA"/>
    <w:rsid w:val="00A42917"/>
    <w:rsid w:val="00A429DC"/>
    <w:rsid w:val="00A42C35"/>
    <w:rsid w:val="00A42DF5"/>
    <w:rsid w:val="00A4345D"/>
    <w:rsid w:val="00A43A25"/>
    <w:rsid w:val="00A43C59"/>
    <w:rsid w:val="00A43DBC"/>
    <w:rsid w:val="00A44670"/>
    <w:rsid w:val="00A44750"/>
    <w:rsid w:val="00A44D8F"/>
    <w:rsid w:val="00A4527E"/>
    <w:rsid w:val="00A4540E"/>
    <w:rsid w:val="00A45754"/>
    <w:rsid w:val="00A45EB5"/>
    <w:rsid w:val="00A4605C"/>
    <w:rsid w:val="00A461B1"/>
    <w:rsid w:val="00A4621F"/>
    <w:rsid w:val="00A46519"/>
    <w:rsid w:val="00A46B44"/>
    <w:rsid w:val="00A472F2"/>
    <w:rsid w:val="00A473B8"/>
    <w:rsid w:val="00A47813"/>
    <w:rsid w:val="00A47B2D"/>
    <w:rsid w:val="00A47BA8"/>
    <w:rsid w:val="00A47C95"/>
    <w:rsid w:val="00A47D3F"/>
    <w:rsid w:val="00A5000E"/>
    <w:rsid w:val="00A500D1"/>
    <w:rsid w:val="00A50456"/>
    <w:rsid w:val="00A50481"/>
    <w:rsid w:val="00A5064C"/>
    <w:rsid w:val="00A5068E"/>
    <w:rsid w:val="00A506B3"/>
    <w:rsid w:val="00A50731"/>
    <w:rsid w:val="00A50ECD"/>
    <w:rsid w:val="00A510B4"/>
    <w:rsid w:val="00A51113"/>
    <w:rsid w:val="00A51698"/>
    <w:rsid w:val="00A518F3"/>
    <w:rsid w:val="00A519AF"/>
    <w:rsid w:val="00A51B55"/>
    <w:rsid w:val="00A51B5F"/>
    <w:rsid w:val="00A51D0A"/>
    <w:rsid w:val="00A52729"/>
    <w:rsid w:val="00A528C4"/>
    <w:rsid w:val="00A52B05"/>
    <w:rsid w:val="00A52D3B"/>
    <w:rsid w:val="00A532AE"/>
    <w:rsid w:val="00A53675"/>
    <w:rsid w:val="00A53C9D"/>
    <w:rsid w:val="00A53DAA"/>
    <w:rsid w:val="00A54567"/>
    <w:rsid w:val="00A55004"/>
    <w:rsid w:val="00A550DD"/>
    <w:rsid w:val="00A551FB"/>
    <w:rsid w:val="00A552CA"/>
    <w:rsid w:val="00A552EC"/>
    <w:rsid w:val="00A55388"/>
    <w:rsid w:val="00A553CC"/>
    <w:rsid w:val="00A55698"/>
    <w:rsid w:val="00A55699"/>
    <w:rsid w:val="00A556A4"/>
    <w:rsid w:val="00A556EF"/>
    <w:rsid w:val="00A557C8"/>
    <w:rsid w:val="00A558F7"/>
    <w:rsid w:val="00A55FFE"/>
    <w:rsid w:val="00A564D7"/>
    <w:rsid w:val="00A565B8"/>
    <w:rsid w:val="00A56AE6"/>
    <w:rsid w:val="00A56B6A"/>
    <w:rsid w:val="00A56DD9"/>
    <w:rsid w:val="00A56E1F"/>
    <w:rsid w:val="00A57465"/>
    <w:rsid w:val="00A5750B"/>
    <w:rsid w:val="00A577BA"/>
    <w:rsid w:val="00A578DC"/>
    <w:rsid w:val="00A57F2E"/>
    <w:rsid w:val="00A60096"/>
    <w:rsid w:val="00A60156"/>
    <w:rsid w:val="00A6070A"/>
    <w:rsid w:val="00A60755"/>
    <w:rsid w:val="00A610E5"/>
    <w:rsid w:val="00A61503"/>
    <w:rsid w:val="00A61855"/>
    <w:rsid w:val="00A6190D"/>
    <w:rsid w:val="00A61B54"/>
    <w:rsid w:val="00A6272D"/>
    <w:rsid w:val="00A62930"/>
    <w:rsid w:val="00A62B3D"/>
    <w:rsid w:val="00A62C71"/>
    <w:rsid w:val="00A63523"/>
    <w:rsid w:val="00A63635"/>
    <w:rsid w:val="00A63728"/>
    <w:rsid w:val="00A6398D"/>
    <w:rsid w:val="00A63EFF"/>
    <w:rsid w:val="00A640E2"/>
    <w:rsid w:val="00A6448E"/>
    <w:rsid w:val="00A64D22"/>
    <w:rsid w:val="00A64D65"/>
    <w:rsid w:val="00A64F5F"/>
    <w:rsid w:val="00A65287"/>
    <w:rsid w:val="00A65997"/>
    <w:rsid w:val="00A65E7F"/>
    <w:rsid w:val="00A661B2"/>
    <w:rsid w:val="00A6620A"/>
    <w:rsid w:val="00A666C0"/>
    <w:rsid w:val="00A666F8"/>
    <w:rsid w:val="00A667D7"/>
    <w:rsid w:val="00A66A86"/>
    <w:rsid w:val="00A66C22"/>
    <w:rsid w:val="00A66CFB"/>
    <w:rsid w:val="00A66E32"/>
    <w:rsid w:val="00A67009"/>
    <w:rsid w:val="00A6703F"/>
    <w:rsid w:val="00A671CA"/>
    <w:rsid w:val="00A6725B"/>
    <w:rsid w:val="00A673DC"/>
    <w:rsid w:val="00A6764C"/>
    <w:rsid w:val="00A67931"/>
    <w:rsid w:val="00A6795F"/>
    <w:rsid w:val="00A70605"/>
    <w:rsid w:val="00A7088C"/>
    <w:rsid w:val="00A70A75"/>
    <w:rsid w:val="00A71284"/>
    <w:rsid w:val="00A7182D"/>
    <w:rsid w:val="00A72986"/>
    <w:rsid w:val="00A729CA"/>
    <w:rsid w:val="00A72AD2"/>
    <w:rsid w:val="00A72B2B"/>
    <w:rsid w:val="00A72BCE"/>
    <w:rsid w:val="00A72C1E"/>
    <w:rsid w:val="00A7305D"/>
    <w:rsid w:val="00A73134"/>
    <w:rsid w:val="00A7316E"/>
    <w:rsid w:val="00A731A3"/>
    <w:rsid w:val="00A7349F"/>
    <w:rsid w:val="00A734F1"/>
    <w:rsid w:val="00A7365A"/>
    <w:rsid w:val="00A739A6"/>
    <w:rsid w:val="00A73AE8"/>
    <w:rsid w:val="00A73B0A"/>
    <w:rsid w:val="00A73FD0"/>
    <w:rsid w:val="00A74245"/>
    <w:rsid w:val="00A74560"/>
    <w:rsid w:val="00A7508A"/>
    <w:rsid w:val="00A756A6"/>
    <w:rsid w:val="00A75CB6"/>
    <w:rsid w:val="00A75EF5"/>
    <w:rsid w:val="00A76001"/>
    <w:rsid w:val="00A760EF"/>
    <w:rsid w:val="00A7636A"/>
    <w:rsid w:val="00A76440"/>
    <w:rsid w:val="00A7683A"/>
    <w:rsid w:val="00A76C59"/>
    <w:rsid w:val="00A76DD2"/>
    <w:rsid w:val="00A771E6"/>
    <w:rsid w:val="00A772D3"/>
    <w:rsid w:val="00A774B8"/>
    <w:rsid w:val="00A775B6"/>
    <w:rsid w:val="00A776FD"/>
    <w:rsid w:val="00A7772A"/>
    <w:rsid w:val="00A777B2"/>
    <w:rsid w:val="00A7793F"/>
    <w:rsid w:val="00A77B58"/>
    <w:rsid w:val="00A77B89"/>
    <w:rsid w:val="00A77E51"/>
    <w:rsid w:val="00A77E8B"/>
    <w:rsid w:val="00A77F99"/>
    <w:rsid w:val="00A77FC2"/>
    <w:rsid w:val="00A80475"/>
    <w:rsid w:val="00A80957"/>
    <w:rsid w:val="00A814B2"/>
    <w:rsid w:val="00A81DF0"/>
    <w:rsid w:val="00A825D4"/>
    <w:rsid w:val="00A826BB"/>
    <w:rsid w:val="00A827C7"/>
    <w:rsid w:val="00A82869"/>
    <w:rsid w:val="00A828F6"/>
    <w:rsid w:val="00A829AB"/>
    <w:rsid w:val="00A82B00"/>
    <w:rsid w:val="00A82B53"/>
    <w:rsid w:val="00A82B73"/>
    <w:rsid w:val="00A82BF7"/>
    <w:rsid w:val="00A82D32"/>
    <w:rsid w:val="00A83159"/>
    <w:rsid w:val="00A833F1"/>
    <w:rsid w:val="00A83887"/>
    <w:rsid w:val="00A83AC3"/>
    <w:rsid w:val="00A83B83"/>
    <w:rsid w:val="00A84500"/>
    <w:rsid w:val="00A8466B"/>
    <w:rsid w:val="00A847A8"/>
    <w:rsid w:val="00A84C40"/>
    <w:rsid w:val="00A84CE4"/>
    <w:rsid w:val="00A84D00"/>
    <w:rsid w:val="00A84DFA"/>
    <w:rsid w:val="00A84E94"/>
    <w:rsid w:val="00A84EA7"/>
    <w:rsid w:val="00A85758"/>
    <w:rsid w:val="00A8575E"/>
    <w:rsid w:val="00A8586D"/>
    <w:rsid w:val="00A8590E"/>
    <w:rsid w:val="00A85C2F"/>
    <w:rsid w:val="00A85FD1"/>
    <w:rsid w:val="00A86093"/>
    <w:rsid w:val="00A8633A"/>
    <w:rsid w:val="00A865BF"/>
    <w:rsid w:val="00A86B6D"/>
    <w:rsid w:val="00A86B8E"/>
    <w:rsid w:val="00A86DBC"/>
    <w:rsid w:val="00A86E8B"/>
    <w:rsid w:val="00A8707B"/>
    <w:rsid w:val="00A87164"/>
    <w:rsid w:val="00A871A9"/>
    <w:rsid w:val="00A87290"/>
    <w:rsid w:val="00A87383"/>
    <w:rsid w:val="00A87DAF"/>
    <w:rsid w:val="00A906E4"/>
    <w:rsid w:val="00A9096A"/>
    <w:rsid w:val="00A90C49"/>
    <w:rsid w:val="00A90E1A"/>
    <w:rsid w:val="00A90E60"/>
    <w:rsid w:val="00A91246"/>
    <w:rsid w:val="00A9137B"/>
    <w:rsid w:val="00A916E7"/>
    <w:rsid w:val="00A9170A"/>
    <w:rsid w:val="00A9199B"/>
    <w:rsid w:val="00A919F4"/>
    <w:rsid w:val="00A91A9D"/>
    <w:rsid w:val="00A92495"/>
    <w:rsid w:val="00A9272F"/>
    <w:rsid w:val="00A928B1"/>
    <w:rsid w:val="00A92FBF"/>
    <w:rsid w:val="00A93072"/>
    <w:rsid w:val="00A931A7"/>
    <w:rsid w:val="00A931EB"/>
    <w:rsid w:val="00A934BB"/>
    <w:rsid w:val="00A934E5"/>
    <w:rsid w:val="00A934F3"/>
    <w:rsid w:val="00A938BD"/>
    <w:rsid w:val="00A93903"/>
    <w:rsid w:val="00A93953"/>
    <w:rsid w:val="00A93A56"/>
    <w:rsid w:val="00A93A57"/>
    <w:rsid w:val="00A94031"/>
    <w:rsid w:val="00A941F0"/>
    <w:rsid w:val="00A94362"/>
    <w:rsid w:val="00A9470F"/>
    <w:rsid w:val="00A94C16"/>
    <w:rsid w:val="00A94C2F"/>
    <w:rsid w:val="00A9501C"/>
    <w:rsid w:val="00A95578"/>
    <w:rsid w:val="00A959D8"/>
    <w:rsid w:val="00A95AC7"/>
    <w:rsid w:val="00A9639C"/>
    <w:rsid w:val="00A964C4"/>
    <w:rsid w:val="00A967DD"/>
    <w:rsid w:val="00A9692C"/>
    <w:rsid w:val="00A96978"/>
    <w:rsid w:val="00A96ADA"/>
    <w:rsid w:val="00A96B32"/>
    <w:rsid w:val="00A96B6C"/>
    <w:rsid w:val="00A96D48"/>
    <w:rsid w:val="00A96F5B"/>
    <w:rsid w:val="00A9751A"/>
    <w:rsid w:val="00A97883"/>
    <w:rsid w:val="00A97F66"/>
    <w:rsid w:val="00AA01B7"/>
    <w:rsid w:val="00AA02D9"/>
    <w:rsid w:val="00AA0403"/>
    <w:rsid w:val="00AA09A7"/>
    <w:rsid w:val="00AA0A9C"/>
    <w:rsid w:val="00AA0EC6"/>
    <w:rsid w:val="00AA1033"/>
    <w:rsid w:val="00AA113D"/>
    <w:rsid w:val="00AA182F"/>
    <w:rsid w:val="00AA1983"/>
    <w:rsid w:val="00AA1B7B"/>
    <w:rsid w:val="00AA1D32"/>
    <w:rsid w:val="00AA1D34"/>
    <w:rsid w:val="00AA23F6"/>
    <w:rsid w:val="00AA2C31"/>
    <w:rsid w:val="00AA2EC6"/>
    <w:rsid w:val="00AA3244"/>
    <w:rsid w:val="00AA3847"/>
    <w:rsid w:val="00AA3F25"/>
    <w:rsid w:val="00AA41C1"/>
    <w:rsid w:val="00AA4467"/>
    <w:rsid w:val="00AA4A89"/>
    <w:rsid w:val="00AA4AC2"/>
    <w:rsid w:val="00AA4CE1"/>
    <w:rsid w:val="00AA517B"/>
    <w:rsid w:val="00AA5527"/>
    <w:rsid w:val="00AA55B5"/>
    <w:rsid w:val="00AA57B3"/>
    <w:rsid w:val="00AA586B"/>
    <w:rsid w:val="00AA6265"/>
    <w:rsid w:val="00AA63AC"/>
    <w:rsid w:val="00AA66AF"/>
    <w:rsid w:val="00AA6989"/>
    <w:rsid w:val="00AA6BD5"/>
    <w:rsid w:val="00AA6BD8"/>
    <w:rsid w:val="00AA6C7D"/>
    <w:rsid w:val="00AA7180"/>
    <w:rsid w:val="00AA7497"/>
    <w:rsid w:val="00AA77E1"/>
    <w:rsid w:val="00AA79C0"/>
    <w:rsid w:val="00AA7FD6"/>
    <w:rsid w:val="00AB0059"/>
    <w:rsid w:val="00AB03A1"/>
    <w:rsid w:val="00AB03C9"/>
    <w:rsid w:val="00AB042A"/>
    <w:rsid w:val="00AB09B9"/>
    <w:rsid w:val="00AB0F09"/>
    <w:rsid w:val="00AB0F9C"/>
    <w:rsid w:val="00AB0FBA"/>
    <w:rsid w:val="00AB11AD"/>
    <w:rsid w:val="00AB134D"/>
    <w:rsid w:val="00AB196D"/>
    <w:rsid w:val="00AB19EF"/>
    <w:rsid w:val="00AB1D9E"/>
    <w:rsid w:val="00AB1DAE"/>
    <w:rsid w:val="00AB1DC8"/>
    <w:rsid w:val="00AB1E77"/>
    <w:rsid w:val="00AB2164"/>
    <w:rsid w:val="00AB22E9"/>
    <w:rsid w:val="00AB231C"/>
    <w:rsid w:val="00AB2495"/>
    <w:rsid w:val="00AB278D"/>
    <w:rsid w:val="00AB2D34"/>
    <w:rsid w:val="00AB2D8D"/>
    <w:rsid w:val="00AB30B3"/>
    <w:rsid w:val="00AB317D"/>
    <w:rsid w:val="00AB3430"/>
    <w:rsid w:val="00AB37B9"/>
    <w:rsid w:val="00AB3B70"/>
    <w:rsid w:val="00AB42AC"/>
    <w:rsid w:val="00AB4940"/>
    <w:rsid w:val="00AB4ABE"/>
    <w:rsid w:val="00AB4AD1"/>
    <w:rsid w:val="00AB4FD1"/>
    <w:rsid w:val="00AB5292"/>
    <w:rsid w:val="00AB5338"/>
    <w:rsid w:val="00AB5651"/>
    <w:rsid w:val="00AB58D6"/>
    <w:rsid w:val="00AB5E07"/>
    <w:rsid w:val="00AB5F79"/>
    <w:rsid w:val="00AB63AC"/>
    <w:rsid w:val="00AB64AC"/>
    <w:rsid w:val="00AB6A57"/>
    <w:rsid w:val="00AB6ED4"/>
    <w:rsid w:val="00AB74EB"/>
    <w:rsid w:val="00AB7A2D"/>
    <w:rsid w:val="00AB7CFA"/>
    <w:rsid w:val="00AB7D79"/>
    <w:rsid w:val="00AB7D9C"/>
    <w:rsid w:val="00AC027E"/>
    <w:rsid w:val="00AC0F8A"/>
    <w:rsid w:val="00AC0F8F"/>
    <w:rsid w:val="00AC1481"/>
    <w:rsid w:val="00AC195E"/>
    <w:rsid w:val="00AC1A73"/>
    <w:rsid w:val="00AC1CBE"/>
    <w:rsid w:val="00AC1F45"/>
    <w:rsid w:val="00AC274A"/>
    <w:rsid w:val="00AC29E4"/>
    <w:rsid w:val="00AC2D1C"/>
    <w:rsid w:val="00AC2DF2"/>
    <w:rsid w:val="00AC30AE"/>
    <w:rsid w:val="00AC3183"/>
    <w:rsid w:val="00AC3429"/>
    <w:rsid w:val="00AC3CDA"/>
    <w:rsid w:val="00AC41F2"/>
    <w:rsid w:val="00AC4316"/>
    <w:rsid w:val="00AC454E"/>
    <w:rsid w:val="00AC50D0"/>
    <w:rsid w:val="00AC5732"/>
    <w:rsid w:val="00AC5737"/>
    <w:rsid w:val="00AC5ABC"/>
    <w:rsid w:val="00AC5B42"/>
    <w:rsid w:val="00AC5B48"/>
    <w:rsid w:val="00AC5C0F"/>
    <w:rsid w:val="00AC5E9A"/>
    <w:rsid w:val="00AC6506"/>
    <w:rsid w:val="00AC66B6"/>
    <w:rsid w:val="00AC6726"/>
    <w:rsid w:val="00AC6DE6"/>
    <w:rsid w:val="00AC6FBF"/>
    <w:rsid w:val="00AC7039"/>
    <w:rsid w:val="00AC713D"/>
    <w:rsid w:val="00AC790E"/>
    <w:rsid w:val="00AC7C52"/>
    <w:rsid w:val="00AC7CC7"/>
    <w:rsid w:val="00AC7DC2"/>
    <w:rsid w:val="00AD009D"/>
    <w:rsid w:val="00AD0D97"/>
    <w:rsid w:val="00AD0FFE"/>
    <w:rsid w:val="00AD130B"/>
    <w:rsid w:val="00AD1450"/>
    <w:rsid w:val="00AD15B2"/>
    <w:rsid w:val="00AD15E8"/>
    <w:rsid w:val="00AD1AB3"/>
    <w:rsid w:val="00AD1D66"/>
    <w:rsid w:val="00AD1FFC"/>
    <w:rsid w:val="00AD2457"/>
    <w:rsid w:val="00AD2956"/>
    <w:rsid w:val="00AD2F9E"/>
    <w:rsid w:val="00AD31CF"/>
    <w:rsid w:val="00AD3310"/>
    <w:rsid w:val="00AD338C"/>
    <w:rsid w:val="00AD3564"/>
    <w:rsid w:val="00AD356D"/>
    <w:rsid w:val="00AD35EF"/>
    <w:rsid w:val="00AD360E"/>
    <w:rsid w:val="00AD3837"/>
    <w:rsid w:val="00AD38D7"/>
    <w:rsid w:val="00AD397D"/>
    <w:rsid w:val="00AD3AF0"/>
    <w:rsid w:val="00AD3D51"/>
    <w:rsid w:val="00AD3F92"/>
    <w:rsid w:val="00AD4352"/>
    <w:rsid w:val="00AD43E8"/>
    <w:rsid w:val="00AD4A84"/>
    <w:rsid w:val="00AD4D90"/>
    <w:rsid w:val="00AD4F3D"/>
    <w:rsid w:val="00AD510F"/>
    <w:rsid w:val="00AD5819"/>
    <w:rsid w:val="00AD58F4"/>
    <w:rsid w:val="00AD5AD3"/>
    <w:rsid w:val="00AD5C23"/>
    <w:rsid w:val="00AD5E61"/>
    <w:rsid w:val="00AD625B"/>
    <w:rsid w:val="00AD626C"/>
    <w:rsid w:val="00AD645B"/>
    <w:rsid w:val="00AD6502"/>
    <w:rsid w:val="00AD666C"/>
    <w:rsid w:val="00AD6688"/>
    <w:rsid w:val="00AD66E6"/>
    <w:rsid w:val="00AD6814"/>
    <w:rsid w:val="00AD6D70"/>
    <w:rsid w:val="00AD6F04"/>
    <w:rsid w:val="00AD7741"/>
    <w:rsid w:val="00AD7A6B"/>
    <w:rsid w:val="00AE00EB"/>
    <w:rsid w:val="00AE05C6"/>
    <w:rsid w:val="00AE0695"/>
    <w:rsid w:val="00AE0785"/>
    <w:rsid w:val="00AE084F"/>
    <w:rsid w:val="00AE0A2C"/>
    <w:rsid w:val="00AE0B55"/>
    <w:rsid w:val="00AE0B8D"/>
    <w:rsid w:val="00AE0C13"/>
    <w:rsid w:val="00AE0D81"/>
    <w:rsid w:val="00AE108D"/>
    <w:rsid w:val="00AE10F4"/>
    <w:rsid w:val="00AE11FB"/>
    <w:rsid w:val="00AE161A"/>
    <w:rsid w:val="00AE18EB"/>
    <w:rsid w:val="00AE2172"/>
    <w:rsid w:val="00AE21A4"/>
    <w:rsid w:val="00AE3341"/>
    <w:rsid w:val="00AE34D4"/>
    <w:rsid w:val="00AE35BB"/>
    <w:rsid w:val="00AE3749"/>
    <w:rsid w:val="00AE3945"/>
    <w:rsid w:val="00AE3C20"/>
    <w:rsid w:val="00AE3E7E"/>
    <w:rsid w:val="00AE41FA"/>
    <w:rsid w:val="00AE430D"/>
    <w:rsid w:val="00AE474A"/>
    <w:rsid w:val="00AE4999"/>
    <w:rsid w:val="00AE4A38"/>
    <w:rsid w:val="00AE4C31"/>
    <w:rsid w:val="00AE4D11"/>
    <w:rsid w:val="00AE4D4C"/>
    <w:rsid w:val="00AE4F4B"/>
    <w:rsid w:val="00AE5633"/>
    <w:rsid w:val="00AE5A09"/>
    <w:rsid w:val="00AE5ADB"/>
    <w:rsid w:val="00AE5B57"/>
    <w:rsid w:val="00AE604B"/>
    <w:rsid w:val="00AE6391"/>
    <w:rsid w:val="00AE64C8"/>
    <w:rsid w:val="00AE6526"/>
    <w:rsid w:val="00AE66DC"/>
    <w:rsid w:val="00AE67A2"/>
    <w:rsid w:val="00AE6993"/>
    <w:rsid w:val="00AE7569"/>
    <w:rsid w:val="00AE787A"/>
    <w:rsid w:val="00AE7C25"/>
    <w:rsid w:val="00AE7E53"/>
    <w:rsid w:val="00AE7F93"/>
    <w:rsid w:val="00AF068D"/>
    <w:rsid w:val="00AF0836"/>
    <w:rsid w:val="00AF0F78"/>
    <w:rsid w:val="00AF1138"/>
    <w:rsid w:val="00AF1315"/>
    <w:rsid w:val="00AF168C"/>
    <w:rsid w:val="00AF195D"/>
    <w:rsid w:val="00AF19BF"/>
    <w:rsid w:val="00AF22CF"/>
    <w:rsid w:val="00AF23FD"/>
    <w:rsid w:val="00AF24B2"/>
    <w:rsid w:val="00AF2769"/>
    <w:rsid w:val="00AF2784"/>
    <w:rsid w:val="00AF2989"/>
    <w:rsid w:val="00AF2DC3"/>
    <w:rsid w:val="00AF2E30"/>
    <w:rsid w:val="00AF3924"/>
    <w:rsid w:val="00AF3A23"/>
    <w:rsid w:val="00AF3B32"/>
    <w:rsid w:val="00AF3CC3"/>
    <w:rsid w:val="00AF3F46"/>
    <w:rsid w:val="00AF415C"/>
    <w:rsid w:val="00AF4D4D"/>
    <w:rsid w:val="00AF508A"/>
    <w:rsid w:val="00AF541C"/>
    <w:rsid w:val="00AF5587"/>
    <w:rsid w:val="00AF57DD"/>
    <w:rsid w:val="00AF5D6A"/>
    <w:rsid w:val="00AF5E75"/>
    <w:rsid w:val="00AF6A9D"/>
    <w:rsid w:val="00AF6ACA"/>
    <w:rsid w:val="00AF6C67"/>
    <w:rsid w:val="00AF6D5D"/>
    <w:rsid w:val="00AF71AD"/>
    <w:rsid w:val="00AF7273"/>
    <w:rsid w:val="00AF77DE"/>
    <w:rsid w:val="00AF7BA0"/>
    <w:rsid w:val="00B00507"/>
    <w:rsid w:val="00B0093E"/>
    <w:rsid w:val="00B00A1B"/>
    <w:rsid w:val="00B00B61"/>
    <w:rsid w:val="00B00D53"/>
    <w:rsid w:val="00B00E18"/>
    <w:rsid w:val="00B00F1C"/>
    <w:rsid w:val="00B0113F"/>
    <w:rsid w:val="00B01378"/>
    <w:rsid w:val="00B0143F"/>
    <w:rsid w:val="00B014EA"/>
    <w:rsid w:val="00B018C3"/>
    <w:rsid w:val="00B01949"/>
    <w:rsid w:val="00B01A94"/>
    <w:rsid w:val="00B01BC4"/>
    <w:rsid w:val="00B01C44"/>
    <w:rsid w:val="00B01D66"/>
    <w:rsid w:val="00B01ED2"/>
    <w:rsid w:val="00B02179"/>
    <w:rsid w:val="00B0226B"/>
    <w:rsid w:val="00B033E5"/>
    <w:rsid w:val="00B03697"/>
    <w:rsid w:val="00B03A5C"/>
    <w:rsid w:val="00B03A63"/>
    <w:rsid w:val="00B04652"/>
    <w:rsid w:val="00B04F09"/>
    <w:rsid w:val="00B04FF1"/>
    <w:rsid w:val="00B0500C"/>
    <w:rsid w:val="00B05572"/>
    <w:rsid w:val="00B05E1D"/>
    <w:rsid w:val="00B05FE9"/>
    <w:rsid w:val="00B060F6"/>
    <w:rsid w:val="00B06423"/>
    <w:rsid w:val="00B064BF"/>
    <w:rsid w:val="00B064F3"/>
    <w:rsid w:val="00B0660A"/>
    <w:rsid w:val="00B06785"/>
    <w:rsid w:val="00B06CFE"/>
    <w:rsid w:val="00B06F23"/>
    <w:rsid w:val="00B07179"/>
    <w:rsid w:val="00B072DB"/>
    <w:rsid w:val="00B073BC"/>
    <w:rsid w:val="00B07436"/>
    <w:rsid w:val="00B0767D"/>
    <w:rsid w:val="00B077EC"/>
    <w:rsid w:val="00B07B20"/>
    <w:rsid w:val="00B07FEC"/>
    <w:rsid w:val="00B101E9"/>
    <w:rsid w:val="00B103C8"/>
    <w:rsid w:val="00B10B52"/>
    <w:rsid w:val="00B10E67"/>
    <w:rsid w:val="00B11467"/>
    <w:rsid w:val="00B11C5F"/>
    <w:rsid w:val="00B11E3F"/>
    <w:rsid w:val="00B11F66"/>
    <w:rsid w:val="00B1234A"/>
    <w:rsid w:val="00B123FF"/>
    <w:rsid w:val="00B129A4"/>
    <w:rsid w:val="00B129C9"/>
    <w:rsid w:val="00B12A1C"/>
    <w:rsid w:val="00B12B77"/>
    <w:rsid w:val="00B139D4"/>
    <w:rsid w:val="00B13E32"/>
    <w:rsid w:val="00B143AA"/>
    <w:rsid w:val="00B143B4"/>
    <w:rsid w:val="00B1440E"/>
    <w:rsid w:val="00B14703"/>
    <w:rsid w:val="00B14977"/>
    <w:rsid w:val="00B14B34"/>
    <w:rsid w:val="00B14B44"/>
    <w:rsid w:val="00B156E5"/>
    <w:rsid w:val="00B1584B"/>
    <w:rsid w:val="00B15864"/>
    <w:rsid w:val="00B15B79"/>
    <w:rsid w:val="00B15BE4"/>
    <w:rsid w:val="00B15FF2"/>
    <w:rsid w:val="00B163DA"/>
    <w:rsid w:val="00B1645F"/>
    <w:rsid w:val="00B1673C"/>
    <w:rsid w:val="00B16D6A"/>
    <w:rsid w:val="00B17192"/>
    <w:rsid w:val="00B17356"/>
    <w:rsid w:val="00B17872"/>
    <w:rsid w:val="00B17C25"/>
    <w:rsid w:val="00B20062"/>
    <w:rsid w:val="00B200F5"/>
    <w:rsid w:val="00B201A4"/>
    <w:rsid w:val="00B201D1"/>
    <w:rsid w:val="00B202E3"/>
    <w:rsid w:val="00B204C5"/>
    <w:rsid w:val="00B20747"/>
    <w:rsid w:val="00B20775"/>
    <w:rsid w:val="00B2090A"/>
    <w:rsid w:val="00B20955"/>
    <w:rsid w:val="00B20A2D"/>
    <w:rsid w:val="00B20B5F"/>
    <w:rsid w:val="00B20BD8"/>
    <w:rsid w:val="00B20FCC"/>
    <w:rsid w:val="00B213A1"/>
    <w:rsid w:val="00B213A6"/>
    <w:rsid w:val="00B214A8"/>
    <w:rsid w:val="00B214F1"/>
    <w:rsid w:val="00B2157D"/>
    <w:rsid w:val="00B21A40"/>
    <w:rsid w:val="00B2204D"/>
    <w:rsid w:val="00B220FD"/>
    <w:rsid w:val="00B2214D"/>
    <w:rsid w:val="00B2220E"/>
    <w:rsid w:val="00B22405"/>
    <w:rsid w:val="00B22434"/>
    <w:rsid w:val="00B224B1"/>
    <w:rsid w:val="00B2263D"/>
    <w:rsid w:val="00B22707"/>
    <w:rsid w:val="00B2270B"/>
    <w:rsid w:val="00B229A9"/>
    <w:rsid w:val="00B229B5"/>
    <w:rsid w:val="00B22C87"/>
    <w:rsid w:val="00B2312C"/>
    <w:rsid w:val="00B235B0"/>
    <w:rsid w:val="00B2391C"/>
    <w:rsid w:val="00B23B57"/>
    <w:rsid w:val="00B241BA"/>
    <w:rsid w:val="00B24303"/>
    <w:rsid w:val="00B2445A"/>
    <w:rsid w:val="00B245F9"/>
    <w:rsid w:val="00B2461A"/>
    <w:rsid w:val="00B24AE4"/>
    <w:rsid w:val="00B24DF6"/>
    <w:rsid w:val="00B25192"/>
    <w:rsid w:val="00B26052"/>
    <w:rsid w:val="00B2642F"/>
    <w:rsid w:val="00B266CE"/>
    <w:rsid w:val="00B26EA0"/>
    <w:rsid w:val="00B26F35"/>
    <w:rsid w:val="00B26F9A"/>
    <w:rsid w:val="00B275E8"/>
    <w:rsid w:val="00B27899"/>
    <w:rsid w:val="00B27A61"/>
    <w:rsid w:val="00B27ACD"/>
    <w:rsid w:val="00B27AF7"/>
    <w:rsid w:val="00B27D76"/>
    <w:rsid w:val="00B3005E"/>
    <w:rsid w:val="00B30385"/>
    <w:rsid w:val="00B30493"/>
    <w:rsid w:val="00B310DC"/>
    <w:rsid w:val="00B31234"/>
    <w:rsid w:val="00B31381"/>
    <w:rsid w:val="00B3142B"/>
    <w:rsid w:val="00B316FF"/>
    <w:rsid w:val="00B31F83"/>
    <w:rsid w:val="00B31FEE"/>
    <w:rsid w:val="00B321BF"/>
    <w:rsid w:val="00B324A8"/>
    <w:rsid w:val="00B32554"/>
    <w:rsid w:val="00B328A1"/>
    <w:rsid w:val="00B32FA8"/>
    <w:rsid w:val="00B334AB"/>
    <w:rsid w:val="00B3468E"/>
    <w:rsid w:val="00B34AC0"/>
    <w:rsid w:val="00B34F6B"/>
    <w:rsid w:val="00B34FE2"/>
    <w:rsid w:val="00B35166"/>
    <w:rsid w:val="00B351E5"/>
    <w:rsid w:val="00B354E7"/>
    <w:rsid w:val="00B35539"/>
    <w:rsid w:val="00B35704"/>
    <w:rsid w:val="00B3576A"/>
    <w:rsid w:val="00B357D8"/>
    <w:rsid w:val="00B35C45"/>
    <w:rsid w:val="00B35CF1"/>
    <w:rsid w:val="00B360BC"/>
    <w:rsid w:val="00B360F4"/>
    <w:rsid w:val="00B367F5"/>
    <w:rsid w:val="00B367FB"/>
    <w:rsid w:val="00B36856"/>
    <w:rsid w:val="00B36A00"/>
    <w:rsid w:val="00B36D3C"/>
    <w:rsid w:val="00B3724B"/>
    <w:rsid w:val="00B373AD"/>
    <w:rsid w:val="00B3762E"/>
    <w:rsid w:val="00B37702"/>
    <w:rsid w:val="00B3773B"/>
    <w:rsid w:val="00B37794"/>
    <w:rsid w:val="00B3792B"/>
    <w:rsid w:val="00B37A84"/>
    <w:rsid w:val="00B37BFC"/>
    <w:rsid w:val="00B37F45"/>
    <w:rsid w:val="00B40358"/>
    <w:rsid w:val="00B40556"/>
    <w:rsid w:val="00B4099E"/>
    <w:rsid w:val="00B40BE4"/>
    <w:rsid w:val="00B411D6"/>
    <w:rsid w:val="00B41614"/>
    <w:rsid w:val="00B418C5"/>
    <w:rsid w:val="00B41A52"/>
    <w:rsid w:val="00B41DD1"/>
    <w:rsid w:val="00B4207F"/>
    <w:rsid w:val="00B42851"/>
    <w:rsid w:val="00B428B6"/>
    <w:rsid w:val="00B429DA"/>
    <w:rsid w:val="00B42C5F"/>
    <w:rsid w:val="00B42DEB"/>
    <w:rsid w:val="00B42F80"/>
    <w:rsid w:val="00B434A3"/>
    <w:rsid w:val="00B435CB"/>
    <w:rsid w:val="00B436DF"/>
    <w:rsid w:val="00B43AB5"/>
    <w:rsid w:val="00B43CEC"/>
    <w:rsid w:val="00B43F1E"/>
    <w:rsid w:val="00B44636"/>
    <w:rsid w:val="00B4463C"/>
    <w:rsid w:val="00B4473B"/>
    <w:rsid w:val="00B44795"/>
    <w:rsid w:val="00B44F40"/>
    <w:rsid w:val="00B450F4"/>
    <w:rsid w:val="00B452BC"/>
    <w:rsid w:val="00B452D0"/>
    <w:rsid w:val="00B456A3"/>
    <w:rsid w:val="00B4582A"/>
    <w:rsid w:val="00B459B2"/>
    <w:rsid w:val="00B45AE2"/>
    <w:rsid w:val="00B45C58"/>
    <w:rsid w:val="00B45F4F"/>
    <w:rsid w:val="00B465EC"/>
    <w:rsid w:val="00B469F8"/>
    <w:rsid w:val="00B46C0C"/>
    <w:rsid w:val="00B46CF6"/>
    <w:rsid w:val="00B47204"/>
    <w:rsid w:val="00B4768D"/>
    <w:rsid w:val="00B47851"/>
    <w:rsid w:val="00B47903"/>
    <w:rsid w:val="00B47CBE"/>
    <w:rsid w:val="00B47D9F"/>
    <w:rsid w:val="00B505C8"/>
    <w:rsid w:val="00B50925"/>
    <w:rsid w:val="00B50DB8"/>
    <w:rsid w:val="00B511D8"/>
    <w:rsid w:val="00B5134E"/>
    <w:rsid w:val="00B51351"/>
    <w:rsid w:val="00B514C1"/>
    <w:rsid w:val="00B514CB"/>
    <w:rsid w:val="00B51686"/>
    <w:rsid w:val="00B51996"/>
    <w:rsid w:val="00B51FAB"/>
    <w:rsid w:val="00B5239F"/>
    <w:rsid w:val="00B527E9"/>
    <w:rsid w:val="00B52F20"/>
    <w:rsid w:val="00B53204"/>
    <w:rsid w:val="00B53366"/>
    <w:rsid w:val="00B534F3"/>
    <w:rsid w:val="00B53654"/>
    <w:rsid w:val="00B5368C"/>
    <w:rsid w:val="00B53905"/>
    <w:rsid w:val="00B53E7C"/>
    <w:rsid w:val="00B5448F"/>
    <w:rsid w:val="00B546DB"/>
    <w:rsid w:val="00B54799"/>
    <w:rsid w:val="00B54B5B"/>
    <w:rsid w:val="00B54D2E"/>
    <w:rsid w:val="00B550D8"/>
    <w:rsid w:val="00B553E7"/>
    <w:rsid w:val="00B5557F"/>
    <w:rsid w:val="00B5562E"/>
    <w:rsid w:val="00B55821"/>
    <w:rsid w:val="00B55862"/>
    <w:rsid w:val="00B55D65"/>
    <w:rsid w:val="00B55DD9"/>
    <w:rsid w:val="00B560E9"/>
    <w:rsid w:val="00B56248"/>
    <w:rsid w:val="00B562F1"/>
    <w:rsid w:val="00B56305"/>
    <w:rsid w:val="00B568A1"/>
    <w:rsid w:val="00B57000"/>
    <w:rsid w:val="00B5731D"/>
    <w:rsid w:val="00B57588"/>
    <w:rsid w:val="00B5764B"/>
    <w:rsid w:val="00B576E0"/>
    <w:rsid w:val="00B579EC"/>
    <w:rsid w:val="00B60010"/>
    <w:rsid w:val="00B603CB"/>
    <w:rsid w:val="00B60558"/>
    <w:rsid w:val="00B60939"/>
    <w:rsid w:val="00B609B0"/>
    <w:rsid w:val="00B60AFD"/>
    <w:rsid w:val="00B610D2"/>
    <w:rsid w:val="00B61336"/>
    <w:rsid w:val="00B61404"/>
    <w:rsid w:val="00B61C79"/>
    <w:rsid w:val="00B61EA0"/>
    <w:rsid w:val="00B6235E"/>
    <w:rsid w:val="00B62715"/>
    <w:rsid w:val="00B6314B"/>
    <w:rsid w:val="00B63263"/>
    <w:rsid w:val="00B638EF"/>
    <w:rsid w:val="00B63B84"/>
    <w:rsid w:val="00B641E1"/>
    <w:rsid w:val="00B64307"/>
    <w:rsid w:val="00B64B5A"/>
    <w:rsid w:val="00B64EBD"/>
    <w:rsid w:val="00B652A9"/>
    <w:rsid w:val="00B65611"/>
    <w:rsid w:val="00B660F4"/>
    <w:rsid w:val="00B6611B"/>
    <w:rsid w:val="00B664B3"/>
    <w:rsid w:val="00B670EC"/>
    <w:rsid w:val="00B67245"/>
    <w:rsid w:val="00B67260"/>
    <w:rsid w:val="00B672C7"/>
    <w:rsid w:val="00B67873"/>
    <w:rsid w:val="00B704DD"/>
    <w:rsid w:val="00B70793"/>
    <w:rsid w:val="00B708B9"/>
    <w:rsid w:val="00B70D76"/>
    <w:rsid w:val="00B70D78"/>
    <w:rsid w:val="00B70E8E"/>
    <w:rsid w:val="00B71079"/>
    <w:rsid w:val="00B71A64"/>
    <w:rsid w:val="00B71AE8"/>
    <w:rsid w:val="00B71FEE"/>
    <w:rsid w:val="00B723BE"/>
    <w:rsid w:val="00B731AA"/>
    <w:rsid w:val="00B7323F"/>
    <w:rsid w:val="00B7329B"/>
    <w:rsid w:val="00B73809"/>
    <w:rsid w:val="00B73CB3"/>
    <w:rsid w:val="00B73EB4"/>
    <w:rsid w:val="00B74492"/>
    <w:rsid w:val="00B749E6"/>
    <w:rsid w:val="00B74C32"/>
    <w:rsid w:val="00B74DED"/>
    <w:rsid w:val="00B74EA3"/>
    <w:rsid w:val="00B7535C"/>
    <w:rsid w:val="00B75552"/>
    <w:rsid w:val="00B756FF"/>
    <w:rsid w:val="00B75794"/>
    <w:rsid w:val="00B75B31"/>
    <w:rsid w:val="00B75B36"/>
    <w:rsid w:val="00B75F3C"/>
    <w:rsid w:val="00B76174"/>
    <w:rsid w:val="00B761FA"/>
    <w:rsid w:val="00B76332"/>
    <w:rsid w:val="00B76427"/>
    <w:rsid w:val="00B7644E"/>
    <w:rsid w:val="00B769EE"/>
    <w:rsid w:val="00B76C92"/>
    <w:rsid w:val="00B777CB"/>
    <w:rsid w:val="00B77BE9"/>
    <w:rsid w:val="00B802B0"/>
    <w:rsid w:val="00B80AC4"/>
    <w:rsid w:val="00B80C5B"/>
    <w:rsid w:val="00B80EFD"/>
    <w:rsid w:val="00B80F92"/>
    <w:rsid w:val="00B8114F"/>
    <w:rsid w:val="00B813DA"/>
    <w:rsid w:val="00B81417"/>
    <w:rsid w:val="00B81739"/>
    <w:rsid w:val="00B818A4"/>
    <w:rsid w:val="00B81954"/>
    <w:rsid w:val="00B81A32"/>
    <w:rsid w:val="00B81A91"/>
    <w:rsid w:val="00B81D34"/>
    <w:rsid w:val="00B825C4"/>
    <w:rsid w:val="00B827A0"/>
    <w:rsid w:val="00B82ADF"/>
    <w:rsid w:val="00B82F3E"/>
    <w:rsid w:val="00B82FF8"/>
    <w:rsid w:val="00B833E3"/>
    <w:rsid w:val="00B834E6"/>
    <w:rsid w:val="00B836D4"/>
    <w:rsid w:val="00B83739"/>
    <w:rsid w:val="00B838DC"/>
    <w:rsid w:val="00B83BE0"/>
    <w:rsid w:val="00B84117"/>
    <w:rsid w:val="00B84323"/>
    <w:rsid w:val="00B846C6"/>
    <w:rsid w:val="00B849B3"/>
    <w:rsid w:val="00B84CDA"/>
    <w:rsid w:val="00B85512"/>
    <w:rsid w:val="00B8556D"/>
    <w:rsid w:val="00B85725"/>
    <w:rsid w:val="00B858F0"/>
    <w:rsid w:val="00B85989"/>
    <w:rsid w:val="00B859D0"/>
    <w:rsid w:val="00B85AA2"/>
    <w:rsid w:val="00B85B0E"/>
    <w:rsid w:val="00B85B98"/>
    <w:rsid w:val="00B85F09"/>
    <w:rsid w:val="00B85FB6"/>
    <w:rsid w:val="00B8609F"/>
    <w:rsid w:val="00B862DC"/>
    <w:rsid w:val="00B8649C"/>
    <w:rsid w:val="00B86633"/>
    <w:rsid w:val="00B866EA"/>
    <w:rsid w:val="00B86922"/>
    <w:rsid w:val="00B8695D"/>
    <w:rsid w:val="00B86E34"/>
    <w:rsid w:val="00B86EF7"/>
    <w:rsid w:val="00B878FC"/>
    <w:rsid w:val="00B87B22"/>
    <w:rsid w:val="00B87F0A"/>
    <w:rsid w:val="00B900E6"/>
    <w:rsid w:val="00B90425"/>
    <w:rsid w:val="00B9097D"/>
    <w:rsid w:val="00B91B1E"/>
    <w:rsid w:val="00B91C1C"/>
    <w:rsid w:val="00B91C34"/>
    <w:rsid w:val="00B91DC3"/>
    <w:rsid w:val="00B91E83"/>
    <w:rsid w:val="00B91E9B"/>
    <w:rsid w:val="00B921EB"/>
    <w:rsid w:val="00B9284E"/>
    <w:rsid w:val="00B928FD"/>
    <w:rsid w:val="00B929A9"/>
    <w:rsid w:val="00B92CB1"/>
    <w:rsid w:val="00B92D0B"/>
    <w:rsid w:val="00B92E28"/>
    <w:rsid w:val="00B92F2D"/>
    <w:rsid w:val="00B9309F"/>
    <w:rsid w:val="00B9313F"/>
    <w:rsid w:val="00B931C8"/>
    <w:rsid w:val="00B93369"/>
    <w:rsid w:val="00B93489"/>
    <w:rsid w:val="00B93512"/>
    <w:rsid w:val="00B93857"/>
    <w:rsid w:val="00B9388F"/>
    <w:rsid w:val="00B938CE"/>
    <w:rsid w:val="00B93FC4"/>
    <w:rsid w:val="00B942D9"/>
    <w:rsid w:val="00B94423"/>
    <w:rsid w:val="00B944B3"/>
    <w:rsid w:val="00B94739"/>
    <w:rsid w:val="00B94794"/>
    <w:rsid w:val="00B94851"/>
    <w:rsid w:val="00B948CA"/>
    <w:rsid w:val="00B94945"/>
    <w:rsid w:val="00B9496B"/>
    <w:rsid w:val="00B94DD6"/>
    <w:rsid w:val="00B957A4"/>
    <w:rsid w:val="00B95812"/>
    <w:rsid w:val="00B9624C"/>
    <w:rsid w:val="00B962D6"/>
    <w:rsid w:val="00B96356"/>
    <w:rsid w:val="00B963B3"/>
    <w:rsid w:val="00B96C37"/>
    <w:rsid w:val="00B96DE6"/>
    <w:rsid w:val="00B96FE0"/>
    <w:rsid w:val="00B9719E"/>
    <w:rsid w:val="00B971F2"/>
    <w:rsid w:val="00B974F1"/>
    <w:rsid w:val="00B9782D"/>
    <w:rsid w:val="00BA0081"/>
    <w:rsid w:val="00BA055E"/>
    <w:rsid w:val="00BA06B3"/>
    <w:rsid w:val="00BA0EFA"/>
    <w:rsid w:val="00BA14DA"/>
    <w:rsid w:val="00BA1D79"/>
    <w:rsid w:val="00BA1DD6"/>
    <w:rsid w:val="00BA1F13"/>
    <w:rsid w:val="00BA22A5"/>
    <w:rsid w:val="00BA2704"/>
    <w:rsid w:val="00BA27AF"/>
    <w:rsid w:val="00BA28A5"/>
    <w:rsid w:val="00BA2B8D"/>
    <w:rsid w:val="00BA2D53"/>
    <w:rsid w:val="00BA2F26"/>
    <w:rsid w:val="00BA322D"/>
    <w:rsid w:val="00BA3317"/>
    <w:rsid w:val="00BA349E"/>
    <w:rsid w:val="00BA39BE"/>
    <w:rsid w:val="00BA3C82"/>
    <w:rsid w:val="00BA47B3"/>
    <w:rsid w:val="00BA4A9D"/>
    <w:rsid w:val="00BA4E45"/>
    <w:rsid w:val="00BA560C"/>
    <w:rsid w:val="00BA5645"/>
    <w:rsid w:val="00BA565A"/>
    <w:rsid w:val="00BA58A1"/>
    <w:rsid w:val="00BA5BB1"/>
    <w:rsid w:val="00BA5BEF"/>
    <w:rsid w:val="00BA5C48"/>
    <w:rsid w:val="00BA5C53"/>
    <w:rsid w:val="00BA6221"/>
    <w:rsid w:val="00BA6313"/>
    <w:rsid w:val="00BA635B"/>
    <w:rsid w:val="00BA63FA"/>
    <w:rsid w:val="00BA678A"/>
    <w:rsid w:val="00BA6953"/>
    <w:rsid w:val="00BA6A6B"/>
    <w:rsid w:val="00BA6A96"/>
    <w:rsid w:val="00BA73CE"/>
    <w:rsid w:val="00BA7415"/>
    <w:rsid w:val="00BA750E"/>
    <w:rsid w:val="00BA76A1"/>
    <w:rsid w:val="00BA78CB"/>
    <w:rsid w:val="00BA7B3B"/>
    <w:rsid w:val="00BB009E"/>
    <w:rsid w:val="00BB00B3"/>
    <w:rsid w:val="00BB00FF"/>
    <w:rsid w:val="00BB0145"/>
    <w:rsid w:val="00BB01D4"/>
    <w:rsid w:val="00BB0BDD"/>
    <w:rsid w:val="00BB12DF"/>
    <w:rsid w:val="00BB138D"/>
    <w:rsid w:val="00BB1481"/>
    <w:rsid w:val="00BB176C"/>
    <w:rsid w:val="00BB17A5"/>
    <w:rsid w:val="00BB1CCF"/>
    <w:rsid w:val="00BB1D82"/>
    <w:rsid w:val="00BB1DC1"/>
    <w:rsid w:val="00BB204C"/>
    <w:rsid w:val="00BB274B"/>
    <w:rsid w:val="00BB2763"/>
    <w:rsid w:val="00BB2A73"/>
    <w:rsid w:val="00BB2CE2"/>
    <w:rsid w:val="00BB3250"/>
    <w:rsid w:val="00BB3332"/>
    <w:rsid w:val="00BB39C1"/>
    <w:rsid w:val="00BB3A45"/>
    <w:rsid w:val="00BB4413"/>
    <w:rsid w:val="00BB44BF"/>
    <w:rsid w:val="00BB47AC"/>
    <w:rsid w:val="00BB4A3E"/>
    <w:rsid w:val="00BB4ACC"/>
    <w:rsid w:val="00BB4C40"/>
    <w:rsid w:val="00BB4C4D"/>
    <w:rsid w:val="00BB5CA1"/>
    <w:rsid w:val="00BB5DA6"/>
    <w:rsid w:val="00BB608D"/>
    <w:rsid w:val="00BB63E8"/>
    <w:rsid w:val="00BB662E"/>
    <w:rsid w:val="00BB6A2E"/>
    <w:rsid w:val="00BB6C7D"/>
    <w:rsid w:val="00BB703E"/>
    <w:rsid w:val="00BB725A"/>
    <w:rsid w:val="00BB732D"/>
    <w:rsid w:val="00BB7405"/>
    <w:rsid w:val="00BB7588"/>
    <w:rsid w:val="00BB79DD"/>
    <w:rsid w:val="00BB7A7F"/>
    <w:rsid w:val="00BB7AA3"/>
    <w:rsid w:val="00BB7E38"/>
    <w:rsid w:val="00BC074B"/>
    <w:rsid w:val="00BC07D7"/>
    <w:rsid w:val="00BC0C4A"/>
    <w:rsid w:val="00BC0D83"/>
    <w:rsid w:val="00BC0F6A"/>
    <w:rsid w:val="00BC1139"/>
    <w:rsid w:val="00BC117A"/>
    <w:rsid w:val="00BC1480"/>
    <w:rsid w:val="00BC168D"/>
    <w:rsid w:val="00BC196C"/>
    <w:rsid w:val="00BC1987"/>
    <w:rsid w:val="00BC1CA4"/>
    <w:rsid w:val="00BC1DAD"/>
    <w:rsid w:val="00BC1EA7"/>
    <w:rsid w:val="00BC23D9"/>
    <w:rsid w:val="00BC24DD"/>
    <w:rsid w:val="00BC25B6"/>
    <w:rsid w:val="00BC2A12"/>
    <w:rsid w:val="00BC2C63"/>
    <w:rsid w:val="00BC2DD4"/>
    <w:rsid w:val="00BC30FC"/>
    <w:rsid w:val="00BC3500"/>
    <w:rsid w:val="00BC3631"/>
    <w:rsid w:val="00BC37AD"/>
    <w:rsid w:val="00BC383E"/>
    <w:rsid w:val="00BC397E"/>
    <w:rsid w:val="00BC3B5E"/>
    <w:rsid w:val="00BC3E50"/>
    <w:rsid w:val="00BC3F58"/>
    <w:rsid w:val="00BC441C"/>
    <w:rsid w:val="00BC441F"/>
    <w:rsid w:val="00BC454B"/>
    <w:rsid w:val="00BC4952"/>
    <w:rsid w:val="00BC4A45"/>
    <w:rsid w:val="00BC4E1A"/>
    <w:rsid w:val="00BC5323"/>
    <w:rsid w:val="00BC5718"/>
    <w:rsid w:val="00BC591F"/>
    <w:rsid w:val="00BC59F6"/>
    <w:rsid w:val="00BC5C50"/>
    <w:rsid w:val="00BC5C9A"/>
    <w:rsid w:val="00BC5CCB"/>
    <w:rsid w:val="00BC5D57"/>
    <w:rsid w:val="00BC5F5B"/>
    <w:rsid w:val="00BC64AE"/>
    <w:rsid w:val="00BC64F2"/>
    <w:rsid w:val="00BC6581"/>
    <w:rsid w:val="00BC688B"/>
    <w:rsid w:val="00BC77B7"/>
    <w:rsid w:val="00BC7916"/>
    <w:rsid w:val="00BC7A61"/>
    <w:rsid w:val="00BC7D6D"/>
    <w:rsid w:val="00BC7F2B"/>
    <w:rsid w:val="00BD01ED"/>
    <w:rsid w:val="00BD06CD"/>
    <w:rsid w:val="00BD0ABF"/>
    <w:rsid w:val="00BD10B4"/>
    <w:rsid w:val="00BD1309"/>
    <w:rsid w:val="00BD1D32"/>
    <w:rsid w:val="00BD2108"/>
    <w:rsid w:val="00BD218E"/>
    <w:rsid w:val="00BD24C7"/>
    <w:rsid w:val="00BD256D"/>
    <w:rsid w:val="00BD27D4"/>
    <w:rsid w:val="00BD2D8F"/>
    <w:rsid w:val="00BD2DB4"/>
    <w:rsid w:val="00BD2E01"/>
    <w:rsid w:val="00BD34CC"/>
    <w:rsid w:val="00BD3589"/>
    <w:rsid w:val="00BD358E"/>
    <w:rsid w:val="00BD37B6"/>
    <w:rsid w:val="00BD3908"/>
    <w:rsid w:val="00BD3F1C"/>
    <w:rsid w:val="00BD40D0"/>
    <w:rsid w:val="00BD42A5"/>
    <w:rsid w:val="00BD46C0"/>
    <w:rsid w:val="00BD4C12"/>
    <w:rsid w:val="00BD5362"/>
    <w:rsid w:val="00BD5526"/>
    <w:rsid w:val="00BD5B35"/>
    <w:rsid w:val="00BD612F"/>
    <w:rsid w:val="00BD61A2"/>
    <w:rsid w:val="00BD61BF"/>
    <w:rsid w:val="00BD65C0"/>
    <w:rsid w:val="00BD66F7"/>
    <w:rsid w:val="00BD6760"/>
    <w:rsid w:val="00BD68A3"/>
    <w:rsid w:val="00BD6938"/>
    <w:rsid w:val="00BD6B29"/>
    <w:rsid w:val="00BD6CF3"/>
    <w:rsid w:val="00BD6F42"/>
    <w:rsid w:val="00BD7089"/>
    <w:rsid w:val="00BD76EC"/>
    <w:rsid w:val="00BD7758"/>
    <w:rsid w:val="00BD781F"/>
    <w:rsid w:val="00BD78DC"/>
    <w:rsid w:val="00BD799C"/>
    <w:rsid w:val="00BD7EBC"/>
    <w:rsid w:val="00BD7F72"/>
    <w:rsid w:val="00BE03E2"/>
    <w:rsid w:val="00BE0A37"/>
    <w:rsid w:val="00BE0ECA"/>
    <w:rsid w:val="00BE0EE3"/>
    <w:rsid w:val="00BE15F0"/>
    <w:rsid w:val="00BE1920"/>
    <w:rsid w:val="00BE1C60"/>
    <w:rsid w:val="00BE1E5C"/>
    <w:rsid w:val="00BE2180"/>
    <w:rsid w:val="00BE21F2"/>
    <w:rsid w:val="00BE2499"/>
    <w:rsid w:val="00BE2952"/>
    <w:rsid w:val="00BE2C32"/>
    <w:rsid w:val="00BE2C74"/>
    <w:rsid w:val="00BE2D13"/>
    <w:rsid w:val="00BE2F22"/>
    <w:rsid w:val="00BE31A6"/>
    <w:rsid w:val="00BE3B24"/>
    <w:rsid w:val="00BE3B3A"/>
    <w:rsid w:val="00BE3C54"/>
    <w:rsid w:val="00BE3F67"/>
    <w:rsid w:val="00BE4275"/>
    <w:rsid w:val="00BE4989"/>
    <w:rsid w:val="00BE5492"/>
    <w:rsid w:val="00BE58BB"/>
    <w:rsid w:val="00BE59D4"/>
    <w:rsid w:val="00BE5DFD"/>
    <w:rsid w:val="00BE638F"/>
    <w:rsid w:val="00BE694A"/>
    <w:rsid w:val="00BE69C2"/>
    <w:rsid w:val="00BE70C9"/>
    <w:rsid w:val="00BE7398"/>
    <w:rsid w:val="00BE73E6"/>
    <w:rsid w:val="00BE7BA0"/>
    <w:rsid w:val="00BF02BD"/>
    <w:rsid w:val="00BF03E6"/>
    <w:rsid w:val="00BF0411"/>
    <w:rsid w:val="00BF04E3"/>
    <w:rsid w:val="00BF050C"/>
    <w:rsid w:val="00BF06AE"/>
    <w:rsid w:val="00BF0CC0"/>
    <w:rsid w:val="00BF0F95"/>
    <w:rsid w:val="00BF107E"/>
    <w:rsid w:val="00BF1578"/>
    <w:rsid w:val="00BF162A"/>
    <w:rsid w:val="00BF19D3"/>
    <w:rsid w:val="00BF1D2B"/>
    <w:rsid w:val="00BF1E1A"/>
    <w:rsid w:val="00BF22BD"/>
    <w:rsid w:val="00BF2433"/>
    <w:rsid w:val="00BF2537"/>
    <w:rsid w:val="00BF25C3"/>
    <w:rsid w:val="00BF2652"/>
    <w:rsid w:val="00BF29F3"/>
    <w:rsid w:val="00BF2DA2"/>
    <w:rsid w:val="00BF2E2F"/>
    <w:rsid w:val="00BF2E6E"/>
    <w:rsid w:val="00BF2EE2"/>
    <w:rsid w:val="00BF37A9"/>
    <w:rsid w:val="00BF3D46"/>
    <w:rsid w:val="00BF46FE"/>
    <w:rsid w:val="00BF47CF"/>
    <w:rsid w:val="00BF47E5"/>
    <w:rsid w:val="00BF4DCF"/>
    <w:rsid w:val="00BF5203"/>
    <w:rsid w:val="00BF532D"/>
    <w:rsid w:val="00BF54FB"/>
    <w:rsid w:val="00BF5A70"/>
    <w:rsid w:val="00BF5B1B"/>
    <w:rsid w:val="00BF5C18"/>
    <w:rsid w:val="00BF5DAC"/>
    <w:rsid w:val="00BF5EF2"/>
    <w:rsid w:val="00BF61C9"/>
    <w:rsid w:val="00BF68A7"/>
    <w:rsid w:val="00BF6AC7"/>
    <w:rsid w:val="00BF6C94"/>
    <w:rsid w:val="00BF6CE1"/>
    <w:rsid w:val="00BF70A4"/>
    <w:rsid w:val="00BF7815"/>
    <w:rsid w:val="00BF79C7"/>
    <w:rsid w:val="00BF7CAA"/>
    <w:rsid w:val="00BF7EA3"/>
    <w:rsid w:val="00C000D2"/>
    <w:rsid w:val="00C00424"/>
    <w:rsid w:val="00C004F0"/>
    <w:rsid w:val="00C005AC"/>
    <w:rsid w:val="00C0067D"/>
    <w:rsid w:val="00C00854"/>
    <w:rsid w:val="00C00BB0"/>
    <w:rsid w:val="00C00EC9"/>
    <w:rsid w:val="00C00F23"/>
    <w:rsid w:val="00C0145C"/>
    <w:rsid w:val="00C01A30"/>
    <w:rsid w:val="00C0207E"/>
    <w:rsid w:val="00C020CA"/>
    <w:rsid w:val="00C021E6"/>
    <w:rsid w:val="00C02208"/>
    <w:rsid w:val="00C0237C"/>
    <w:rsid w:val="00C028E6"/>
    <w:rsid w:val="00C02BC1"/>
    <w:rsid w:val="00C02C01"/>
    <w:rsid w:val="00C02C0C"/>
    <w:rsid w:val="00C031CB"/>
    <w:rsid w:val="00C035F4"/>
    <w:rsid w:val="00C039A7"/>
    <w:rsid w:val="00C03A14"/>
    <w:rsid w:val="00C03C6E"/>
    <w:rsid w:val="00C03D08"/>
    <w:rsid w:val="00C0442C"/>
    <w:rsid w:val="00C04680"/>
    <w:rsid w:val="00C0470E"/>
    <w:rsid w:val="00C049F6"/>
    <w:rsid w:val="00C04B48"/>
    <w:rsid w:val="00C04C5D"/>
    <w:rsid w:val="00C04F16"/>
    <w:rsid w:val="00C05113"/>
    <w:rsid w:val="00C0566C"/>
    <w:rsid w:val="00C056B8"/>
    <w:rsid w:val="00C05751"/>
    <w:rsid w:val="00C059C3"/>
    <w:rsid w:val="00C05BB2"/>
    <w:rsid w:val="00C05DD2"/>
    <w:rsid w:val="00C0689F"/>
    <w:rsid w:val="00C06A4D"/>
    <w:rsid w:val="00C06C57"/>
    <w:rsid w:val="00C06EDD"/>
    <w:rsid w:val="00C071C8"/>
    <w:rsid w:val="00C1046A"/>
    <w:rsid w:val="00C10976"/>
    <w:rsid w:val="00C10A97"/>
    <w:rsid w:val="00C10CF4"/>
    <w:rsid w:val="00C11061"/>
    <w:rsid w:val="00C1154D"/>
    <w:rsid w:val="00C1179F"/>
    <w:rsid w:val="00C1199F"/>
    <w:rsid w:val="00C12126"/>
    <w:rsid w:val="00C1227E"/>
    <w:rsid w:val="00C1234D"/>
    <w:rsid w:val="00C1243D"/>
    <w:rsid w:val="00C12681"/>
    <w:rsid w:val="00C127B9"/>
    <w:rsid w:val="00C128FA"/>
    <w:rsid w:val="00C12A5A"/>
    <w:rsid w:val="00C12C14"/>
    <w:rsid w:val="00C12D7D"/>
    <w:rsid w:val="00C13427"/>
    <w:rsid w:val="00C13594"/>
    <w:rsid w:val="00C13971"/>
    <w:rsid w:val="00C13BBE"/>
    <w:rsid w:val="00C13C53"/>
    <w:rsid w:val="00C13DA6"/>
    <w:rsid w:val="00C144D5"/>
    <w:rsid w:val="00C144DA"/>
    <w:rsid w:val="00C1474C"/>
    <w:rsid w:val="00C14775"/>
    <w:rsid w:val="00C14907"/>
    <w:rsid w:val="00C149B6"/>
    <w:rsid w:val="00C154E4"/>
    <w:rsid w:val="00C1580D"/>
    <w:rsid w:val="00C158E3"/>
    <w:rsid w:val="00C15991"/>
    <w:rsid w:val="00C15F04"/>
    <w:rsid w:val="00C1679D"/>
    <w:rsid w:val="00C16EFF"/>
    <w:rsid w:val="00C17538"/>
    <w:rsid w:val="00C175A7"/>
    <w:rsid w:val="00C1761A"/>
    <w:rsid w:val="00C1764E"/>
    <w:rsid w:val="00C179B3"/>
    <w:rsid w:val="00C17A76"/>
    <w:rsid w:val="00C17A95"/>
    <w:rsid w:val="00C17ACE"/>
    <w:rsid w:val="00C17E3F"/>
    <w:rsid w:val="00C200AA"/>
    <w:rsid w:val="00C20564"/>
    <w:rsid w:val="00C20A99"/>
    <w:rsid w:val="00C20C12"/>
    <w:rsid w:val="00C21174"/>
    <w:rsid w:val="00C212FB"/>
    <w:rsid w:val="00C216FC"/>
    <w:rsid w:val="00C21D90"/>
    <w:rsid w:val="00C2249B"/>
    <w:rsid w:val="00C2276F"/>
    <w:rsid w:val="00C228CE"/>
    <w:rsid w:val="00C228E1"/>
    <w:rsid w:val="00C22AD3"/>
    <w:rsid w:val="00C22B6D"/>
    <w:rsid w:val="00C23049"/>
    <w:rsid w:val="00C235C7"/>
    <w:rsid w:val="00C23659"/>
    <w:rsid w:val="00C237ED"/>
    <w:rsid w:val="00C23CF7"/>
    <w:rsid w:val="00C24043"/>
    <w:rsid w:val="00C2414C"/>
    <w:rsid w:val="00C241FE"/>
    <w:rsid w:val="00C242C5"/>
    <w:rsid w:val="00C243F7"/>
    <w:rsid w:val="00C2462B"/>
    <w:rsid w:val="00C24632"/>
    <w:rsid w:val="00C24A50"/>
    <w:rsid w:val="00C24E73"/>
    <w:rsid w:val="00C24FCF"/>
    <w:rsid w:val="00C252C0"/>
    <w:rsid w:val="00C25418"/>
    <w:rsid w:val="00C25751"/>
    <w:rsid w:val="00C25D93"/>
    <w:rsid w:val="00C25D9C"/>
    <w:rsid w:val="00C25DBD"/>
    <w:rsid w:val="00C26091"/>
    <w:rsid w:val="00C2612C"/>
    <w:rsid w:val="00C263EB"/>
    <w:rsid w:val="00C2680C"/>
    <w:rsid w:val="00C26DDB"/>
    <w:rsid w:val="00C26F9A"/>
    <w:rsid w:val="00C2735B"/>
    <w:rsid w:val="00C276F6"/>
    <w:rsid w:val="00C2778B"/>
    <w:rsid w:val="00C27A0F"/>
    <w:rsid w:val="00C27B73"/>
    <w:rsid w:val="00C27ECD"/>
    <w:rsid w:val="00C300EF"/>
    <w:rsid w:val="00C301B8"/>
    <w:rsid w:val="00C301EA"/>
    <w:rsid w:val="00C3029E"/>
    <w:rsid w:val="00C303C8"/>
    <w:rsid w:val="00C30846"/>
    <w:rsid w:val="00C30963"/>
    <w:rsid w:val="00C30D95"/>
    <w:rsid w:val="00C30EC2"/>
    <w:rsid w:val="00C30EE2"/>
    <w:rsid w:val="00C31120"/>
    <w:rsid w:val="00C314A7"/>
    <w:rsid w:val="00C31649"/>
    <w:rsid w:val="00C318BF"/>
    <w:rsid w:val="00C326A3"/>
    <w:rsid w:val="00C32A50"/>
    <w:rsid w:val="00C32CAE"/>
    <w:rsid w:val="00C32F98"/>
    <w:rsid w:val="00C33999"/>
    <w:rsid w:val="00C33C16"/>
    <w:rsid w:val="00C33E81"/>
    <w:rsid w:val="00C33FB8"/>
    <w:rsid w:val="00C3408A"/>
    <w:rsid w:val="00C34239"/>
    <w:rsid w:val="00C3434C"/>
    <w:rsid w:val="00C345A4"/>
    <w:rsid w:val="00C346AD"/>
    <w:rsid w:val="00C34717"/>
    <w:rsid w:val="00C34C7C"/>
    <w:rsid w:val="00C34CE4"/>
    <w:rsid w:val="00C34F20"/>
    <w:rsid w:val="00C35387"/>
    <w:rsid w:val="00C354E8"/>
    <w:rsid w:val="00C355AE"/>
    <w:rsid w:val="00C35682"/>
    <w:rsid w:val="00C3582C"/>
    <w:rsid w:val="00C35A53"/>
    <w:rsid w:val="00C35D17"/>
    <w:rsid w:val="00C3615E"/>
    <w:rsid w:val="00C361B0"/>
    <w:rsid w:val="00C36496"/>
    <w:rsid w:val="00C36614"/>
    <w:rsid w:val="00C36637"/>
    <w:rsid w:val="00C366EC"/>
    <w:rsid w:val="00C36986"/>
    <w:rsid w:val="00C36DE1"/>
    <w:rsid w:val="00C36FD5"/>
    <w:rsid w:val="00C3734B"/>
    <w:rsid w:val="00C37591"/>
    <w:rsid w:val="00C37B84"/>
    <w:rsid w:val="00C402A3"/>
    <w:rsid w:val="00C40385"/>
    <w:rsid w:val="00C40B49"/>
    <w:rsid w:val="00C412BB"/>
    <w:rsid w:val="00C414B0"/>
    <w:rsid w:val="00C41768"/>
    <w:rsid w:val="00C41A54"/>
    <w:rsid w:val="00C423A7"/>
    <w:rsid w:val="00C425A0"/>
    <w:rsid w:val="00C428F0"/>
    <w:rsid w:val="00C429A3"/>
    <w:rsid w:val="00C429A9"/>
    <w:rsid w:val="00C42CE0"/>
    <w:rsid w:val="00C43100"/>
    <w:rsid w:val="00C43194"/>
    <w:rsid w:val="00C43609"/>
    <w:rsid w:val="00C438DB"/>
    <w:rsid w:val="00C43A4B"/>
    <w:rsid w:val="00C43B54"/>
    <w:rsid w:val="00C43CC4"/>
    <w:rsid w:val="00C43CE9"/>
    <w:rsid w:val="00C44004"/>
    <w:rsid w:val="00C447F4"/>
    <w:rsid w:val="00C44917"/>
    <w:rsid w:val="00C451FB"/>
    <w:rsid w:val="00C45D8E"/>
    <w:rsid w:val="00C462CD"/>
    <w:rsid w:val="00C4640F"/>
    <w:rsid w:val="00C46EA0"/>
    <w:rsid w:val="00C470CD"/>
    <w:rsid w:val="00C470E8"/>
    <w:rsid w:val="00C475AA"/>
    <w:rsid w:val="00C476C6"/>
    <w:rsid w:val="00C47750"/>
    <w:rsid w:val="00C47DE9"/>
    <w:rsid w:val="00C50151"/>
    <w:rsid w:val="00C5064E"/>
    <w:rsid w:val="00C507CD"/>
    <w:rsid w:val="00C507EF"/>
    <w:rsid w:val="00C510A6"/>
    <w:rsid w:val="00C514A2"/>
    <w:rsid w:val="00C515A5"/>
    <w:rsid w:val="00C51668"/>
    <w:rsid w:val="00C51674"/>
    <w:rsid w:val="00C51A36"/>
    <w:rsid w:val="00C51C41"/>
    <w:rsid w:val="00C521BA"/>
    <w:rsid w:val="00C52200"/>
    <w:rsid w:val="00C5233F"/>
    <w:rsid w:val="00C523B0"/>
    <w:rsid w:val="00C524AE"/>
    <w:rsid w:val="00C527C7"/>
    <w:rsid w:val="00C53475"/>
    <w:rsid w:val="00C53720"/>
    <w:rsid w:val="00C53809"/>
    <w:rsid w:val="00C53A6A"/>
    <w:rsid w:val="00C53B23"/>
    <w:rsid w:val="00C53C98"/>
    <w:rsid w:val="00C53CF7"/>
    <w:rsid w:val="00C54038"/>
    <w:rsid w:val="00C54282"/>
    <w:rsid w:val="00C54B00"/>
    <w:rsid w:val="00C54C7B"/>
    <w:rsid w:val="00C54EBB"/>
    <w:rsid w:val="00C550C5"/>
    <w:rsid w:val="00C55248"/>
    <w:rsid w:val="00C55347"/>
    <w:rsid w:val="00C55613"/>
    <w:rsid w:val="00C55CF7"/>
    <w:rsid w:val="00C55E4C"/>
    <w:rsid w:val="00C567B8"/>
    <w:rsid w:val="00C56D9F"/>
    <w:rsid w:val="00C56E58"/>
    <w:rsid w:val="00C56F01"/>
    <w:rsid w:val="00C56F45"/>
    <w:rsid w:val="00C56FCF"/>
    <w:rsid w:val="00C571DF"/>
    <w:rsid w:val="00C572F6"/>
    <w:rsid w:val="00C57B26"/>
    <w:rsid w:val="00C57B6C"/>
    <w:rsid w:val="00C604C3"/>
    <w:rsid w:val="00C606C6"/>
    <w:rsid w:val="00C607AF"/>
    <w:rsid w:val="00C61508"/>
    <w:rsid w:val="00C61797"/>
    <w:rsid w:val="00C6191B"/>
    <w:rsid w:val="00C61A26"/>
    <w:rsid w:val="00C61A27"/>
    <w:rsid w:val="00C61A59"/>
    <w:rsid w:val="00C62583"/>
    <w:rsid w:val="00C628A6"/>
    <w:rsid w:val="00C62B34"/>
    <w:rsid w:val="00C632D2"/>
    <w:rsid w:val="00C633C2"/>
    <w:rsid w:val="00C63CD8"/>
    <w:rsid w:val="00C64344"/>
    <w:rsid w:val="00C643AB"/>
    <w:rsid w:val="00C6483D"/>
    <w:rsid w:val="00C64AC4"/>
    <w:rsid w:val="00C64B68"/>
    <w:rsid w:val="00C64B6F"/>
    <w:rsid w:val="00C64BDF"/>
    <w:rsid w:val="00C64CDF"/>
    <w:rsid w:val="00C64D63"/>
    <w:rsid w:val="00C64E88"/>
    <w:rsid w:val="00C64ECC"/>
    <w:rsid w:val="00C65108"/>
    <w:rsid w:val="00C6516B"/>
    <w:rsid w:val="00C65310"/>
    <w:rsid w:val="00C65538"/>
    <w:rsid w:val="00C65576"/>
    <w:rsid w:val="00C655D9"/>
    <w:rsid w:val="00C6581C"/>
    <w:rsid w:val="00C66165"/>
    <w:rsid w:val="00C66367"/>
    <w:rsid w:val="00C66558"/>
    <w:rsid w:val="00C6681F"/>
    <w:rsid w:val="00C66878"/>
    <w:rsid w:val="00C66963"/>
    <w:rsid w:val="00C66B7B"/>
    <w:rsid w:val="00C66DBE"/>
    <w:rsid w:val="00C6732E"/>
    <w:rsid w:val="00C67816"/>
    <w:rsid w:val="00C6786D"/>
    <w:rsid w:val="00C67B0F"/>
    <w:rsid w:val="00C67BB9"/>
    <w:rsid w:val="00C67E49"/>
    <w:rsid w:val="00C7060A"/>
    <w:rsid w:val="00C711BD"/>
    <w:rsid w:val="00C7121B"/>
    <w:rsid w:val="00C71357"/>
    <w:rsid w:val="00C71503"/>
    <w:rsid w:val="00C7151A"/>
    <w:rsid w:val="00C7151F"/>
    <w:rsid w:val="00C717E3"/>
    <w:rsid w:val="00C71CEA"/>
    <w:rsid w:val="00C71E98"/>
    <w:rsid w:val="00C71F60"/>
    <w:rsid w:val="00C71FF7"/>
    <w:rsid w:val="00C72241"/>
    <w:rsid w:val="00C7242D"/>
    <w:rsid w:val="00C72435"/>
    <w:rsid w:val="00C7277B"/>
    <w:rsid w:val="00C72AC6"/>
    <w:rsid w:val="00C72B3C"/>
    <w:rsid w:val="00C72F3E"/>
    <w:rsid w:val="00C72F49"/>
    <w:rsid w:val="00C7349C"/>
    <w:rsid w:val="00C7371D"/>
    <w:rsid w:val="00C738D3"/>
    <w:rsid w:val="00C73A5E"/>
    <w:rsid w:val="00C7468D"/>
    <w:rsid w:val="00C74FAF"/>
    <w:rsid w:val="00C75098"/>
    <w:rsid w:val="00C750C8"/>
    <w:rsid w:val="00C7560F"/>
    <w:rsid w:val="00C75666"/>
    <w:rsid w:val="00C75B54"/>
    <w:rsid w:val="00C763E7"/>
    <w:rsid w:val="00C7684C"/>
    <w:rsid w:val="00C76A68"/>
    <w:rsid w:val="00C771EB"/>
    <w:rsid w:val="00C77356"/>
    <w:rsid w:val="00C77540"/>
    <w:rsid w:val="00C77685"/>
    <w:rsid w:val="00C77859"/>
    <w:rsid w:val="00C77DFD"/>
    <w:rsid w:val="00C77F19"/>
    <w:rsid w:val="00C80319"/>
    <w:rsid w:val="00C80A0E"/>
    <w:rsid w:val="00C80E40"/>
    <w:rsid w:val="00C80E7F"/>
    <w:rsid w:val="00C810B0"/>
    <w:rsid w:val="00C810D6"/>
    <w:rsid w:val="00C81EAC"/>
    <w:rsid w:val="00C8213F"/>
    <w:rsid w:val="00C82492"/>
    <w:rsid w:val="00C82CC5"/>
    <w:rsid w:val="00C82E04"/>
    <w:rsid w:val="00C82F30"/>
    <w:rsid w:val="00C83025"/>
    <w:rsid w:val="00C8303F"/>
    <w:rsid w:val="00C83556"/>
    <w:rsid w:val="00C836D0"/>
    <w:rsid w:val="00C83919"/>
    <w:rsid w:val="00C83A98"/>
    <w:rsid w:val="00C83EDB"/>
    <w:rsid w:val="00C84241"/>
    <w:rsid w:val="00C84279"/>
    <w:rsid w:val="00C84730"/>
    <w:rsid w:val="00C84916"/>
    <w:rsid w:val="00C84A47"/>
    <w:rsid w:val="00C84D20"/>
    <w:rsid w:val="00C85154"/>
    <w:rsid w:val="00C853F5"/>
    <w:rsid w:val="00C8595C"/>
    <w:rsid w:val="00C85A70"/>
    <w:rsid w:val="00C85BBC"/>
    <w:rsid w:val="00C860CE"/>
    <w:rsid w:val="00C86468"/>
    <w:rsid w:val="00C864BC"/>
    <w:rsid w:val="00C865F4"/>
    <w:rsid w:val="00C86745"/>
    <w:rsid w:val="00C86994"/>
    <w:rsid w:val="00C86A99"/>
    <w:rsid w:val="00C86B45"/>
    <w:rsid w:val="00C86CF6"/>
    <w:rsid w:val="00C870E2"/>
    <w:rsid w:val="00C87640"/>
    <w:rsid w:val="00C876D6"/>
    <w:rsid w:val="00C8797A"/>
    <w:rsid w:val="00C87B9C"/>
    <w:rsid w:val="00C87D86"/>
    <w:rsid w:val="00C900B8"/>
    <w:rsid w:val="00C90197"/>
    <w:rsid w:val="00C902E5"/>
    <w:rsid w:val="00C903F7"/>
    <w:rsid w:val="00C905FA"/>
    <w:rsid w:val="00C90861"/>
    <w:rsid w:val="00C90BC4"/>
    <w:rsid w:val="00C90C71"/>
    <w:rsid w:val="00C90CFB"/>
    <w:rsid w:val="00C913A1"/>
    <w:rsid w:val="00C913F1"/>
    <w:rsid w:val="00C919A8"/>
    <w:rsid w:val="00C91AFE"/>
    <w:rsid w:val="00C91BC5"/>
    <w:rsid w:val="00C91D00"/>
    <w:rsid w:val="00C91D6A"/>
    <w:rsid w:val="00C91D79"/>
    <w:rsid w:val="00C91E37"/>
    <w:rsid w:val="00C91FD1"/>
    <w:rsid w:val="00C9217A"/>
    <w:rsid w:val="00C923CF"/>
    <w:rsid w:val="00C92DA5"/>
    <w:rsid w:val="00C931CF"/>
    <w:rsid w:val="00C9328A"/>
    <w:rsid w:val="00C934DA"/>
    <w:rsid w:val="00C935DA"/>
    <w:rsid w:val="00C938CF"/>
    <w:rsid w:val="00C938EA"/>
    <w:rsid w:val="00C93941"/>
    <w:rsid w:val="00C939EB"/>
    <w:rsid w:val="00C93B41"/>
    <w:rsid w:val="00C93CD0"/>
    <w:rsid w:val="00C93DE8"/>
    <w:rsid w:val="00C94053"/>
    <w:rsid w:val="00C9415E"/>
    <w:rsid w:val="00C94261"/>
    <w:rsid w:val="00C94366"/>
    <w:rsid w:val="00C945CB"/>
    <w:rsid w:val="00C94ACE"/>
    <w:rsid w:val="00C94BFB"/>
    <w:rsid w:val="00C94E12"/>
    <w:rsid w:val="00C94F28"/>
    <w:rsid w:val="00C956AA"/>
    <w:rsid w:val="00C957F3"/>
    <w:rsid w:val="00C95A5D"/>
    <w:rsid w:val="00C95FC9"/>
    <w:rsid w:val="00C961BA"/>
    <w:rsid w:val="00C9624D"/>
    <w:rsid w:val="00C96357"/>
    <w:rsid w:val="00C964BD"/>
    <w:rsid w:val="00C9652E"/>
    <w:rsid w:val="00C968CF"/>
    <w:rsid w:val="00C969DA"/>
    <w:rsid w:val="00C96C05"/>
    <w:rsid w:val="00C96DCE"/>
    <w:rsid w:val="00C975A0"/>
    <w:rsid w:val="00C97C7E"/>
    <w:rsid w:val="00C97F7E"/>
    <w:rsid w:val="00CA0B30"/>
    <w:rsid w:val="00CA1053"/>
    <w:rsid w:val="00CA10EE"/>
    <w:rsid w:val="00CA12CC"/>
    <w:rsid w:val="00CA132E"/>
    <w:rsid w:val="00CA13E6"/>
    <w:rsid w:val="00CA16D5"/>
    <w:rsid w:val="00CA16FA"/>
    <w:rsid w:val="00CA1D31"/>
    <w:rsid w:val="00CA222B"/>
    <w:rsid w:val="00CA24D0"/>
    <w:rsid w:val="00CA2764"/>
    <w:rsid w:val="00CA2827"/>
    <w:rsid w:val="00CA2C77"/>
    <w:rsid w:val="00CA2D77"/>
    <w:rsid w:val="00CA31AD"/>
    <w:rsid w:val="00CA3763"/>
    <w:rsid w:val="00CA38C7"/>
    <w:rsid w:val="00CA444F"/>
    <w:rsid w:val="00CA4DC7"/>
    <w:rsid w:val="00CA5245"/>
    <w:rsid w:val="00CA54AF"/>
    <w:rsid w:val="00CA5723"/>
    <w:rsid w:val="00CA5B54"/>
    <w:rsid w:val="00CA5D5E"/>
    <w:rsid w:val="00CA5E3D"/>
    <w:rsid w:val="00CA5E9D"/>
    <w:rsid w:val="00CA6336"/>
    <w:rsid w:val="00CA6862"/>
    <w:rsid w:val="00CA6F7B"/>
    <w:rsid w:val="00CA70DE"/>
    <w:rsid w:val="00CA71BA"/>
    <w:rsid w:val="00CA71F4"/>
    <w:rsid w:val="00CA7556"/>
    <w:rsid w:val="00CA7B09"/>
    <w:rsid w:val="00CA7C72"/>
    <w:rsid w:val="00CA7DD8"/>
    <w:rsid w:val="00CB01BD"/>
    <w:rsid w:val="00CB0BC0"/>
    <w:rsid w:val="00CB0C86"/>
    <w:rsid w:val="00CB0EF0"/>
    <w:rsid w:val="00CB103F"/>
    <w:rsid w:val="00CB12A5"/>
    <w:rsid w:val="00CB13B7"/>
    <w:rsid w:val="00CB149D"/>
    <w:rsid w:val="00CB1CAC"/>
    <w:rsid w:val="00CB20B7"/>
    <w:rsid w:val="00CB2153"/>
    <w:rsid w:val="00CB24B7"/>
    <w:rsid w:val="00CB24D4"/>
    <w:rsid w:val="00CB28DA"/>
    <w:rsid w:val="00CB2EE3"/>
    <w:rsid w:val="00CB2F2A"/>
    <w:rsid w:val="00CB3FC8"/>
    <w:rsid w:val="00CB4132"/>
    <w:rsid w:val="00CB437A"/>
    <w:rsid w:val="00CB443A"/>
    <w:rsid w:val="00CB4834"/>
    <w:rsid w:val="00CB4CA8"/>
    <w:rsid w:val="00CB4E4B"/>
    <w:rsid w:val="00CB4E9F"/>
    <w:rsid w:val="00CB51A9"/>
    <w:rsid w:val="00CB5429"/>
    <w:rsid w:val="00CB5B1A"/>
    <w:rsid w:val="00CB5F46"/>
    <w:rsid w:val="00CB5FBC"/>
    <w:rsid w:val="00CB5FE6"/>
    <w:rsid w:val="00CB6068"/>
    <w:rsid w:val="00CB62FB"/>
    <w:rsid w:val="00CB662D"/>
    <w:rsid w:val="00CB6962"/>
    <w:rsid w:val="00CB6B22"/>
    <w:rsid w:val="00CB6DAE"/>
    <w:rsid w:val="00CB7B96"/>
    <w:rsid w:val="00CB7BD5"/>
    <w:rsid w:val="00CB7E13"/>
    <w:rsid w:val="00CB7F5F"/>
    <w:rsid w:val="00CC026B"/>
    <w:rsid w:val="00CC0628"/>
    <w:rsid w:val="00CC0755"/>
    <w:rsid w:val="00CC0A61"/>
    <w:rsid w:val="00CC1127"/>
    <w:rsid w:val="00CC11F9"/>
    <w:rsid w:val="00CC121D"/>
    <w:rsid w:val="00CC12B3"/>
    <w:rsid w:val="00CC12C9"/>
    <w:rsid w:val="00CC12D9"/>
    <w:rsid w:val="00CC16E8"/>
    <w:rsid w:val="00CC16F1"/>
    <w:rsid w:val="00CC188F"/>
    <w:rsid w:val="00CC1B39"/>
    <w:rsid w:val="00CC1B6C"/>
    <w:rsid w:val="00CC1B87"/>
    <w:rsid w:val="00CC1BFA"/>
    <w:rsid w:val="00CC239F"/>
    <w:rsid w:val="00CC23FF"/>
    <w:rsid w:val="00CC24D4"/>
    <w:rsid w:val="00CC29EC"/>
    <w:rsid w:val="00CC2AFB"/>
    <w:rsid w:val="00CC2DBC"/>
    <w:rsid w:val="00CC2E9F"/>
    <w:rsid w:val="00CC35EA"/>
    <w:rsid w:val="00CC3848"/>
    <w:rsid w:val="00CC3BD5"/>
    <w:rsid w:val="00CC3BE7"/>
    <w:rsid w:val="00CC3CF9"/>
    <w:rsid w:val="00CC410C"/>
    <w:rsid w:val="00CC49F8"/>
    <w:rsid w:val="00CC4B1C"/>
    <w:rsid w:val="00CC5363"/>
    <w:rsid w:val="00CC5459"/>
    <w:rsid w:val="00CC5627"/>
    <w:rsid w:val="00CC5DFB"/>
    <w:rsid w:val="00CC6018"/>
    <w:rsid w:val="00CC6318"/>
    <w:rsid w:val="00CC6518"/>
    <w:rsid w:val="00CC66A8"/>
    <w:rsid w:val="00CC673D"/>
    <w:rsid w:val="00CC6D5E"/>
    <w:rsid w:val="00CC6ED5"/>
    <w:rsid w:val="00CC7096"/>
    <w:rsid w:val="00CC7239"/>
    <w:rsid w:val="00CC72F1"/>
    <w:rsid w:val="00CC7D7B"/>
    <w:rsid w:val="00CD0200"/>
    <w:rsid w:val="00CD0463"/>
    <w:rsid w:val="00CD086F"/>
    <w:rsid w:val="00CD0C2C"/>
    <w:rsid w:val="00CD0D1A"/>
    <w:rsid w:val="00CD158A"/>
    <w:rsid w:val="00CD15BF"/>
    <w:rsid w:val="00CD17AB"/>
    <w:rsid w:val="00CD19E0"/>
    <w:rsid w:val="00CD1FFB"/>
    <w:rsid w:val="00CD2738"/>
    <w:rsid w:val="00CD2944"/>
    <w:rsid w:val="00CD2D93"/>
    <w:rsid w:val="00CD2F32"/>
    <w:rsid w:val="00CD30AA"/>
    <w:rsid w:val="00CD3D08"/>
    <w:rsid w:val="00CD3D29"/>
    <w:rsid w:val="00CD3F77"/>
    <w:rsid w:val="00CD4102"/>
    <w:rsid w:val="00CD413A"/>
    <w:rsid w:val="00CD44A6"/>
    <w:rsid w:val="00CD4514"/>
    <w:rsid w:val="00CD46E7"/>
    <w:rsid w:val="00CD4EEC"/>
    <w:rsid w:val="00CD546F"/>
    <w:rsid w:val="00CD5713"/>
    <w:rsid w:val="00CD5998"/>
    <w:rsid w:val="00CD5B1A"/>
    <w:rsid w:val="00CD5FD9"/>
    <w:rsid w:val="00CD64A8"/>
    <w:rsid w:val="00CD669B"/>
    <w:rsid w:val="00CD66F2"/>
    <w:rsid w:val="00CD67FC"/>
    <w:rsid w:val="00CD69F4"/>
    <w:rsid w:val="00CD6ADC"/>
    <w:rsid w:val="00CD6DF0"/>
    <w:rsid w:val="00CD7193"/>
    <w:rsid w:val="00CD745A"/>
    <w:rsid w:val="00CD750E"/>
    <w:rsid w:val="00CD7788"/>
    <w:rsid w:val="00CD7CED"/>
    <w:rsid w:val="00CD7D9E"/>
    <w:rsid w:val="00CE020C"/>
    <w:rsid w:val="00CE0713"/>
    <w:rsid w:val="00CE071E"/>
    <w:rsid w:val="00CE0784"/>
    <w:rsid w:val="00CE0ABD"/>
    <w:rsid w:val="00CE0B15"/>
    <w:rsid w:val="00CE0B91"/>
    <w:rsid w:val="00CE106D"/>
    <w:rsid w:val="00CE1623"/>
    <w:rsid w:val="00CE16EE"/>
    <w:rsid w:val="00CE1BE0"/>
    <w:rsid w:val="00CE1C03"/>
    <w:rsid w:val="00CE1CBA"/>
    <w:rsid w:val="00CE2122"/>
    <w:rsid w:val="00CE244F"/>
    <w:rsid w:val="00CE2B5A"/>
    <w:rsid w:val="00CE2CC5"/>
    <w:rsid w:val="00CE308D"/>
    <w:rsid w:val="00CE38C8"/>
    <w:rsid w:val="00CE3D6C"/>
    <w:rsid w:val="00CE3E26"/>
    <w:rsid w:val="00CE3FCA"/>
    <w:rsid w:val="00CE40B0"/>
    <w:rsid w:val="00CE4CF3"/>
    <w:rsid w:val="00CE524F"/>
    <w:rsid w:val="00CE58CC"/>
    <w:rsid w:val="00CE6274"/>
    <w:rsid w:val="00CE65A6"/>
    <w:rsid w:val="00CE68C9"/>
    <w:rsid w:val="00CE7200"/>
    <w:rsid w:val="00CE7301"/>
    <w:rsid w:val="00CE7769"/>
    <w:rsid w:val="00CE77B6"/>
    <w:rsid w:val="00CE783B"/>
    <w:rsid w:val="00CE78B6"/>
    <w:rsid w:val="00CE7FA4"/>
    <w:rsid w:val="00CF0D06"/>
    <w:rsid w:val="00CF1260"/>
    <w:rsid w:val="00CF1638"/>
    <w:rsid w:val="00CF1D1F"/>
    <w:rsid w:val="00CF2068"/>
    <w:rsid w:val="00CF20FF"/>
    <w:rsid w:val="00CF2375"/>
    <w:rsid w:val="00CF251A"/>
    <w:rsid w:val="00CF2811"/>
    <w:rsid w:val="00CF2B8D"/>
    <w:rsid w:val="00CF2CCC"/>
    <w:rsid w:val="00CF2E81"/>
    <w:rsid w:val="00CF36E7"/>
    <w:rsid w:val="00CF3A1B"/>
    <w:rsid w:val="00CF3A5C"/>
    <w:rsid w:val="00CF420D"/>
    <w:rsid w:val="00CF456B"/>
    <w:rsid w:val="00CF469A"/>
    <w:rsid w:val="00CF4AB8"/>
    <w:rsid w:val="00CF5A22"/>
    <w:rsid w:val="00CF5CF1"/>
    <w:rsid w:val="00CF6117"/>
    <w:rsid w:val="00CF65E9"/>
    <w:rsid w:val="00CF668D"/>
    <w:rsid w:val="00CF67FA"/>
    <w:rsid w:val="00CF7089"/>
    <w:rsid w:val="00CF7487"/>
    <w:rsid w:val="00CF7F24"/>
    <w:rsid w:val="00D002E6"/>
    <w:rsid w:val="00D006E0"/>
    <w:rsid w:val="00D00A07"/>
    <w:rsid w:val="00D00AA4"/>
    <w:rsid w:val="00D00EBA"/>
    <w:rsid w:val="00D01086"/>
    <w:rsid w:val="00D010FB"/>
    <w:rsid w:val="00D013DA"/>
    <w:rsid w:val="00D0194A"/>
    <w:rsid w:val="00D02590"/>
    <w:rsid w:val="00D0262E"/>
    <w:rsid w:val="00D026B4"/>
    <w:rsid w:val="00D029DC"/>
    <w:rsid w:val="00D02A5E"/>
    <w:rsid w:val="00D030C2"/>
    <w:rsid w:val="00D035BA"/>
    <w:rsid w:val="00D03679"/>
    <w:rsid w:val="00D03686"/>
    <w:rsid w:val="00D03878"/>
    <w:rsid w:val="00D03A02"/>
    <w:rsid w:val="00D03BC8"/>
    <w:rsid w:val="00D03F61"/>
    <w:rsid w:val="00D04158"/>
    <w:rsid w:val="00D0448A"/>
    <w:rsid w:val="00D04A2F"/>
    <w:rsid w:val="00D04AEC"/>
    <w:rsid w:val="00D04D0D"/>
    <w:rsid w:val="00D04F9C"/>
    <w:rsid w:val="00D05020"/>
    <w:rsid w:val="00D0506B"/>
    <w:rsid w:val="00D051B6"/>
    <w:rsid w:val="00D0566B"/>
    <w:rsid w:val="00D05793"/>
    <w:rsid w:val="00D057E5"/>
    <w:rsid w:val="00D059B0"/>
    <w:rsid w:val="00D05B38"/>
    <w:rsid w:val="00D05DCD"/>
    <w:rsid w:val="00D05E3D"/>
    <w:rsid w:val="00D06139"/>
    <w:rsid w:val="00D065D5"/>
    <w:rsid w:val="00D067CB"/>
    <w:rsid w:val="00D06E7E"/>
    <w:rsid w:val="00D07210"/>
    <w:rsid w:val="00D07677"/>
    <w:rsid w:val="00D07B0F"/>
    <w:rsid w:val="00D10115"/>
    <w:rsid w:val="00D101A9"/>
    <w:rsid w:val="00D10307"/>
    <w:rsid w:val="00D1045D"/>
    <w:rsid w:val="00D10C26"/>
    <w:rsid w:val="00D10DA1"/>
    <w:rsid w:val="00D110BD"/>
    <w:rsid w:val="00D111DE"/>
    <w:rsid w:val="00D11628"/>
    <w:rsid w:val="00D11CF0"/>
    <w:rsid w:val="00D11DE0"/>
    <w:rsid w:val="00D11E9E"/>
    <w:rsid w:val="00D11EC3"/>
    <w:rsid w:val="00D122CA"/>
    <w:rsid w:val="00D12853"/>
    <w:rsid w:val="00D12893"/>
    <w:rsid w:val="00D12A8F"/>
    <w:rsid w:val="00D12CEB"/>
    <w:rsid w:val="00D12D93"/>
    <w:rsid w:val="00D1337D"/>
    <w:rsid w:val="00D1350C"/>
    <w:rsid w:val="00D13675"/>
    <w:rsid w:val="00D136C3"/>
    <w:rsid w:val="00D13B8C"/>
    <w:rsid w:val="00D13E73"/>
    <w:rsid w:val="00D141E1"/>
    <w:rsid w:val="00D14326"/>
    <w:rsid w:val="00D147FF"/>
    <w:rsid w:val="00D14B06"/>
    <w:rsid w:val="00D15140"/>
    <w:rsid w:val="00D152E6"/>
    <w:rsid w:val="00D15314"/>
    <w:rsid w:val="00D15A13"/>
    <w:rsid w:val="00D15B48"/>
    <w:rsid w:val="00D15E20"/>
    <w:rsid w:val="00D1689A"/>
    <w:rsid w:val="00D168E1"/>
    <w:rsid w:val="00D16B02"/>
    <w:rsid w:val="00D17370"/>
    <w:rsid w:val="00D17535"/>
    <w:rsid w:val="00D1771F"/>
    <w:rsid w:val="00D1793D"/>
    <w:rsid w:val="00D17D6C"/>
    <w:rsid w:val="00D201F7"/>
    <w:rsid w:val="00D20325"/>
    <w:rsid w:val="00D206D5"/>
    <w:rsid w:val="00D20986"/>
    <w:rsid w:val="00D20B50"/>
    <w:rsid w:val="00D20D54"/>
    <w:rsid w:val="00D20EE9"/>
    <w:rsid w:val="00D2110C"/>
    <w:rsid w:val="00D21495"/>
    <w:rsid w:val="00D2155B"/>
    <w:rsid w:val="00D218E0"/>
    <w:rsid w:val="00D22211"/>
    <w:rsid w:val="00D22BF9"/>
    <w:rsid w:val="00D22C23"/>
    <w:rsid w:val="00D2332A"/>
    <w:rsid w:val="00D234DB"/>
    <w:rsid w:val="00D23515"/>
    <w:rsid w:val="00D237F2"/>
    <w:rsid w:val="00D23920"/>
    <w:rsid w:val="00D23ADA"/>
    <w:rsid w:val="00D23C73"/>
    <w:rsid w:val="00D23D11"/>
    <w:rsid w:val="00D23D29"/>
    <w:rsid w:val="00D240F2"/>
    <w:rsid w:val="00D244B6"/>
    <w:rsid w:val="00D25277"/>
    <w:rsid w:val="00D25889"/>
    <w:rsid w:val="00D25C75"/>
    <w:rsid w:val="00D25CD8"/>
    <w:rsid w:val="00D25E74"/>
    <w:rsid w:val="00D2679A"/>
    <w:rsid w:val="00D26A1D"/>
    <w:rsid w:val="00D26DBB"/>
    <w:rsid w:val="00D2754D"/>
    <w:rsid w:val="00D27598"/>
    <w:rsid w:val="00D27750"/>
    <w:rsid w:val="00D27A12"/>
    <w:rsid w:val="00D27AA7"/>
    <w:rsid w:val="00D27B27"/>
    <w:rsid w:val="00D27C05"/>
    <w:rsid w:val="00D27C90"/>
    <w:rsid w:val="00D27E28"/>
    <w:rsid w:val="00D27E7A"/>
    <w:rsid w:val="00D3043D"/>
    <w:rsid w:val="00D3065A"/>
    <w:rsid w:val="00D30D5B"/>
    <w:rsid w:val="00D3129F"/>
    <w:rsid w:val="00D315E5"/>
    <w:rsid w:val="00D31A53"/>
    <w:rsid w:val="00D31AD8"/>
    <w:rsid w:val="00D31C7F"/>
    <w:rsid w:val="00D31E96"/>
    <w:rsid w:val="00D32054"/>
    <w:rsid w:val="00D321CF"/>
    <w:rsid w:val="00D324F5"/>
    <w:rsid w:val="00D32E81"/>
    <w:rsid w:val="00D330C6"/>
    <w:rsid w:val="00D33481"/>
    <w:rsid w:val="00D334D2"/>
    <w:rsid w:val="00D334F2"/>
    <w:rsid w:val="00D33575"/>
    <w:rsid w:val="00D335D6"/>
    <w:rsid w:val="00D33B1D"/>
    <w:rsid w:val="00D33BA3"/>
    <w:rsid w:val="00D33BE9"/>
    <w:rsid w:val="00D33F93"/>
    <w:rsid w:val="00D34067"/>
    <w:rsid w:val="00D34272"/>
    <w:rsid w:val="00D342E6"/>
    <w:rsid w:val="00D3451A"/>
    <w:rsid w:val="00D3462A"/>
    <w:rsid w:val="00D349BF"/>
    <w:rsid w:val="00D34E88"/>
    <w:rsid w:val="00D34F06"/>
    <w:rsid w:val="00D35166"/>
    <w:rsid w:val="00D351B7"/>
    <w:rsid w:val="00D35335"/>
    <w:rsid w:val="00D356FA"/>
    <w:rsid w:val="00D35760"/>
    <w:rsid w:val="00D357FF"/>
    <w:rsid w:val="00D35810"/>
    <w:rsid w:val="00D36E94"/>
    <w:rsid w:val="00D37035"/>
    <w:rsid w:val="00D370F1"/>
    <w:rsid w:val="00D37B20"/>
    <w:rsid w:val="00D37DBF"/>
    <w:rsid w:val="00D4038B"/>
    <w:rsid w:val="00D40573"/>
    <w:rsid w:val="00D40A97"/>
    <w:rsid w:val="00D40D8A"/>
    <w:rsid w:val="00D40FA9"/>
    <w:rsid w:val="00D41073"/>
    <w:rsid w:val="00D4135F"/>
    <w:rsid w:val="00D41454"/>
    <w:rsid w:val="00D415CC"/>
    <w:rsid w:val="00D4169E"/>
    <w:rsid w:val="00D41740"/>
    <w:rsid w:val="00D417BB"/>
    <w:rsid w:val="00D420E3"/>
    <w:rsid w:val="00D42434"/>
    <w:rsid w:val="00D42442"/>
    <w:rsid w:val="00D424C7"/>
    <w:rsid w:val="00D42A37"/>
    <w:rsid w:val="00D42DB5"/>
    <w:rsid w:val="00D432D5"/>
    <w:rsid w:val="00D434FE"/>
    <w:rsid w:val="00D43692"/>
    <w:rsid w:val="00D436EA"/>
    <w:rsid w:val="00D438FB"/>
    <w:rsid w:val="00D43B2A"/>
    <w:rsid w:val="00D43CF1"/>
    <w:rsid w:val="00D43D51"/>
    <w:rsid w:val="00D43D83"/>
    <w:rsid w:val="00D43D84"/>
    <w:rsid w:val="00D43DDC"/>
    <w:rsid w:val="00D43E9E"/>
    <w:rsid w:val="00D440C7"/>
    <w:rsid w:val="00D441BD"/>
    <w:rsid w:val="00D44270"/>
    <w:rsid w:val="00D44305"/>
    <w:rsid w:val="00D44665"/>
    <w:rsid w:val="00D446AE"/>
    <w:rsid w:val="00D4472B"/>
    <w:rsid w:val="00D44742"/>
    <w:rsid w:val="00D448D4"/>
    <w:rsid w:val="00D44986"/>
    <w:rsid w:val="00D44B15"/>
    <w:rsid w:val="00D44B74"/>
    <w:rsid w:val="00D44D3B"/>
    <w:rsid w:val="00D44D99"/>
    <w:rsid w:val="00D44F87"/>
    <w:rsid w:val="00D450FF"/>
    <w:rsid w:val="00D4530E"/>
    <w:rsid w:val="00D4560C"/>
    <w:rsid w:val="00D458D0"/>
    <w:rsid w:val="00D45B77"/>
    <w:rsid w:val="00D45EF4"/>
    <w:rsid w:val="00D4634D"/>
    <w:rsid w:val="00D46455"/>
    <w:rsid w:val="00D4662C"/>
    <w:rsid w:val="00D467EF"/>
    <w:rsid w:val="00D46927"/>
    <w:rsid w:val="00D46A6D"/>
    <w:rsid w:val="00D46B29"/>
    <w:rsid w:val="00D46BBF"/>
    <w:rsid w:val="00D46CED"/>
    <w:rsid w:val="00D46D41"/>
    <w:rsid w:val="00D46D9A"/>
    <w:rsid w:val="00D46D9E"/>
    <w:rsid w:val="00D47179"/>
    <w:rsid w:val="00D4747B"/>
    <w:rsid w:val="00D47575"/>
    <w:rsid w:val="00D47A7C"/>
    <w:rsid w:val="00D47ACD"/>
    <w:rsid w:val="00D47CDA"/>
    <w:rsid w:val="00D47D70"/>
    <w:rsid w:val="00D47EBB"/>
    <w:rsid w:val="00D47F0B"/>
    <w:rsid w:val="00D500C1"/>
    <w:rsid w:val="00D509AD"/>
    <w:rsid w:val="00D509C0"/>
    <w:rsid w:val="00D50A2C"/>
    <w:rsid w:val="00D50E1E"/>
    <w:rsid w:val="00D5102D"/>
    <w:rsid w:val="00D51E97"/>
    <w:rsid w:val="00D51FD5"/>
    <w:rsid w:val="00D522E1"/>
    <w:rsid w:val="00D5243B"/>
    <w:rsid w:val="00D52F43"/>
    <w:rsid w:val="00D53344"/>
    <w:rsid w:val="00D53378"/>
    <w:rsid w:val="00D533EC"/>
    <w:rsid w:val="00D535D7"/>
    <w:rsid w:val="00D5374D"/>
    <w:rsid w:val="00D5387E"/>
    <w:rsid w:val="00D539E9"/>
    <w:rsid w:val="00D54481"/>
    <w:rsid w:val="00D5452D"/>
    <w:rsid w:val="00D54662"/>
    <w:rsid w:val="00D54A68"/>
    <w:rsid w:val="00D54EA3"/>
    <w:rsid w:val="00D5505B"/>
    <w:rsid w:val="00D55218"/>
    <w:rsid w:val="00D5584C"/>
    <w:rsid w:val="00D559EF"/>
    <w:rsid w:val="00D55F8C"/>
    <w:rsid w:val="00D5647D"/>
    <w:rsid w:val="00D56A95"/>
    <w:rsid w:val="00D56C89"/>
    <w:rsid w:val="00D57546"/>
    <w:rsid w:val="00D577C2"/>
    <w:rsid w:val="00D5798B"/>
    <w:rsid w:val="00D57C5F"/>
    <w:rsid w:val="00D57E23"/>
    <w:rsid w:val="00D57F03"/>
    <w:rsid w:val="00D6076E"/>
    <w:rsid w:val="00D60BB7"/>
    <w:rsid w:val="00D60E4F"/>
    <w:rsid w:val="00D60EF2"/>
    <w:rsid w:val="00D6144D"/>
    <w:rsid w:val="00D614FD"/>
    <w:rsid w:val="00D615F2"/>
    <w:rsid w:val="00D619E8"/>
    <w:rsid w:val="00D61AB7"/>
    <w:rsid w:val="00D61EFE"/>
    <w:rsid w:val="00D62139"/>
    <w:rsid w:val="00D62F29"/>
    <w:rsid w:val="00D63217"/>
    <w:rsid w:val="00D6373A"/>
    <w:rsid w:val="00D63970"/>
    <w:rsid w:val="00D63B6D"/>
    <w:rsid w:val="00D63B79"/>
    <w:rsid w:val="00D63C5E"/>
    <w:rsid w:val="00D645D9"/>
    <w:rsid w:val="00D64705"/>
    <w:rsid w:val="00D64B67"/>
    <w:rsid w:val="00D64DBD"/>
    <w:rsid w:val="00D64E05"/>
    <w:rsid w:val="00D653E6"/>
    <w:rsid w:val="00D659A2"/>
    <w:rsid w:val="00D65A0E"/>
    <w:rsid w:val="00D65C89"/>
    <w:rsid w:val="00D65D67"/>
    <w:rsid w:val="00D65E79"/>
    <w:rsid w:val="00D65F5A"/>
    <w:rsid w:val="00D66359"/>
    <w:rsid w:val="00D665DE"/>
    <w:rsid w:val="00D66795"/>
    <w:rsid w:val="00D66A8C"/>
    <w:rsid w:val="00D66EDD"/>
    <w:rsid w:val="00D673BE"/>
    <w:rsid w:val="00D674D6"/>
    <w:rsid w:val="00D67C12"/>
    <w:rsid w:val="00D702DA"/>
    <w:rsid w:val="00D7059B"/>
    <w:rsid w:val="00D70BCD"/>
    <w:rsid w:val="00D70C67"/>
    <w:rsid w:val="00D70F16"/>
    <w:rsid w:val="00D7112A"/>
    <w:rsid w:val="00D7112B"/>
    <w:rsid w:val="00D71587"/>
    <w:rsid w:val="00D7164B"/>
    <w:rsid w:val="00D71817"/>
    <w:rsid w:val="00D71B12"/>
    <w:rsid w:val="00D71D55"/>
    <w:rsid w:val="00D722F9"/>
    <w:rsid w:val="00D723AB"/>
    <w:rsid w:val="00D72586"/>
    <w:rsid w:val="00D72617"/>
    <w:rsid w:val="00D72F57"/>
    <w:rsid w:val="00D7303B"/>
    <w:rsid w:val="00D7311D"/>
    <w:rsid w:val="00D73137"/>
    <w:rsid w:val="00D73274"/>
    <w:rsid w:val="00D73953"/>
    <w:rsid w:val="00D73D0E"/>
    <w:rsid w:val="00D7448B"/>
    <w:rsid w:val="00D745DC"/>
    <w:rsid w:val="00D74669"/>
    <w:rsid w:val="00D7469A"/>
    <w:rsid w:val="00D747A6"/>
    <w:rsid w:val="00D74AE5"/>
    <w:rsid w:val="00D74D7F"/>
    <w:rsid w:val="00D75366"/>
    <w:rsid w:val="00D757D0"/>
    <w:rsid w:val="00D7586D"/>
    <w:rsid w:val="00D759CB"/>
    <w:rsid w:val="00D7650C"/>
    <w:rsid w:val="00D76650"/>
    <w:rsid w:val="00D7670D"/>
    <w:rsid w:val="00D76794"/>
    <w:rsid w:val="00D76A44"/>
    <w:rsid w:val="00D76B4D"/>
    <w:rsid w:val="00D76BC3"/>
    <w:rsid w:val="00D76E5B"/>
    <w:rsid w:val="00D76EDC"/>
    <w:rsid w:val="00D7733C"/>
    <w:rsid w:val="00D7792F"/>
    <w:rsid w:val="00D77934"/>
    <w:rsid w:val="00D8046D"/>
    <w:rsid w:val="00D8079F"/>
    <w:rsid w:val="00D80954"/>
    <w:rsid w:val="00D80BFE"/>
    <w:rsid w:val="00D810FA"/>
    <w:rsid w:val="00D815EF"/>
    <w:rsid w:val="00D8164C"/>
    <w:rsid w:val="00D81767"/>
    <w:rsid w:val="00D81949"/>
    <w:rsid w:val="00D81A78"/>
    <w:rsid w:val="00D81F26"/>
    <w:rsid w:val="00D81F56"/>
    <w:rsid w:val="00D8226E"/>
    <w:rsid w:val="00D822E2"/>
    <w:rsid w:val="00D831EF"/>
    <w:rsid w:val="00D8320D"/>
    <w:rsid w:val="00D83585"/>
    <w:rsid w:val="00D8378F"/>
    <w:rsid w:val="00D838D6"/>
    <w:rsid w:val="00D83B7A"/>
    <w:rsid w:val="00D83BE7"/>
    <w:rsid w:val="00D83D10"/>
    <w:rsid w:val="00D83F60"/>
    <w:rsid w:val="00D83FD7"/>
    <w:rsid w:val="00D84153"/>
    <w:rsid w:val="00D8419B"/>
    <w:rsid w:val="00D843F2"/>
    <w:rsid w:val="00D8474B"/>
    <w:rsid w:val="00D84B1D"/>
    <w:rsid w:val="00D8526C"/>
    <w:rsid w:val="00D856D0"/>
    <w:rsid w:val="00D85941"/>
    <w:rsid w:val="00D85DA4"/>
    <w:rsid w:val="00D86231"/>
    <w:rsid w:val="00D86C30"/>
    <w:rsid w:val="00D86CE6"/>
    <w:rsid w:val="00D86D9F"/>
    <w:rsid w:val="00D86E3E"/>
    <w:rsid w:val="00D86F3E"/>
    <w:rsid w:val="00D87120"/>
    <w:rsid w:val="00D8793D"/>
    <w:rsid w:val="00D8797D"/>
    <w:rsid w:val="00D87A16"/>
    <w:rsid w:val="00D9010F"/>
    <w:rsid w:val="00D905C5"/>
    <w:rsid w:val="00D90751"/>
    <w:rsid w:val="00D90FD5"/>
    <w:rsid w:val="00D912AB"/>
    <w:rsid w:val="00D913F4"/>
    <w:rsid w:val="00D913FD"/>
    <w:rsid w:val="00D917CB"/>
    <w:rsid w:val="00D91923"/>
    <w:rsid w:val="00D920B0"/>
    <w:rsid w:val="00D92515"/>
    <w:rsid w:val="00D928C7"/>
    <w:rsid w:val="00D92ACC"/>
    <w:rsid w:val="00D92B21"/>
    <w:rsid w:val="00D92D57"/>
    <w:rsid w:val="00D92D9D"/>
    <w:rsid w:val="00D92DE5"/>
    <w:rsid w:val="00D92F51"/>
    <w:rsid w:val="00D92FAA"/>
    <w:rsid w:val="00D930FF"/>
    <w:rsid w:val="00D93219"/>
    <w:rsid w:val="00D9358D"/>
    <w:rsid w:val="00D93753"/>
    <w:rsid w:val="00D93812"/>
    <w:rsid w:val="00D93AB8"/>
    <w:rsid w:val="00D93EC2"/>
    <w:rsid w:val="00D94271"/>
    <w:rsid w:val="00D94837"/>
    <w:rsid w:val="00D94BA4"/>
    <w:rsid w:val="00D94C29"/>
    <w:rsid w:val="00D94DDA"/>
    <w:rsid w:val="00D9574B"/>
    <w:rsid w:val="00D95A0E"/>
    <w:rsid w:val="00D95BC5"/>
    <w:rsid w:val="00D95C0F"/>
    <w:rsid w:val="00D95CEA"/>
    <w:rsid w:val="00D96271"/>
    <w:rsid w:val="00D962A4"/>
    <w:rsid w:val="00D96822"/>
    <w:rsid w:val="00D96888"/>
    <w:rsid w:val="00D96DE4"/>
    <w:rsid w:val="00D9704D"/>
    <w:rsid w:val="00D97415"/>
    <w:rsid w:val="00D9749A"/>
    <w:rsid w:val="00D97634"/>
    <w:rsid w:val="00D97A21"/>
    <w:rsid w:val="00D97BC2"/>
    <w:rsid w:val="00D97D34"/>
    <w:rsid w:val="00DA01F4"/>
    <w:rsid w:val="00DA03AC"/>
    <w:rsid w:val="00DA04AA"/>
    <w:rsid w:val="00DA06EC"/>
    <w:rsid w:val="00DA09F9"/>
    <w:rsid w:val="00DA0AC8"/>
    <w:rsid w:val="00DA0E0F"/>
    <w:rsid w:val="00DA1026"/>
    <w:rsid w:val="00DA13E7"/>
    <w:rsid w:val="00DA1559"/>
    <w:rsid w:val="00DA1947"/>
    <w:rsid w:val="00DA1A84"/>
    <w:rsid w:val="00DA29E6"/>
    <w:rsid w:val="00DA2B00"/>
    <w:rsid w:val="00DA3167"/>
    <w:rsid w:val="00DA329B"/>
    <w:rsid w:val="00DA32A0"/>
    <w:rsid w:val="00DA345A"/>
    <w:rsid w:val="00DA367F"/>
    <w:rsid w:val="00DA3FC2"/>
    <w:rsid w:val="00DA41D2"/>
    <w:rsid w:val="00DA425C"/>
    <w:rsid w:val="00DA4739"/>
    <w:rsid w:val="00DA489E"/>
    <w:rsid w:val="00DA48C8"/>
    <w:rsid w:val="00DA4924"/>
    <w:rsid w:val="00DA4A28"/>
    <w:rsid w:val="00DA4DC3"/>
    <w:rsid w:val="00DA4FD8"/>
    <w:rsid w:val="00DA5107"/>
    <w:rsid w:val="00DA51A3"/>
    <w:rsid w:val="00DA5218"/>
    <w:rsid w:val="00DA5264"/>
    <w:rsid w:val="00DA5746"/>
    <w:rsid w:val="00DA5D46"/>
    <w:rsid w:val="00DA5E1B"/>
    <w:rsid w:val="00DA60C7"/>
    <w:rsid w:val="00DA6278"/>
    <w:rsid w:val="00DA67A1"/>
    <w:rsid w:val="00DA6907"/>
    <w:rsid w:val="00DA6975"/>
    <w:rsid w:val="00DA6CD2"/>
    <w:rsid w:val="00DA73A0"/>
    <w:rsid w:val="00DA77A5"/>
    <w:rsid w:val="00DA7AE8"/>
    <w:rsid w:val="00DB0054"/>
    <w:rsid w:val="00DB0251"/>
    <w:rsid w:val="00DB0E36"/>
    <w:rsid w:val="00DB129A"/>
    <w:rsid w:val="00DB13F4"/>
    <w:rsid w:val="00DB159E"/>
    <w:rsid w:val="00DB18DC"/>
    <w:rsid w:val="00DB18F7"/>
    <w:rsid w:val="00DB1E4F"/>
    <w:rsid w:val="00DB263E"/>
    <w:rsid w:val="00DB2723"/>
    <w:rsid w:val="00DB2B27"/>
    <w:rsid w:val="00DB2D04"/>
    <w:rsid w:val="00DB2D75"/>
    <w:rsid w:val="00DB32EE"/>
    <w:rsid w:val="00DB3DBF"/>
    <w:rsid w:val="00DB4079"/>
    <w:rsid w:val="00DB484F"/>
    <w:rsid w:val="00DB4D6D"/>
    <w:rsid w:val="00DB4E5E"/>
    <w:rsid w:val="00DB5199"/>
    <w:rsid w:val="00DB5365"/>
    <w:rsid w:val="00DB542A"/>
    <w:rsid w:val="00DB58CB"/>
    <w:rsid w:val="00DB594E"/>
    <w:rsid w:val="00DB59E7"/>
    <w:rsid w:val="00DB69D5"/>
    <w:rsid w:val="00DB6B21"/>
    <w:rsid w:val="00DB6B26"/>
    <w:rsid w:val="00DB6F63"/>
    <w:rsid w:val="00DB73F8"/>
    <w:rsid w:val="00DB78EA"/>
    <w:rsid w:val="00DB798C"/>
    <w:rsid w:val="00DB7AF6"/>
    <w:rsid w:val="00DB7B1D"/>
    <w:rsid w:val="00DB7D70"/>
    <w:rsid w:val="00DC0252"/>
    <w:rsid w:val="00DC04A7"/>
    <w:rsid w:val="00DC04F6"/>
    <w:rsid w:val="00DC0623"/>
    <w:rsid w:val="00DC0690"/>
    <w:rsid w:val="00DC076D"/>
    <w:rsid w:val="00DC08BA"/>
    <w:rsid w:val="00DC0C5E"/>
    <w:rsid w:val="00DC0ECE"/>
    <w:rsid w:val="00DC11B7"/>
    <w:rsid w:val="00DC1475"/>
    <w:rsid w:val="00DC17B5"/>
    <w:rsid w:val="00DC193B"/>
    <w:rsid w:val="00DC1A62"/>
    <w:rsid w:val="00DC1AAF"/>
    <w:rsid w:val="00DC1D65"/>
    <w:rsid w:val="00DC1EB2"/>
    <w:rsid w:val="00DC1FDA"/>
    <w:rsid w:val="00DC23AE"/>
    <w:rsid w:val="00DC245A"/>
    <w:rsid w:val="00DC2A42"/>
    <w:rsid w:val="00DC2D93"/>
    <w:rsid w:val="00DC310C"/>
    <w:rsid w:val="00DC32D4"/>
    <w:rsid w:val="00DC33A5"/>
    <w:rsid w:val="00DC3557"/>
    <w:rsid w:val="00DC366E"/>
    <w:rsid w:val="00DC39CB"/>
    <w:rsid w:val="00DC3A6D"/>
    <w:rsid w:val="00DC3AC2"/>
    <w:rsid w:val="00DC3B75"/>
    <w:rsid w:val="00DC3C57"/>
    <w:rsid w:val="00DC4001"/>
    <w:rsid w:val="00DC42C0"/>
    <w:rsid w:val="00DC44F2"/>
    <w:rsid w:val="00DC44FB"/>
    <w:rsid w:val="00DC51E6"/>
    <w:rsid w:val="00DC53B1"/>
    <w:rsid w:val="00DC5501"/>
    <w:rsid w:val="00DC55B3"/>
    <w:rsid w:val="00DC5DE4"/>
    <w:rsid w:val="00DC67FA"/>
    <w:rsid w:val="00DC687A"/>
    <w:rsid w:val="00DC7154"/>
    <w:rsid w:val="00DC72AA"/>
    <w:rsid w:val="00DC75FE"/>
    <w:rsid w:val="00DC76A7"/>
    <w:rsid w:val="00DC78B2"/>
    <w:rsid w:val="00DC78F2"/>
    <w:rsid w:val="00DC7931"/>
    <w:rsid w:val="00DC794A"/>
    <w:rsid w:val="00DC7E8A"/>
    <w:rsid w:val="00DC7E90"/>
    <w:rsid w:val="00DD03D3"/>
    <w:rsid w:val="00DD062E"/>
    <w:rsid w:val="00DD08F3"/>
    <w:rsid w:val="00DD0B20"/>
    <w:rsid w:val="00DD0E55"/>
    <w:rsid w:val="00DD0F78"/>
    <w:rsid w:val="00DD11F0"/>
    <w:rsid w:val="00DD13DF"/>
    <w:rsid w:val="00DD15CE"/>
    <w:rsid w:val="00DD16CC"/>
    <w:rsid w:val="00DD178A"/>
    <w:rsid w:val="00DD18D5"/>
    <w:rsid w:val="00DD1B0D"/>
    <w:rsid w:val="00DD1B6C"/>
    <w:rsid w:val="00DD1F25"/>
    <w:rsid w:val="00DD1F9F"/>
    <w:rsid w:val="00DD23A4"/>
    <w:rsid w:val="00DD272F"/>
    <w:rsid w:val="00DD273C"/>
    <w:rsid w:val="00DD2821"/>
    <w:rsid w:val="00DD2A4F"/>
    <w:rsid w:val="00DD2B63"/>
    <w:rsid w:val="00DD3089"/>
    <w:rsid w:val="00DD37C6"/>
    <w:rsid w:val="00DD38B1"/>
    <w:rsid w:val="00DD3F28"/>
    <w:rsid w:val="00DD42D8"/>
    <w:rsid w:val="00DD4446"/>
    <w:rsid w:val="00DD4537"/>
    <w:rsid w:val="00DD47F1"/>
    <w:rsid w:val="00DD4911"/>
    <w:rsid w:val="00DD4B80"/>
    <w:rsid w:val="00DD4CC5"/>
    <w:rsid w:val="00DD4D58"/>
    <w:rsid w:val="00DD4E15"/>
    <w:rsid w:val="00DD54C7"/>
    <w:rsid w:val="00DD5886"/>
    <w:rsid w:val="00DD5E95"/>
    <w:rsid w:val="00DD5FDA"/>
    <w:rsid w:val="00DD654C"/>
    <w:rsid w:val="00DD68C1"/>
    <w:rsid w:val="00DD6990"/>
    <w:rsid w:val="00DD69F6"/>
    <w:rsid w:val="00DD6A98"/>
    <w:rsid w:val="00DD6DFB"/>
    <w:rsid w:val="00DD6F7D"/>
    <w:rsid w:val="00DD70A2"/>
    <w:rsid w:val="00DD730F"/>
    <w:rsid w:val="00DD7479"/>
    <w:rsid w:val="00DD77E2"/>
    <w:rsid w:val="00DD78ED"/>
    <w:rsid w:val="00DE011C"/>
    <w:rsid w:val="00DE01D0"/>
    <w:rsid w:val="00DE13B1"/>
    <w:rsid w:val="00DE16AF"/>
    <w:rsid w:val="00DE1A5F"/>
    <w:rsid w:val="00DE1BBB"/>
    <w:rsid w:val="00DE1DC9"/>
    <w:rsid w:val="00DE1E44"/>
    <w:rsid w:val="00DE2304"/>
    <w:rsid w:val="00DE2392"/>
    <w:rsid w:val="00DE2869"/>
    <w:rsid w:val="00DE28A0"/>
    <w:rsid w:val="00DE2B56"/>
    <w:rsid w:val="00DE3138"/>
    <w:rsid w:val="00DE3509"/>
    <w:rsid w:val="00DE37F8"/>
    <w:rsid w:val="00DE3BDC"/>
    <w:rsid w:val="00DE3F17"/>
    <w:rsid w:val="00DE418C"/>
    <w:rsid w:val="00DE4273"/>
    <w:rsid w:val="00DE4390"/>
    <w:rsid w:val="00DE4B72"/>
    <w:rsid w:val="00DE4D58"/>
    <w:rsid w:val="00DE4DD2"/>
    <w:rsid w:val="00DE4E40"/>
    <w:rsid w:val="00DE4EB0"/>
    <w:rsid w:val="00DE4F7C"/>
    <w:rsid w:val="00DE4FCB"/>
    <w:rsid w:val="00DE5A08"/>
    <w:rsid w:val="00DE5D07"/>
    <w:rsid w:val="00DE5F7E"/>
    <w:rsid w:val="00DE6148"/>
    <w:rsid w:val="00DE682F"/>
    <w:rsid w:val="00DE6CAF"/>
    <w:rsid w:val="00DE6FF6"/>
    <w:rsid w:val="00DE72A7"/>
    <w:rsid w:val="00DE75BF"/>
    <w:rsid w:val="00DE7832"/>
    <w:rsid w:val="00DF0694"/>
    <w:rsid w:val="00DF0C74"/>
    <w:rsid w:val="00DF165F"/>
    <w:rsid w:val="00DF171F"/>
    <w:rsid w:val="00DF18FC"/>
    <w:rsid w:val="00DF2314"/>
    <w:rsid w:val="00DF2586"/>
    <w:rsid w:val="00DF25D2"/>
    <w:rsid w:val="00DF2715"/>
    <w:rsid w:val="00DF27BE"/>
    <w:rsid w:val="00DF2F92"/>
    <w:rsid w:val="00DF31E0"/>
    <w:rsid w:val="00DF35D9"/>
    <w:rsid w:val="00DF3621"/>
    <w:rsid w:val="00DF3B8C"/>
    <w:rsid w:val="00DF3D1F"/>
    <w:rsid w:val="00DF416A"/>
    <w:rsid w:val="00DF429D"/>
    <w:rsid w:val="00DF44C9"/>
    <w:rsid w:val="00DF460F"/>
    <w:rsid w:val="00DF4976"/>
    <w:rsid w:val="00DF4A02"/>
    <w:rsid w:val="00DF4CDC"/>
    <w:rsid w:val="00DF4EAC"/>
    <w:rsid w:val="00DF4EAE"/>
    <w:rsid w:val="00DF50A1"/>
    <w:rsid w:val="00DF51C7"/>
    <w:rsid w:val="00DF5433"/>
    <w:rsid w:val="00DF5724"/>
    <w:rsid w:val="00DF57D8"/>
    <w:rsid w:val="00DF5D2B"/>
    <w:rsid w:val="00DF5E3F"/>
    <w:rsid w:val="00DF6341"/>
    <w:rsid w:val="00DF652D"/>
    <w:rsid w:val="00DF6D08"/>
    <w:rsid w:val="00DF6EA4"/>
    <w:rsid w:val="00DF6EE9"/>
    <w:rsid w:val="00DF7165"/>
    <w:rsid w:val="00DF73E9"/>
    <w:rsid w:val="00DF7B82"/>
    <w:rsid w:val="00DF7BB3"/>
    <w:rsid w:val="00E0035E"/>
    <w:rsid w:val="00E00A4C"/>
    <w:rsid w:val="00E00D09"/>
    <w:rsid w:val="00E00D44"/>
    <w:rsid w:val="00E00E8E"/>
    <w:rsid w:val="00E02058"/>
    <w:rsid w:val="00E026DB"/>
    <w:rsid w:val="00E026FB"/>
    <w:rsid w:val="00E02829"/>
    <w:rsid w:val="00E02C9D"/>
    <w:rsid w:val="00E02FEE"/>
    <w:rsid w:val="00E031F1"/>
    <w:rsid w:val="00E032FC"/>
    <w:rsid w:val="00E034AD"/>
    <w:rsid w:val="00E0399F"/>
    <w:rsid w:val="00E03BB1"/>
    <w:rsid w:val="00E04566"/>
    <w:rsid w:val="00E046CC"/>
    <w:rsid w:val="00E047F0"/>
    <w:rsid w:val="00E04B2F"/>
    <w:rsid w:val="00E05111"/>
    <w:rsid w:val="00E05630"/>
    <w:rsid w:val="00E0571A"/>
    <w:rsid w:val="00E0588C"/>
    <w:rsid w:val="00E05935"/>
    <w:rsid w:val="00E05A42"/>
    <w:rsid w:val="00E05C2C"/>
    <w:rsid w:val="00E05D44"/>
    <w:rsid w:val="00E05DF3"/>
    <w:rsid w:val="00E06146"/>
    <w:rsid w:val="00E06264"/>
    <w:rsid w:val="00E062CA"/>
    <w:rsid w:val="00E063B6"/>
    <w:rsid w:val="00E0669D"/>
    <w:rsid w:val="00E06781"/>
    <w:rsid w:val="00E068E7"/>
    <w:rsid w:val="00E06A0D"/>
    <w:rsid w:val="00E06A24"/>
    <w:rsid w:val="00E06DBB"/>
    <w:rsid w:val="00E074DA"/>
    <w:rsid w:val="00E07827"/>
    <w:rsid w:val="00E07B7A"/>
    <w:rsid w:val="00E10149"/>
    <w:rsid w:val="00E10693"/>
    <w:rsid w:val="00E1085F"/>
    <w:rsid w:val="00E10939"/>
    <w:rsid w:val="00E10BA6"/>
    <w:rsid w:val="00E10EEA"/>
    <w:rsid w:val="00E10F06"/>
    <w:rsid w:val="00E11140"/>
    <w:rsid w:val="00E11340"/>
    <w:rsid w:val="00E11E7B"/>
    <w:rsid w:val="00E120D6"/>
    <w:rsid w:val="00E12107"/>
    <w:rsid w:val="00E122A1"/>
    <w:rsid w:val="00E12E1E"/>
    <w:rsid w:val="00E12EE2"/>
    <w:rsid w:val="00E12FE5"/>
    <w:rsid w:val="00E138D6"/>
    <w:rsid w:val="00E139E5"/>
    <w:rsid w:val="00E13B0B"/>
    <w:rsid w:val="00E13B5F"/>
    <w:rsid w:val="00E13C00"/>
    <w:rsid w:val="00E13CAA"/>
    <w:rsid w:val="00E13F6F"/>
    <w:rsid w:val="00E143AF"/>
    <w:rsid w:val="00E14642"/>
    <w:rsid w:val="00E146EE"/>
    <w:rsid w:val="00E149D9"/>
    <w:rsid w:val="00E15044"/>
    <w:rsid w:val="00E1552B"/>
    <w:rsid w:val="00E15614"/>
    <w:rsid w:val="00E15910"/>
    <w:rsid w:val="00E15D81"/>
    <w:rsid w:val="00E16372"/>
    <w:rsid w:val="00E1649F"/>
    <w:rsid w:val="00E165A2"/>
    <w:rsid w:val="00E16A4E"/>
    <w:rsid w:val="00E16AD8"/>
    <w:rsid w:val="00E17294"/>
    <w:rsid w:val="00E173AC"/>
    <w:rsid w:val="00E17567"/>
    <w:rsid w:val="00E1783E"/>
    <w:rsid w:val="00E17B18"/>
    <w:rsid w:val="00E17BD8"/>
    <w:rsid w:val="00E17E8E"/>
    <w:rsid w:val="00E17FFA"/>
    <w:rsid w:val="00E20125"/>
    <w:rsid w:val="00E2014E"/>
    <w:rsid w:val="00E203BF"/>
    <w:rsid w:val="00E20722"/>
    <w:rsid w:val="00E20783"/>
    <w:rsid w:val="00E20B2C"/>
    <w:rsid w:val="00E20E4D"/>
    <w:rsid w:val="00E20E9C"/>
    <w:rsid w:val="00E20ED6"/>
    <w:rsid w:val="00E21119"/>
    <w:rsid w:val="00E21276"/>
    <w:rsid w:val="00E21358"/>
    <w:rsid w:val="00E217EF"/>
    <w:rsid w:val="00E21847"/>
    <w:rsid w:val="00E21BE9"/>
    <w:rsid w:val="00E21DDD"/>
    <w:rsid w:val="00E2212D"/>
    <w:rsid w:val="00E223D4"/>
    <w:rsid w:val="00E2249B"/>
    <w:rsid w:val="00E2254C"/>
    <w:rsid w:val="00E2267C"/>
    <w:rsid w:val="00E2279F"/>
    <w:rsid w:val="00E227A2"/>
    <w:rsid w:val="00E227F3"/>
    <w:rsid w:val="00E229CE"/>
    <w:rsid w:val="00E22A0D"/>
    <w:rsid w:val="00E2313B"/>
    <w:rsid w:val="00E2317D"/>
    <w:rsid w:val="00E23714"/>
    <w:rsid w:val="00E2399E"/>
    <w:rsid w:val="00E23ACE"/>
    <w:rsid w:val="00E23B8B"/>
    <w:rsid w:val="00E24230"/>
    <w:rsid w:val="00E2428E"/>
    <w:rsid w:val="00E242D3"/>
    <w:rsid w:val="00E24393"/>
    <w:rsid w:val="00E243AA"/>
    <w:rsid w:val="00E2444B"/>
    <w:rsid w:val="00E244F6"/>
    <w:rsid w:val="00E247FC"/>
    <w:rsid w:val="00E249EE"/>
    <w:rsid w:val="00E2518D"/>
    <w:rsid w:val="00E2532D"/>
    <w:rsid w:val="00E258DB"/>
    <w:rsid w:val="00E259D5"/>
    <w:rsid w:val="00E25A12"/>
    <w:rsid w:val="00E25B99"/>
    <w:rsid w:val="00E25CF2"/>
    <w:rsid w:val="00E25EAD"/>
    <w:rsid w:val="00E25F42"/>
    <w:rsid w:val="00E260F3"/>
    <w:rsid w:val="00E26C09"/>
    <w:rsid w:val="00E26D44"/>
    <w:rsid w:val="00E26E0B"/>
    <w:rsid w:val="00E270D3"/>
    <w:rsid w:val="00E2771E"/>
    <w:rsid w:val="00E27E0F"/>
    <w:rsid w:val="00E27E53"/>
    <w:rsid w:val="00E27F87"/>
    <w:rsid w:val="00E3081B"/>
    <w:rsid w:val="00E30844"/>
    <w:rsid w:val="00E311EF"/>
    <w:rsid w:val="00E319FE"/>
    <w:rsid w:val="00E31BD0"/>
    <w:rsid w:val="00E32172"/>
    <w:rsid w:val="00E32180"/>
    <w:rsid w:val="00E32317"/>
    <w:rsid w:val="00E32C34"/>
    <w:rsid w:val="00E32E5E"/>
    <w:rsid w:val="00E3300B"/>
    <w:rsid w:val="00E3315E"/>
    <w:rsid w:val="00E3317C"/>
    <w:rsid w:val="00E33653"/>
    <w:rsid w:val="00E336B8"/>
    <w:rsid w:val="00E336BD"/>
    <w:rsid w:val="00E33B82"/>
    <w:rsid w:val="00E33E42"/>
    <w:rsid w:val="00E33EA3"/>
    <w:rsid w:val="00E33EC4"/>
    <w:rsid w:val="00E3437F"/>
    <w:rsid w:val="00E34948"/>
    <w:rsid w:val="00E3494F"/>
    <w:rsid w:val="00E34C47"/>
    <w:rsid w:val="00E35126"/>
    <w:rsid w:val="00E351E4"/>
    <w:rsid w:val="00E3529A"/>
    <w:rsid w:val="00E355EC"/>
    <w:rsid w:val="00E35816"/>
    <w:rsid w:val="00E35BB0"/>
    <w:rsid w:val="00E35C58"/>
    <w:rsid w:val="00E35CDC"/>
    <w:rsid w:val="00E35EB1"/>
    <w:rsid w:val="00E35FB0"/>
    <w:rsid w:val="00E361A3"/>
    <w:rsid w:val="00E366AA"/>
    <w:rsid w:val="00E366B2"/>
    <w:rsid w:val="00E366BB"/>
    <w:rsid w:val="00E36704"/>
    <w:rsid w:val="00E36865"/>
    <w:rsid w:val="00E36C8A"/>
    <w:rsid w:val="00E36FC6"/>
    <w:rsid w:val="00E37569"/>
    <w:rsid w:val="00E37859"/>
    <w:rsid w:val="00E4010A"/>
    <w:rsid w:val="00E401B2"/>
    <w:rsid w:val="00E403DA"/>
    <w:rsid w:val="00E406B4"/>
    <w:rsid w:val="00E409B9"/>
    <w:rsid w:val="00E41422"/>
    <w:rsid w:val="00E4152A"/>
    <w:rsid w:val="00E41E30"/>
    <w:rsid w:val="00E42554"/>
    <w:rsid w:val="00E42682"/>
    <w:rsid w:val="00E42738"/>
    <w:rsid w:val="00E4278B"/>
    <w:rsid w:val="00E42817"/>
    <w:rsid w:val="00E4297C"/>
    <w:rsid w:val="00E42F73"/>
    <w:rsid w:val="00E43061"/>
    <w:rsid w:val="00E434D5"/>
    <w:rsid w:val="00E43594"/>
    <w:rsid w:val="00E435D0"/>
    <w:rsid w:val="00E437DA"/>
    <w:rsid w:val="00E4387D"/>
    <w:rsid w:val="00E43938"/>
    <w:rsid w:val="00E43CDA"/>
    <w:rsid w:val="00E43D42"/>
    <w:rsid w:val="00E43D70"/>
    <w:rsid w:val="00E43FF5"/>
    <w:rsid w:val="00E440C6"/>
    <w:rsid w:val="00E4494B"/>
    <w:rsid w:val="00E44ABE"/>
    <w:rsid w:val="00E44CD7"/>
    <w:rsid w:val="00E45423"/>
    <w:rsid w:val="00E4560F"/>
    <w:rsid w:val="00E45AA1"/>
    <w:rsid w:val="00E45B76"/>
    <w:rsid w:val="00E45BD8"/>
    <w:rsid w:val="00E460E5"/>
    <w:rsid w:val="00E466F3"/>
    <w:rsid w:val="00E4682F"/>
    <w:rsid w:val="00E469DC"/>
    <w:rsid w:val="00E471EB"/>
    <w:rsid w:val="00E47B1F"/>
    <w:rsid w:val="00E47B2C"/>
    <w:rsid w:val="00E47B4D"/>
    <w:rsid w:val="00E47FE8"/>
    <w:rsid w:val="00E5011E"/>
    <w:rsid w:val="00E505EB"/>
    <w:rsid w:val="00E50C5E"/>
    <w:rsid w:val="00E50FD3"/>
    <w:rsid w:val="00E51560"/>
    <w:rsid w:val="00E51821"/>
    <w:rsid w:val="00E52106"/>
    <w:rsid w:val="00E521D2"/>
    <w:rsid w:val="00E523F2"/>
    <w:rsid w:val="00E52627"/>
    <w:rsid w:val="00E52FAB"/>
    <w:rsid w:val="00E5320D"/>
    <w:rsid w:val="00E533C4"/>
    <w:rsid w:val="00E5347C"/>
    <w:rsid w:val="00E536F5"/>
    <w:rsid w:val="00E53AF7"/>
    <w:rsid w:val="00E53AFE"/>
    <w:rsid w:val="00E53C8F"/>
    <w:rsid w:val="00E53FC8"/>
    <w:rsid w:val="00E54103"/>
    <w:rsid w:val="00E54347"/>
    <w:rsid w:val="00E545D8"/>
    <w:rsid w:val="00E54630"/>
    <w:rsid w:val="00E550C9"/>
    <w:rsid w:val="00E553CF"/>
    <w:rsid w:val="00E55423"/>
    <w:rsid w:val="00E55424"/>
    <w:rsid w:val="00E55437"/>
    <w:rsid w:val="00E55915"/>
    <w:rsid w:val="00E55BB5"/>
    <w:rsid w:val="00E55E9B"/>
    <w:rsid w:val="00E55EFD"/>
    <w:rsid w:val="00E56172"/>
    <w:rsid w:val="00E563B5"/>
    <w:rsid w:val="00E566EF"/>
    <w:rsid w:val="00E56885"/>
    <w:rsid w:val="00E5692A"/>
    <w:rsid w:val="00E56969"/>
    <w:rsid w:val="00E56AC6"/>
    <w:rsid w:val="00E57098"/>
    <w:rsid w:val="00E5711B"/>
    <w:rsid w:val="00E57192"/>
    <w:rsid w:val="00E575D2"/>
    <w:rsid w:val="00E576BD"/>
    <w:rsid w:val="00E57AD0"/>
    <w:rsid w:val="00E57CD4"/>
    <w:rsid w:val="00E600CF"/>
    <w:rsid w:val="00E60363"/>
    <w:rsid w:val="00E6088D"/>
    <w:rsid w:val="00E609CA"/>
    <w:rsid w:val="00E60BCB"/>
    <w:rsid w:val="00E60DD0"/>
    <w:rsid w:val="00E60FC8"/>
    <w:rsid w:val="00E611DF"/>
    <w:rsid w:val="00E61714"/>
    <w:rsid w:val="00E6179E"/>
    <w:rsid w:val="00E61F5F"/>
    <w:rsid w:val="00E623E5"/>
    <w:rsid w:val="00E62A42"/>
    <w:rsid w:val="00E62B7A"/>
    <w:rsid w:val="00E62DB8"/>
    <w:rsid w:val="00E62EDD"/>
    <w:rsid w:val="00E630E5"/>
    <w:rsid w:val="00E632D2"/>
    <w:rsid w:val="00E63472"/>
    <w:rsid w:val="00E634D2"/>
    <w:rsid w:val="00E63650"/>
    <w:rsid w:val="00E63879"/>
    <w:rsid w:val="00E638FD"/>
    <w:rsid w:val="00E63BF9"/>
    <w:rsid w:val="00E64991"/>
    <w:rsid w:val="00E649DE"/>
    <w:rsid w:val="00E64CF8"/>
    <w:rsid w:val="00E64F9C"/>
    <w:rsid w:val="00E64FCD"/>
    <w:rsid w:val="00E6504C"/>
    <w:rsid w:val="00E655C9"/>
    <w:rsid w:val="00E65E79"/>
    <w:rsid w:val="00E65EF7"/>
    <w:rsid w:val="00E66002"/>
    <w:rsid w:val="00E666F8"/>
    <w:rsid w:val="00E667CC"/>
    <w:rsid w:val="00E66876"/>
    <w:rsid w:val="00E6697A"/>
    <w:rsid w:val="00E669B2"/>
    <w:rsid w:val="00E66A2B"/>
    <w:rsid w:val="00E66B58"/>
    <w:rsid w:val="00E66BA2"/>
    <w:rsid w:val="00E66C26"/>
    <w:rsid w:val="00E66D9D"/>
    <w:rsid w:val="00E670FE"/>
    <w:rsid w:val="00E673F5"/>
    <w:rsid w:val="00E67416"/>
    <w:rsid w:val="00E6780C"/>
    <w:rsid w:val="00E67C6B"/>
    <w:rsid w:val="00E67E70"/>
    <w:rsid w:val="00E67FBD"/>
    <w:rsid w:val="00E70179"/>
    <w:rsid w:val="00E703F2"/>
    <w:rsid w:val="00E705DC"/>
    <w:rsid w:val="00E705E7"/>
    <w:rsid w:val="00E7072F"/>
    <w:rsid w:val="00E70924"/>
    <w:rsid w:val="00E70BE3"/>
    <w:rsid w:val="00E70C34"/>
    <w:rsid w:val="00E70FA4"/>
    <w:rsid w:val="00E71300"/>
    <w:rsid w:val="00E71693"/>
    <w:rsid w:val="00E718B6"/>
    <w:rsid w:val="00E71B60"/>
    <w:rsid w:val="00E72138"/>
    <w:rsid w:val="00E723BA"/>
    <w:rsid w:val="00E729A0"/>
    <w:rsid w:val="00E72CCB"/>
    <w:rsid w:val="00E72F7C"/>
    <w:rsid w:val="00E731A0"/>
    <w:rsid w:val="00E732E7"/>
    <w:rsid w:val="00E73581"/>
    <w:rsid w:val="00E73D0B"/>
    <w:rsid w:val="00E73E61"/>
    <w:rsid w:val="00E742A8"/>
    <w:rsid w:val="00E74625"/>
    <w:rsid w:val="00E7465D"/>
    <w:rsid w:val="00E747ED"/>
    <w:rsid w:val="00E74DC4"/>
    <w:rsid w:val="00E74F2A"/>
    <w:rsid w:val="00E750B9"/>
    <w:rsid w:val="00E75354"/>
    <w:rsid w:val="00E7570F"/>
    <w:rsid w:val="00E759CA"/>
    <w:rsid w:val="00E75BBE"/>
    <w:rsid w:val="00E75D53"/>
    <w:rsid w:val="00E75E09"/>
    <w:rsid w:val="00E75EBE"/>
    <w:rsid w:val="00E76026"/>
    <w:rsid w:val="00E7610B"/>
    <w:rsid w:val="00E767DD"/>
    <w:rsid w:val="00E768C6"/>
    <w:rsid w:val="00E76E03"/>
    <w:rsid w:val="00E777F9"/>
    <w:rsid w:val="00E77AC5"/>
    <w:rsid w:val="00E8073B"/>
    <w:rsid w:val="00E80D80"/>
    <w:rsid w:val="00E80E82"/>
    <w:rsid w:val="00E8139B"/>
    <w:rsid w:val="00E815EB"/>
    <w:rsid w:val="00E819AF"/>
    <w:rsid w:val="00E81A77"/>
    <w:rsid w:val="00E81DBB"/>
    <w:rsid w:val="00E8254D"/>
    <w:rsid w:val="00E82580"/>
    <w:rsid w:val="00E8271F"/>
    <w:rsid w:val="00E82AFE"/>
    <w:rsid w:val="00E82BEB"/>
    <w:rsid w:val="00E82C0E"/>
    <w:rsid w:val="00E82CD4"/>
    <w:rsid w:val="00E82E4A"/>
    <w:rsid w:val="00E831D7"/>
    <w:rsid w:val="00E833F7"/>
    <w:rsid w:val="00E83BDF"/>
    <w:rsid w:val="00E83D5A"/>
    <w:rsid w:val="00E8425C"/>
    <w:rsid w:val="00E84519"/>
    <w:rsid w:val="00E84B4D"/>
    <w:rsid w:val="00E84D87"/>
    <w:rsid w:val="00E84FFD"/>
    <w:rsid w:val="00E85024"/>
    <w:rsid w:val="00E852E9"/>
    <w:rsid w:val="00E857EE"/>
    <w:rsid w:val="00E85889"/>
    <w:rsid w:val="00E85E46"/>
    <w:rsid w:val="00E865D1"/>
    <w:rsid w:val="00E86886"/>
    <w:rsid w:val="00E86C61"/>
    <w:rsid w:val="00E86FCC"/>
    <w:rsid w:val="00E870DE"/>
    <w:rsid w:val="00E8725D"/>
    <w:rsid w:val="00E87480"/>
    <w:rsid w:val="00E8772A"/>
    <w:rsid w:val="00E87A1D"/>
    <w:rsid w:val="00E87A52"/>
    <w:rsid w:val="00E87D84"/>
    <w:rsid w:val="00E90259"/>
    <w:rsid w:val="00E90371"/>
    <w:rsid w:val="00E90807"/>
    <w:rsid w:val="00E9094A"/>
    <w:rsid w:val="00E90B61"/>
    <w:rsid w:val="00E91700"/>
    <w:rsid w:val="00E919FF"/>
    <w:rsid w:val="00E91A74"/>
    <w:rsid w:val="00E91D35"/>
    <w:rsid w:val="00E92091"/>
    <w:rsid w:val="00E920D9"/>
    <w:rsid w:val="00E926A5"/>
    <w:rsid w:val="00E926EB"/>
    <w:rsid w:val="00E92CF1"/>
    <w:rsid w:val="00E92FDA"/>
    <w:rsid w:val="00E92FEE"/>
    <w:rsid w:val="00E9352A"/>
    <w:rsid w:val="00E9374C"/>
    <w:rsid w:val="00E93759"/>
    <w:rsid w:val="00E93766"/>
    <w:rsid w:val="00E9377C"/>
    <w:rsid w:val="00E93B1F"/>
    <w:rsid w:val="00E93C03"/>
    <w:rsid w:val="00E93E21"/>
    <w:rsid w:val="00E942D4"/>
    <w:rsid w:val="00E94355"/>
    <w:rsid w:val="00E94855"/>
    <w:rsid w:val="00E94A53"/>
    <w:rsid w:val="00E94FD8"/>
    <w:rsid w:val="00E9515C"/>
    <w:rsid w:val="00E9567F"/>
    <w:rsid w:val="00E956BD"/>
    <w:rsid w:val="00E95970"/>
    <w:rsid w:val="00E960DF"/>
    <w:rsid w:val="00E962CC"/>
    <w:rsid w:val="00E962CF"/>
    <w:rsid w:val="00E964A6"/>
    <w:rsid w:val="00E9663C"/>
    <w:rsid w:val="00E96678"/>
    <w:rsid w:val="00E96745"/>
    <w:rsid w:val="00E96954"/>
    <w:rsid w:val="00E96AE5"/>
    <w:rsid w:val="00E96BC0"/>
    <w:rsid w:val="00E9707E"/>
    <w:rsid w:val="00E97089"/>
    <w:rsid w:val="00E9720E"/>
    <w:rsid w:val="00E9741A"/>
    <w:rsid w:val="00E97535"/>
    <w:rsid w:val="00E97587"/>
    <w:rsid w:val="00E975CE"/>
    <w:rsid w:val="00E97974"/>
    <w:rsid w:val="00EA0501"/>
    <w:rsid w:val="00EA05DA"/>
    <w:rsid w:val="00EA081B"/>
    <w:rsid w:val="00EA09A8"/>
    <w:rsid w:val="00EA1738"/>
    <w:rsid w:val="00EA17C3"/>
    <w:rsid w:val="00EA1DEE"/>
    <w:rsid w:val="00EA1FCF"/>
    <w:rsid w:val="00EA20FA"/>
    <w:rsid w:val="00EA22A4"/>
    <w:rsid w:val="00EA22CD"/>
    <w:rsid w:val="00EA256A"/>
    <w:rsid w:val="00EA2CAA"/>
    <w:rsid w:val="00EA2EDB"/>
    <w:rsid w:val="00EA3155"/>
    <w:rsid w:val="00EA378A"/>
    <w:rsid w:val="00EA3864"/>
    <w:rsid w:val="00EA3914"/>
    <w:rsid w:val="00EA4236"/>
    <w:rsid w:val="00EA442D"/>
    <w:rsid w:val="00EA4563"/>
    <w:rsid w:val="00EA4DC2"/>
    <w:rsid w:val="00EA4DC9"/>
    <w:rsid w:val="00EA4ECA"/>
    <w:rsid w:val="00EA5E4C"/>
    <w:rsid w:val="00EA5F1B"/>
    <w:rsid w:val="00EA6323"/>
    <w:rsid w:val="00EA6D42"/>
    <w:rsid w:val="00EA6D9D"/>
    <w:rsid w:val="00EA6DE0"/>
    <w:rsid w:val="00EA7337"/>
    <w:rsid w:val="00EA7F1C"/>
    <w:rsid w:val="00EA7F31"/>
    <w:rsid w:val="00EB02DB"/>
    <w:rsid w:val="00EB0449"/>
    <w:rsid w:val="00EB05FB"/>
    <w:rsid w:val="00EB09D5"/>
    <w:rsid w:val="00EB11A5"/>
    <w:rsid w:val="00EB1331"/>
    <w:rsid w:val="00EB1525"/>
    <w:rsid w:val="00EB15B6"/>
    <w:rsid w:val="00EB17A2"/>
    <w:rsid w:val="00EB1E4D"/>
    <w:rsid w:val="00EB24B8"/>
    <w:rsid w:val="00EB25FE"/>
    <w:rsid w:val="00EB2FF9"/>
    <w:rsid w:val="00EB303D"/>
    <w:rsid w:val="00EB308A"/>
    <w:rsid w:val="00EB330D"/>
    <w:rsid w:val="00EB3366"/>
    <w:rsid w:val="00EB38CF"/>
    <w:rsid w:val="00EB3A71"/>
    <w:rsid w:val="00EB3D06"/>
    <w:rsid w:val="00EB3E99"/>
    <w:rsid w:val="00EB3FEE"/>
    <w:rsid w:val="00EB40FC"/>
    <w:rsid w:val="00EB42A4"/>
    <w:rsid w:val="00EB472B"/>
    <w:rsid w:val="00EB4916"/>
    <w:rsid w:val="00EB4B5A"/>
    <w:rsid w:val="00EB4C3D"/>
    <w:rsid w:val="00EB4C98"/>
    <w:rsid w:val="00EB4F17"/>
    <w:rsid w:val="00EB4FAB"/>
    <w:rsid w:val="00EB542F"/>
    <w:rsid w:val="00EB576F"/>
    <w:rsid w:val="00EB5D4E"/>
    <w:rsid w:val="00EB6701"/>
    <w:rsid w:val="00EB6963"/>
    <w:rsid w:val="00EB69DD"/>
    <w:rsid w:val="00EB719B"/>
    <w:rsid w:val="00EB739A"/>
    <w:rsid w:val="00EB7BA4"/>
    <w:rsid w:val="00EC00C9"/>
    <w:rsid w:val="00EC0C08"/>
    <w:rsid w:val="00EC0DD9"/>
    <w:rsid w:val="00EC0E84"/>
    <w:rsid w:val="00EC12EA"/>
    <w:rsid w:val="00EC1AAD"/>
    <w:rsid w:val="00EC2051"/>
    <w:rsid w:val="00EC209F"/>
    <w:rsid w:val="00EC21A3"/>
    <w:rsid w:val="00EC2511"/>
    <w:rsid w:val="00EC2649"/>
    <w:rsid w:val="00EC296E"/>
    <w:rsid w:val="00EC31ED"/>
    <w:rsid w:val="00EC3DD8"/>
    <w:rsid w:val="00EC4296"/>
    <w:rsid w:val="00EC4354"/>
    <w:rsid w:val="00EC4480"/>
    <w:rsid w:val="00EC456C"/>
    <w:rsid w:val="00EC475A"/>
    <w:rsid w:val="00EC4D20"/>
    <w:rsid w:val="00EC4DA4"/>
    <w:rsid w:val="00EC4F43"/>
    <w:rsid w:val="00EC4FCD"/>
    <w:rsid w:val="00EC50A6"/>
    <w:rsid w:val="00EC50AB"/>
    <w:rsid w:val="00EC50EE"/>
    <w:rsid w:val="00EC5836"/>
    <w:rsid w:val="00EC589D"/>
    <w:rsid w:val="00EC5AF2"/>
    <w:rsid w:val="00EC5EDC"/>
    <w:rsid w:val="00EC5EE3"/>
    <w:rsid w:val="00EC61A5"/>
    <w:rsid w:val="00EC62E7"/>
    <w:rsid w:val="00EC6430"/>
    <w:rsid w:val="00EC6884"/>
    <w:rsid w:val="00EC688C"/>
    <w:rsid w:val="00EC6BFC"/>
    <w:rsid w:val="00EC740C"/>
    <w:rsid w:val="00EC7AB1"/>
    <w:rsid w:val="00EC7AB4"/>
    <w:rsid w:val="00EC7F24"/>
    <w:rsid w:val="00EC7FF1"/>
    <w:rsid w:val="00ED0271"/>
    <w:rsid w:val="00ED06C3"/>
    <w:rsid w:val="00ED08FF"/>
    <w:rsid w:val="00ED0B4A"/>
    <w:rsid w:val="00ED0CBB"/>
    <w:rsid w:val="00ED0D82"/>
    <w:rsid w:val="00ED0D95"/>
    <w:rsid w:val="00ED1082"/>
    <w:rsid w:val="00ED12E3"/>
    <w:rsid w:val="00ED12FE"/>
    <w:rsid w:val="00ED147F"/>
    <w:rsid w:val="00ED16AF"/>
    <w:rsid w:val="00ED1E76"/>
    <w:rsid w:val="00ED1E8B"/>
    <w:rsid w:val="00ED23A6"/>
    <w:rsid w:val="00ED2603"/>
    <w:rsid w:val="00ED2660"/>
    <w:rsid w:val="00ED2869"/>
    <w:rsid w:val="00ED2933"/>
    <w:rsid w:val="00ED2985"/>
    <w:rsid w:val="00ED3272"/>
    <w:rsid w:val="00ED3463"/>
    <w:rsid w:val="00ED3732"/>
    <w:rsid w:val="00ED3756"/>
    <w:rsid w:val="00ED3A95"/>
    <w:rsid w:val="00ED3C4E"/>
    <w:rsid w:val="00ED41B0"/>
    <w:rsid w:val="00ED4A07"/>
    <w:rsid w:val="00ED4B04"/>
    <w:rsid w:val="00ED531B"/>
    <w:rsid w:val="00ED57EA"/>
    <w:rsid w:val="00ED589E"/>
    <w:rsid w:val="00ED5975"/>
    <w:rsid w:val="00ED5BBD"/>
    <w:rsid w:val="00ED5BD4"/>
    <w:rsid w:val="00ED5C28"/>
    <w:rsid w:val="00ED5C39"/>
    <w:rsid w:val="00ED5D7A"/>
    <w:rsid w:val="00ED5E07"/>
    <w:rsid w:val="00ED5E64"/>
    <w:rsid w:val="00ED616A"/>
    <w:rsid w:val="00ED631F"/>
    <w:rsid w:val="00ED637C"/>
    <w:rsid w:val="00ED6413"/>
    <w:rsid w:val="00ED6C98"/>
    <w:rsid w:val="00ED6CA9"/>
    <w:rsid w:val="00ED6CB7"/>
    <w:rsid w:val="00ED6CE8"/>
    <w:rsid w:val="00ED767B"/>
    <w:rsid w:val="00ED7A2E"/>
    <w:rsid w:val="00EE00CB"/>
    <w:rsid w:val="00EE0505"/>
    <w:rsid w:val="00EE07D3"/>
    <w:rsid w:val="00EE0BBD"/>
    <w:rsid w:val="00EE0DE3"/>
    <w:rsid w:val="00EE1996"/>
    <w:rsid w:val="00EE1A96"/>
    <w:rsid w:val="00EE1AB0"/>
    <w:rsid w:val="00EE1C01"/>
    <w:rsid w:val="00EE1D24"/>
    <w:rsid w:val="00EE1D2D"/>
    <w:rsid w:val="00EE1D47"/>
    <w:rsid w:val="00EE206D"/>
    <w:rsid w:val="00EE2181"/>
    <w:rsid w:val="00EE2218"/>
    <w:rsid w:val="00EE2277"/>
    <w:rsid w:val="00EE22AF"/>
    <w:rsid w:val="00EE24C4"/>
    <w:rsid w:val="00EE2513"/>
    <w:rsid w:val="00EE29DF"/>
    <w:rsid w:val="00EE2B6A"/>
    <w:rsid w:val="00EE2C51"/>
    <w:rsid w:val="00EE2FDA"/>
    <w:rsid w:val="00EE37F1"/>
    <w:rsid w:val="00EE3AA3"/>
    <w:rsid w:val="00EE4347"/>
    <w:rsid w:val="00EE448B"/>
    <w:rsid w:val="00EE46F4"/>
    <w:rsid w:val="00EE4AA5"/>
    <w:rsid w:val="00EE4D61"/>
    <w:rsid w:val="00EE4F1C"/>
    <w:rsid w:val="00EE53B9"/>
    <w:rsid w:val="00EE556E"/>
    <w:rsid w:val="00EE55AF"/>
    <w:rsid w:val="00EE572A"/>
    <w:rsid w:val="00EE5790"/>
    <w:rsid w:val="00EE6078"/>
    <w:rsid w:val="00EE636F"/>
    <w:rsid w:val="00EE646D"/>
    <w:rsid w:val="00EE6560"/>
    <w:rsid w:val="00EE658B"/>
    <w:rsid w:val="00EE6630"/>
    <w:rsid w:val="00EE671E"/>
    <w:rsid w:val="00EE67AC"/>
    <w:rsid w:val="00EE695C"/>
    <w:rsid w:val="00EE6A4C"/>
    <w:rsid w:val="00EE7096"/>
    <w:rsid w:val="00EE72D2"/>
    <w:rsid w:val="00EE7634"/>
    <w:rsid w:val="00EE77E9"/>
    <w:rsid w:val="00EE7882"/>
    <w:rsid w:val="00EE7C04"/>
    <w:rsid w:val="00EE7C4C"/>
    <w:rsid w:val="00EF0171"/>
    <w:rsid w:val="00EF03CA"/>
    <w:rsid w:val="00EF0466"/>
    <w:rsid w:val="00EF09BD"/>
    <w:rsid w:val="00EF0A9F"/>
    <w:rsid w:val="00EF0DBF"/>
    <w:rsid w:val="00EF1499"/>
    <w:rsid w:val="00EF1989"/>
    <w:rsid w:val="00EF1B25"/>
    <w:rsid w:val="00EF1C75"/>
    <w:rsid w:val="00EF1D90"/>
    <w:rsid w:val="00EF1DA0"/>
    <w:rsid w:val="00EF1EB3"/>
    <w:rsid w:val="00EF1F6F"/>
    <w:rsid w:val="00EF2A21"/>
    <w:rsid w:val="00EF2A67"/>
    <w:rsid w:val="00EF2AD0"/>
    <w:rsid w:val="00EF2B4B"/>
    <w:rsid w:val="00EF2DEE"/>
    <w:rsid w:val="00EF2F82"/>
    <w:rsid w:val="00EF3127"/>
    <w:rsid w:val="00EF318C"/>
    <w:rsid w:val="00EF38E8"/>
    <w:rsid w:val="00EF3BC9"/>
    <w:rsid w:val="00EF4537"/>
    <w:rsid w:val="00EF4747"/>
    <w:rsid w:val="00EF4910"/>
    <w:rsid w:val="00EF4BB9"/>
    <w:rsid w:val="00EF4BF8"/>
    <w:rsid w:val="00EF4E86"/>
    <w:rsid w:val="00EF4FB7"/>
    <w:rsid w:val="00EF4FF4"/>
    <w:rsid w:val="00EF5005"/>
    <w:rsid w:val="00EF5492"/>
    <w:rsid w:val="00EF554A"/>
    <w:rsid w:val="00EF5C94"/>
    <w:rsid w:val="00EF63BB"/>
    <w:rsid w:val="00EF6552"/>
    <w:rsid w:val="00EF6E7B"/>
    <w:rsid w:val="00EF72C8"/>
    <w:rsid w:val="00EF754F"/>
    <w:rsid w:val="00EF771A"/>
    <w:rsid w:val="00EF7D26"/>
    <w:rsid w:val="00EF7E09"/>
    <w:rsid w:val="00F0004F"/>
    <w:rsid w:val="00F00050"/>
    <w:rsid w:val="00F002C9"/>
    <w:rsid w:val="00F00305"/>
    <w:rsid w:val="00F0057A"/>
    <w:rsid w:val="00F00666"/>
    <w:rsid w:val="00F00E58"/>
    <w:rsid w:val="00F012C6"/>
    <w:rsid w:val="00F01413"/>
    <w:rsid w:val="00F021DF"/>
    <w:rsid w:val="00F02253"/>
    <w:rsid w:val="00F023BB"/>
    <w:rsid w:val="00F026D4"/>
    <w:rsid w:val="00F03082"/>
    <w:rsid w:val="00F03105"/>
    <w:rsid w:val="00F03209"/>
    <w:rsid w:val="00F035B7"/>
    <w:rsid w:val="00F03BD6"/>
    <w:rsid w:val="00F03C2E"/>
    <w:rsid w:val="00F03F7C"/>
    <w:rsid w:val="00F0420A"/>
    <w:rsid w:val="00F04996"/>
    <w:rsid w:val="00F04A66"/>
    <w:rsid w:val="00F04AF8"/>
    <w:rsid w:val="00F04B4B"/>
    <w:rsid w:val="00F0516C"/>
    <w:rsid w:val="00F0576F"/>
    <w:rsid w:val="00F05BF3"/>
    <w:rsid w:val="00F0607B"/>
    <w:rsid w:val="00F06726"/>
    <w:rsid w:val="00F067A2"/>
    <w:rsid w:val="00F06BDD"/>
    <w:rsid w:val="00F0716E"/>
    <w:rsid w:val="00F0717F"/>
    <w:rsid w:val="00F07201"/>
    <w:rsid w:val="00F075E7"/>
    <w:rsid w:val="00F076E7"/>
    <w:rsid w:val="00F077F5"/>
    <w:rsid w:val="00F07B9E"/>
    <w:rsid w:val="00F07C52"/>
    <w:rsid w:val="00F07C9B"/>
    <w:rsid w:val="00F07F15"/>
    <w:rsid w:val="00F1093D"/>
    <w:rsid w:val="00F10D9F"/>
    <w:rsid w:val="00F1116F"/>
    <w:rsid w:val="00F112FA"/>
    <w:rsid w:val="00F11791"/>
    <w:rsid w:val="00F118C0"/>
    <w:rsid w:val="00F12350"/>
    <w:rsid w:val="00F1263A"/>
    <w:rsid w:val="00F126FC"/>
    <w:rsid w:val="00F127E2"/>
    <w:rsid w:val="00F12CB9"/>
    <w:rsid w:val="00F1383A"/>
    <w:rsid w:val="00F139C5"/>
    <w:rsid w:val="00F1404D"/>
    <w:rsid w:val="00F1450B"/>
    <w:rsid w:val="00F1456D"/>
    <w:rsid w:val="00F14E01"/>
    <w:rsid w:val="00F15122"/>
    <w:rsid w:val="00F15281"/>
    <w:rsid w:val="00F15863"/>
    <w:rsid w:val="00F15AB3"/>
    <w:rsid w:val="00F15B21"/>
    <w:rsid w:val="00F15B77"/>
    <w:rsid w:val="00F16103"/>
    <w:rsid w:val="00F1661A"/>
    <w:rsid w:val="00F16B11"/>
    <w:rsid w:val="00F16BBE"/>
    <w:rsid w:val="00F20AAF"/>
    <w:rsid w:val="00F20EBD"/>
    <w:rsid w:val="00F211B9"/>
    <w:rsid w:val="00F21236"/>
    <w:rsid w:val="00F21448"/>
    <w:rsid w:val="00F21558"/>
    <w:rsid w:val="00F215A9"/>
    <w:rsid w:val="00F21C84"/>
    <w:rsid w:val="00F22493"/>
    <w:rsid w:val="00F22533"/>
    <w:rsid w:val="00F22811"/>
    <w:rsid w:val="00F235E3"/>
    <w:rsid w:val="00F2367F"/>
    <w:rsid w:val="00F239DF"/>
    <w:rsid w:val="00F23B4B"/>
    <w:rsid w:val="00F23D13"/>
    <w:rsid w:val="00F24837"/>
    <w:rsid w:val="00F24AC7"/>
    <w:rsid w:val="00F250B5"/>
    <w:rsid w:val="00F250CF"/>
    <w:rsid w:val="00F2575F"/>
    <w:rsid w:val="00F25D6C"/>
    <w:rsid w:val="00F25F29"/>
    <w:rsid w:val="00F2632C"/>
    <w:rsid w:val="00F26710"/>
    <w:rsid w:val="00F26C39"/>
    <w:rsid w:val="00F26E77"/>
    <w:rsid w:val="00F272C4"/>
    <w:rsid w:val="00F27531"/>
    <w:rsid w:val="00F27565"/>
    <w:rsid w:val="00F27872"/>
    <w:rsid w:val="00F27D11"/>
    <w:rsid w:val="00F27DFD"/>
    <w:rsid w:val="00F3004A"/>
    <w:rsid w:val="00F304D5"/>
    <w:rsid w:val="00F305A2"/>
    <w:rsid w:val="00F3072A"/>
    <w:rsid w:val="00F30792"/>
    <w:rsid w:val="00F30DC8"/>
    <w:rsid w:val="00F30F46"/>
    <w:rsid w:val="00F310D4"/>
    <w:rsid w:val="00F311A6"/>
    <w:rsid w:val="00F3136F"/>
    <w:rsid w:val="00F317AC"/>
    <w:rsid w:val="00F317B0"/>
    <w:rsid w:val="00F31D5A"/>
    <w:rsid w:val="00F323C7"/>
    <w:rsid w:val="00F324A4"/>
    <w:rsid w:val="00F324BF"/>
    <w:rsid w:val="00F32808"/>
    <w:rsid w:val="00F32A5B"/>
    <w:rsid w:val="00F32FA7"/>
    <w:rsid w:val="00F330C9"/>
    <w:rsid w:val="00F3313D"/>
    <w:rsid w:val="00F331D1"/>
    <w:rsid w:val="00F33301"/>
    <w:rsid w:val="00F337E0"/>
    <w:rsid w:val="00F33975"/>
    <w:rsid w:val="00F33A70"/>
    <w:rsid w:val="00F33DE9"/>
    <w:rsid w:val="00F34019"/>
    <w:rsid w:val="00F34419"/>
    <w:rsid w:val="00F34541"/>
    <w:rsid w:val="00F345AD"/>
    <w:rsid w:val="00F349DC"/>
    <w:rsid w:val="00F3560C"/>
    <w:rsid w:val="00F357D1"/>
    <w:rsid w:val="00F35951"/>
    <w:rsid w:val="00F35A6E"/>
    <w:rsid w:val="00F35E6D"/>
    <w:rsid w:val="00F35F32"/>
    <w:rsid w:val="00F3619A"/>
    <w:rsid w:val="00F36273"/>
    <w:rsid w:val="00F364EB"/>
    <w:rsid w:val="00F369F5"/>
    <w:rsid w:val="00F36B14"/>
    <w:rsid w:val="00F36CBE"/>
    <w:rsid w:val="00F36D9E"/>
    <w:rsid w:val="00F37186"/>
    <w:rsid w:val="00F373D4"/>
    <w:rsid w:val="00F373F7"/>
    <w:rsid w:val="00F37462"/>
    <w:rsid w:val="00F374A0"/>
    <w:rsid w:val="00F374F5"/>
    <w:rsid w:val="00F37575"/>
    <w:rsid w:val="00F375C3"/>
    <w:rsid w:val="00F37D12"/>
    <w:rsid w:val="00F37DCE"/>
    <w:rsid w:val="00F402E5"/>
    <w:rsid w:val="00F4033D"/>
    <w:rsid w:val="00F40379"/>
    <w:rsid w:val="00F405EB"/>
    <w:rsid w:val="00F40789"/>
    <w:rsid w:val="00F40AAA"/>
    <w:rsid w:val="00F40BA7"/>
    <w:rsid w:val="00F40BF8"/>
    <w:rsid w:val="00F40F9D"/>
    <w:rsid w:val="00F40FCE"/>
    <w:rsid w:val="00F411AC"/>
    <w:rsid w:val="00F41488"/>
    <w:rsid w:val="00F41ACD"/>
    <w:rsid w:val="00F41E15"/>
    <w:rsid w:val="00F423E8"/>
    <w:rsid w:val="00F4258D"/>
    <w:rsid w:val="00F426BD"/>
    <w:rsid w:val="00F426BF"/>
    <w:rsid w:val="00F428B0"/>
    <w:rsid w:val="00F42981"/>
    <w:rsid w:val="00F429EC"/>
    <w:rsid w:val="00F42E91"/>
    <w:rsid w:val="00F43B4E"/>
    <w:rsid w:val="00F44A23"/>
    <w:rsid w:val="00F44DA5"/>
    <w:rsid w:val="00F44F20"/>
    <w:rsid w:val="00F44F9F"/>
    <w:rsid w:val="00F450A1"/>
    <w:rsid w:val="00F45DDC"/>
    <w:rsid w:val="00F45E48"/>
    <w:rsid w:val="00F460E8"/>
    <w:rsid w:val="00F4620F"/>
    <w:rsid w:val="00F463DC"/>
    <w:rsid w:val="00F463FD"/>
    <w:rsid w:val="00F46795"/>
    <w:rsid w:val="00F46811"/>
    <w:rsid w:val="00F46A6C"/>
    <w:rsid w:val="00F46BA2"/>
    <w:rsid w:val="00F46CB5"/>
    <w:rsid w:val="00F46CB6"/>
    <w:rsid w:val="00F46D62"/>
    <w:rsid w:val="00F46E07"/>
    <w:rsid w:val="00F4725B"/>
    <w:rsid w:val="00F47284"/>
    <w:rsid w:val="00F4729E"/>
    <w:rsid w:val="00F4756D"/>
    <w:rsid w:val="00F47638"/>
    <w:rsid w:val="00F47807"/>
    <w:rsid w:val="00F47863"/>
    <w:rsid w:val="00F47DE8"/>
    <w:rsid w:val="00F47E71"/>
    <w:rsid w:val="00F501DB"/>
    <w:rsid w:val="00F50695"/>
    <w:rsid w:val="00F5084E"/>
    <w:rsid w:val="00F51097"/>
    <w:rsid w:val="00F51265"/>
    <w:rsid w:val="00F51381"/>
    <w:rsid w:val="00F51440"/>
    <w:rsid w:val="00F51F5C"/>
    <w:rsid w:val="00F525DF"/>
    <w:rsid w:val="00F52DD5"/>
    <w:rsid w:val="00F536B9"/>
    <w:rsid w:val="00F536D1"/>
    <w:rsid w:val="00F537C9"/>
    <w:rsid w:val="00F539CC"/>
    <w:rsid w:val="00F53D0F"/>
    <w:rsid w:val="00F53F46"/>
    <w:rsid w:val="00F542C1"/>
    <w:rsid w:val="00F54A81"/>
    <w:rsid w:val="00F550E3"/>
    <w:rsid w:val="00F552B2"/>
    <w:rsid w:val="00F5567A"/>
    <w:rsid w:val="00F557E5"/>
    <w:rsid w:val="00F55B99"/>
    <w:rsid w:val="00F55E73"/>
    <w:rsid w:val="00F55EDA"/>
    <w:rsid w:val="00F56353"/>
    <w:rsid w:val="00F563A7"/>
    <w:rsid w:val="00F5687C"/>
    <w:rsid w:val="00F56C80"/>
    <w:rsid w:val="00F56F0E"/>
    <w:rsid w:val="00F5717B"/>
    <w:rsid w:val="00F572FE"/>
    <w:rsid w:val="00F57357"/>
    <w:rsid w:val="00F5736A"/>
    <w:rsid w:val="00F57469"/>
    <w:rsid w:val="00F60046"/>
    <w:rsid w:val="00F60092"/>
    <w:rsid w:val="00F60227"/>
    <w:rsid w:val="00F602E1"/>
    <w:rsid w:val="00F60BCD"/>
    <w:rsid w:val="00F610AF"/>
    <w:rsid w:val="00F612A6"/>
    <w:rsid w:val="00F6136C"/>
    <w:rsid w:val="00F61C18"/>
    <w:rsid w:val="00F61CB6"/>
    <w:rsid w:val="00F62675"/>
    <w:rsid w:val="00F6281B"/>
    <w:rsid w:val="00F6296A"/>
    <w:rsid w:val="00F62FFC"/>
    <w:rsid w:val="00F639C0"/>
    <w:rsid w:val="00F63DE2"/>
    <w:rsid w:val="00F63E0D"/>
    <w:rsid w:val="00F64083"/>
    <w:rsid w:val="00F642EE"/>
    <w:rsid w:val="00F64341"/>
    <w:rsid w:val="00F646D3"/>
    <w:rsid w:val="00F64828"/>
    <w:rsid w:val="00F6495F"/>
    <w:rsid w:val="00F65493"/>
    <w:rsid w:val="00F65A2F"/>
    <w:rsid w:val="00F65B2F"/>
    <w:rsid w:val="00F65B77"/>
    <w:rsid w:val="00F65F4B"/>
    <w:rsid w:val="00F663EC"/>
    <w:rsid w:val="00F66B9C"/>
    <w:rsid w:val="00F66C62"/>
    <w:rsid w:val="00F6717B"/>
    <w:rsid w:val="00F6798F"/>
    <w:rsid w:val="00F67A69"/>
    <w:rsid w:val="00F67B9E"/>
    <w:rsid w:val="00F67C8A"/>
    <w:rsid w:val="00F67DDA"/>
    <w:rsid w:val="00F704A0"/>
    <w:rsid w:val="00F707D1"/>
    <w:rsid w:val="00F709C3"/>
    <w:rsid w:val="00F70BFF"/>
    <w:rsid w:val="00F70C9D"/>
    <w:rsid w:val="00F70E29"/>
    <w:rsid w:val="00F70E30"/>
    <w:rsid w:val="00F7134C"/>
    <w:rsid w:val="00F715F2"/>
    <w:rsid w:val="00F71DF9"/>
    <w:rsid w:val="00F7241E"/>
    <w:rsid w:val="00F726D7"/>
    <w:rsid w:val="00F72816"/>
    <w:rsid w:val="00F729EA"/>
    <w:rsid w:val="00F72CF0"/>
    <w:rsid w:val="00F72F39"/>
    <w:rsid w:val="00F736E0"/>
    <w:rsid w:val="00F73984"/>
    <w:rsid w:val="00F73C3C"/>
    <w:rsid w:val="00F73E08"/>
    <w:rsid w:val="00F73E7E"/>
    <w:rsid w:val="00F74052"/>
    <w:rsid w:val="00F746E6"/>
    <w:rsid w:val="00F747CC"/>
    <w:rsid w:val="00F74915"/>
    <w:rsid w:val="00F74CD9"/>
    <w:rsid w:val="00F74F2B"/>
    <w:rsid w:val="00F75AFD"/>
    <w:rsid w:val="00F75E80"/>
    <w:rsid w:val="00F7617C"/>
    <w:rsid w:val="00F7667D"/>
    <w:rsid w:val="00F767C4"/>
    <w:rsid w:val="00F773A8"/>
    <w:rsid w:val="00F774A9"/>
    <w:rsid w:val="00F775EA"/>
    <w:rsid w:val="00F779A2"/>
    <w:rsid w:val="00F80218"/>
    <w:rsid w:val="00F80644"/>
    <w:rsid w:val="00F80A7B"/>
    <w:rsid w:val="00F80DD4"/>
    <w:rsid w:val="00F80DF5"/>
    <w:rsid w:val="00F80E5D"/>
    <w:rsid w:val="00F81362"/>
    <w:rsid w:val="00F81423"/>
    <w:rsid w:val="00F81706"/>
    <w:rsid w:val="00F81DA9"/>
    <w:rsid w:val="00F81DD0"/>
    <w:rsid w:val="00F81E78"/>
    <w:rsid w:val="00F82166"/>
    <w:rsid w:val="00F823F1"/>
    <w:rsid w:val="00F82434"/>
    <w:rsid w:val="00F82486"/>
    <w:rsid w:val="00F82C33"/>
    <w:rsid w:val="00F82D08"/>
    <w:rsid w:val="00F82D88"/>
    <w:rsid w:val="00F83093"/>
    <w:rsid w:val="00F8312F"/>
    <w:rsid w:val="00F83916"/>
    <w:rsid w:val="00F84125"/>
    <w:rsid w:val="00F849FC"/>
    <w:rsid w:val="00F84C4B"/>
    <w:rsid w:val="00F84F68"/>
    <w:rsid w:val="00F851CE"/>
    <w:rsid w:val="00F85235"/>
    <w:rsid w:val="00F85569"/>
    <w:rsid w:val="00F858B0"/>
    <w:rsid w:val="00F85D81"/>
    <w:rsid w:val="00F85FD8"/>
    <w:rsid w:val="00F86439"/>
    <w:rsid w:val="00F868A9"/>
    <w:rsid w:val="00F86BFA"/>
    <w:rsid w:val="00F86E91"/>
    <w:rsid w:val="00F86F22"/>
    <w:rsid w:val="00F903F8"/>
    <w:rsid w:val="00F90407"/>
    <w:rsid w:val="00F909C0"/>
    <w:rsid w:val="00F90AEB"/>
    <w:rsid w:val="00F90B58"/>
    <w:rsid w:val="00F90EFC"/>
    <w:rsid w:val="00F911B4"/>
    <w:rsid w:val="00F91219"/>
    <w:rsid w:val="00F91577"/>
    <w:rsid w:val="00F917C2"/>
    <w:rsid w:val="00F91BC5"/>
    <w:rsid w:val="00F91D2D"/>
    <w:rsid w:val="00F91D5C"/>
    <w:rsid w:val="00F91DCA"/>
    <w:rsid w:val="00F91E30"/>
    <w:rsid w:val="00F921BA"/>
    <w:rsid w:val="00F92444"/>
    <w:rsid w:val="00F925FA"/>
    <w:rsid w:val="00F92ED7"/>
    <w:rsid w:val="00F92F2A"/>
    <w:rsid w:val="00F9318E"/>
    <w:rsid w:val="00F932D8"/>
    <w:rsid w:val="00F9393E"/>
    <w:rsid w:val="00F93C2A"/>
    <w:rsid w:val="00F93C74"/>
    <w:rsid w:val="00F93D71"/>
    <w:rsid w:val="00F93F38"/>
    <w:rsid w:val="00F9406F"/>
    <w:rsid w:val="00F9488A"/>
    <w:rsid w:val="00F94961"/>
    <w:rsid w:val="00F95043"/>
    <w:rsid w:val="00F95066"/>
    <w:rsid w:val="00F95315"/>
    <w:rsid w:val="00F9629E"/>
    <w:rsid w:val="00F9638A"/>
    <w:rsid w:val="00F96394"/>
    <w:rsid w:val="00F9669F"/>
    <w:rsid w:val="00F96B06"/>
    <w:rsid w:val="00F96FD0"/>
    <w:rsid w:val="00F9734C"/>
    <w:rsid w:val="00F9786D"/>
    <w:rsid w:val="00F97A78"/>
    <w:rsid w:val="00F97CA9"/>
    <w:rsid w:val="00FA05B4"/>
    <w:rsid w:val="00FA0852"/>
    <w:rsid w:val="00FA0B20"/>
    <w:rsid w:val="00FA0B58"/>
    <w:rsid w:val="00FA108D"/>
    <w:rsid w:val="00FA133C"/>
    <w:rsid w:val="00FA17CD"/>
    <w:rsid w:val="00FA18DD"/>
    <w:rsid w:val="00FA22A4"/>
    <w:rsid w:val="00FA24E7"/>
    <w:rsid w:val="00FA2810"/>
    <w:rsid w:val="00FA2A29"/>
    <w:rsid w:val="00FA2BF5"/>
    <w:rsid w:val="00FA2CC1"/>
    <w:rsid w:val="00FA2F3C"/>
    <w:rsid w:val="00FA2F6D"/>
    <w:rsid w:val="00FA31B6"/>
    <w:rsid w:val="00FA32F3"/>
    <w:rsid w:val="00FA3AD1"/>
    <w:rsid w:val="00FA3C95"/>
    <w:rsid w:val="00FA4304"/>
    <w:rsid w:val="00FA47E7"/>
    <w:rsid w:val="00FA4931"/>
    <w:rsid w:val="00FA4CDE"/>
    <w:rsid w:val="00FA4E0C"/>
    <w:rsid w:val="00FA4F72"/>
    <w:rsid w:val="00FA55F5"/>
    <w:rsid w:val="00FA58DD"/>
    <w:rsid w:val="00FA5D74"/>
    <w:rsid w:val="00FA5EE6"/>
    <w:rsid w:val="00FA6181"/>
    <w:rsid w:val="00FA61A8"/>
    <w:rsid w:val="00FA6584"/>
    <w:rsid w:val="00FA67F1"/>
    <w:rsid w:val="00FA6B7C"/>
    <w:rsid w:val="00FA6D60"/>
    <w:rsid w:val="00FA7107"/>
    <w:rsid w:val="00FA727A"/>
    <w:rsid w:val="00FA7885"/>
    <w:rsid w:val="00FA790E"/>
    <w:rsid w:val="00FA7956"/>
    <w:rsid w:val="00FA7CBC"/>
    <w:rsid w:val="00FA7FA9"/>
    <w:rsid w:val="00FB02C0"/>
    <w:rsid w:val="00FB04FB"/>
    <w:rsid w:val="00FB0824"/>
    <w:rsid w:val="00FB0F79"/>
    <w:rsid w:val="00FB14DF"/>
    <w:rsid w:val="00FB156E"/>
    <w:rsid w:val="00FB1844"/>
    <w:rsid w:val="00FB23D5"/>
    <w:rsid w:val="00FB2905"/>
    <w:rsid w:val="00FB2AD5"/>
    <w:rsid w:val="00FB2C50"/>
    <w:rsid w:val="00FB2DD1"/>
    <w:rsid w:val="00FB2F40"/>
    <w:rsid w:val="00FB2FCB"/>
    <w:rsid w:val="00FB3285"/>
    <w:rsid w:val="00FB32DA"/>
    <w:rsid w:val="00FB3531"/>
    <w:rsid w:val="00FB3BE8"/>
    <w:rsid w:val="00FB3FD5"/>
    <w:rsid w:val="00FB43AA"/>
    <w:rsid w:val="00FB43F5"/>
    <w:rsid w:val="00FB44B5"/>
    <w:rsid w:val="00FB45F4"/>
    <w:rsid w:val="00FB4971"/>
    <w:rsid w:val="00FB4C9C"/>
    <w:rsid w:val="00FB51B1"/>
    <w:rsid w:val="00FB5334"/>
    <w:rsid w:val="00FB5B40"/>
    <w:rsid w:val="00FB648D"/>
    <w:rsid w:val="00FB6937"/>
    <w:rsid w:val="00FB69F8"/>
    <w:rsid w:val="00FB6D43"/>
    <w:rsid w:val="00FB6FEB"/>
    <w:rsid w:val="00FB7218"/>
    <w:rsid w:val="00FB7270"/>
    <w:rsid w:val="00FB732F"/>
    <w:rsid w:val="00FB76ED"/>
    <w:rsid w:val="00FB786C"/>
    <w:rsid w:val="00FB7BB0"/>
    <w:rsid w:val="00FB7C55"/>
    <w:rsid w:val="00FB7F7A"/>
    <w:rsid w:val="00FC05D0"/>
    <w:rsid w:val="00FC0B1C"/>
    <w:rsid w:val="00FC0C5E"/>
    <w:rsid w:val="00FC1074"/>
    <w:rsid w:val="00FC13A1"/>
    <w:rsid w:val="00FC14F6"/>
    <w:rsid w:val="00FC17CE"/>
    <w:rsid w:val="00FC1884"/>
    <w:rsid w:val="00FC1DFC"/>
    <w:rsid w:val="00FC208D"/>
    <w:rsid w:val="00FC23ED"/>
    <w:rsid w:val="00FC2FA9"/>
    <w:rsid w:val="00FC365C"/>
    <w:rsid w:val="00FC371D"/>
    <w:rsid w:val="00FC3FAB"/>
    <w:rsid w:val="00FC4F60"/>
    <w:rsid w:val="00FC4FEB"/>
    <w:rsid w:val="00FC50C8"/>
    <w:rsid w:val="00FC5733"/>
    <w:rsid w:val="00FC591E"/>
    <w:rsid w:val="00FC5F0B"/>
    <w:rsid w:val="00FC5F33"/>
    <w:rsid w:val="00FC615E"/>
    <w:rsid w:val="00FC61D6"/>
    <w:rsid w:val="00FC696F"/>
    <w:rsid w:val="00FC6CB4"/>
    <w:rsid w:val="00FC6EEC"/>
    <w:rsid w:val="00FC7140"/>
    <w:rsid w:val="00FC7210"/>
    <w:rsid w:val="00FC757B"/>
    <w:rsid w:val="00FC76D8"/>
    <w:rsid w:val="00FC77F4"/>
    <w:rsid w:val="00FC7C3F"/>
    <w:rsid w:val="00FC7FCC"/>
    <w:rsid w:val="00FD0376"/>
    <w:rsid w:val="00FD065B"/>
    <w:rsid w:val="00FD0AFA"/>
    <w:rsid w:val="00FD0B28"/>
    <w:rsid w:val="00FD12AE"/>
    <w:rsid w:val="00FD134C"/>
    <w:rsid w:val="00FD13CC"/>
    <w:rsid w:val="00FD188B"/>
    <w:rsid w:val="00FD189C"/>
    <w:rsid w:val="00FD19C8"/>
    <w:rsid w:val="00FD1B5D"/>
    <w:rsid w:val="00FD2100"/>
    <w:rsid w:val="00FD2B56"/>
    <w:rsid w:val="00FD3005"/>
    <w:rsid w:val="00FD3A82"/>
    <w:rsid w:val="00FD3A88"/>
    <w:rsid w:val="00FD3E57"/>
    <w:rsid w:val="00FD40FD"/>
    <w:rsid w:val="00FD436C"/>
    <w:rsid w:val="00FD446D"/>
    <w:rsid w:val="00FD4CB9"/>
    <w:rsid w:val="00FD4F2C"/>
    <w:rsid w:val="00FD4FA7"/>
    <w:rsid w:val="00FD5060"/>
    <w:rsid w:val="00FD521F"/>
    <w:rsid w:val="00FD53A7"/>
    <w:rsid w:val="00FD596B"/>
    <w:rsid w:val="00FD5ADA"/>
    <w:rsid w:val="00FD5B7D"/>
    <w:rsid w:val="00FD5C77"/>
    <w:rsid w:val="00FD5D11"/>
    <w:rsid w:val="00FD5E8B"/>
    <w:rsid w:val="00FD5FED"/>
    <w:rsid w:val="00FD6384"/>
    <w:rsid w:val="00FD6394"/>
    <w:rsid w:val="00FD6460"/>
    <w:rsid w:val="00FD6770"/>
    <w:rsid w:val="00FD6867"/>
    <w:rsid w:val="00FD6A63"/>
    <w:rsid w:val="00FD6C95"/>
    <w:rsid w:val="00FD73C8"/>
    <w:rsid w:val="00FD7970"/>
    <w:rsid w:val="00FD7B09"/>
    <w:rsid w:val="00FD7C9F"/>
    <w:rsid w:val="00FD7CA7"/>
    <w:rsid w:val="00FD7F38"/>
    <w:rsid w:val="00FE03CC"/>
    <w:rsid w:val="00FE08C8"/>
    <w:rsid w:val="00FE0AAE"/>
    <w:rsid w:val="00FE0B50"/>
    <w:rsid w:val="00FE0C5B"/>
    <w:rsid w:val="00FE0D80"/>
    <w:rsid w:val="00FE0E6C"/>
    <w:rsid w:val="00FE19AD"/>
    <w:rsid w:val="00FE1BCA"/>
    <w:rsid w:val="00FE1CDC"/>
    <w:rsid w:val="00FE1DF3"/>
    <w:rsid w:val="00FE20AD"/>
    <w:rsid w:val="00FE22DE"/>
    <w:rsid w:val="00FE23A2"/>
    <w:rsid w:val="00FE2C35"/>
    <w:rsid w:val="00FE2C39"/>
    <w:rsid w:val="00FE2C83"/>
    <w:rsid w:val="00FE2E1C"/>
    <w:rsid w:val="00FE31CC"/>
    <w:rsid w:val="00FE34A0"/>
    <w:rsid w:val="00FE35B8"/>
    <w:rsid w:val="00FE3613"/>
    <w:rsid w:val="00FE3837"/>
    <w:rsid w:val="00FE3AB3"/>
    <w:rsid w:val="00FE413A"/>
    <w:rsid w:val="00FE4501"/>
    <w:rsid w:val="00FE4D80"/>
    <w:rsid w:val="00FE5341"/>
    <w:rsid w:val="00FE547B"/>
    <w:rsid w:val="00FE5539"/>
    <w:rsid w:val="00FE5729"/>
    <w:rsid w:val="00FE5957"/>
    <w:rsid w:val="00FE6116"/>
    <w:rsid w:val="00FE6259"/>
    <w:rsid w:val="00FE652C"/>
    <w:rsid w:val="00FE6792"/>
    <w:rsid w:val="00FE6BBB"/>
    <w:rsid w:val="00FE6D0D"/>
    <w:rsid w:val="00FE6F68"/>
    <w:rsid w:val="00FE70C3"/>
    <w:rsid w:val="00FE756C"/>
    <w:rsid w:val="00FE76D0"/>
    <w:rsid w:val="00FE7D78"/>
    <w:rsid w:val="00FE7E61"/>
    <w:rsid w:val="00FE7E7A"/>
    <w:rsid w:val="00FF0268"/>
    <w:rsid w:val="00FF1146"/>
    <w:rsid w:val="00FF13B9"/>
    <w:rsid w:val="00FF1A8B"/>
    <w:rsid w:val="00FF1DF6"/>
    <w:rsid w:val="00FF28C5"/>
    <w:rsid w:val="00FF29D6"/>
    <w:rsid w:val="00FF2AD9"/>
    <w:rsid w:val="00FF2E4D"/>
    <w:rsid w:val="00FF3569"/>
    <w:rsid w:val="00FF359F"/>
    <w:rsid w:val="00FF3698"/>
    <w:rsid w:val="00FF3892"/>
    <w:rsid w:val="00FF3DCF"/>
    <w:rsid w:val="00FF43CF"/>
    <w:rsid w:val="00FF45F4"/>
    <w:rsid w:val="00FF492C"/>
    <w:rsid w:val="00FF4A21"/>
    <w:rsid w:val="00FF4E00"/>
    <w:rsid w:val="00FF4FF7"/>
    <w:rsid w:val="00FF503D"/>
    <w:rsid w:val="00FF5353"/>
    <w:rsid w:val="00FF5541"/>
    <w:rsid w:val="00FF55E4"/>
    <w:rsid w:val="00FF5A40"/>
    <w:rsid w:val="00FF5AA3"/>
    <w:rsid w:val="00FF5AD8"/>
    <w:rsid w:val="00FF5D53"/>
    <w:rsid w:val="00FF6016"/>
    <w:rsid w:val="00FF618F"/>
    <w:rsid w:val="00FF667B"/>
    <w:rsid w:val="00FF66E1"/>
    <w:rsid w:val="00FF6777"/>
    <w:rsid w:val="00FF747F"/>
    <w:rsid w:val="00FF750D"/>
    <w:rsid w:val="00FF755D"/>
    <w:rsid w:val="00FF772B"/>
    <w:rsid w:val="00FF7793"/>
    <w:rsid w:val="00FF7808"/>
    <w:rsid w:val="00FF7840"/>
    <w:rsid w:val="00FF7B7D"/>
    <w:rsid w:val="00FF7C3D"/>
    <w:rsid w:val="033A7C71"/>
    <w:rsid w:val="033C4A60"/>
    <w:rsid w:val="0512B52F"/>
    <w:rsid w:val="07DE5839"/>
    <w:rsid w:val="07F1C217"/>
    <w:rsid w:val="09E766B3"/>
    <w:rsid w:val="0A24CE12"/>
    <w:rsid w:val="0B9831A5"/>
    <w:rsid w:val="0D4E09E4"/>
    <w:rsid w:val="1042B80A"/>
    <w:rsid w:val="109D6DD4"/>
    <w:rsid w:val="11CCD5A8"/>
    <w:rsid w:val="124AA37E"/>
    <w:rsid w:val="13464B83"/>
    <w:rsid w:val="191B901F"/>
    <w:rsid w:val="1AC269FC"/>
    <w:rsid w:val="1D661CC9"/>
    <w:rsid w:val="1E0E9320"/>
    <w:rsid w:val="21027394"/>
    <w:rsid w:val="2276C4A4"/>
    <w:rsid w:val="23F10501"/>
    <w:rsid w:val="24433511"/>
    <w:rsid w:val="24EC66EA"/>
    <w:rsid w:val="25FE965C"/>
    <w:rsid w:val="26DAAD7B"/>
    <w:rsid w:val="290E2BF5"/>
    <w:rsid w:val="29FA023F"/>
    <w:rsid w:val="300443D9"/>
    <w:rsid w:val="3058AAB9"/>
    <w:rsid w:val="30EF6D0A"/>
    <w:rsid w:val="3248D8C0"/>
    <w:rsid w:val="3278BFCB"/>
    <w:rsid w:val="33BF37D7"/>
    <w:rsid w:val="352B5531"/>
    <w:rsid w:val="37432258"/>
    <w:rsid w:val="3ADE969A"/>
    <w:rsid w:val="3EFEA79C"/>
    <w:rsid w:val="4148D8C1"/>
    <w:rsid w:val="419414DC"/>
    <w:rsid w:val="43F077D6"/>
    <w:rsid w:val="482A89B1"/>
    <w:rsid w:val="49A35922"/>
    <w:rsid w:val="4B7C411A"/>
    <w:rsid w:val="4D537B09"/>
    <w:rsid w:val="4DBC330F"/>
    <w:rsid w:val="4F3C783F"/>
    <w:rsid w:val="4FD1C5CF"/>
    <w:rsid w:val="502DF1E1"/>
    <w:rsid w:val="52AA3EF5"/>
    <w:rsid w:val="54922CDD"/>
    <w:rsid w:val="552F882C"/>
    <w:rsid w:val="555799CF"/>
    <w:rsid w:val="57898788"/>
    <w:rsid w:val="589E218A"/>
    <w:rsid w:val="62B7C584"/>
    <w:rsid w:val="63CB73EE"/>
    <w:rsid w:val="6433EAAB"/>
    <w:rsid w:val="64B0A7A3"/>
    <w:rsid w:val="673E9F44"/>
    <w:rsid w:val="67C7425E"/>
    <w:rsid w:val="688B0C20"/>
    <w:rsid w:val="69D004C4"/>
    <w:rsid w:val="69D0F1A5"/>
    <w:rsid w:val="6B234899"/>
    <w:rsid w:val="6F4308BF"/>
    <w:rsid w:val="6FA375FF"/>
    <w:rsid w:val="702501F1"/>
    <w:rsid w:val="74DD0B3B"/>
    <w:rsid w:val="798C4DE8"/>
    <w:rsid w:val="7AB809F0"/>
    <w:rsid w:val="7C555B81"/>
    <w:rsid w:val="7FA81C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897"/>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Tabellengitternetz 9pt,PBAC table,HTAtableplain,Dossier table,Section 3- footnotes,Summary Table,MSD Table Grid,Header Table,NICE instructions,Source table_"/>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1940BE"/>
    <w:pPr>
      <w:keepNext/>
      <w:keepLines/>
    </w:pPr>
    <w:rPr>
      <w:rFonts w:ascii="Arial Narrow" w:eastAsiaTheme="majorEastAsia" w:hAnsi="Arial Narrow" w:cstheme="majorBidi"/>
      <w:bCs/>
      <w:szCs w:val="18"/>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5E6CB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E6CB6"/>
    <w:rPr>
      <w:rFonts w:ascii="Arial Narrow" w:eastAsiaTheme="majorEastAsia" w:hAnsi="Arial Narrow" w:cstheme="majorBidi"/>
      <w:b/>
      <w:bCs/>
      <w:szCs w:val="24"/>
    </w:rPr>
  </w:style>
  <w:style w:type="paragraph" w:customStyle="1" w:styleId="3-BodyText">
    <w:name w:val="3-Body Text"/>
    <w:link w:val="3-BodyTextChar"/>
    <w:qFormat/>
    <w:rsid w:val="00A87290"/>
    <w:pPr>
      <w:numPr>
        <w:ilvl w:val="1"/>
        <w:numId w:val="5"/>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8729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1940BE"/>
    <w:rPr>
      <w:rFonts w:ascii="Arial Narrow" w:eastAsiaTheme="majorEastAsia" w:hAnsi="Arial Narrow" w:cstheme="majorBidi"/>
      <w:bCs/>
      <w:szCs w:val="18"/>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7A7746"/>
    <w:pPr>
      <w:keepLines/>
      <w:widowControl w:val="0"/>
      <w:spacing w:after="120"/>
      <w:contextualSpacing/>
    </w:pPr>
    <w:rPr>
      <w:rFonts w:ascii="Arial Narrow" w:eastAsiaTheme="majorEastAsia" w:hAnsi="Arial Narrow" w:cstheme="majorBidi"/>
      <w:bCs/>
      <w:snapToGrid w:val="0"/>
      <w:sz w:val="18"/>
      <w:szCs w:val="18"/>
    </w:rPr>
  </w:style>
  <w:style w:type="character" w:customStyle="1" w:styleId="TableFigureFooterChar">
    <w:name w:val="Table/Figure Footer Char"/>
    <w:link w:val="TableFigureFooter"/>
    <w:rsid w:val="007A7746"/>
    <w:rPr>
      <w:rFonts w:ascii="Arial Narrow" w:eastAsiaTheme="majorEastAsia" w:hAnsi="Arial Narrow" w:cstheme="majorBidi"/>
      <w:bCs/>
      <w:snapToGrid w:val="0"/>
      <w:sz w:val="18"/>
      <w:szCs w:val="18"/>
    </w:rPr>
  </w:style>
  <w:style w:type="character" w:styleId="UnresolvedMention">
    <w:name w:val="Unresolved Mention"/>
    <w:basedOn w:val="DefaultParagraphFont"/>
    <w:uiPriority w:val="99"/>
    <w:semiHidden/>
    <w:unhideWhenUsed/>
    <w:rsid w:val="004E164B"/>
    <w:rPr>
      <w:color w:val="605E5C"/>
      <w:shd w:val="clear" w:color="auto" w:fill="E1DFDD"/>
    </w:rPr>
  </w:style>
  <w:style w:type="paragraph" w:customStyle="1" w:styleId="TableTitleA">
    <w:name w:val="Table Title A"/>
    <w:basedOn w:val="Normal"/>
    <w:next w:val="BodyText"/>
    <w:qFormat/>
    <w:rsid w:val="00B11C5F"/>
    <w:pPr>
      <w:numPr>
        <w:numId w:val="6"/>
      </w:numPr>
      <w:tabs>
        <w:tab w:val="left" w:pos="1134"/>
      </w:tabs>
      <w:spacing w:after="120"/>
    </w:pPr>
    <w:rPr>
      <w:rFonts w:ascii="Arial" w:hAnsi="Arial" w:cs="Times New Roman"/>
      <w:b/>
      <w:sz w:val="20"/>
      <w:lang w:eastAsia="en-US"/>
    </w:rPr>
  </w:style>
  <w:style w:type="paragraph" w:customStyle="1" w:styleId="Bullet2">
    <w:name w:val="Bullet 2"/>
    <w:basedOn w:val="Normal"/>
    <w:next w:val="Normal"/>
    <w:rsid w:val="00B11C5F"/>
    <w:pPr>
      <w:numPr>
        <w:ilvl w:val="1"/>
        <w:numId w:val="7"/>
      </w:numPr>
      <w:tabs>
        <w:tab w:val="clear" w:pos="1440"/>
        <w:tab w:val="num" w:pos="993"/>
      </w:tabs>
      <w:spacing w:before="40" w:after="40" w:line="360" w:lineRule="auto"/>
      <w:ind w:left="992" w:hanging="567"/>
    </w:pPr>
    <w:rPr>
      <w:rFonts w:ascii="Arial" w:hAnsi="Arial" w:cs="Times New Roman"/>
      <w:sz w:val="20"/>
      <w:lang w:eastAsia="en-US"/>
    </w:rPr>
  </w:style>
  <w:style w:type="table" w:customStyle="1" w:styleId="ASDTable1">
    <w:name w:val="ASD Table1"/>
    <w:basedOn w:val="TableNormal"/>
    <w:next w:val="TableGrid"/>
    <w:uiPriority w:val="59"/>
    <w:rsid w:val="00DC75F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59"/>
    <w:rsid w:val="001E00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1E00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D40D8A"/>
    <w:pPr>
      <w:autoSpaceDE w:val="0"/>
      <w:autoSpaceDN w:val="0"/>
      <w:adjustRightInd w:val="0"/>
      <w:spacing w:line="186" w:lineRule="exact"/>
      <w:jc w:val="left"/>
    </w:pPr>
    <w:rPr>
      <w:rFonts w:ascii="Times New Roman" w:hAnsi="Times New Roman" w:cs="Times New Roman"/>
    </w:rPr>
  </w:style>
  <w:style w:type="paragraph" w:customStyle="1" w:styleId="Tablebullet">
    <w:name w:val="Table bullet"/>
    <w:basedOn w:val="Normal"/>
    <w:link w:val="TablebulletChar"/>
    <w:qFormat/>
    <w:rsid w:val="00376A1F"/>
    <w:pPr>
      <w:numPr>
        <w:numId w:val="8"/>
      </w:numPr>
      <w:spacing w:before="40" w:after="40"/>
      <w:jc w:val="left"/>
    </w:pPr>
    <w:rPr>
      <w:rFonts w:asciiTheme="minorHAnsi" w:hAnsiTheme="minorHAnsi" w:cs="Times New Roman"/>
      <w:sz w:val="18"/>
      <w:szCs w:val="20"/>
      <w:lang w:val="en-GB" w:eastAsia="en-US"/>
    </w:rPr>
  </w:style>
  <w:style w:type="character" w:customStyle="1" w:styleId="TablebulletChar">
    <w:name w:val="Table bullet Char"/>
    <w:basedOn w:val="DefaultParagraphFont"/>
    <w:link w:val="Tablebullet"/>
    <w:rsid w:val="00376A1F"/>
    <w:rPr>
      <w:rFonts w:asciiTheme="minorHAnsi" w:hAnsiTheme="minorHAnsi"/>
      <w:sz w:val="18"/>
      <w:lang w:val="en-GB" w:eastAsia="en-US"/>
    </w:rPr>
  </w:style>
  <w:style w:type="paragraph" w:customStyle="1" w:styleId="TablebulletL2">
    <w:name w:val="Table bullet L2"/>
    <w:basedOn w:val="Tablebullet"/>
    <w:qFormat/>
    <w:rsid w:val="00376A1F"/>
    <w:pPr>
      <w:numPr>
        <w:ilvl w:val="1"/>
      </w:numPr>
      <w:tabs>
        <w:tab w:val="num" w:pos="360"/>
        <w:tab w:val="num" w:pos="1440"/>
      </w:tabs>
      <w:ind w:left="1440" w:hanging="576"/>
    </w:pPr>
  </w:style>
  <w:style w:type="table" w:customStyle="1" w:styleId="ASDTable4">
    <w:name w:val="ASD Table4"/>
    <w:basedOn w:val="TableNormal"/>
    <w:next w:val="TableGrid"/>
    <w:uiPriority w:val="59"/>
    <w:rsid w:val="00885E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59"/>
    <w:rsid w:val="003E500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link w:val="TableTextChar1"/>
    <w:rsid w:val="00A24B28"/>
    <w:pPr>
      <w:keepNext/>
      <w:spacing w:before="40" w:after="40"/>
    </w:pPr>
    <w:rPr>
      <w:rFonts w:ascii="Arial" w:hAnsi="Arial" w:cs="Times New Roman"/>
      <w:sz w:val="18"/>
      <w:szCs w:val="20"/>
      <w:lang w:eastAsia="en-US"/>
    </w:rPr>
  </w:style>
  <w:style w:type="character" w:customStyle="1" w:styleId="TableTextChar1">
    <w:name w:val="TableText Char"/>
    <w:link w:val="TableText1"/>
    <w:rsid w:val="00A24B28"/>
    <w:rPr>
      <w:rFonts w:ascii="Arial" w:hAnsi="Arial"/>
      <w:sz w:val="18"/>
      <w:lang w:eastAsia="en-US"/>
    </w:rPr>
  </w:style>
  <w:style w:type="table" w:customStyle="1" w:styleId="ASDTable6">
    <w:name w:val="ASD Table6"/>
    <w:basedOn w:val="TableNormal"/>
    <w:next w:val="TableGrid"/>
    <w:uiPriority w:val="59"/>
    <w:rsid w:val="00DB26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F5DAC"/>
    <w:rPr>
      <w:color w:val="2B579A"/>
      <w:shd w:val="clear" w:color="auto" w:fill="E1DFDD"/>
    </w:rPr>
  </w:style>
  <w:style w:type="paragraph" w:customStyle="1" w:styleId="TableHeading0">
    <w:name w:val="Table Heading"/>
    <w:basedOn w:val="TableText0"/>
    <w:link w:val="TableHeadingChar"/>
    <w:qFormat/>
    <w:rsid w:val="001810E4"/>
    <w:pPr>
      <w:framePr w:wrap="around" w:hAnchor="text"/>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locked/>
    <w:rsid w:val="001810E4"/>
    <w:rPr>
      <w:rFonts w:ascii="Arial Narrow" w:eastAsiaTheme="majorEastAsia" w:hAnsi="Arial Narrow" w:cs="Arial"/>
      <w:b/>
      <w:lang w:bidi="en-US"/>
    </w:rPr>
  </w:style>
  <w:style w:type="table" w:customStyle="1" w:styleId="AZTable">
    <w:name w:val="AZ Table"/>
    <w:basedOn w:val="TableNormal"/>
    <w:uiPriority w:val="99"/>
    <w:rsid w:val="001810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styleId="FootnoteText">
    <w:name w:val="footnote text"/>
    <w:basedOn w:val="Normal"/>
    <w:link w:val="FootnoteTextChar"/>
    <w:unhideWhenUsed/>
    <w:rsid w:val="001810E4"/>
    <w:rPr>
      <w:sz w:val="20"/>
      <w:szCs w:val="20"/>
    </w:rPr>
  </w:style>
  <w:style w:type="character" w:customStyle="1" w:styleId="FootnoteTextChar">
    <w:name w:val="Footnote Text Char"/>
    <w:basedOn w:val="DefaultParagraphFont"/>
    <w:link w:val="FootnoteText"/>
    <w:rsid w:val="001810E4"/>
    <w:rPr>
      <w:rFonts w:ascii="Calibri" w:hAnsi="Calibri" w:cs="Arial"/>
    </w:rPr>
  </w:style>
  <w:style w:type="character" w:styleId="FootnoteReference">
    <w:name w:val="footnote reference"/>
    <w:basedOn w:val="DefaultParagraphFont"/>
    <w:unhideWhenUsed/>
    <w:rsid w:val="001810E4"/>
    <w:rPr>
      <w:vertAlign w:val="superscript"/>
    </w:rPr>
  </w:style>
  <w:style w:type="paragraph" w:customStyle="1" w:styleId="CaptionFootnote">
    <w:name w:val="Caption Footnote"/>
    <w:basedOn w:val="Caption"/>
    <w:link w:val="CaptionFootnoteChar"/>
    <w:qFormat/>
    <w:rsid w:val="00B64B5A"/>
    <w:pPr>
      <w:keepNext w:val="0"/>
      <w:keepLines w:val="0"/>
      <w:widowControl w:val="0"/>
      <w:spacing w:after="240"/>
      <w:contextualSpacing/>
      <w:jc w:val="left"/>
    </w:pPr>
    <w:rPr>
      <w:rFonts w:eastAsia="SimSun" w:cs="Times New Roman"/>
      <w:b w:val="0"/>
      <w:sz w:val="18"/>
      <w:lang w:eastAsia="en-US" w:bidi="en-US"/>
    </w:rPr>
  </w:style>
  <w:style w:type="character" w:customStyle="1" w:styleId="CaptionFootnoteChar">
    <w:name w:val="Caption Footnote Char"/>
    <w:link w:val="CaptionFootnote"/>
    <w:rsid w:val="00B64B5A"/>
    <w:rPr>
      <w:rFonts w:ascii="Arial Narrow" w:eastAsia="SimSun" w:hAnsi="Arial Narrow"/>
      <w:bCs/>
      <w:sz w:val="18"/>
      <w:szCs w:val="18"/>
      <w:lang w:eastAsia="en-US" w:bidi="en-US"/>
    </w:rPr>
  </w:style>
  <w:style w:type="character" w:customStyle="1" w:styleId="Heading1Char">
    <w:name w:val="Heading 1 Char"/>
    <w:basedOn w:val="DefaultParagraphFont"/>
    <w:link w:val="Heading1"/>
    <w:uiPriority w:val="1"/>
    <w:rsid w:val="00B64B5A"/>
    <w:rPr>
      <w:rFonts w:ascii="Calibri" w:hAnsi="Calibri" w:cs="Arial"/>
      <w:b/>
      <w:caps/>
      <w:sz w:val="32"/>
      <w:szCs w:val="24"/>
    </w:rPr>
  </w:style>
  <w:style w:type="character" w:customStyle="1" w:styleId="Heading3Char">
    <w:name w:val="Heading 3 Char"/>
    <w:basedOn w:val="DefaultParagraphFont"/>
    <w:link w:val="Heading3"/>
    <w:rsid w:val="00B64B5A"/>
    <w:rPr>
      <w:rFonts w:ascii="Calibri" w:hAnsi="Calibri" w:cs="Arial"/>
      <w:sz w:val="24"/>
      <w:szCs w:val="24"/>
      <w:u w:val="single"/>
    </w:rPr>
  </w:style>
  <w:style w:type="character" w:customStyle="1" w:styleId="Heading4Char">
    <w:name w:val="Heading 4 Char"/>
    <w:basedOn w:val="DefaultParagraphFont"/>
    <w:link w:val="Heading4"/>
    <w:rsid w:val="00B64B5A"/>
    <w:rPr>
      <w:rFonts w:ascii="Calibri" w:hAnsi="Calibri" w:cs="Arial"/>
      <w:b/>
      <w:bCs/>
      <w:i/>
      <w:sz w:val="26"/>
      <w:szCs w:val="28"/>
    </w:rPr>
  </w:style>
  <w:style w:type="character" w:customStyle="1" w:styleId="Heading5Char">
    <w:name w:val="Heading 5 Char"/>
    <w:basedOn w:val="DefaultParagraphFont"/>
    <w:link w:val="Heading5"/>
    <w:rsid w:val="00B64B5A"/>
    <w:rPr>
      <w:rFonts w:ascii="Calibri" w:hAnsi="Calibri" w:cs="Arial"/>
      <w:b/>
      <w:bCs/>
      <w:iCs/>
      <w:sz w:val="26"/>
      <w:szCs w:val="26"/>
    </w:rPr>
  </w:style>
  <w:style w:type="character" w:customStyle="1" w:styleId="Heading6Char">
    <w:name w:val="Heading 6 Char"/>
    <w:basedOn w:val="DefaultParagraphFont"/>
    <w:link w:val="Heading6"/>
    <w:rsid w:val="00B64B5A"/>
    <w:rPr>
      <w:rFonts w:ascii="Calibri" w:hAnsi="Calibri" w:cs="Arial"/>
      <w:b/>
      <w:bCs/>
      <w:i/>
      <w:sz w:val="24"/>
      <w:szCs w:val="24"/>
    </w:rPr>
  </w:style>
  <w:style w:type="character" w:styleId="PlaceholderText">
    <w:name w:val="Placeholder Text"/>
    <w:basedOn w:val="DefaultParagraphFont"/>
    <w:uiPriority w:val="99"/>
    <w:semiHidden/>
    <w:rsid w:val="00B64B5A"/>
    <w:rPr>
      <w:color w:val="666666"/>
    </w:rPr>
  </w:style>
  <w:style w:type="character" w:customStyle="1" w:styleId="cf01">
    <w:name w:val="cf01"/>
    <w:basedOn w:val="DefaultParagraphFont"/>
    <w:rsid w:val="00851EE2"/>
    <w:rPr>
      <w:rFonts w:ascii="Segoe UI" w:hAnsi="Segoe UI" w:cs="Segoe UI" w:hint="default"/>
      <w:sz w:val="18"/>
      <w:szCs w:val="18"/>
    </w:rPr>
  </w:style>
  <w:style w:type="numbering" w:customStyle="1" w:styleId="NoList1">
    <w:name w:val="No List1"/>
    <w:next w:val="NoList"/>
    <w:uiPriority w:val="99"/>
    <w:semiHidden/>
    <w:unhideWhenUsed/>
    <w:rsid w:val="00B825C4"/>
  </w:style>
  <w:style w:type="paragraph" w:customStyle="1" w:styleId="Quote1">
    <w:name w:val="Quote1"/>
    <w:basedOn w:val="Normal"/>
    <w:next w:val="Normal"/>
    <w:uiPriority w:val="29"/>
    <w:qFormat/>
    <w:rsid w:val="00B825C4"/>
    <w:pPr>
      <w:spacing w:before="160"/>
      <w:jc w:val="center"/>
    </w:pPr>
    <w:rPr>
      <w:i/>
      <w:iCs/>
      <w:color w:val="404040"/>
      <w14:ligatures w14:val="standardContextual"/>
    </w:rPr>
  </w:style>
  <w:style w:type="character" w:customStyle="1" w:styleId="QuoteChar">
    <w:name w:val="Quote Char"/>
    <w:basedOn w:val="DefaultParagraphFont"/>
    <w:link w:val="Quote"/>
    <w:uiPriority w:val="29"/>
    <w:rsid w:val="00B825C4"/>
    <w:rPr>
      <w:rFonts w:ascii="Calibri" w:hAnsi="Calibri" w:cs="Arial"/>
      <w:i/>
      <w:iCs/>
      <w:color w:val="404040"/>
      <w14:ligatures w14:val="standardContextual"/>
    </w:rPr>
  </w:style>
  <w:style w:type="character" w:customStyle="1" w:styleId="IntenseEmphasis1">
    <w:name w:val="Intense Emphasis1"/>
    <w:basedOn w:val="DefaultParagraphFont"/>
    <w:uiPriority w:val="21"/>
    <w:qFormat/>
    <w:rsid w:val="00B825C4"/>
    <w:rPr>
      <w:i/>
      <w:iCs/>
      <w:color w:val="2E74B5"/>
    </w:rPr>
  </w:style>
  <w:style w:type="paragraph" w:customStyle="1" w:styleId="IntenseQuote1">
    <w:name w:val="Intense Quote1"/>
    <w:basedOn w:val="Normal"/>
    <w:next w:val="Normal"/>
    <w:uiPriority w:val="30"/>
    <w:qFormat/>
    <w:rsid w:val="00B825C4"/>
    <w:pPr>
      <w:pBdr>
        <w:top w:val="single" w:sz="4" w:space="10" w:color="2E74B5"/>
        <w:bottom w:val="single" w:sz="4" w:space="10" w:color="2E74B5"/>
      </w:pBdr>
      <w:spacing w:before="360" w:after="360"/>
      <w:ind w:left="864" w:right="864"/>
      <w:jc w:val="center"/>
    </w:pPr>
    <w:rPr>
      <w:i/>
      <w:iCs/>
      <w:color w:val="2E74B5"/>
      <w14:ligatures w14:val="standardContextual"/>
    </w:rPr>
  </w:style>
  <w:style w:type="character" w:customStyle="1" w:styleId="IntenseQuoteChar">
    <w:name w:val="Intense Quote Char"/>
    <w:basedOn w:val="DefaultParagraphFont"/>
    <w:link w:val="IntenseQuote"/>
    <w:uiPriority w:val="30"/>
    <w:rsid w:val="00B825C4"/>
    <w:rPr>
      <w:rFonts w:ascii="Calibri" w:hAnsi="Calibri" w:cs="Arial"/>
      <w:i/>
      <w:iCs/>
      <w:color w:val="2E74B5"/>
      <w14:ligatures w14:val="standardContextual"/>
    </w:rPr>
  </w:style>
  <w:style w:type="character" w:customStyle="1" w:styleId="IntenseReference1">
    <w:name w:val="Intense Reference1"/>
    <w:basedOn w:val="DefaultParagraphFont"/>
    <w:uiPriority w:val="32"/>
    <w:qFormat/>
    <w:rsid w:val="00B825C4"/>
    <w:rPr>
      <w:b/>
      <w:bCs/>
      <w:smallCaps/>
      <w:color w:val="2E74B5"/>
      <w:spacing w:val="5"/>
    </w:rPr>
  </w:style>
  <w:style w:type="table" w:customStyle="1" w:styleId="ASDTable7">
    <w:name w:val="ASD Table7"/>
    <w:basedOn w:val="TableNormal"/>
    <w:next w:val="TableGrid"/>
    <w:uiPriority w:val="59"/>
    <w:rsid w:val="00B825C4"/>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B825C4"/>
    <w:pPr>
      <w:spacing w:before="200" w:after="160"/>
      <w:ind w:left="864" w:right="864"/>
      <w:jc w:val="center"/>
    </w:pPr>
    <w:rPr>
      <w:i/>
      <w:iCs/>
      <w:color w:val="404040"/>
      <w:sz w:val="20"/>
      <w:szCs w:val="20"/>
      <w14:ligatures w14:val="standardContextual"/>
    </w:rPr>
  </w:style>
  <w:style w:type="character" w:customStyle="1" w:styleId="QuoteChar1">
    <w:name w:val="Quote Char1"/>
    <w:basedOn w:val="DefaultParagraphFont"/>
    <w:uiPriority w:val="29"/>
    <w:rsid w:val="00B825C4"/>
    <w:rPr>
      <w:rFonts w:ascii="Calibri" w:hAnsi="Calibri" w:cs="Arial"/>
      <w:i/>
      <w:iCs/>
      <w:color w:val="404040" w:themeColor="text1" w:themeTint="BF"/>
      <w:sz w:val="24"/>
      <w:szCs w:val="24"/>
    </w:rPr>
  </w:style>
  <w:style w:type="character" w:styleId="IntenseEmphasis">
    <w:name w:val="Intense Emphasis"/>
    <w:basedOn w:val="DefaultParagraphFont"/>
    <w:uiPriority w:val="21"/>
    <w:rsid w:val="00B825C4"/>
    <w:rPr>
      <w:i/>
      <w:iCs/>
      <w:color w:val="4F81BD" w:themeColor="accent1"/>
    </w:rPr>
  </w:style>
  <w:style w:type="paragraph" w:styleId="IntenseQuote">
    <w:name w:val="Intense Quote"/>
    <w:basedOn w:val="Normal"/>
    <w:next w:val="Normal"/>
    <w:link w:val="IntenseQuoteChar"/>
    <w:uiPriority w:val="30"/>
    <w:rsid w:val="00B825C4"/>
    <w:pPr>
      <w:pBdr>
        <w:top w:val="single" w:sz="4" w:space="10" w:color="4F81BD" w:themeColor="accent1"/>
        <w:bottom w:val="single" w:sz="4" w:space="10" w:color="4F81BD" w:themeColor="accent1"/>
      </w:pBdr>
      <w:spacing w:before="360" w:after="360"/>
      <w:ind w:left="864" w:right="864"/>
      <w:jc w:val="center"/>
    </w:pPr>
    <w:rPr>
      <w:i/>
      <w:iCs/>
      <w:color w:val="2E74B5"/>
      <w:sz w:val="20"/>
      <w:szCs w:val="20"/>
      <w14:ligatures w14:val="standardContextual"/>
    </w:rPr>
  </w:style>
  <w:style w:type="character" w:customStyle="1" w:styleId="IntenseQuoteChar1">
    <w:name w:val="Intense Quote Char1"/>
    <w:basedOn w:val="DefaultParagraphFont"/>
    <w:uiPriority w:val="30"/>
    <w:rsid w:val="00B825C4"/>
    <w:rPr>
      <w:rFonts w:ascii="Calibri" w:hAnsi="Calibri" w:cs="Arial"/>
      <w:i/>
      <w:iCs/>
      <w:color w:val="4F81BD" w:themeColor="accent1"/>
      <w:sz w:val="24"/>
      <w:szCs w:val="24"/>
    </w:rPr>
  </w:style>
  <w:style w:type="character" w:styleId="IntenseReference">
    <w:name w:val="Intense Reference"/>
    <w:basedOn w:val="DefaultParagraphFont"/>
    <w:uiPriority w:val="32"/>
    <w:rsid w:val="00B825C4"/>
    <w:rPr>
      <w:b/>
      <w:bCs/>
      <w:smallCaps/>
      <w:color w:val="4F81BD" w:themeColor="accent1"/>
      <w:spacing w:val="5"/>
    </w:rPr>
  </w:style>
  <w:style w:type="paragraph" w:customStyle="1" w:styleId="COMexecsummbulletlist">
    <w:name w:val="COM exec summ bullet list"/>
    <w:basedOn w:val="Normal"/>
    <w:link w:val="COMexecsummbulletlistChar"/>
    <w:qFormat/>
    <w:rsid w:val="00236E2F"/>
    <w:pPr>
      <w:spacing w:after="120"/>
      <w:ind w:left="1077" w:hanging="36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236E2F"/>
    <w:rPr>
      <w:rFonts w:asciiTheme="minorHAnsi" w:hAnsiTheme="minorHAnsi" w:cs="Arial"/>
      <w:snapToGrid w:val="0"/>
      <w:sz w:val="24"/>
      <w:szCs w:val="24"/>
    </w:rPr>
  </w:style>
  <w:style w:type="paragraph" w:customStyle="1" w:styleId="3-SubsectionHeading">
    <w:name w:val="3-Subsection Heading"/>
    <w:basedOn w:val="Heading2"/>
    <w:next w:val="Normal"/>
    <w:link w:val="3-SubsectionHeadingChar"/>
    <w:qFormat/>
    <w:rsid w:val="00962DA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62DA5"/>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16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3911391">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034574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0085041">
      <w:bodyDiv w:val="1"/>
      <w:marLeft w:val="0"/>
      <w:marRight w:val="0"/>
      <w:marTop w:val="0"/>
      <w:marBottom w:val="0"/>
      <w:divBdr>
        <w:top w:val="none" w:sz="0" w:space="0" w:color="auto"/>
        <w:left w:val="none" w:sz="0" w:space="0" w:color="auto"/>
        <w:bottom w:val="none" w:sz="0" w:space="0" w:color="auto"/>
        <w:right w:val="none" w:sz="0" w:space="0" w:color="auto"/>
      </w:divBdr>
    </w:div>
    <w:div w:id="384916356">
      <w:bodyDiv w:val="1"/>
      <w:marLeft w:val="0"/>
      <w:marRight w:val="0"/>
      <w:marTop w:val="0"/>
      <w:marBottom w:val="0"/>
      <w:divBdr>
        <w:top w:val="none" w:sz="0" w:space="0" w:color="auto"/>
        <w:left w:val="none" w:sz="0" w:space="0" w:color="auto"/>
        <w:bottom w:val="none" w:sz="0" w:space="0" w:color="auto"/>
        <w:right w:val="none" w:sz="0" w:space="0" w:color="auto"/>
      </w:divBdr>
    </w:div>
    <w:div w:id="512695272">
      <w:bodyDiv w:val="1"/>
      <w:marLeft w:val="0"/>
      <w:marRight w:val="0"/>
      <w:marTop w:val="0"/>
      <w:marBottom w:val="0"/>
      <w:divBdr>
        <w:top w:val="none" w:sz="0" w:space="0" w:color="auto"/>
        <w:left w:val="none" w:sz="0" w:space="0" w:color="auto"/>
        <w:bottom w:val="none" w:sz="0" w:space="0" w:color="auto"/>
        <w:right w:val="none" w:sz="0" w:space="0" w:color="auto"/>
      </w:divBdr>
    </w:div>
    <w:div w:id="566263653">
      <w:bodyDiv w:val="1"/>
      <w:marLeft w:val="0"/>
      <w:marRight w:val="0"/>
      <w:marTop w:val="0"/>
      <w:marBottom w:val="0"/>
      <w:divBdr>
        <w:top w:val="none" w:sz="0" w:space="0" w:color="auto"/>
        <w:left w:val="none" w:sz="0" w:space="0" w:color="auto"/>
        <w:bottom w:val="none" w:sz="0" w:space="0" w:color="auto"/>
        <w:right w:val="none" w:sz="0" w:space="0" w:color="auto"/>
      </w:divBdr>
    </w:div>
    <w:div w:id="82536383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3619880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61531117">
      <w:bodyDiv w:val="1"/>
      <w:marLeft w:val="0"/>
      <w:marRight w:val="0"/>
      <w:marTop w:val="0"/>
      <w:marBottom w:val="0"/>
      <w:divBdr>
        <w:top w:val="none" w:sz="0" w:space="0" w:color="auto"/>
        <w:left w:val="none" w:sz="0" w:space="0" w:color="auto"/>
        <w:bottom w:val="none" w:sz="0" w:space="0" w:color="auto"/>
        <w:right w:val="none" w:sz="0" w:space="0" w:color="auto"/>
      </w:divBdr>
      <w:divsChild>
        <w:div w:id="129858557">
          <w:marLeft w:val="547"/>
          <w:marRight w:val="0"/>
          <w:marTop w:val="86"/>
          <w:marBottom w:val="0"/>
          <w:divBdr>
            <w:top w:val="none" w:sz="0" w:space="0" w:color="auto"/>
            <w:left w:val="none" w:sz="0" w:space="0" w:color="auto"/>
            <w:bottom w:val="none" w:sz="0" w:space="0" w:color="auto"/>
            <w:right w:val="none" w:sz="0" w:space="0" w:color="auto"/>
          </w:divBdr>
        </w:div>
      </w:divsChild>
    </w:div>
    <w:div w:id="1733000003">
      <w:bodyDiv w:val="1"/>
      <w:marLeft w:val="0"/>
      <w:marRight w:val="0"/>
      <w:marTop w:val="0"/>
      <w:marBottom w:val="0"/>
      <w:divBdr>
        <w:top w:val="none" w:sz="0" w:space="0" w:color="auto"/>
        <w:left w:val="none" w:sz="0" w:space="0" w:color="auto"/>
        <w:bottom w:val="none" w:sz="0" w:space="0" w:color="auto"/>
        <w:right w:val="none" w:sz="0" w:space="0" w:color="auto"/>
      </w:divBdr>
    </w:div>
    <w:div w:id="194067368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jnj.sharepoint.com/teams/jnjau-60364899/PRODUCTS/Amivantamab/cEGFR%201L/Cat%202%20Nov%202024%20submission/Main%20body/www.nccn.org/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C4B40-DB22-4D47-9EE0-39D6F5DD924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E59F6C5F-6233-4535-B3DD-7BE25474C460}">
  <ds:schemaRefs>
    <ds:schemaRef ds:uri="http://schemas.microsoft.com/sharepoint/v3/contenttype/fo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5329F955-255A-4CDD-8091-146E0E146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18766</Words>
  <Characters>106971</Characters>
  <Application>Microsoft Office Word</Application>
  <DocSecurity>0</DocSecurity>
  <Lines>891</Lines>
  <Paragraphs>250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5.01	AMIVANTAMAB  Solution concentrate for I.V. infusion 350 mg in 7 mL, Rybreva</vt:lpstr>
      <vt:lpstr>Purpose of submission</vt:lpstr>
      <vt:lpstr>Background</vt:lpstr>
      <vt:lpstr>    Registration status</vt:lpstr>
      <vt:lpstr>    Previous PBAC consideration</vt:lpstr>
      <vt:lpstr>Requested listing</vt:lpstr>
      <vt:lpstr>Population and disease</vt:lpstr>
      <vt:lpstr>Comparator</vt:lpstr>
      <vt:lpstr>Consideration of the evidence</vt:lpstr>
      <vt:lpstr>    Sponsor hearing</vt:lpstr>
      <vt:lpstr>    Consumer comments</vt:lpstr>
      <vt:lpstr>    Clinical trial</vt:lpstr>
      <vt:lpstr>    Comparative effectiveness</vt:lpstr>
      <vt:lpstr>    Comparative harms</vt:lpstr>
      <vt:lpstr>    Benefits/harms</vt:lpstr>
      <vt:lpstr>    Clinical claim</vt:lpstr>
      <vt:lpstr>    Economic analysis </vt:lpstr>
      <vt:lpstr>    Cost/patient/year</vt:lpstr>
      <vt:lpstr>    Estimated PBS usage &amp; financial implications</vt:lpstr>
    </vt:vector>
  </TitlesOfParts>
  <Company/>
  <LinksUpToDate>false</LinksUpToDate>
  <CharactersWithSpaces>125487</CharactersWithSpaces>
  <SharedDoc>false</SharedDoc>
  <HLinks>
    <vt:vector size="6" baseType="variant">
      <vt:variant>
        <vt:i4>7208997</vt:i4>
      </vt:variant>
      <vt:variant>
        <vt:i4>0</vt:i4>
      </vt:variant>
      <vt:variant>
        <vt:i4>0</vt:i4>
      </vt:variant>
      <vt:variant>
        <vt:i4>5</vt:i4>
      </vt:variant>
      <vt:variant>
        <vt:lpwstr>https://jnj.sharepoint.com/teams/jnjau-60364899/PRODUCTS/Amivantamab/cEGFR 1L/Cat 2 Nov 2024 submission/Main body/www.nccn.org/patients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2025-07-08T00:50:00Z</dcterms:created>
  <dcterms:modified xsi:type="dcterms:W3CDTF">2025-07-16T10:02:00Z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