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18A3" w14:textId="11AEE8E1" w:rsidR="002C499B" w:rsidRDefault="004B719C" w:rsidP="00046609">
      <w:pPr>
        <w:pStyle w:val="1-MainHeading"/>
      </w:pPr>
      <w:bookmarkStart w:id="0" w:name="_Toc177566388"/>
      <w:bookmarkStart w:id="1" w:name="_Hlk176438069"/>
      <w:r>
        <w:t>6.06</w:t>
      </w:r>
      <w:r w:rsidR="00163F66" w:rsidRPr="0098262F">
        <w:tab/>
      </w:r>
      <w:r w:rsidR="00E55A9A">
        <w:t>NIVOLUMAB</w:t>
      </w:r>
      <w:r w:rsidR="00163F66" w:rsidRPr="0098262F">
        <w:t>,</w:t>
      </w:r>
      <w:r w:rsidR="00046609">
        <w:br/>
        <w:t>Injection concentrate for I.V. infusion 40 mg in 4 mL,</w:t>
      </w:r>
      <w:r w:rsidR="00046609">
        <w:br/>
        <w:t>Injection concentrate for I.V. infusion 100 mg in 10 mL,</w:t>
      </w:r>
      <w:r w:rsidR="00046609">
        <w:br/>
        <w:t>Opdivo®,</w:t>
      </w:r>
      <w:r w:rsidR="00046609">
        <w:br/>
        <w:t>Bristol-Myers Squibb Australia Pty Ltd.</w:t>
      </w:r>
      <w:bookmarkStart w:id="2" w:name="_Toc177566391"/>
      <w:bookmarkEnd w:id="0"/>
    </w:p>
    <w:p w14:paraId="11C00795" w14:textId="793F54CC" w:rsidR="00B50DB8" w:rsidRPr="0098262F" w:rsidRDefault="00B50DB8" w:rsidP="00046609">
      <w:pPr>
        <w:pStyle w:val="1-MainHeading"/>
      </w:pPr>
      <w:r w:rsidRPr="0098262F">
        <w:t xml:space="preserve">Purpose of </w:t>
      </w:r>
      <w:r w:rsidR="00CD7193" w:rsidRPr="0098262F">
        <w:t>s</w:t>
      </w:r>
      <w:r w:rsidR="00BB3A45" w:rsidRPr="0098262F">
        <w:t>ubmission</w:t>
      </w:r>
      <w:bookmarkEnd w:id="2"/>
    </w:p>
    <w:p w14:paraId="4E0F5C49" w14:textId="77777777" w:rsidR="00A0136F" w:rsidRDefault="007170DA" w:rsidP="004E18E9">
      <w:pPr>
        <w:pStyle w:val="3-BodyText"/>
        <w:rPr>
          <w:color w:val="0066FF"/>
        </w:rPr>
      </w:pPr>
      <w:r w:rsidRPr="0098262F">
        <w:t xml:space="preserve">The </w:t>
      </w:r>
      <w:r w:rsidR="00F73E08" w:rsidRPr="0098262F">
        <w:t xml:space="preserve">Category </w:t>
      </w:r>
      <w:r w:rsidR="00AF2C25">
        <w:t>2 submission</w:t>
      </w:r>
      <w:r w:rsidR="003C7C15" w:rsidRPr="0098262F">
        <w:t xml:space="preserve"> </w:t>
      </w:r>
      <w:r w:rsidRPr="0098262F">
        <w:t xml:space="preserve">requested </w:t>
      </w:r>
      <w:r w:rsidR="00AF2C25">
        <w:t xml:space="preserve">a </w:t>
      </w:r>
      <w:r w:rsidR="008B1757" w:rsidRPr="0098262F">
        <w:t>Section 100</w:t>
      </w:r>
      <w:r w:rsidR="00AF2C25">
        <w:t xml:space="preserve"> (Efficient Funding of Chemotherapy)</w:t>
      </w:r>
      <w:r w:rsidR="008B1757" w:rsidRPr="0098262F">
        <w:t>, Authority Required</w:t>
      </w:r>
      <w:r w:rsidR="00AF2C25">
        <w:t xml:space="preserve"> (STREAMLINED) </w:t>
      </w:r>
      <w:r w:rsidR="008B1757" w:rsidRPr="0098262F">
        <w:t xml:space="preserve">listing for </w:t>
      </w:r>
      <w:r w:rsidR="0050174E" w:rsidRPr="0098262F">
        <w:t xml:space="preserve">the </w:t>
      </w:r>
      <w:r w:rsidR="00AF2C25">
        <w:t xml:space="preserve">perioperative </w:t>
      </w:r>
      <w:r w:rsidR="008B1757" w:rsidRPr="0098262F">
        <w:t xml:space="preserve">treatment of </w:t>
      </w:r>
      <w:r w:rsidR="00AF2C25">
        <w:t>patients with resectable non-small cell lung cancer (NSCLC)</w:t>
      </w:r>
      <w:r w:rsidR="009D4914">
        <w:t>.</w:t>
      </w:r>
    </w:p>
    <w:p w14:paraId="6ACD924F" w14:textId="77777777" w:rsidR="00A0136F" w:rsidRDefault="005750C5" w:rsidP="00B551BA">
      <w:pPr>
        <w:pStyle w:val="3-BodyText"/>
        <w:rPr>
          <w:iCs/>
        </w:rPr>
      </w:pPr>
      <w:r w:rsidRPr="0098262F">
        <w:t>Listing</w:t>
      </w:r>
      <w:r w:rsidR="00A60A36">
        <w:t xml:space="preserve"> of perioperative nivolumab (periNIVO)</w:t>
      </w:r>
      <w:r w:rsidRPr="0098262F">
        <w:t xml:space="preserve"> was requested</w:t>
      </w:r>
      <w:r w:rsidR="00250F46">
        <w:t xml:space="preserve"> </w:t>
      </w:r>
      <w:r w:rsidR="00250F46" w:rsidRPr="00293E60">
        <w:t>by the submission</w:t>
      </w:r>
      <w:r w:rsidRPr="0098262F">
        <w:t xml:space="preserve"> </w:t>
      </w:r>
      <w:proofErr w:type="gramStart"/>
      <w:r w:rsidRPr="0098262F">
        <w:t>on the basis of</w:t>
      </w:r>
      <w:proofErr w:type="gramEnd"/>
      <w:r w:rsidRPr="0098262F">
        <w:t xml:space="preserve"> a cost-</w:t>
      </w:r>
      <w:r w:rsidR="00AF2C25">
        <w:t>utility</w:t>
      </w:r>
      <w:r w:rsidRPr="0098262F">
        <w:t xml:space="preserve"> analysis versus </w:t>
      </w:r>
      <w:r w:rsidR="009320CB">
        <w:t>neoadjuvant chemotherapy (neoChemo)</w:t>
      </w:r>
      <w:r w:rsidRPr="0098262F">
        <w:t>.</w:t>
      </w:r>
      <w:r w:rsidR="009320CB">
        <w:t xml:space="preserve"> </w:t>
      </w:r>
      <w:r w:rsidR="00821468">
        <w:t>Nominated s</w:t>
      </w:r>
      <w:r w:rsidR="00E236F0">
        <w:t>econdary</w:t>
      </w:r>
      <w:r w:rsidR="009320CB">
        <w:t xml:space="preserve"> comparators were neoadjuvant nivolumab plus chemotherapy (neoNIVO) and adjuvant chemotherapy (adjChemo).</w:t>
      </w:r>
      <w:r w:rsidRPr="0098262F">
        <w:t xml:space="preserve"> </w:t>
      </w:r>
      <w:r w:rsidR="00F62FA0">
        <w:t xml:space="preserve">Further, a supplementary comparator of adjChemo followed by atezolizumab was nominated as a supplementary </w:t>
      </w:r>
      <w:r w:rsidR="00534391">
        <w:t xml:space="preserve">comparator in patients </w:t>
      </w:r>
      <w:r w:rsidR="00C004CA">
        <w:t>with r</w:t>
      </w:r>
      <w:r w:rsidR="00C004CA" w:rsidRPr="00C004CA">
        <w:t xml:space="preserve">esected stage II-IIIA NSCLC whose tumours have </w:t>
      </w:r>
      <w:r w:rsidR="00C004CA">
        <w:t>programmed death ligand 1 (</w:t>
      </w:r>
      <w:r w:rsidR="00C004CA" w:rsidRPr="00C004CA">
        <w:t>PD-L1</w:t>
      </w:r>
      <w:r w:rsidR="00C004CA">
        <w:t>)</w:t>
      </w:r>
      <w:r w:rsidR="00C004CA" w:rsidRPr="00C004CA">
        <w:t xml:space="preserve"> ≥50%</w:t>
      </w:r>
      <w:r w:rsidR="00C004CA">
        <w:t xml:space="preserve">. </w:t>
      </w:r>
      <w:r w:rsidR="00E236F0" w:rsidRPr="00250F46">
        <w:t>Only</w:t>
      </w:r>
      <w:r w:rsidR="00E236F0">
        <w:t xml:space="preserve"> the comparison with neoChemo was captured in the economic analysis and financial estimates</w:t>
      </w:r>
      <w:r w:rsidR="00250F46">
        <w:t xml:space="preserve"> </w:t>
      </w:r>
      <w:r w:rsidR="005D198B" w:rsidRPr="00B96B42">
        <w:rPr>
          <w:iCs/>
        </w:rPr>
        <w:t>in</w:t>
      </w:r>
      <w:r w:rsidR="00250F46" w:rsidRPr="00B96B42">
        <w:rPr>
          <w:iCs/>
        </w:rPr>
        <w:t xml:space="preserve"> the submission</w:t>
      </w:r>
      <w:r w:rsidR="00E236F0">
        <w:t xml:space="preserve">. </w:t>
      </w:r>
      <w:r w:rsidR="00250F46" w:rsidRPr="00B96B42">
        <w:rPr>
          <w:iCs/>
        </w:rPr>
        <w:t xml:space="preserve">The </w:t>
      </w:r>
      <w:r w:rsidR="0018374C" w:rsidRPr="00B96B42">
        <w:rPr>
          <w:iCs/>
        </w:rPr>
        <w:t>Pre-Sub-Committee Response (</w:t>
      </w:r>
      <w:r w:rsidR="00250F46" w:rsidRPr="00B96B42">
        <w:rPr>
          <w:iCs/>
        </w:rPr>
        <w:t>PSCR</w:t>
      </w:r>
      <w:r w:rsidR="0018374C" w:rsidRPr="00B96B42">
        <w:rPr>
          <w:iCs/>
        </w:rPr>
        <w:t>)</w:t>
      </w:r>
      <w:r w:rsidR="00250F46" w:rsidRPr="00B96B42">
        <w:rPr>
          <w:iCs/>
        </w:rPr>
        <w:t xml:space="preserve"> </w:t>
      </w:r>
      <w:r w:rsidR="000F6120" w:rsidRPr="00B96B42">
        <w:rPr>
          <w:iCs/>
        </w:rPr>
        <w:t>noted</w:t>
      </w:r>
      <w:r w:rsidR="00250F46" w:rsidRPr="00B96B42">
        <w:rPr>
          <w:iCs/>
        </w:rPr>
        <w:t xml:space="preserve"> that neoadjuvant nivolumab (neoNIVO) was recommended by the PBAC in July 2023 and listed </w:t>
      </w:r>
      <w:r w:rsidR="00221EC6" w:rsidRPr="00B96B42">
        <w:rPr>
          <w:iCs/>
        </w:rPr>
        <w:t xml:space="preserve">on the PBS </w:t>
      </w:r>
      <w:r w:rsidR="00250F46" w:rsidRPr="00B96B42">
        <w:rPr>
          <w:iCs/>
        </w:rPr>
        <w:t xml:space="preserve">1 August 2024 and therefore </w:t>
      </w:r>
      <w:r w:rsidR="00660D0B" w:rsidRPr="00B96B42">
        <w:rPr>
          <w:iCs/>
        </w:rPr>
        <w:t>considered</w:t>
      </w:r>
      <w:r w:rsidR="000F6120" w:rsidRPr="00B96B42">
        <w:rPr>
          <w:iCs/>
        </w:rPr>
        <w:t xml:space="preserve"> that it </w:t>
      </w:r>
      <w:r w:rsidR="00250F46" w:rsidRPr="00B96B42">
        <w:rPr>
          <w:iCs/>
        </w:rPr>
        <w:t xml:space="preserve">would be the therapy most likely to be replaced by periNIVO. The PSCR </w:t>
      </w:r>
      <w:r w:rsidR="000F6120" w:rsidRPr="00B96B42">
        <w:rPr>
          <w:iCs/>
        </w:rPr>
        <w:t>stated that</w:t>
      </w:r>
      <w:r w:rsidR="00250F46" w:rsidRPr="00B96B42">
        <w:rPr>
          <w:iCs/>
        </w:rPr>
        <w:t xml:space="preserve"> neoNIVO was now the </w:t>
      </w:r>
      <w:r w:rsidR="000F6120" w:rsidRPr="00B96B42">
        <w:rPr>
          <w:iCs/>
        </w:rPr>
        <w:t xml:space="preserve">most </w:t>
      </w:r>
      <w:r w:rsidR="00250F46" w:rsidRPr="00B96B42">
        <w:rPr>
          <w:iCs/>
        </w:rPr>
        <w:t>appropriate main comparator</w:t>
      </w:r>
      <w:r w:rsidR="00C30865" w:rsidRPr="00B96B42">
        <w:rPr>
          <w:iCs/>
        </w:rPr>
        <w:t xml:space="preserve"> and requested the listing of periNIVO be considered </w:t>
      </w:r>
      <w:proofErr w:type="gramStart"/>
      <w:r w:rsidR="00C30865" w:rsidRPr="00B96B42">
        <w:rPr>
          <w:iCs/>
        </w:rPr>
        <w:t>on the basis of</w:t>
      </w:r>
      <w:proofErr w:type="gramEnd"/>
      <w:r w:rsidR="00C30865" w:rsidRPr="00B96B42">
        <w:rPr>
          <w:iCs/>
        </w:rPr>
        <w:t xml:space="preserve"> a cost-minimisation approach versus neoNIVO.</w:t>
      </w:r>
    </w:p>
    <w:p w14:paraId="711FF53A" w14:textId="77777777" w:rsidR="00A0136F" w:rsidRDefault="00E236F0" w:rsidP="004E18E9">
      <w:pPr>
        <w:pStyle w:val="3-BodyText"/>
        <w:rPr>
          <w:iCs/>
        </w:rPr>
      </w:pPr>
      <w:r>
        <w:t>The submission additionally identified two near-market comparators: perioperative pembrolizumab</w:t>
      </w:r>
      <w:r w:rsidR="00F22D11">
        <w:t>;</w:t>
      </w:r>
      <w:r>
        <w:t xml:space="preserve"> and perioperative durvalumab</w:t>
      </w:r>
      <w:r w:rsidR="00F22D11">
        <w:t>; both of which were noted by the submission as having been submitted to the TGA for registration</w:t>
      </w:r>
      <w:r w:rsidR="00C004CA">
        <w:t>.</w:t>
      </w:r>
    </w:p>
    <w:p w14:paraId="4FCACAF2" w14:textId="34489B16" w:rsidR="00E236F0" w:rsidRDefault="00E236F0" w:rsidP="004E18E9">
      <w:pPr>
        <w:pStyle w:val="3-BodyText"/>
      </w:pPr>
      <w:r>
        <w:t xml:space="preserve">A summary of the key components of the clinical issue addressed by the submission is presented in </w:t>
      </w:r>
      <w:r w:rsidR="00B03DA9">
        <w:fldChar w:fldCharType="begin"/>
      </w:r>
      <w:r w:rsidR="00B03DA9">
        <w:instrText xml:space="preserve"> REF _Ref175322977 \h </w:instrText>
      </w:r>
      <w:r w:rsidR="00B03DA9">
        <w:fldChar w:fldCharType="separate"/>
      </w:r>
      <w:r w:rsidR="009C09C9" w:rsidRPr="0098262F">
        <w:t xml:space="preserve">Table </w:t>
      </w:r>
      <w:r w:rsidR="009C09C9">
        <w:rPr>
          <w:noProof/>
        </w:rPr>
        <w:t>1</w:t>
      </w:r>
      <w:r w:rsidR="00B03DA9">
        <w:fldChar w:fldCharType="end"/>
      </w:r>
      <w:r>
        <w:t>.</w:t>
      </w:r>
    </w:p>
    <w:p w14:paraId="3718DE61" w14:textId="42D8B566" w:rsidR="008B1757" w:rsidRPr="0098262F" w:rsidRDefault="00696EF9" w:rsidP="004A6040">
      <w:pPr>
        <w:pStyle w:val="TableFigureHeading"/>
        <w:rPr>
          <w:rStyle w:val="CommentReference"/>
          <w:b/>
          <w:szCs w:val="24"/>
        </w:rPr>
      </w:pPr>
      <w:bookmarkStart w:id="3" w:name="_Ref175322977"/>
      <w:r w:rsidRPr="0098262F">
        <w:lastRenderedPageBreak/>
        <w:t xml:space="preserve">Table </w:t>
      </w:r>
      <w:r w:rsidR="00311318">
        <w:fldChar w:fldCharType="begin"/>
      </w:r>
      <w:r w:rsidR="00311318">
        <w:instrText xml:space="preserve"> SEQ Table \* ARABIC </w:instrText>
      </w:r>
      <w:r w:rsidR="00311318">
        <w:fldChar w:fldCharType="separate"/>
      </w:r>
      <w:r w:rsidR="009C09C9">
        <w:rPr>
          <w:noProof/>
        </w:rPr>
        <w:t>1</w:t>
      </w:r>
      <w:r w:rsidR="00311318">
        <w:rPr>
          <w:noProof/>
        </w:rPr>
        <w:fldChar w:fldCharType="end"/>
      </w:r>
      <w:bookmarkEnd w:id="3"/>
      <w:r w:rsidRPr="0098262F">
        <w:t>:</w:t>
      </w:r>
      <w:r w:rsidR="00BC591F" w:rsidRPr="0098262F">
        <w:rPr>
          <w:rStyle w:val="CommentReference"/>
          <w:b/>
          <w:szCs w:val="24"/>
        </w:rPr>
        <w:t xml:space="preserve"> </w:t>
      </w:r>
      <w:r w:rsidR="008B1757" w:rsidRPr="0098262F">
        <w:rPr>
          <w:rStyle w:val="CommentReference"/>
          <w:b/>
          <w:szCs w:val="24"/>
        </w:rPr>
        <w:t>Key components of the clinical issue addressed by the submission</w:t>
      </w:r>
      <w:r w:rsidR="007170DA" w:rsidRPr="0098262F">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
        <w:tblDescription w:val="Table 1: Key components of the clinical issue addressed by the submission "/>
      </w:tblPr>
      <w:tblGrid>
        <w:gridCol w:w="1392"/>
        <w:gridCol w:w="7625"/>
      </w:tblGrid>
      <w:tr w:rsidR="00E236F0" w:rsidRPr="00A518F3" w14:paraId="7BB99A0A" w14:textId="77777777" w:rsidTr="002323FD">
        <w:tc>
          <w:tcPr>
            <w:tcW w:w="772" w:type="pct"/>
            <w:vAlign w:val="center"/>
          </w:tcPr>
          <w:p w14:paraId="355372FA" w14:textId="77777777" w:rsidR="00E236F0" w:rsidRPr="00C004CA" w:rsidRDefault="00E236F0" w:rsidP="00245DCF">
            <w:pPr>
              <w:pStyle w:val="In-tableHeading"/>
            </w:pPr>
            <w:r w:rsidRPr="00C004CA">
              <w:t>Component</w:t>
            </w:r>
          </w:p>
        </w:tc>
        <w:tc>
          <w:tcPr>
            <w:tcW w:w="4228" w:type="pct"/>
            <w:vAlign w:val="center"/>
          </w:tcPr>
          <w:p w14:paraId="5D6EB8EF" w14:textId="77777777" w:rsidR="00E236F0" w:rsidRPr="00C004CA" w:rsidRDefault="00E236F0" w:rsidP="00245DCF">
            <w:pPr>
              <w:pStyle w:val="In-tableHeading"/>
            </w:pPr>
            <w:r w:rsidRPr="00C004CA">
              <w:t>Description</w:t>
            </w:r>
          </w:p>
        </w:tc>
      </w:tr>
      <w:tr w:rsidR="00E236F0" w14:paraId="5E0717EC" w14:textId="77777777" w:rsidTr="002323FD">
        <w:tc>
          <w:tcPr>
            <w:tcW w:w="772" w:type="pct"/>
            <w:vAlign w:val="center"/>
          </w:tcPr>
          <w:p w14:paraId="1A575D15" w14:textId="77777777" w:rsidR="00E236F0" w:rsidRDefault="00E236F0">
            <w:pPr>
              <w:pStyle w:val="TableText0"/>
            </w:pPr>
            <w:r>
              <w:t>Population</w:t>
            </w:r>
          </w:p>
        </w:tc>
        <w:tc>
          <w:tcPr>
            <w:tcW w:w="4228" w:type="pct"/>
            <w:vAlign w:val="center"/>
          </w:tcPr>
          <w:p w14:paraId="249AB464" w14:textId="77777777" w:rsidR="00E236F0" w:rsidRDefault="00E236F0">
            <w:pPr>
              <w:pStyle w:val="TableText0"/>
            </w:pPr>
            <w:r w:rsidRPr="00DB3A44">
              <w:t>Patients with resectable (tumours ≥4 cm or node positive) NSCLC</w:t>
            </w:r>
          </w:p>
        </w:tc>
      </w:tr>
      <w:tr w:rsidR="00E236F0" w14:paraId="11EB1E48" w14:textId="77777777" w:rsidTr="002323FD">
        <w:tc>
          <w:tcPr>
            <w:tcW w:w="772" w:type="pct"/>
            <w:vAlign w:val="center"/>
          </w:tcPr>
          <w:p w14:paraId="512DB065" w14:textId="77777777" w:rsidR="00E236F0" w:rsidRDefault="00E236F0">
            <w:pPr>
              <w:pStyle w:val="TableText0"/>
            </w:pPr>
            <w:r>
              <w:t>Intervention</w:t>
            </w:r>
          </w:p>
        </w:tc>
        <w:tc>
          <w:tcPr>
            <w:tcW w:w="4228" w:type="pct"/>
            <w:vAlign w:val="center"/>
          </w:tcPr>
          <w:p w14:paraId="60D4EF9A" w14:textId="20B8B765" w:rsidR="00E236F0" w:rsidRDefault="00E236F0">
            <w:pPr>
              <w:pStyle w:val="TableText0"/>
            </w:pPr>
            <w:r>
              <w:t xml:space="preserve">Nivolumab 360 mg plus </w:t>
            </w:r>
            <w:r w:rsidR="008F5895">
              <w:t xml:space="preserve">platinum-doublet </w:t>
            </w:r>
            <w:r>
              <w:t>chemotherapy Q3W for up to 4 cycles as neoadjuvant therapy</w:t>
            </w:r>
          </w:p>
          <w:p w14:paraId="63F8C9C6" w14:textId="77777777" w:rsidR="00E236F0" w:rsidRDefault="00E236F0">
            <w:pPr>
              <w:pStyle w:val="TableText0"/>
            </w:pPr>
            <w:r>
              <w:t>Plus</w:t>
            </w:r>
          </w:p>
          <w:p w14:paraId="19C767F0" w14:textId="2D87814F" w:rsidR="00E236F0" w:rsidRDefault="00E236F0">
            <w:pPr>
              <w:pStyle w:val="TableText0"/>
            </w:pPr>
            <w:r>
              <w:t xml:space="preserve">Nivolumab 480 mg Q4W </w:t>
            </w:r>
            <w:r w:rsidR="008F5895">
              <w:t>(</w:t>
            </w:r>
            <w:r w:rsidR="002F6A3A" w:rsidRPr="002F6A3A">
              <w:t>or</w:t>
            </w:r>
            <w:r w:rsidR="008F5895">
              <w:t xml:space="preserve"> 240 mg Q2W, or 3mg/kg Q2W) </w:t>
            </w:r>
            <w:r>
              <w:t>for up to one year as adjuvant therapy</w:t>
            </w:r>
          </w:p>
        </w:tc>
      </w:tr>
      <w:tr w:rsidR="00E236F0" w14:paraId="3DCA90B2" w14:textId="77777777" w:rsidTr="002323FD">
        <w:tc>
          <w:tcPr>
            <w:tcW w:w="772" w:type="pct"/>
            <w:vAlign w:val="center"/>
          </w:tcPr>
          <w:p w14:paraId="03F57D90" w14:textId="24DC784E" w:rsidR="00E236F0" w:rsidRDefault="00E236F0">
            <w:pPr>
              <w:pStyle w:val="TableText0"/>
            </w:pPr>
            <w:r>
              <w:t>Comparator</w:t>
            </w:r>
            <w:r w:rsidR="002F6A3A">
              <w:t>s</w:t>
            </w:r>
          </w:p>
        </w:tc>
        <w:tc>
          <w:tcPr>
            <w:tcW w:w="4228" w:type="pct"/>
            <w:vAlign w:val="center"/>
          </w:tcPr>
          <w:p w14:paraId="6CE2E13E" w14:textId="77777777" w:rsidR="00A0136F" w:rsidRDefault="00E236F0">
            <w:pPr>
              <w:pStyle w:val="TableText0"/>
              <w:rPr>
                <w:iCs/>
              </w:rPr>
            </w:pPr>
            <w:r>
              <w:t>Main</w:t>
            </w:r>
            <w:r w:rsidRPr="00B96B42">
              <w:rPr>
                <w:iCs/>
              </w:rPr>
              <w:t>:</w:t>
            </w:r>
          </w:p>
          <w:p w14:paraId="27177F3E" w14:textId="7F2FEEA3" w:rsidR="00E236F0" w:rsidRPr="00DD0779" w:rsidRDefault="00E236F0" w:rsidP="00B551BA">
            <w:pPr>
              <w:pStyle w:val="TableText0"/>
              <w:numPr>
                <w:ilvl w:val="0"/>
                <w:numId w:val="7"/>
              </w:numPr>
              <w:ind w:left="314" w:hanging="314"/>
            </w:pPr>
            <w:r>
              <w:t xml:space="preserve">Neoadjuvant </w:t>
            </w:r>
            <w:r w:rsidR="008F5895">
              <w:t xml:space="preserve">platinum-doublet </w:t>
            </w:r>
            <w:r>
              <w:t>chemotherapy</w:t>
            </w:r>
            <w:r>
              <w:rPr>
                <w:vertAlign w:val="superscript"/>
              </w:rPr>
              <w:t xml:space="preserve"> </w:t>
            </w:r>
            <w:r>
              <w:t>Q3W for up to 4 cycles</w:t>
            </w:r>
          </w:p>
          <w:p w14:paraId="2E96AAA6" w14:textId="77777777" w:rsidR="00A0136F" w:rsidRDefault="00E236F0" w:rsidP="0037439C">
            <w:pPr>
              <w:pStyle w:val="TableText0"/>
              <w:ind w:left="314" w:hanging="314"/>
            </w:pPr>
            <w:r>
              <w:t>Secondary</w:t>
            </w:r>
            <w:r w:rsidRPr="00B96B42">
              <w:rPr>
                <w:iCs/>
              </w:rPr>
              <w:t>:</w:t>
            </w:r>
          </w:p>
          <w:p w14:paraId="5759CF82" w14:textId="77777777" w:rsidR="00A0136F" w:rsidRDefault="00E236F0" w:rsidP="00B551BA">
            <w:pPr>
              <w:pStyle w:val="TableText0"/>
              <w:numPr>
                <w:ilvl w:val="0"/>
                <w:numId w:val="7"/>
              </w:numPr>
              <w:ind w:left="314" w:hanging="314"/>
              <w:rPr>
                <w:iCs/>
              </w:rPr>
            </w:pPr>
            <w:r>
              <w:t xml:space="preserve">Nivolumab (360mg) plus </w:t>
            </w:r>
            <w:r w:rsidR="008F5895">
              <w:t xml:space="preserve">platinum-doublet </w:t>
            </w:r>
            <w:r>
              <w:t>chemotherapy</w:t>
            </w:r>
            <w:r>
              <w:rPr>
                <w:vertAlign w:val="superscript"/>
              </w:rPr>
              <w:t xml:space="preserve"> </w:t>
            </w:r>
            <w:r>
              <w:t>Q3W for up to 3 cycles as neoadjuvant therapy</w:t>
            </w:r>
            <w:r w:rsidR="00221EC6">
              <w:t xml:space="preserve">. </w:t>
            </w:r>
            <w:r w:rsidR="00221EC6" w:rsidRPr="00B96B42">
              <w:rPr>
                <w:iCs/>
              </w:rPr>
              <w:t>Due to the listing of this regimen on the 1 August 2024 the PSCR changed the nominated main comparator to this regimen.</w:t>
            </w:r>
          </w:p>
          <w:p w14:paraId="5F4D0180" w14:textId="5093F639" w:rsidR="00E236F0" w:rsidRDefault="00E236F0" w:rsidP="00B551BA">
            <w:pPr>
              <w:pStyle w:val="TableText0"/>
              <w:numPr>
                <w:ilvl w:val="0"/>
                <w:numId w:val="7"/>
              </w:numPr>
              <w:ind w:left="314" w:hanging="314"/>
            </w:pPr>
            <w:r>
              <w:t>Adjuvant chemotherapy (carboplatin AUC 6 plus paclitaxel 200mg/m</w:t>
            </w:r>
            <w:r>
              <w:rPr>
                <w:vertAlign w:val="superscript"/>
              </w:rPr>
              <w:t xml:space="preserve">2 </w:t>
            </w:r>
            <w:r>
              <w:t>Q3W for up to 3 cycles)</w:t>
            </w:r>
          </w:p>
          <w:p w14:paraId="6673F6D3" w14:textId="77777777" w:rsidR="00A0136F" w:rsidRDefault="004D2818" w:rsidP="0037439C">
            <w:pPr>
              <w:pStyle w:val="TableText0"/>
              <w:ind w:left="314" w:hanging="314"/>
            </w:pPr>
            <w:r>
              <w:t>Supplementary</w:t>
            </w:r>
          </w:p>
          <w:p w14:paraId="30008CB5" w14:textId="147EFB1B" w:rsidR="004D2818" w:rsidRDefault="004D2818" w:rsidP="00B551BA">
            <w:pPr>
              <w:pStyle w:val="TableText0"/>
              <w:numPr>
                <w:ilvl w:val="0"/>
                <w:numId w:val="7"/>
              </w:numPr>
              <w:ind w:left="314" w:hanging="314"/>
            </w:pPr>
            <w:r>
              <w:t xml:space="preserve">Adjuvant chemotherapy followed by </w:t>
            </w:r>
            <w:r w:rsidRPr="00753B71">
              <w:t>1,200 mg atezolizumab IV Q3W for up to 16 cycles (or 1 year), or until disease recurrence</w:t>
            </w:r>
            <w:r>
              <w:t xml:space="preserve"> </w:t>
            </w:r>
            <w:r w:rsidR="00296450" w:rsidRPr="00296450">
              <w:rPr>
                <w:vertAlign w:val="superscript"/>
              </w:rPr>
              <w:t>a</w:t>
            </w:r>
          </w:p>
          <w:p w14:paraId="23191F5D" w14:textId="77777777" w:rsidR="00A0136F" w:rsidRDefault="00E236F0" w:rsidP="0037439C">
            <w:pPr>
              <w:pStyle w:val="TableText0"/>
              <w:ind w:left="314" w:hanging="314"/>
            </w:pPr>
            <w:r>
              <w:t>Near market:</w:t>
            </w:r>
          </w:p>
          <w:p w14:paraId="35C08D4A" w14:textId="77777777" w:rsidR="00A0136F" w:rsidRDefault="00E236F0" w:rsidP="00B551BA">
            <w:pPr>
              <w:pStyle w:val="TableText0"/>
              <w:numPr>
                <w:ilvl w:val="0"/>
                <w:numId w:val="8"/>
              </w:numPr>
              <w:ind w:left="314" w:hanging="314"/>
            </w:pPr>
            <w:r>
              <w:t>Perioperative pembrolizumab: p</w:t>
            </w:r>
            <w:r w:rsidRPr="00E0262C">
              <w:t>embrolizumab</w:t>
            </w:r>
            <w:r>
              <w:t xml:space="preserve"> (200mg)</w:t>
            </w:r>
            <w:r w:rsidRPr="00E0262C">
              <w:t xml:space="preserve"> plus </w:t>
            </w:r>
            <w:r>
              <w:t xml:space="preserve">cisplatin-based </w:t>
            </w:r>
            <w:r w:rsidRPr="00E0262C">
              <w:t xml:space="preserve">chemotherapy Q3W for 4 cycles </w:t>
            </w:r>
            <w:r>
              <w:t xml:space="preserve">as neoadjuvant therapy </w:t>
            </w:r>
            <w:r w:rsidRPr="00E0262C">
              <w:t xml:space="preserve">before surgery, followed by pembrolizumab </w:t>
            </w:r>
            <w:r>
              <w:t xml:space="preserve">(200mg) </w:t>
            </w:r>
            <w:r w:rsidRPr="00E0262C">
              <w:t xml:space="preserve">Q3W for up to </w:t>
            </w:r>
            <w:r>
              <w:t>13</w:t>
            </w:r>
            <w:r w:rsidRPr="00E0262C">
              <w:t xml:space="preserve"> </w:t>
            </w:r>
            <w:r>
              <w:t>cycles</w:t>
            </w:r>
          </w:p>
          <w:p w14:paraId="706DC279" w14:textId="4A7641A1" w:rsidR="00C30865" w:rsidRDefault="00E236F0" w:rsidP="00C30865">
            <w:pPr>
              <w:pStyle w:val="TableText0"/>
              <w:numPr>
                <w:ilvl w:val="0"/>
                <w:numId w:val="8"/>
              </w:numPr>
              <w:ind w:left="314" w:hanging="314"/>
            </w:pPr>
            <w:r>
              <w:t xml:space="preserve">Perioperative durvalumab: durvalumab (1,500mg) plus platinum-based chemotherapy Q3W for 4 cycles as neoadjuvant therapy before surgery, followed by durvalumab (1,500mg) Q4W for up to 12 cycles </w:t>
            </w:r>
          </w:p>
        </w:tc>
      </w:tr>
      <w:tr w:rsidR="00E236F0" w14:paraId="5ADE3528" w14:textId="77777777" w:rsidTr="002323FD">
        <w:tc>
          <w:tcPr>
            <w:tcW w:w="772" w:type="pct"/>
            <w:vAlign w:val="center"/>
          </w:tcPr>
          <w:p w14:paraId="1F1DD681" w14:textId="77777777" w:rsidR="00E236F0" w:rsidRDefault="00E236F0">
            <w:pPr>
              <w:pStyle w:val="TableText0"/>
            </w:pPr>
            <w:r>
              <w:t>Outcomes</w:t>
            </w:r>
          </w:p>
        </w:tc>
        <w:tc>
          <w:tcPr>
            <w:tcW w:w="4228" w:type="pct"/>
            <w:vAlign w:val="center"/>
          </w:tcPr>
          <w:p w14:paraId="56BAE489" w14:textId="77777777" w:rsidR="00E236F0" w:rsidRDefault="00E236F0">
            <w:pPr>
              <w:pStyle w:val="TableText0"/>
            </w:pPr>
            <w:r>
              <w:t>EFS, pCR, MPR, Safety, ORR, TTDM, HRQoL</w:t>
            </w:r>
          </w:p>
        </w:tc>
      </w:tr>
      <w:tr w:rsidR="00E236F0" w14:paraId="6857A9A9" w14:textId="77777777" w:rsidTr="002323FD">
        <w:tc>
          <w:tcPr>
            <w:tcW w:w="772" w:type="pct"/>
            <w:vAlign w:val="center"/>
          </w:tcPr>
          <w:p w14:paraId="19AA341F" w14:textId="2835B3AF" w:rsidR="00E236F0" w:rsidRDefault="00E236F0">
            <w:pPr>
              <w:pStyle w:val="TableText0"/>
            </w:pPr>
            <w:r>
              <w:t>Clinical claim</w:t>
            </w:r>
            <w:r w:rsidR="002F6A3A">
              <w:t>/s</w:t>
            </w:r>
          </w:p>
        </w:tc>
        <w:tc>
          <w:tcPr>
            <w:tcW w:w="4228" w:type="pct"/>
            <w:vAlign w:val="center"/>
          </w:tcPr>
          <w:p w14:paraId="6F547939" w14:textId="77777777" w:rsidR="00221EC6" w:rsidRDefault="00077683" w:rsidP="00077683">
            <w:pPr>
              <w:pStyle w:val="TableText0"/>
            </w:pPr>
            <w:r>
              <w:t>Compared to</w:t>
            </w:r>
            <w:r w:rsidR="00221EC6">
              <w:t>:</w:t>
            </w:r>
          </w:p>
          <w:p w14:paraId="7BC1EAD4" w14:textId="77777777" w:rsidR="00A0136F" w:rsidRDefault="00077683" w:rsidP="00B37939">
            <w:pPr>
              <w:pStyle w:val="TableText0"/>
              <w:numPr>
                <w:ilvl w:val="0"/>
                <w:numId w:val="12"/>
              </w:numPr>
            </w:pPr>
            <w:r>
              <w:t>neoadjuvant nivolumab plus chemotherapy</w:t>
            </w:r>
            <w:r w:rsidR="00221EC6">
              <w:t xml:space="preserve"> (</w:t>
            </w:r>
            <w:r w:rsidR="00221EC6" w:rsidRPr="00B96B42">
              <w:rPr>
                <w:iCs/>
              </w:rPr>
              <w:t>identified as main comparator in PSCR</w:t>
            </w:r>
            <w:r w:rsidR="00221EC6">
              <w:t>)</w:t>
            </w:r>
            <w:r>
              <w:t xml:space="preserve">, perioperative </w:t>
            </w:r>
            <w:r w:rsidRPr="00077683">
              <w:t xml:space="preserve">nivolumab offers at least noninferior, and potentially superior, efficacy and noninferior </w:t>
            </w:r>
            <w:r w:rsidR="00221EC6" w:rsidRPr="00077683">
              <w:t>safety</w:t>
            </w:r>
            <w:r w:rsidR="00221EC6">
              <w:t>.</w:t>
            </w:r>
          </w:p>
          <w:p w14:paraId="319E5504" w14:textId="4973D512" w:rsidR="00E236F0" w:rsidRDefault="00E236F0" w:rsidP="00B37939">
            <w:pPr>
              <w:pStyle w:val="TableText0"/>
              <w:numPr>
                <w:ilvl w:val="0"/>
                <w:numId w:val="12"/>
              </w:numPr>
            </w:pPr>
            <w:r>
              <w:t>neoadjuvant chemotherapy, perioperative nivolumab offers superior efficacy and noninferior safety</w:t>
            </w:r>
            <w:r w:rsidR="00221EC6">
              <w:t>.</w:t>
            </w:r>
          </w:p>
          <w:p w14:paraId="3410D562" w14:textId="77777777" w:rsidR="00221EC6" w:rsidRDefault="00E236F0" w:rsidP="00B37939">
            <w:pPr>
              <w:pStyle w:val="TableText0"/>
              <w:numPr>
                <w:ilvl w:val="0"/>
                <w:numId w:val="12"/>
              </w:numPr>
            </w:pPr>
            <w:r>
              <w:t>adjuvant chemotherapy, perioperative nivolumab offers superior efficacy and noninferior sa</w:t>
            </w:r>
            <w:r w:rsidR="00221EC6">
              <w:t>f</w:t>
            </w:r>
            <w:r>
              <w:t>ety</w:t>
            </w:r>
          </w:p>
          <w:p w14:paraId="436C8758" w14:textId="77777777" w:rsidR="00A0136F" w:rsidRDefault="005C4837" w:rsidP="00B37939">
            <w:pPr>
              <w:pStyle w:val="TableText0"/>
              <w:numPr>
                <w:ilvl w:val="0"/>
                <w:numId w:val="12"/>
              </w:numPr>
            </w:pPr>
            <w:r>
              <w:t>adjuvant chemotherapy followed by atezolizumab, perioperative nivolumab offers at least noninferior and potentially superior efficacy and different and overall noninferior safety</w:t>
            </w:r>
          </w:p>
          <w:p w14:paraId="6CAD614D" w14:textId="77777777" w:rsidR="00A0136F" w:rsidRDefault="00E236F0" w:rsidP="00B37939">
            <w:pPr>
              <w:pStyle w:val="TableText0"/>
              <w:numPr>
                <w:ilvl w:val="0"/>
                <w:numId w:val="12"/>
              </w:numPr>
            </w:pPr>
            <w:r>
              <w:t>perioperative pembrolizumab, perioperative nivolumab offers noninferior efficacy and different and overall noninferior safety.</w:t>
            </w:r>
          </w:p>
          <w:p w14:paraId="5EA4838D" w14:textId="1A849DFB" w:rsidR="00E236F0" w:rsidRDefault="00E236F0" w:rsidP="00B37939">
            <w:pPr>
              <w:pStyle w:val="TableText0"/>
              <w:numPr>
                <w:ilvl w:val="0"/>
                <w:numId w:val="12"/>
              </w:numPr>
            </w:pPr>
            <w:r>
              <w:t>perioperative durvalumab, perioperative nivolumab offers noninferior efficacy and different and overall noninferior safety.</w:t>
            </w:r>
          </w:p>
        </w:tc>
      </w:tr>
    </w:tbl>
    <w:p w14:paraId="0614B8C0" w14:textId="3DB14956" w:rsidR="00E236F0" w:rsidRDefault="00E236F0" w:rsidP="00E236F0">
      <w:pPr>
        <w:pStyle w:val="FooterTableFigure"/>
      </w:pPr>
      <w:r>
        <w:t>Source: Table 2, pp 20-21</w:t>
      </w:r>
      <w:r w:rsidR="00862DD1">
        <w:t xml:space="preserve">; </w:t>
      </w:r>
      <w:r>
        <w:t xml:space="preserve">Appendix 1, pp24-26 </w:t>
      </w:r>
      <w:r w:rsidRPr="00D13A3E">
        <w:t xml:space="preserve">of the </w:t>
      </w:r>
      <w:r>
        <w:t>submission</w:t>
      </w:r>
      <w:r w:rsidR="00862DD1">
        <w:t>;</w:t>
      </w:r>
      <w:r>
        <w:t xml:space="preserve"> </w:t>
      </w:r>
      <w:r w:rsidR="00862DD1" w:rsidRPr="00B96B42">
        <w:rPr>
          <w:iCs/>
        </w:rPr>
        <w:t>PSCR (p1)</w:t>
      </w:r>
    </w:p>
    <w:p w14:paraId="1EA3504F" w14:textId="77777777" w:rsidR="00A0136F" w:rsidRDefault="00E236F0" w:rsidP="00E236F0">
      <w:pPr>
        <w:pStyle w:val="FooterTableFigure"/>
      </w:pPr>
      <w:r>
        <w:t xml:space="preserve">AUC = area under the curve; </w:t>
      </w:r>
      <w:r w:rsidRPr="00DB3A44">
        <w:t xml:space="preserve">EFS = event-free survival; HRQoL = health-related quality of life; MPR = major pathologic response; NSCLC = non-small cell lung cancer; ORR = objective response rate; pCR = pathologic complete response; </w:t>
      </w:r>
      <w:r>
        <w:t xml:space="preserve">Q2W = every 2 weeks; </w:t>
      </w:r>
      <w:r w:rsidRPr="00DB3A44">
        <w:t>Q3W = every 3 weeks; Q4W = every 4 weeks; TTDM = time to death or distant metastases</w:t>
      </w:r>
    </w:p>
    <w:p w14:paraId="5B755E80" w14:textId="064EF896" w:rsidR="00296450" w:rsidRPr="00C638CA" w:rsidRDefault="00296450" w:rsidP="00296450">
      <w:pPr>
        <w:pStyle w:val="FooterTableFigure"/>
      </w:pPr>
      <w:r>
        <w:rPr>
          <w:vertAlign w:val="superscript"/>
        </w:rPr>
        <w:t xml:space="preserve">a </w:t>
      </w:r>
      <w:r>
        <w:t>only i</w:t>
      </w:r>
      <w:r w:rsidRPr="00C638CA">
        <w:t>n patients with resected stage II-IIIA NSCLC whose tumours have programmed death ligand 1 (PD-L1) ≥50%.</w:t>
      </w:r>
    </w:p>
    <w:p w14:paraId="6B4AB6C2" w14:textId="3CB6EEA7" w:rsidR="005C25FF" w:rsidRPr="0098262F" w:rsidRDefault="005C25FF" w:rsidP="004A6040">
      <w:pPr>
        <w:pStyle w:val="2-SectionHeading"/>
      </w:pPr>
      <w:bookmarkStart w:id="4" w:name="_Toc177566392"/>
      <w:r w:rsidRPr="0098262F">
        <w:t>Background</w:t>
      </w:r>
      <w:bookmarkEnd w:id="4"/>
    </w:p>
    <w:p w14:paraId="2C521D6D" w14:textId="4D5FD06A" w:rsidR="005C25FF" w:rsidRPr="0098262F" w:rsidRDefault="005C25FF" w:rsidP="004A6040">
      <w:pPr>
        <w:pStyle w:val="4-SubsectionHeading"/>
      </w:pPr>
      <w:bookmarkStart w:id="5" w:name="_Toc22897638"/>
      <w:bookmarkStart w:id="6" w:name="_Toc177566393"/>
      <w:r w:rsidRPr="0098262F">
        <w:t>Registration status</w:t>
      </w:r>
      <w:bookmarkEnd w:id="5"/>
      <w:bookmarkEnd w:id="6"/>
    </w:p>
    <w:p w14:paraId="2A3897BD" w14:textId="18048838" w:rsidR="00DC7D94" w:rsidRPr="0003374E" w:rsidRDefault="005C25FF" w:rsidP="0003374E">
      <w:pPr>
        <w:pStyle w:val="3-BodyText"/>
        <w:rPr>
          <w:iCs/>
        </w:rPr>
      </w:pPr>
      <w:r w:rsidRPr="004C2311">
        <w:t xml:space="preserve">The submission was made under </w:t>
      </w:r>
      <w:r w:rsidR="00E244F6" w:rsidRPr="004C2311">
        <w:t xml:space="preserve">the </w:t>
      </w:r>
      <w:r w:rsidRPr="004C2311">
        <w:t>TGA/PBAC Parallel Process.</w:t>
      </w:r>
      <w:r w:rsidR="0003374E">
        <w:t xml:space="preserve"> </w:t>
      </w:r>
      <w:r w:rsidR="000D5EF4" w:rsidRPr="0003374E">
        <w:rPr>
          <w:iCs/>
        </w:rPr>
        <w:t xml:space="preserve">At the time of </w:t>
      </w:r>
      <w:r w:rsidR="00E85E2E" w:rsidRPr="0003374E">
        <w:rPr>
          <w:iCs/>
        </w:rPr>
        <w:t>PBAC consideration</w:t>
      </w:r>
      <w:r w:rsidR="00A43C25" w:rsidRPr="0003374E">
        <w:rPr>
          <w:iCs/>
        </w:rPr>
        <w:t xml:space="preserve">, </w:t>
      </w:r>
      <w:r w:rsidR="004C2311" w:rsidRPr="0003374E">
        <w:rPr>
          <w:iCs/>
        </w:rPr>
        <w:t xml:space="preserve">the Delegate’s Overview was available. </w:t>
      </w:r>
      <w:r w:rsidR="0064030D" w:rsidRPr="0003374E">
        <w:rPr>
          <w:iCs/>
        </w:rPr>
        <w:t>T</w:t>
      </w:r>
      <w:r w:rsidR="004E3A44" w:rsidRPr="0003374E">
        <w:rPr>
          <w:iCs/>
        </w:rPr>
        <w:t>he Delegate was inclined to approve the registration of the</w:t>
      </w:r>
      <w:r w:rsidR="0064030D" w:rsidRPr="0003374E">
        <w:rPr>
          <w:iCs/>
        </w:rPr>
        <w:t xml:space="preserve"> following</w:t>
      </w:r>
      <w:r w:rsidR="004E3A44" w:rsidRPr="0003374E">
        <w:rPr>
          <w:iCs/>
        </w:rPr>
        <w:t xml:space="preserve"> indication</w:t>
      </w:r>
      <w:r w:rsidR="00C60EB8" w:rsidRPr="0003374E">
        <w:rPr>
          <w:iCs/>
        </w:rPr>
        <w:t>:</w:t>
      </w:r>
    </w:p>
    <w:p w14:paraId="627E2F08" w14:textId="77777777" w:rsidR="00A0136F" w:rsidRDefault="00DC7D94" w:rsidP="0064030D">
      <w:pPr>
        <w:pStyle w:val="3-BodyText"/>
        <w:numPr>
          <w:ilvl w:val="0"/>
          <w:numId w:val="0"/>
        </w:numPr>
        <w:ind w:left="720"/>
        <w:rPr>
          <w:i/>
        </w:rPr>
      </w:pPr>
      <w:r w:rsidRPr="0064030D">
        <w:rPr>
          <w:i/>
        </w:rPr>
        <w:t>“</w:t>
      </w:r>
      <w:r w:rsidR="006B1895">
        <w:rPr>
          <w:i/>
        </w:rPr>
        <w:t>N</w:t>
      </w:r>
      <w:r w:rsidR="00BF7365">
        <w:rPr>
          <w:i/>
        </w:rPr>
        <w:t>ivolumab</w:t>
      </w:r>
      <w:r w:rsidRPr="0064030D">
        <w:rPr>
          <w:i/>
        </w:rPr>
        <w:t xml:space="preserve">, in combination with platinum-doublet chemotherapy, is indicated for the neoadjuvant treatment of adult patients with resectable (tumours ≥4cm or node </w:t>
      </w:r>
      <w:r w:rsidRPr="0064030D">
        <w:rPr>
          <w:i/>
        </w:rPr>
        <w:lastRenderedPageBreak/>
        <w:t xml:space="preserve">positive) non-small cell lung cancer and no known epidermal growth factor receptor (EGFR) mutations or anaplastic lymphoma kinase (ALK) rearrangements, followed by </w:t>
      </w:r>
      <w:r w:rsidR="006B1895">
        <w:rPr>
          <w:i/>
        </w:rPr>
        <w:t>nivolumab</w:t>
      </w:r>
      <w:r w:rsidR="006B1895" w:rsidRPr="0064030D">
        <w:rPr>
          <w:i/>
        </w:rPr>
        <w:t xml:space="preserve"> </w:t>
      </w:r>
      <w:r w:rsidRPr="0064030D">
        <w:rPr>
          <w:i/>
        </w:rPr>
        <w:t>as a single agent in the adjuvant setting after surgical resection.”</w:t>
      </w:r>
    </w:p>
    <w:p w14:paraId="4215FFC5" w14:textId="77777777" w:rsidR="00A0136F" w:rsidRDefault="00594E0A" w:rsidP="00E95046">
      <w:pPr>
        <w:pStyle w:val="3-BodyText"/>
        <w:rPr>
          <w:iCs/>
        </w:rPr>
      </w:pPr>
      <w:r>
        <w:rPr>
          <w:iCs/>
        </w:rPr>
        <w:t>Conditions of re</w:t>
      </w:r>
      <w:r w:rsidR="0083364F">
        <w:rPr>
          <w:iCs/>
        </w:rPr>
        <w:t xml:space="preserve">gistration </w:t>
      </w:r>
      <w:r w:rsidR="00426BA6">
        <w:rPr>
          <w:iCs/>
        </w:rPr>
        <w:t>were</w:t>
      </w:r>
      <w:r w:rsidR="005C6A41">
        <w:rPr>
          <w:iCs/>
        </w:rPr>
        <w:t xml:space="preserve"> the submission</w:t>
      </w:r>
      <w:r w:rsidR="0083364F" w:rsidRPr="0083364F">
        <w:rPr>
          <w:iCs/>
        </w:rPr>
        <w:t xml:space="preserve"> </w:t>
      </w:r>
      <w:r w:rsidR="00426BA6">
        <w:rPr>
          <w:iCs/>
        </w:rPr>
        <w:t xml:space="preserve">of </w:t>
      </w:r>
      <w:r w:rsidR="0083364F" w:rsidRPr="0083364F">
        <w:rPr>
          <w:iCs/>
        </w:rPr>
        <w:t>the dataset and final report for, the ongoing clinical trial, C</w:t>
      </w:r>
      <w:r w:rsidR="00426BA6">
        <w:rPr>
          <w:iCs/>
        </w:rPr>
        <w:t>M</w:t>
      </w:r>
      <w:r w:rsidR="0083364F" w:rsidRPr="0083364F">
        <w:rPr>
          <w:iCs/>
        </w:rPr>
        <w:t xml:space="preserve">77T, and </w:t>
      </w:r>
      <w:r w:rsidR="00426BA6">
        <w:rPr>
          <w:iCs/>
        </w:rPr>
        <w:t>analysis of</w:t>
      </w:r>
      <w:r w:rsidR="0083364F" w:rsidRPr="0083364F">
        <w:rPr>
          <w:iCs/>
        </w:rPr>
        <w:t xml:space="preserve"> the final overall survival (OS)</w:t>
      </w:r>
      <w:r w:rsidR="00426BA6">
        <w:rPr>
          <w:iCs/>
        </w:rPr>
        <w:t>,</w:t>
      </w:r>
      <w:r w:rsidR="0083364F" w:rsidRPr="0083364F">
        <w:rPr>
          <w:iCs/>
        </w:rPr>
        <w:t xml:space="preserve"> once the required 174 events for the OS endpoint occurred, to further characteri</w:t>
      </w:r>
      <w:r w:rsidR="00211740">
        <w:rPr>
          <w:iCs/>
        </w:rPr>
        <w:t>s</w:t>
      </w:r>
      <w:r w:rsidR="0083364F" w:rsidRPr="0083364F">
        <w:rPr>
          <w:iCs/>
        </w:rPr>
        <w:t xml:space="preserve">e the clinical benefit of nivolumab </w:t>
      </w:r>
      <w:r w:rsidR="00D874F7">
        <w:rPr>
          <w:iCs/>
        </w:rPr>
        <w:t>in this setting.</w:t>
      </w:r>
    </w:p>
    <w:p w14:paraId="7963B4F9" w14:textId="77777777" w:rsidR="00A0136F" w:rsidRDefault="006E305D" w:rsidP="00B551BA">
      <w:pPr>
        <w:pStyle w:val="3-BodyText"/>
        <w:rPr>
          <w:iCs/>
        </w:rPr>
      </w:pPr>
      <w:r>
        <w:t>Nivolumab</w:t>
      </w:r>
      <w:r w:rsidR="00146F0B">
        <w:t>, in combination with platinum-doublet chemotherapy,</w:t>
      </w:r>
      <w:r w:rsidR="00146F0B" w:rsidRPr="00146F0B">
        <w:t xml:space="preserve"> </w:t>
      </w:r>
      <w:r w:rsidR="00146F0B">
        <w:t>is currently</w:t>
      </w:r>
      <w:r w:rsidR="00146F0B" w:rsidRPr="00146F0B">
        <w:t xml:space="preserve"> TGA approved for neoadjuvant treatment of resectable NSCLC</w:t>
      </w:r>
      <w:r w:rsidR="00146F0B">
        <w:t xml:space="preserve">. </w:t>
      </w:r>
      <w:r w:rsidR="003B1181" w:rsidRPr="00230B6E">
        <w:rPr>
          <w:iCs/>
        </w:rPr>
        <w:t>neoNIVO received a positive recommendation by the PBAC at the July 2023 PBAC meeting</w:t>
      </w:r>
      <w:r w:rsidR="004E1DBD" w:rsidRPr="00230B6E">
        <w:rPr>
          <w:iCs/>
        </w:rPr>
        <w:t xml:space="preserve"> and was </w:t>
      </w:r>
      <w:r w:rsidR="003A7553" w:rsidRPr="00230B6E">
        <w:rPr>
          <w:iCs/>
        </w:rPr>
        <w:t>PBS-</w:t>
      </w:r>
      <w:r w:rsidR="004E1DBD" w:rsidRPr="00230B6E">
        <w:rPr>
          <w:iCs/>
        </w:rPr>
        <w:t xml:space="preserve">listed </w:t>
      </w:r>
      <w:r w:rsidR="003A7553" w:rsidRPr="00230B6E">
        <w:rPr>
          <w:iCs/>
        </w:rPr>
        <w:t xml:space="preserve">on </w:t>
      </w:r>
      <w:r w:rsidR="004E1DBD" w:rsidRPr="00230B6E">
        <w:rPr>
          <w:iCs/>
        </w:rPr>
        <w:t>1 August 2024.</w:t>
      </w:r>
    </w:p>
    <w:p w14:paraId="23BAD463" w14:textId="2E792A97" w:rsidR="00A60A36" w:rsidRDefault="00146F0B" w:rsidP="00A60A36">
      <w:pPr>
        <w:pStyle w:val="3-BodyText"/>
      </w:pPr>
      <w:r w:rsidRPr="00146F0B">
        <w:t>N</w:t>
      </w:r>
      <w:r w:rsidR="0037439C">
        <w:t>ivolumab</w:t>
      </w:r>
      <w:r w:rsidRPr="00146F0B">
        <w:t xml:space="preserve"> is </w:t>
      </w:r>
      <w:r>
        <w:t xml:space="preserve">also </w:t>
      </w:r>
      <w:r w:rsidRPr="00146F0B">
        <w:t xml:space="preserve">currently TGA-approved as </w:t>
      </w:r>
      <w:r>
        <w:t xml:space="preserve">a </w:t>
      </w:r>
      <w:r w:rsidRPr="00146F0B">
        <w:t>treatment for several other types of cancer, including resectable/resected melanoma, urothelial carcinoma, oesophageal cancer and gastro-oesophageal junction cancer.</w:t>
      </w:r>
    </w:p>
    <w:p w14:paraId="6CF519FF" w14:textId="6EE72082" w:rsidR="0021225D" w:rsidRPr="0021225D" w:rsidRDefault="0021225D" w:rsidP="0021225D">
      <w:pPr>
        <w:pStyle w:val="3-BodyText"/>
        <w:numPr>
          <w:ilvl w:val="0"/>
          <w:numId w:val="0"/>
        </w:numPr>
        <w:spacing w:before="0" w:after="120"/>
        <w:ind w:left="720"/>
        <w:rPr>
          <w:i/>
          <w:iCs/>
        </w:rPr>
      </w:pPr>
      <w:r w:rsidRPr="0021225D">
        <w:rPr>
          <w:i/>
          <w:iCs/>
        </w:rPr>
        <w:t>For more detail on PBAC’s view, see section 7 PBAC outcome.</w:t>
      </w:r>
    </w:p>
    <w:p w14:paraId="210B3796" w14:textId="5CF55446" w:rsidR="00046D64" w:rsidRPr="0098262F" w:rsidRDefault="00B50DB8" w:rsidP="004B1CB4">
      <w:pPr>
        <w:pStyle w:val="2-SectionHeading"/>
      </w:pPr>
      <w:bookmarkStart w:id="7" w:name="_Toc177434184"/>
      <w:bookmarkStart w:id="8" w:name="_Toc177434308"/>
      <w:bookmarkStart w:id="9" w:name="_Toc177434518"/>
      <w:bookmarkStart w:id="10" w:name="_Toc177434210"/>
      <w:bookmarkStart w:id="11" w:name="_Toc177434334"/>
      <w:bookmarkStart w:id="12" w:name="_Toc177434544"/>
      <w:bookmarkStart w:id="13" w:name="_Toc177434211"/>
      <w:bookmarkStart w:id="14" w:name="_Toc177434335"/>
      <w:bookmarkStart w:id="15" w:name="_Toc177434545"/>
      <w:bookmarkStart w:id="16" w:name="_Toc107902078"/>
      <w:bookmarkStart w:id="17" w:name="_Toc177566394"/>
      <w:bookmarkEnd w:id="7"/>
      <w:bookmarkEnd w:id="8"/>
      <w:bookmarkEnd w:id="9"/>
      <w:bookmarkEnd w:id="10"/>
      <w:bookmarkEnd w:id="11"/>
      <w:bookmarkEnd w:id="12"/>
      <w:bookmarkEnd w:id="13"/>
      <w:bookmarkEnd w:id="14"/>
      <w:bookmarkEnd w:id="15"/>
      <w:bookmarkEnd w:id="16"/>
      <w:r w:rsidRPr="0098262F">
        <w:t>Requested listing</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3118"/>
        <w:gridCol w:w="1800"/>
        <w:gridCol w:w="1977"/>
      </w:tblGrid>
      <w:tr w:rsidR="00316EEE" w:rsidRPr="0098262F" w14:paraId="5182C735" w14:textId="77777777" w:rsidTr="00216F0F">
        <w:trPr>
          <w:cantSplit/>
          <w:trHeight w:val="20"/>
        </w:trPr>
        <w:tc>
          <w:tcPr>
            <w:tcW w:w="1177" w:type="pct"/>
            <w:vAlign w:val="center"/>
          </w:tcPr>
          <w:p w14:paraId="0667D107" w14:textId="77777777" w:rsidR="00316EEE" w:rsidRPr="0098262F" w:rsidRDefault="00316EEE" w:rsidP="00245DCF">
            <w:pPr>
              <w:pStyle w:val="In-tableHeading"/>
            </w:pPr>
            <w:r w:rsidRPr="0098262F">
              <w:t>MEDICINAL PRODUCT</w:t>
            </w:r>
          </w:p>
          <w:p w14:paraId="57CAA3F4" w14:textId="77777777" w:rsidR="00316EEE" w:rsidRPr="0098262F" w:rsidRDefault="00316EEE" w:rsidP="00245DCF">
            <w:pPr>
              <w:pStyle w:val="In-tableHeading"/>
            </w:pPr>
            <w:r w:rsidRPr="0098262F">
              <w:t>Form</w:t>
            </w:r>
          </w:p>
        </w:tc>
        <w:tc>
          <w:tcPr>
            <w:tcW w:w="1729" w:type="pct"/>
            <w:vAlign w:val="center"/>
          </w:tcPr>
          <w:p w14:paraId="14009A24" w14:textId="7B5836F8" w:rsidR="00316EEE" w:rsidRPr="00C3164B" w:rsidRDefault="00316EEE" w:rsidP="00245DCF">
            <w:pPr>
              <w:pStyle w:val="In-tableHeading"/>
              <w:rPr>
                <w:vertAlign w:val="superscript"/>
              </w:rPr>
            </w:pPr>
            <w:r w:rsidRPr="0098262F">
              <w:t>Dispensed Price Max Amt</w:t>
            </w:r>
          </w:p>
        </w:tc>
        <w:tc>
          <w:tcPr>
            <w:tcW w:w="998" w:type="pct"/>
            <w:vAlign w:val="center"/>
          </w:tcPr>
          <w:p w14:paraId="76260A07" w14:textId="77777777" w:rsidR="00316EEE" w:rsidRPr="0098262F" w:rsidRDefault="00316EEE" w:rsidP="00245DCF">
            <w:pPr>
              <w:pStyle w:val="In-tableHeading"/>
            </w:pPr>
            <w:r w:rsidRPr="0098262F">
              <w:t>Max. Amount</w:t>
            </w:r>
          </w:p>
        </w:tc>
        <w:tc>
          <w:tcPr>
            <w:tcW w:w="1096" w:type="pct"/>
            <w:vAlign w:val="center"/>
          </w:tcPr>
          <w:p w14:paraId="2C5B9C2A" w14:textId="77777777" w:rsidR="00316EEE" w:rsidRPr="0098262F" w:rsidRDefault="00316EEE" w:rsidP="00245DCF">
            <w:pPr>
              <w:pStyle w:val="In-tableHeading"/>
            </w:pPr>
            <w:r w:rsidRPr="0098262F">
              <w:t>№.of Rpts</w:t>
            </w:r>
          </w:p>
        </w:tc>
      </w:tr>
      <w:tr w:rsidR="00316EEE" w:rsidRPr="0098262F" w14:paraId="48E56894" w14:textId="77777777">
        <w:trPr>
          <w:cantSplit/>
          <w:trHeight w:val="20"/>
        </w:trPr>
        <w:tc>
          <w:tcPr>
            <w:tcW w:w="1177" w:type="pct"/>
            <w:vAlign w:val="center"/>
          </w:tcPr>
          <w:p w14:paraId="3E7CC867" w14:textId="77777777" w:rsidR="00A0136F" w:rsidRDefault="00316EEE" w:rsidP="00316EEE">
            <w:pPr>
              <w:pStyle w:val="TableText0"/>
              <w:keepNext w:val="0"/>
            </w:pPr>
            <w:r>
              <w:t>Nivolumab</w:t>
            </w:r>
          </w:p>
          <w:p w14:paraId="0C4294F0" w14:textId="2B8F9611" w:rsidR="00316EEE" w:rsidRPr="0098262F" w:rsidRDefault="00316EEE" w:rsidP="00316EEE">
            <w:pPr>
              <w:pStyle w:val="TableText0"/>
              <w:keepNext w:val="0"/>
            </w:pPr>
            <w:r>
              <w:t>(initial)</w:t>
            </w:r>
            <w:r w:rsidRPr="0098262F">
              <w:t xml:space="preserve"> </w:t>
            </w:r>
          </w:p>
        </w:tc>
        <w:tc>
          <w:tcPr>
            <w:tcW w:w="1729" w:type="pct"/>
            <w:vAlign w:val="center"/>
          </w:tcPr>
          <w:p w14:paraId="71587E52" w14:textId="3886798F" w:rsidR="00316EEE" w:rsidRPr="00195F0F" w:rsidRDefault="00316EEE" w:rsidP="00D63BE6">
            <w:pPr>
              <w:pStyle w:val="TableText0"/>
              <w:keepNext w:val="0"/>
              <w:jc w:val="center"/>
              <w:rPr>
                <w:u w:val="single"/>
                <w:vertAlign w:val="superscript"/>
              </w:rPr>
            </w:pPr>
            <w:r w:rsidRPr="00195F0F">
              <w:rPr>
                <w:u w:val="single"/>
              </w:rPr>
              <w:t>Published Price</w:t>
            </w:r>
          </w:p>
          <w:p w14:paraId="6AF30666" w14:textId="40FE2FB6" w:rsidR="00316EEE" w:rsidRPr="00C3164B" w:rsidRDefault="00316EEE" w:rsidP="00D63BE6">
            <w:pPr>
              <w:pStyle w:val="TableText0"/>
              <w:keepNext w:val="0"/>
              <w:jc w:val="center"/>
              <w:rPr>
                <w:vertAlign w:val="superscript"/>
              </w:rPr>
            </w:pPr>
            <w:r w:rsidRPr="007B3F80">
              <w:t>$</w:t>
            </w:r>
            <w:r w:rsidR="003F05CA" w:rsidRPr="003F05CA">
              <w:rPr>
                <w:color w:val="000000"/>
                <w:shd w:val="solid" w:color="000000" w:fill="000000"/>
                <w14:textFill>
                  <w14:solidFill>
                    <w14:srgbClr w14:val="000000">
                      <w14:alpha w14:val="100000"/>
                    </w14:srgbClr>
                  </w14:solidFill>
                </w14:textFill>
              </w:rPr>
              <w:t>|</w:t>
            </w:r>
            <w:r w:rsidRPr="0098262F">
              <w:t xml:space="preserve"> </w:t>
            </w:r>
            <w:r>
              <w:t>(public)</w:t>
            </w:r>
          </w:p>
          <w:p w14:paraId="08496594" w14:textId="4BF11C96" w:rsidR="00316EEE" w:rsidRPr="007B3F80" w:rsidRDefault="00316EEE" w:rsidP="00D63BE6">
            <w:pPr>
              <w:pStyle w:val="TableText0"/>
              <w:keepNext w:val="0"/>
              <w:jc w:val="center"/>
            </w:pPr>
            <w:r w:rsidRPr="007B3F80">
              <w:t>$</w:t>
            </w:r>
            <w:r w:rsidR="003F05CA" w:rsidRPr="003F05CA">
              <w:rPr>
                <w:color w:val="000000"/>
                <w:shd w:val="solid" w:color="000000" w:fill="000000"/>
                <w14:textFill>
                  <w14:solidFill>
                    <w14:srgbClr w14:val="000000">
                      <w14:alpha w14:val="100000"/>
                    </w14:srgbClr>
                  </w14:solidFill>
                </w14:textFill>
              </w:rPr>
              <w:t>|</w:t>
            </w:r>
            <w:r w:rsidRPr="007B3F80">
              <w:t xml:space="preserve"> (private)</w:t>
            </w:r>
          </w:p>
          <w:p w14:paraId="02CA8F40" w14:textId="00C9D00A" w:rsidR="00316EEE" w:rsidRPr="007B3F80" w:rsidRDefault="00316EEE" w:rsidP="00D63BE6">
            <w:pPr>
              <w:pStyle w:val="TableText0"/>
              <w:keepNext w:val="0"/>
              <w:jc w:val="center"/>
              <w:rPr>
                <w:u w:val="single"/>
                <w:vertAlign w:val="superscript"/>
              </w:rPr>
            </w:pPr>
            <w:r>
              <w:rPr>
                <w:u w:val="single"/>
              </w:rPr>
              <w:t>Effective</w:t>
            </w:r>
            <w:r w:rsidRPr="00195F0F">
              <w:rPr>
                <w:u w:val="single"/>
              </w:rPr>
              <w:t xml:space="preserve"> Price</w:t>
            </w:r>
            <w:r w:rsidR="00216F0F">
              <w:rPr>
                <w:u w:val="single"/>
              </w:rPr>
              <w:t xml:space="preserve"> </w:t>
            </w:r>
            <w:r w:rsidR="00216F0F" w:rsidRPr="00B96B42">
              <w:rPr>
                <w:iCs/>
                <w:u w:val="single"/>
              </w:rPr>
              <w:t>(submission)</w:t>
            </w:r>
            <w:r>
              <w:rPr>
                <w:u w:val="single"/>
              </w:rPr>
              <w:t xml:space="preserve"> </w:t>
            </w:r>
            <w:r>
              <w:rPr>
                <w:u w:val="single"/>
                <w:vertAlign w:val="superscript"/>
              </w:rPr>
              <w:t>a</w:t>
            </w:r>
          </w:p>
          <w:p w14:paraId="2FE62B5F" w14:textId="61AC74F0" w:rsidR="00316EEE" w:rsidRDefault="00316EEE" w:rsidP="00D63BE6">
            <w:pPr>
              <w:pStyle w:val="TableText0"/>
              <w:keepNext w:val="0"/>
              <w:jc w:val="center"/>
            </w:pPr>
            <w:r w:rsidRPr="00572090">
              <w:rPr>
                <w:iCs/>
              </w:rPr>
              <w:t>$</w:t>
            </w:r>
            <w:r w:rsidR="003F05CA" w:rsidRPr="003F05CA">
              <w:rPr>
                <w:iCs/>
                <w:color w:val="000000"/>
                <w:shd w:val="solid" w:color="000000" w:fill="000000"/>
                <w14:textFill>
                  <w14:solidFill>
                    <w14:srgbClr w14:val="000000">
                      <w14:alpha w14:val="100000"/>
                    </w14:srgbClr>
                  </w14:solidFill>
                </w14:textFill>
              </w:rPr>
              <w:t>|</w:t>
            </w:r>
            <w:r>
              <w:t xml:space="preserve"> (public)</w:t>
            </w:r>
          </w:p>
          <w:p w14:paraId="7DA0143C" w14:textId="59353E8D" w:rsidR="00316EEE" w:rsidRDefault="00316EEE" w:rsidP="00D63BE6">
            <w:pPr>
              <w:pStyle w:val="TableText0"/>
              <w:keepNext w:val="0"/>
              <w:jc w:val="center"/>
            </w:pPr>
            <w:r w:rsidRPr="00572090">
              <w:rPr>
                <w:iCs/>
              </w:rPr>
              <w:t>$</w:t>
            </w:r>
            <w:r w:rsidR="003F05CA" w:rsidRPr="003F05CA">
              <w:rPr>
                <w:iCs/>
                <w:color w:val="000000"/>
                <w:shd w:val="solid" w:color="000000" w:fill="000000"/>
                <w14:textFill>
                  <w14:solidFill>
                    <w14:srgbClr w14:val="000000">
                      <w14:alpha w14:val="100000"/>
                    </w14:srgbClr>
                  </w14:solidFill>
                </w14:textFill>
              </w:rPr>
              <w:t>|</w:t>
            </w:r>
            <w:r>
              <w:t xml:space="preserve"> (private)</w:t>
            </w:r>
          </w:p>
          <w:p w14:paraId="6B482A96" w14:textId="77777777" w:rsidR="00216F0F" w:rsidRPr="0077264D" w:rsidRDefault="00216F0F" w:rsidP="00D63BE6">
            <w:pPr>
              <w:pStyle w:val="TableText0"/>
              <w:keepNext w:val="0"/>
              <w:jc w:val="center"/>
              <w:rPr>
                <w:iCs/>
                <w:u w:val="single"/>
              </w:rPr>
            </w:pPr>
            <w:r w:rsidRPr="0077264D">
              <w:rPr>
                <w:iCs/>
                <w:u w:val="single"/>
              </w:rPr>
              <w:t>Effective Price (PSCR)</w:t>
            </w:r>
          </w:p>
          <w:p w14:paraId="097612F3" w14:textId="700910C9" w:rsidR="00216F0F" w:rsidRPr="00B96B42" w:rsidRDefault="005D198B" w:rsidP="00D63BE6">
            <w:pPr>
              <w:pStyle w:val="TableText0"/>
              <w:keepNext w:val="0"/>
              <w:jc w:val="center"/>
              <w:rPr>
                <w:iCs/>
              </w:rPr>
            </w:pPr>
            <w:r w:rsidRPr="00B96B42">
              <w:rPr>
                <w:iCs/>
              </w:rPr>
              <w:t>$</w:t>
            </w:r>
            <w:r w:rsidR="003F05CA" w:rsidRPr="003F05CA">
              <w:rPr>
                <w:iCs/>
                <w:color w:val="000000"/>
                <w:shd w:val="solid" w:color="000000" w:fill="000000"/>
                <w14:textFill>
                  <w14:solidFill>
                    <w14:srgbClr w14:val="000000">
                      <w14:alpha w14:val="100000"/>
                    </w14:srgbClr>
                  </w14:solidFill>
                </w14:textFill>
              </w:rPr>
              <w:t>|</w:t>
            </w:r>
            <w:r w:rsidRPr="00B96B42">
              <w:rPr>
                <w:iCs/>
              </w:rPr>
              <w:t xml:space="preserve"> (public)</w:t>
            </w:r>
          </w:p>
          <w:p w14:paraId="2C1A99EE" w14:textId="5CBE036D" w:rsidR="005D198B" w:rsidRPr="0098262F" w:rsidRDefault="005D198B" w:rsidP="00D63BE6">
            <w:pPr>
              <w:pStyle w:val="TableText0"/>
              <w:keepNext w:val="0"/>
              <w:jc w:val="center"/>
            </w:pPr>
            <w:r w:rsidRPr="00B96B42">
              <w:rPr>
                <w:iCs/>
              </w:rPr>
              <w:t>$</w:t>
            </w:r>
            <w:r w:rsidR="003F05CA" w:rsidRPr="003F05CA">
              <w:rPr>
                <w:iCs/>
                <w:color w:val="000000"/>
                <w:shd w:val="solid" w:color="000000" w:fill="000000"/>
                <w14:textFill>
                  <w14:solidFill>
                    <w14:srgbClr w14:val="000000">
                      <w14:alpha w14:val="100000"/>
                    </w14:srgbClr>
                  </w14:solidFill>
                </w14:textFill>
              </w:rPr>
              <w:t>|</w:t>
            </w:r>
            <w:r w:rsidRPr="00B96B42">
              <w:rPr>
                <w:iCs/>
              </w:rPr>
              <w:t xml:space="preserve"> (private)</w:t>
            </w:r>
          </w:p>
        </w:tc>
        <w:tc>
          <w:tcPr>
            <w:tcW w:w="998" w:type="pct"/>
            <w:vAlign w:val="center"/>
          </w:tcPr>
          <w:p w14:paraId="139015B5" w14:textId="77777777" w:rsidR="00316EEE" w:rsidRPr="0098262F" w:rsidRDefault="00316EEE" w:rsidP="00316EEE">
            <w:pPr>
              <w:pStyle w:val="TableText0"/>
              <w:keepNext w:val="0"/>
              <w:jc w:val="center"/>
            </w:pPr>
            <w:r>
              <w:t>360mg</w:t>
            </w:r>
          </w:p>
        </w:tc>
        <w:tc>
          <w:tcPr>
            <w:tcW w:w="1096" w:type="pct"/>
            <w:vAlign w:val="center"/>
          </w:tcPr>
          <w:p w14:paraId="199D76DB" w14:textId="77777777" w:rsidR="00316EEE" w:rsidRPr="0098262F" w:rsidRDefault="00316EEE" w:rsidP="00316EEE">
            <w:pPr>
              <w:pStyle w:val="TableText0"/>
              <w:keepNext w:val="0"/>
              <w:jc w:val="center"/>
            </w:pPr>
            <w:r>
              <w:t>3</w:t>
            </w:r>
          </w:p>
        </w:tc>
      </w:tr>
      <w:tr w:rsidR="00316EEE" w:rsidRPr="0098262F" w14:paraId="7E2E0048" w14:textId="77777777">
        <w:trPr>
          <w:cantSplit/>
          <w:trHeight w:val="20"/>
        </w:trPr>
        <w:tc>
          <w:tcPr>
            <w:tcW w:w="1177" w:type="pct"/>
            <w:vAlign w:val="center"/>
          </w:tcPr>
          <w:p w14:paraId="216501CA" w14:textId="77777777" w:rsidR="00A0136F" w:rsidRDefault="00316EEE" w:rsidP="00316EEE">
            <w:pPr>
              <w:pStyle w:val="TableText0"/>
              <w:keepNext w:val="0"/>
            </w:pPr>
            <w:r>
              <w:t>Nivolumab</w:t>
            </w:r>
          </w:p>
          <w:p w14:paraId="5D1E8FD9" w14:textId="6B045CB2" w:rsidR="00316EEE" w:rsidRDefault="00316EEE" w:rsidP="00316EEE">
            <w:pPr>
              <w:pStyle w:val="TableText0"/>
              <w:keepNext w:val="0"/>
            </w:pPr>
            <w:r>
              <w:t>(continuing)</w:t>
            </w:r>
          </w:p>
        </w:tc>
        <w:tc>
          <w:tcPr>
            <w:tcW w:w="1729" w:type="pct"/>
            <w:vAlign w:val="center"/>
          </w:tcPr>
          <w:p w14:paraId="788161C7" w14:textId="77777777" w:rsidR="00316EEE" w:rsidRPr="00195F0F" w:rsidRDefault="00316EEE" w:rsidP="00D63BE6">
            <w:pPr>
              <w:pStyle w:val="TableText0"/>
              <w:keepNext w:val="0"/>
              <w:jc w:val="center"/>
              <w:rPr>
                <w:u w:val="single"/>
                <w:vertAlign w:val="superscript"/>
              </w:rPr>
            </w:pPr>
            <w:r w:rsidRPr="00195F0F">
              <w:rPr>
                <w:u w:val="single"/>
              </w:rPr>
              <w:t>Published Price</w:t>
            </w:r>
          </w:p>
          <w:p w14:paraId="1691095B" w14:textId="6D5CBDB1" w:rsidR="00316EEE" w:rsidRPr="007B3F80" w:rsidRDefault="00316EEE" w:rsidP="00D63BE6">
            <w:pPr>
              <w:pStyle w:val="TableText0"/>
              <w:keepNext w:val="0"/>
              <w:jc w:val="center"/>
            </w:pPr>
            <w:r w:rsidRPr="007B3F80">
              <w:t>$</w:t>
            </w:r>
            <w:r w:rsidR="003F05CA" w:rsidRPr="003F05CA">
              <w:rPr>
                <w:color w:val="000000"/>
                <w:shd w:val="solid" w:color="000000" w:fill="000000"/>
                <w14:textFill>
                  <w14:solidFill>
                    <w14:srgbClr w14:val="000000">
                      <w14:alpha w14:val="100000"/>
                    </w14:srgbClr>
                  </w14:solidFill>
                </w14:textFill>
              </w:rPr>
              <w:t>|</w:t>
            </w:r>
            <w:r w:rsidRPr="007B3F80">
              <w:t xml:space="preserve"> (public)</w:t>
            </w:r>
          </w:p>
          <w:p w14:paraId="5520977D" w14:textId="684BD181" w:rsidR="00316EEE" w:rsidRPr="007B3F80" w:rsidRDefault="00316EEE" w:rsidP="00D63BE6">
            <w:pPr>
              <w:pStyle w:val="TableText0"/>
              <w:keepNext w:val="0"/>
              <w:jc w:val="center"/>
            </w:pPr>
            <w:r w:rsidRPr="007B3F80">
              <w:t>$</w:t>
            </w:r>
            <w:r w:rsidR="003F05CA" w:rsidRPr="003F05CA">
              <w:rPr>
                <w:color w:val="000000"/>
                <w:shd w:val="solid" w:color="000000" w:fill="000000"/>
                <w14:textFill>
                  <w14:solidFill>
                    <w14:srgbClr w14:val="000000">
                      <w14:alpha w14:val="100000"/>
                    </w14:srgbClr>
                  </w14:solidFill>
                </w14:textFill>
              </w:rPr>
              <w:t>|</w:t>
            </w:r>
            <w:r w:rsidRPr="007B3F80">
              <w:t xml:space="preserve"> (private)</w:t>
            </w:r>
          </w:p>
          <w:p w14:paraId="5E606F6C" w14:textId="409D11E7" w:rsidR="00316EEE" w:rsidRPr="007B3F80" w:rsidRDefault="00316EEE" w:rsidP="00D63BE6">
            <w:pPr>
              <w:pStyle w:val="TableText0"/>
              <w:keepNext w:val="0"/>
              <w:jc w:val="center"/>
              <w:rPr>
                <w:u w:val="single"/>
                <w:vertAlign w:val="superscript"/>
              </w:rPr>
            </w:pPr>
            <w:r>
              <w:rPr>
                <w:u w:val="single"/>
              </w:rPr>
              <w:t>Effective</w:t>
            </w:r>
            <w:r w:rsidRPr="00195F0F">
              <w:rPr>
                <w:u w:val="single"/>
              </w:rPr>
              <w:t xml:space="preserve"> Price</w:t>
            </w:r>
            <w:r w:rsidR="00216F0F">
              <w:rPr>
                <w:u w:val="single"/>
              </w:rPr>
              <w:t xml:space="preserve"> </w:t>
            </w:r>
            <w:r w:rsidR="00216F0F" w:rsidRPr="00B96B42">
              <w:rPr>
                <w:iCs/>
                <w:u w:val="single"/>
              </w:rPr>
              <w:t>(submission)</w:t>
            </w:r>
            <w:r>
              <w:rPr>
                <w:u w:val="single"/>
              </w:rPr>
              <w:t xml:space="preserve"> </w:t>
            </w:r>
            <w:r>
              <w:rPr>
                <w:u w:val="single"/>
                <w:vertAlign w:val="superscript"/>
              </w:rPr>
              <w:t>a</w:t>
            </w:r>
          </w:p>
          <w:p w14:paraId="349F7A58" w14:textId="1AC3B514" w:rsidR="00316EEE" w:rsidRDefault="00316EEE" w:rsidP="00D63BE6">
            <w:pPr>
              <w:pStyle w:val="TableText0"/>
              <w:keepNext w:val="0"/>
              <w:jc w:val="center"/>
            </w:pPr>
            <w:r w:rsidRPr="00572090">
              <w:rPr>
                <w:iCs/>
              </w:rPr>
              <w:t>$</w:t>
            </w:r>
            <w:r w:rsidR="003F05CA" w:rsidRPr="003F05CA">
              <w:rPr>
                <w:iCs/>
                <w:color w:val="000000"/>
                <w:shd w:val="solid" w:color="000000" w:fill="000000"/>
                <w14:textFill>
                  <w14:solidFill>
                    <w14:srgbClr w14:val="000000">
                      <w14:alpha w14:val="100000"/>
                    </w14:srgbClr>
                  </w14:solidFill>
                </w14:textFill>
              </w:rPr>
              <w:t>|</w:t>
            </w:r>
            <w:r>
              <w:t xml:space="preserve"> (public)</w:t>
            </w:r>
          </w:p>
          <w:p w14:paraId="3C7DFC51" w14:textId="505C37B9" w:rsidR="00316EEE" w:rsidRDefault="00316EEE" w:rsidP="00D63BE6">
            <w:pPr>
              <w:pStyle w:val="TableText0"/>
              <w:keepNext w:val="0"/>
              <w:jc w:val="center"/>
            </w:pPr>
            <w:r w:rsidRPr="00572090">
              <w:rPr>
                <w:iCs/>
              </w:rPr>
              <w:t>$</w:t>
            </w:r>
            <w:r w:rsidR="003F05CA" w:rsidRPr="003F05CA">
              <w:rPr>
                <w:iCs/>
                <w:color w:val="000000"/>
                <w:shd w:val="solid" w:color="000000" w:fill="000000"/>
                <w14:textFill>
                  <w14:solidFill>
                    <w14:srgbClr w14:val="000000">
                      <w14:alpha w14:val="100000"/>
                    </w14:srgbClr>
                  </w14:solidFill>
                </w14:textFill>
              </w:rPr>
              <w:t>|</w:t>
            </w:r>
            <w:r>
              <w:t xml:space="preserve"> (private)</w:t>
            </w:r>
          </w:p>
          <w:p w14:paraId="044B91FA" w14:textId="77777777" w:rsidR="00216F0F" w:rsidRPr="0077264D" w:rsidRDefault="00216F0F" w:rsidP="00D63BE6">
            <w:pPr>
              <w:pStyle w:val="TableText0"/>
              <w:keepNext w:val="0"/>
              <w:jc w:val="center"/>
              <w:rPr>
                <w:iCs/>
                <w:u w:val="single"/>
              </w:rPr>
            </w:pPr>
            <w:r w:rsidRPr="0077264D">
              <w:rPr>
                <w:iCs/>
                <w:u w:val="single"/>
              </w:rPr>
              <w:t>Effective Price (PSCR)</w:t>
            </w:r>
          </w:p>
          <w:p w14:paraId="06AF7028" w14:textId="279A760E" w:rsidR="00216F0F" w:rsidRPr="00B96B42" w:rsidRDefault="005D198B" w:rsidP="00D63BE6">
            <w:pPr>
              <w:pStyle w:val="TableText0"/>
              <w:keepNext w:val="0"/>
              <w:jc w:val="center"/>
              <w:rPr>
                <w:iCs/>
              </w:rPr>
            </w:pPr>
            <w:r w:rsidRPr="00B96B42">
              <w:rPr>
                <w:iCs/>
              </w:rPr>
              <w:t>$</w:t>
            </w:r>
            <w:r w:rsidR="003F05CA" w:rsidRPr="003F05CA">
              <w:rPr>
                <w:iCs/>
                <w:color w:val="000000"/>
                <w:shd w:val="solid" w:color="000000" w:fill="000000"/>
                <w14:textFill>
                  <w14:solidFill>
                    <w14:srgbClr w14:val="000000">
                      <w14:alpha w14:val="100000"/>
                    </w14:srgbClr>
                  </w14:solidFill>
                </w14:textFill>
              </w:rPr>
              <w:t>|</w:t>
            </w:r>
            <w:r w:rsidRPr="00B96B42">
              <w:rPr>
                <w:iCs/>
              </w:rPr>
              <w:t xml:space="preserve"> (public)</w:t>
            </w:r>
          </w:p>
          <w:p w14:paraId="65256253" w14:textId="1B767DF9" w:rsidR="005D198B" w:rsidRPr="0098262F" w:rsidRDefault="005D198B" w:rsidP="00D63BE6">
            <w:pPr>
              <w:pStyle w:val="TableText0"/>
              <w:keepNext w:val="0"/>
              <w:jc w:val="center"/>
            </w:pPr>
            <w:r w:rsidRPr="00B96B42">
              <w:rPr>
                <w:iCs/>
              </w:rPr>
              <w:t>$</w:t>
            </w:r>
            <w:r w:rsidR="003F05CA" w:rsidRPr="003F05CA">
              <w:rPr>
                <w:iCs/>
                <w:color w:val="000000"/>
                <w:shd w:val="solid" w:color="000000" w:fill="000000"/>
                <w14:textFill>
                  <w14:solidFill>
                    <w14:srgbClr w14:val="000000">
                      <w14:alpha w14:val="100000"/>
                    </w14:srgbClr>
                  </w14:solidFill>
                </w14:textFill>
              </w:rPr>
              <w:t>|</w:t>
            </w:r>
            <w:r w:rsidRPr="00B96B42">
              <w:rPr>
                <w:iCs/>
              </w:rPr>
              <w:t xml:space="preserve"> (private)</w:t>
            </w:r>
          </w:p>
        </w:tc>
        <w:tc>
          <w:tcPr>
            <w:tcW w:w="998" w:type="pct"/>
            <w:vAlign w:val="center"/>
          </w:tcPr>
          <w:p w14:paraId="6639FA9E" w14:textId="77777777" w:rsidR="00316EEE" w:rsidRPr="0098262F" w:rsidRDefault="00316EEE" w:rsidP="00316EEE">
            <w:pPr>
              <w:pStyle w:val="TableText0"/>
              <w:keepNext w:val="0"/>
              <w:jc w:val="center"/>
            </w:pPr>
            <w:r>
              <w:t>480mg</w:t>
            </w:r>
          </w:p>
        </w:tc>
        <w:tc>
          <w:tcPr>
            <w:tcW w:w="1096" w:type="pct"/>
            <w:vAlign w:val="center"/>
          </w:tcPr>
          <w:p w14:paraId="595071E3" w14:textId="77777777" w:rsidR="00316EEE" w:rsidRPr="0098262F" w:rsidRDefault="00316EEE" w:rsidP="00316EEE">
            <w:pPr>
              <w:pStyle w:val="TableText0"/>
              <w:keepNext w:val="0"/>
              <w:jc w:val="center"/>
            </w:pPr>
            <w:r>
              <w:t>6</w:t>
            </w:r>
          </w:p>
        </w:tc>
      </w:tr>
      <w:tr w:rsidR="00316EEE" w:rsidRPr="0098262F" w14:paraId="00D0B4A8" w14:textId="77777777">
        <w:trPr>
          <w:cantSplit/>
          <w:trHeight w:val="20"/>
        </w:trPr>
        <w:tc>
          <w:tcPr>
            <w:tcW w:w="5000" w:type="pct"/>
            <w:gridSpan w:val="4"/>
            <w:vAlign w:val="center"/>
          </w:tcPr>
          <w:p w14:paraId="45CDBCCC" w14:textId="77777777" w:rsidR="00316EEE" w:rsidRPr="0098262F" w:rsidRDefault="00316EEE" w:rsidP="00316EEE">
            <w:pPr>
              <w:rPr>
                <w:b/>
              </w:rPr>
            </w:pPr>
            <w:r w:rsidRPr="0098262F">
              <w:rPr>
                <w:rFonts w:ascii="Arial Narrow" w:eastAsiaTheme="majorEastAsia" w:hAnsi="Arial Narrow" w:cs="Times New Roman"/>
                <w:b/>
                <w:sz w:val="20"/>
              </w:rPr>
              <w:t>Available brands</w:t>
            </w:r>
            <w:r w:rsidRPr="0098262F">
              <w:rPr>
                <w:b/>
              </w:rPr>
              <w:t xml:space="preserve"> </w:t>
            </w:r>
          </w:p>
        </w:tc>
      </w:tr>
      <w:tr w:rsidR="00316EEE" w:rsidRPr="0098262F" w14:paraId="51AB6C42" w14:textId="77777777">
        <w:trPr>
          <w:cantSplit/>
          <w:trHeight w:val="20"/>
        </w:trPr>
        <w:tc>
          <w:tcPr>
            <w:tcW w:w="5000" w:type="pct"/>
            <w:gridSpan w:val="4"/>
            <w:vAlign w:val="center"/>
          </w:tcPr>
          <w:p w14:paraId="4355E7D3" w14:textId="0C11921A" w:rsidR="00316EEE" w:rsidRPr="0098262F" w:rsidRDefault="00316EEE" w:rsidP="00316EEE">
            <w:pPr>
              <w:pStyle w:val="TableText0"/>
              <w:keepNext w:val="0"/>
              <w:rPr>
                <w:rFonts w:cs="Times New Roman"/>
                <w:b/>
              </w:rPr>
            </w:pPr>
            <w:r>
              <w:t>Opdivo</w:t>
            </w:r>
            <w:r w:rsidRPr="0098262F">
              <w:t xml:space="preserve"> </w:t>
            </w:r>
            <w:r w:rsidRPr="0098262F">
              <w:br/>
            </w:r>
            <w:r w:rsidRPr="00355CFF">
              <w:t>(nivolumab 40 mg/4 mL injection, 4 mL vial)</w:t>
            </w:r>
          </w:p>
        </w:tc>
      </w:tr>
      <w:tr w:rsidR="00316EEE" w:rsidRPr="0098262F" w14:paraId="3EFB44C9" w14:textId="77777777">
        <w:trPr>
          <w:cantSplit/>
          <w:trHeight w:val="20"/>
        </w:trPr>
        <w:tc>
          <w:tcPr>
            <w:tcW w:w="5000" w:type="pct"/>
            <w:gridSpan w:val="4"/>
            <w:vAlign w:val="center"/>
          </w:tcPr>
          <w:p w14:paraId="191EA638" w14:textId="77777777" w:rsidR="00316EEE" w:rsidRDefault="00316EEE" w:rsidP="00316EEE">
            <w:pPr>
              <w:pStyle w:val="TableText0"/>
              <w:keepNext w:val="0"/>
            </w:pPr>
            <w:r>
              <w:t>Opdivo</w:t>
            </w:r>
          </w:p>
          <w:p w14:paraId="150A1604" w14:textId="47DB83B7" w:rsidR="00316EEE" w:rsidRPr="0098262F" w:rsidRDefault="00316EEE" w:rsidP="00316EEE">
            <w:pPr>
              <w:pStyle w:val="TableText0"/>
              <w:keepNext w:val="0"/>
              <w:rPr>
                <w:rFonts w:cs="Times New Roman"/>
                <w:b/>
              </w:rPr>
            </w:pPr>
            <w:r w:rsidRPr="00355CFF">
              <w:t>(nivolumab 100 mg/10 mL injection, 10 mL vial)</w:t>
            </w:r>
          </w:p>
        </w:tc>
      </w:tr>
      <w:tr w:rsidR="00316EEE" w:rsidRPr="0098262F" w14:paraId="36AC8AB0"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38093A2" w14:textId="77777777" w:rsidR="00316EEE" w:rsidRPr="00316EEE" w:rsidRDefault="00316EEE" w:rsidP="00316EEE">
            <w:pPr>
              <w:pStyle w:val="TableText0"/>
              <w:keepNext w:val="0"/>
            </w:pPr>
            <w:r w:rsidRPr="00316EEE">
              <w:t>Proposed restriction</w:t>
            </w:r>
          </w:p>
        </w:tc>
      </w:tr>
      <w:tr w:rsidR="00316EEE" w:rsidRPr="0098262F" w14:paraId="10884F7A"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515DCD" w14:textId="77777777" w:rsidR="00316EEE" w:rsidRPr="0098262F" w:rsidRDefault="00316EEE" w:rsidP="00316EEE">
            <w:pPr>
              <w:pStyle w:val="TableText0"/>
              <w:keepNext w:val="0"/>
            </w:pPr>
            <w:r w:rsidRPr="00316EEE">
              <w:t xml:space="preserve">Category / Program: </w:t>
            </w:r>
            <w:r w:rsidRPr="0098262F">
              <w:t>Section 100 – Efficient Funding of Chemotherapy}</w:t>
            </w:r>
          </w:p>
        </w:tc>
      </w:tr>
      <w:tr w:rsidR="00316EEE" w:rsidRPr="0098262F" w14:paraId="1D88F3F7"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85DB22B" w14:textId="77777777" w:rsidR="00316EEE" w:rsidRPr="0098262F" w:rsidRDefault="00316EEE" w:rsidP="00316EEE">
            <w:pPr>
              <w:pStyle w:val="TableText0"/>
              <w:keepNext w:val="0"/>
            </w:pPr>
            <w:r w:rsidRPr="00316EEE">
              <w:t>Restriction type:</w:t>
            </w:r>
            <w:r w:rsidRPr="0098262F">
              <w:t xml:space="preserv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Authority Required (STREAMLINED) </w:t>
            </w:r>
          </w:p>
        </w:tc>
      </w:tr>
      <w:tr w:rsidR="00316EEE" w:rsidRPr="0098262F" w14:paraId="771F1EB5"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A040421" w14:textId="77777777" w:rsidR="00316EEE" w:rsidRPr="0098262F" w:rsidRDefault="00316EEE" w:rsidP="00316EEE">
            <w:pPr>
              <w:pStyle w:val="TableText0"/>
              <w:keepNext w:val="0"/>
            </w:pPr>
            <w:r w:rsidRPr="00316EEE">
              <w:t>Indication:</w:t>
            </w:r>
            <w:r w:rsidRPr="0098262F">
              <w:t xml:space="preserve"> </w:t>
            </w:r>
            <w:r w:rsidRPr="007C2AEF">
              <w:t>Resectable non-small cell lung cancer (NSCLC)</w:t>
            </w:r>
          </w:p>
        </w:tc>
      </w:tr>
      <w:tr w:rsidR="00316EEE" w:rsidRPr="0098262F" w14:paraId="4D165AA7" w14:textId="77777777" w:rsidTr="00D63BE6">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E9F2D9" w14:textId="77777777" w:rsidR="00316EEE" w:rsidRPr="0098262F" w:rsidRDefault="00316EEE" w:rsidP="00316EEE">
            <w:pPr>
              <w:pStyle w:val="TableText0"/>
              <w:keepNext w:val="0"/>
            </w:pPr>
            <w:r w:rsidRPr="00316EEE">
              <w:t>Treatment Phase:</w:t>
            </w:r>
            <w:r w:rsidRPr="0098262F">
              <w:t xml:space="preserve"> </w:t>
            </w:r>
            <w:r w:rsidRPr="007C2AEF">
              <w:t>Initial (neoadjuvant) treatment</w:t>
            </w:r>
          </w:p>
        </w:tc>
      </w:tr>
      <w:tr w:rsidR="00316EEE" w:rsidRPr="0098262F" w14:paraId="262008DE"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DA0A131" w14:textId="77777777" w:rsidR="00316EEE" w:rsidRPr="00316EEE" w:rsidRDefault="00316EEE" w:rsidP="00316EEE">
            <w:pPr>
              <w:pStyle w:val="TableText0"/>
              <w:keepNext w:val="0"/>
            </w:pPr>
            <w:r w:rsidRPr="00316EEE">
              <w:lastRenderedPageBreak/>
              <w:t>Clinical criteria:</w:t>
            </w:r>
          </w:p>
          <w:p w14:paraId="4654BD8D" w14:textId="77777777" w:rsidR="00316EEE" w:rsidRDefault="00316EEE" w:rsidP="00316EEE">
            <w:pPr>
              <w:pStyle w:val="TableText0"/>
              <w:keepNext w:val="0"/>
            </w:pPr>
            <w:r w:rsidRPr="007C2AEF">
              <w:t>The condition must be at least one of: (i) node positive, (ii) at least 4 cm in size,</w:t>
            </w:r>
          </w:p>
          <w:p w14:paraId="3BF8A1AA" w14:textId="77777777" w:rsidR="00316EEE" w:rsidRDefault="00316EEE" w:rsidP="00316EEE">
            <w:pPr>
              <w:pStyle w:val="TableText0"/>
              <w:keepNext w:val="0"/>
            </w:pPr>
            <w:r>
              <w:t>AND</w:t>
            </w:r>
          </w:p>
          <w:p w14:paraId="4C5ECF9F" w14:textId="77777777" w:rsidR="00316EEE" w:rsidRDefault="00316EEE" w:rsidP="00316EEE">
            <w:pPr>
              <w:pStyle w:val="TableText0"/>
              <w:keepNext w:val="0"/>
            </w:pPr>
            <w:r w:rsidRPr="007C2AEF">
              <w:t>The treatment must be for neoadjuvant use in a patient preparing for surgical resection,</w:t>
            </w:r>
          </w:p>
          <w:p w14:paraId="6C4FF0EF" w14:textId="77777777" w:rsidR="00316EEE" w:rsidRDefault="00316EEE" w:rsidP="00316EEE">
            <w:pPr>
              <w:pStyle w:val="TableText0"/>
              <w:keepNext w:val="0"/>
            </w:pPr>
            <w:r>
              <w:t>AND</w:t>
            </w:r>
          </w:p>
          <w:p w14:paraId="51DAE96C" w14:textId="77777777" w:rsidR="00316EEE" w:rsidRDefault="00316EEE" w:rsidP="00316EEE">
            <w:pPr>
              <w:pStyle w:val="TableText0"/>
              <w:keepNext w:val="0"/>
            </w:pPr>
            <w:r w:rsidRPr="007C2AEF">
              <w:t>Patient must have a WHO performance status of 0 or 1,</w:t>
            </w:r>
          </w:p>
          <w:p w14:paraId="5639C3F4" w14:textId="77777777" w:rsidR="00316EEE" w:rsidRDefault="00316EEE" w:rsidP="00316EEE">
            <w:pPr>
              <w:pStyle w:val="TableText0"/>
              <w:keepNext w:val="0"/>
            </w:pPr>
            <w:r>
              <w:t>AND</w:t>
            </w:r>
          </w:p>
          <w:p w14:paraId="011F3AD1" w14:textId="77777777" w:rsidR="00316EEE" w:rsidRPr="007C2AEF" w:rsidRDefault="00316EEE" w:rsidP="00316EEE">
            <w:pPr>
              <w:pStyle w:val="TableText0"/>
              <w:keepNext w:val="0"/>
            </w:pPr>
            <w:r w:rsidRPr="007C2AEF">
              <w:t>The treatment must be in combination with platinum-based chemotherapy.</w:t>
            </w:r>
          </w:p>
        </w:tc>
      </w:tr>
      <w:tr w:rsidR="00316EEE" w:rsidRPr="0098262F" w14:paraId="5DCAC475"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600F52E" w14:textId="77777777" w:rsidR="00316EEE" w:rsidRPr="00316EEE" w:rsidRDefault="00316EEE" w:rsidP="00316EEE">
            <w:pPr>
              <w:pStyle w:val="TableText0"/>
              <w:keepNext w:val="0"/>
            </w:pPr>
            <w:r w:rsidRPr="00316EEE">
              <w:t xml:space="preserve">Treatment criteria: </w:t>
            </w:r>
            <w:r w:rsidRPr="0060680F">
              <w:t>Patient may receive up to a maximum of 4 PBS-subsidised doses of this drug for initial (neoadjuvant) treatment.</w:t>
            </w:r>
          </w:p>
        </w:tc>
      </w:tr>
      <w:tr w:rsidR="00316EEE" w:rsidRPr="0098262F" w14:paraId="0BA8935C"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6DF9D76" w14:textId="77777777" w:rsidR="00316EEE" w:rsidRPr="0098262F" w:rsidRDefault="00316EEE" w:rsidP="00316EEE">
            <w:pPr>
              <w:pStyle w:val="TableText0"/>
              <w:keepNext w:val="0"/>
            </w:pPr>
            <w:r w:rsidRPr="00316EEE">
              <w:t xml:space="preserve">Prescribing Instructions: </w:t>
            </w:r>
            <w:r w:rsidRPr="0060680F">
              <w:t>In non-squamous type NSCLC where any of the following is known to be present, this drug must not be a PBS-benefit: (i) activating epidermal growth factor receptor (EGFR) gene mutation, (ii) anaplastic lymphoma kinase (ALK) gene rearrangement.</w:t>
            </w:r>
          </w:p>
        </w:tc>
      </w:tr>
      <w:tr w:rsidR="00316EEE" w:rsidRPr="0098262F" w14:paraId="12859897"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D29DB94" w14:textId="77777777" w:rsidR="00316EEE" w:rsidRDefault="00316EEE" w:rsidP="00316EEE">
            <w:pPr>
              <w:pStyle w:val="TableText0"/>
              <w:keepNext w:val="0"/>
            </w:pPr>
            <w:r w:rsidRPr="00316EEE">
              <w:t xml:space="preserve">Administrative Advice: </w:t>
            </w:r>
            <w:r w:rsidRPr="0060680F">
              <w:t>No increase in the maximum number of repeats may be authorised.</w:t>
            </w:r>
          </w:p>
          <w:p w14:paraId="1F0B6099" w14:textId="77777777" w:rsidR="00316EEE" w:rsidRPr="0098262F" w:rsidRDefault="00316EEE" w:rsidP="00316EEE">
            <w:pPr>
              <w:pStyle w:val="TableText0"/>
              <w:keepNext w:val="0"/>
            </w:pPr>
            <w:r w:rsidRPr="0060680F">
              <w:t>Special Pricing Arrangements apply.</w:t>
            </w:r>
          </w:p>
        </w:tc>
      </w:tr>
      <w:tr w:rsidR="00316EEE" w:rsidRPr="0098262F" w14:paraId="487DD652" w14:textId="77777777" w:rsidTr="00D63BE6">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3B8584" w14:textId="77777777" w:rsidR="00316EEE" w:rsidRPr="0098262F" w:rsidRDefault="00316EEE" w:rsidP="00316EEE">
            <w:pPr>
              <w:pStyle w:val="TableText0"/>
              <w:keepNext w:val="0"/>
            </w:pPr>
            <w:r w:rsidRPr="00316EEE">
              <w:t>Treatment Phase:</w:t>
            </w:r>
            <w:r w:rsidRPr="0098262F">
              <w:t xml:space="preserve"> </w:t>
            </w:r>
            <w:r>
              <w:t>Continuing</w:t>
            </w:r>
            <w:r w:rsidRPr="007C2AEF">
              <w:t xml:space="preserve"> (adjuvant) treatment</w:t>
            </w:r>
          </w:p>
        </w:tc>
      </w:tr>
      <w:tr w:rsidR="00316EEE" w:rsidRPr="0098262F" w14:paraId="11717E7E"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E93D890" w14:textId="77777777" w:rsidR="00316EEE" w:rsidRPr="00316EEE" w:rsidRDefault="00316EEE" w:rsidP="00316EEE">
            <w:pPr>
              <w:pStyle w:val="TableText0"/>
              <w:keepNext w:val="0"/>
            </w:pPr>
            <w:r w:rsidRPr="00316EEE">
              <w:t>Clinical criteria:</w:t>
            </w:r>
          </w:p>
          <w:p w14:paraId="28E7DECF" w14:textId="77777777" w:rsidR="00316EEE" w:rsidRDefault="00316EEE" w:rsidP="00316EEE">
            <w:pPr>
              <w:pStyle w:val="TableText0"/>
              <w:keepNext w:val="0"/>
            </w:pPr>
            <w:r w:rsidRPr="0060680F">
              <w:t>The condition must have been treated with neoadjuvant nivolumab plus platinum-based chemotherapy,</w:t>
            </w:r>
          </w:p>
          <w:p w14:paraId="625B8483" w14:textId="77777777" w:rsidR="00316EEE" w:rsidRPr="0060680F" w:rsidRDefault="00316EEE" w:rsidP="00316EEE">
            <w:pPr>
              <w:pStyle w:val="TableText0"/>
              <w:keepNext w:val="0"/>
            </w:pPr>
            <w:r>
              <w:t>AND</w:t>
            </w:r>
          </w:p>
          <w:p w14:paraId="6BF78335" w14:textId="77777777" w:rsidR="00316EEE" w:rsidRPr="007C2AEF" w:rsidRDefault="00316EEE" w:rsidP="00316EEE">
            <w:pPr>
              <w:pStyle w:val="TableText0"/>
              <w:keepNext w:val="0"/>
            </w:pPr>
            <w:r w:rsidRPr="007C2AEF">
              <w:t xml:space="preserve">The treatment must be for </w:t>
            </w:r>
            <w:r>
              <w:t>the purposes of adjuvant use following surgical resection.</w:t>
            </w:r>
          </w:p>
        </w:tc>
      </w:tr>
      <w:tr w:rsidR="00316EEE" w:rsidRPr="0098262F" w14:paraId="2772CE06"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A0E7387" w14:textId="77777777" w:rsidR="00316EEE" w:rsidRPr="00316EEE" w:rsidRDefault="00316EEE" w:rsidP="00316EEE">
            <w:pPr>
              <w:pStyle w:val="TableText0"/>
              <w:keepNext w:val="0"/>
            </w:pPr>
            <w:r w:rsidRPr="00316EEE">
              <w:t xml:space="preserve">Treatment criteria: </w:t>
            </w:r>
            <w:r w:rsidRPr="0060680F">
              <w:t>Patient must not be undergoing PBS-subsidised treatment with this drug where this prescription extends treatment beyond whichever comes first: (i) 12 months of adjuvant treatment, (ii) disease progression/recurrence despite treatment with this drug; annotate any remaining repeat prescriptions with the word ‘cancelled’ where this occurs.</w:t>
            </w:r>
          </w:p>
        </w:tc>
      </w:tr>
      <w:tr w:rsidR="00316EEE" w:rsidRPr="0098262F" w14:paraId="5E961CF1" w14:textId="77777777" w:rsidTr="00316EEE">
        <w:trPr>
          <w:cantSplit/>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A5676B2" w14:textId="77777777" w:rsidR="00316EEE" w:rsidRDefault="00316EEE" w:rsidP="00316EEE">
            <w:pPr>
              <w:pStyle w:val="TableText0"/>
              <w:keepNext w:val="0"/>
            </w:pPr>
            <w:r w:rsidRPr="00316EEE">
              <w:t xml:space="preserve">Administrative Advice: </w:t>
            </w:r>
            <w:r w:rsidRPr="0060680F">
              <w:t>Up to an additional 6 repeat prescriptions (12 in total) may be sought only where dosing is on a 2-weekly schedule during adjuvant treatment. This listing's stated number of repeat prescriptions is based on 4-weekly dosing during adjuvant treatment.</w:t>
            </w:r>
          </w:p>
          <w:p w14:paraId="6214858B" w14:textId="77777777" w:rsidR="00316EEE" w:rsidRDefault="00316EEE" w:rsidP="00316EEE">
            <w:pPr>
              <w:pStyle w:val="TableText0"/>
              <w:keepNext w:val="0"/>
            </w:pPr>
          </w:p>
          <w:p w14:paraId="48542181" w14:textId="77777777" w:rsidR="00316EEE" w:rsidRPr="0098262F" w:rsidRDefault="00316EEE" w:rsidP="00316EEE">
            <w:pPr>
              <w:pStyle w:val="TableText0"/>
              <w:keepNext w:val="0"/>
            </w:pPr>
            <w:r w:rsidRPr="0060680F">
              <w:t>Special Pricing Arrangements apply.</w:t>
            </w:r>
          </w:p>
        </w:tc>
      </w:tr>
    </w:tbl>
    <w:p w14:paraId="7568207D" w14:textId="77777777" w:rsidR="00A0136F" w:rsidRDefault="007B3F80" w:rsidP="00316EEE">
      <w:pPr>
        <w:pStyle w:val="FooterTableFigure"/>
      </w:pPr>
      <w:r w:rsidRPr="0098262F">
        <w:t xml:space="preserve">Source: </w:t>
      </w:r>
      <w:r>
        <w:t>T</w:t>
      </w:r>
      <w:r w:rsidRPr="0098262F">
        <w:t>able</w:t>
      </w:r>
      <w:r w:rsidR="00316EEE">
        <w:t>s</w:t>
      </w:r>
      <w:r>
        <w:t xml:space="preserve"> </w:t>
      </w:r>
      <w:r w:rsidR="00316EEE">
        <w:t>13 -</w:t>
      </w:r>
      <w:r>
        <w:t>15,</w:t>
      </w:r>
      <w:r w:rsidRPr="0098262F">
        <w:t xml:space="preserve"> </w:t>
      </w:r>
      <w:r w:rsidR="00316EEE">
        <w:t xml:space="preserve">p38 and </w:t>
      </w:r>
      <w:r>
        <w:t>p</w:t>
      </w:r>
      <w:r w:rsidR="00316EEE">
        <w:t>p41-</w:t>
      </w:r>
      <w:r>
        <w:t>42 of the submission</w:t>
      </w:r>
    </w:p>
    <w:p w14:paraId="2C5A5520" w14:textId="77777777" w:rsidR="00A0136F" w:rsidRDefault="00316EEE" w:rsidP="00316EEE">
      <w:pPr>
        <w:pStyle w:val="FooterTableFigure"/>
      </w:pPr>
      <w:r>
        <w:t xml:space="preserve">Note: </w:t>
      </w:r>
      <w:r w:rsidRPr="00355CFF">
        <w:t>The submission incorporated the following fees into the dispensed prices for</w:t>
      </w:r>
      <w:r>
        <w:t xml:space="preserve"> nivolumab: public dispensing fees – preparation fee ($90.13); private dispensing fees –preparation fee ($90.13), diluent fee ($5.95), distribution fee ($30.05) and ready prepared dispensing fee ($8.67). These fees were updated during the evaluation. A flat 1.4% mark-up applied in the private hospital setting.</w:t>
      </w:r>
    </w:p>
    <w:p w14:paraId="2645941E" w14:textId="08F2E5B1" w:rsidR="00316EEE" w:rsidRDefault="00316EEE" w:rsidP="00316EEE">
      <w:pPr>
        <w:pStyle w:val="FooterTableFigure"/>
      </w:pPr>
      <w:r>
        <w:rPr>
          <w:vertAlign w:val="superscript"/>
        </w:rPr>
        <w:t xml:space="preserve">a </w:t>
      </w:r>
      <w:r>
        <w:t>The effective prices were updated during the evaluation to the current values (August 2024). Original effective prices in the submission were (480mg): $</w:t>
      </w:r>
      <w:r w:rsidR="001E7429" w:rsidRPr="001E7429">
        <w:rPr>
          <w:color w:val="000000"/>
          <w:spacing w:val="39"/>
          <w:shd w:val="solid" w:color="000000" w:fill="000000"/>
          <w:fitText w:val="278" w:id="-737420800"/>
          <w14:textFill>
            <w14:solidFill>
              <w14:srgbClr w14:val="000000">
                <w14:alpha w14:val="100000"/>
              </w14:srgbClr>
            </w14:solidFill>
          </w14:textFill>
        </w:rPr>
        <w:t xml:space="preserve">|  </w:t>
      </w:r>
      <w:r w:rsidR="001E7429" w:rsidRPr="001E7429">
        <w:rPr>
          <w:color w:val="000000"/>
          <w:spacing w:val="3"/>
          <w:shd w:val="solid" w:color="000000" w:fill="000000"/>
          <w:fitText w:val="278" w:id="-737420800"/>
          <w14:textFill>
            <w14:solidFill>
              <w14:srgbClr w14:val="000000">
                <w14:alpha w14:val="100000"/>
              </w14:srgbClr>
            </w14:solidFill>
          </w14:textFill>
        </w:rPr>
        <w:t>|</w:t>
      </w:r>
      <w:r>
        <w:t xml:space="preserve"> (initial public), $</w:t>
      </w:r>
      <w:r w:rsidR="001E7429" w:rsidRPr="001E7429">
        <w:rPr>
          <w:color w:val="000000"/>
          <w:spacing w:val="39"/>
          <w:shd w:val="solid" w:color="000000" w:fill="000000"/>
          <w:fitText w:val="278" w:id="-737420799"/>
          <w14:textFill>
            <w14:solidFill>
              <w14:srgbClr w14:val="000000">
                <w14:alpha w14:val="100000"/>
              </w14:srgbClr>
            </w14:solidFill>
          </w14:textFill>
        </w:rPr>
        <w:t xml:space="preserve">|  </w:t>
      </w:r>
      <w:r w:rsidR="001E7429" w:rsidRPr="001E7429">
        <w:rPr>
          <w:color w:val="000000"/>
          <w:spacing w:val="3"/>
          <w:shd w:val="solid" w:color="000000" w:fill="000000"/>
          <w:fitText w:val="278" w:id="-737420799"/>
          <w14:textFill>
            <w14:solidFill>
              <w14:srgbClr w14:val="000000">
                <w14:alpha w14:val="100000"/>
              </w14:srgbClr>
            </w14:solidFill>
          </w14:textFill>
        </w:rPr>
        <w:t>|</w:t>
      </w:r>
      <w:r>
        <w:t xml:space="preserve"> (initial private), $</w:t>
      </w:r>
      <w:r w:rsidR="001E7429" w:rsidRPr="001E7429">
        <w:rPr>
          <w:color w:val="000000"/>
          <w:spacing w:val="39"/>
          <w:shd w:val="solid" w:color="000000" w:fill="000000"/>
          <w:fitText w:val="278" w:id="-737420798"/>
          <w14:textFill>
            <w14:solidFill>
              <w14:srgbClr w14:val="000000">
                <w14:alpha w14:val="100000"/>
              </w14:srgbClr>
            </w14:solidFill>
          </w14:textFill>
        </w:rPr>
        <w:t xml:space="preserve">|  </w:t>
      </w:r>
      <w:r w:rsidR="001E7429" w:rsidRPr="001E7429">
        <w:rPr>
          <w:color w:val="000000"/>
          <w:spacing w:val="3"/>
          <w:shd w:val="solid" w:color="000000" w:fill="000000"/>
          <w:fitText w:val="278" w:id="-737420798"/>
          <w14:textFill>
            <w14:solidFill>
              <w14:srgbClr w14:val="000000">
                <w14:alpha w14:val="100000"/>
              </w14:srgbClr>
            </w14:solidFill>
          </w14:textFill>
        </w:rPr>
        <w:t>|</w:t>
      </w:r>
      <w:r>
        <w:t xml:space="preserve"> (continuing public), $</w:t>
      </w:r>
      <w:r w:rsidR="001E7429" w:rsidRPr="001E7429">
        <w:rPr>
          <w:color w:val="000000"/>
          <w:spacing w:val="39"/>
          <w:shd w:val="solid" w:color="000000" w:fill="000000"/>
          <w:fitText w:val="278" w:id="-737420797"/>
          <w14:textFill>
            <w14:solidFill>
              <w14:srgbClr w14:val="000000">
                <w14:alpha w14:val="100000"/>
              </w14:srgbClr>
            </w14:solidFill>
          </w14:textFill>
        </w:rPr>
        <w:t xml:space="preserve">|  </w:t>
      </w:r>
      <w:r w:rsidR="001E7429" w:rsidRPr="001E7429">
        <w:rPr>
          <w:color w:val="000000"/>
          <w:spacing w:val="3"/>
          <w:shd w:val="solid" w:color="000000" w:fill="000000"/>
          <w:fitText w:val="278" w:id="-737420797"/>
          <w14:textFill>
            <w14:solidFill>
              <w14:srgbClr w14:val="000000">
                <w14:alpha w14:val="100000"/>
              </w14:srgbClr>
            </w14:solidFill>
          </w14:textFill>
        </w:rPr>
        <w:t>|</w:t>
      </w:r>
      <w:r>
        <w:t xml:space="preserve"> (continuing private).</w:t>
      </w:r>
    </w:p>
    <w:p w14:paraId="54C54138" w14:textId="4A07DCAC" w:rsidR="007B3F80" w:rsidRPr="0098262F" w:rsidRDefault="00316EEE" w:rsidP="00036F97">
      <w:pPr>
        <w:pStyle w:val="FooterTableFigure"/>
      </w:pPr>
      <w:r>
        <w:t>Text in italics indicate values calculated during evaluation.</w:t>
      </w:r>
    </w:p>
    <w:p w14:paraId="78FD4C41" w14:textId="5A316892" w:rsidR="0064434C" w:rsidRPr="006753B0" w:rsidRDefault="008F4E56" w:rsidP="00B551BA">
      <w:pPr>
        <w:pStyle w:val="3-BodyText"/>
        <w:rPr>
          <w:iCs/>
        </w:rPr>
      </w:pPr>
      <w:bookmarkStart w:id="18" w:name="_Ref177393741"/>
      <w:bookmarkStart w:id="19" w:name="_Ref180320989"/>
      <w:r w:rsidRPr="008F4E56">
        <w:t>The submission proposed a special pricing arrangement (SPA) for periNIVO, with the proposed published and effective</w:t>
      </w:r>
      <w:r w:rsidR="009A3E06">
        <w:t xml:space="preserve"> </w:t>
      </w:r>
      <w:r w:rsidRPr="008F4E56">
        <w:t>approved ex-manufacturer price (AEMP) per 40 mg vial as $</w:t>
      </w:r>
      <w:r w:rsidR="003F05CA" w:rsidRPr="00DA645A">
        <w:rPr>
          <w:color w:val="000000"/>
          <w:w w:val="15"/>
          <w:shd w:val="solid" w:color="000000" w:fill="000000"/>
          <w:fitText w:val="-20" w:id="-739980288"/>
          <w14:textFill>
            <w14:solidFill>
              <w14:srgbClr w14:val="000000">
                <w14:alpha w14:val="100000"/>
              </w14:srgbClr>
            </w14:solidFill>
          </w14:textFill>
        </w:rPr>
        <w:t xml:space="preserve">|  </w:t>
      </w:r>
      <w:r w:rsidR="003F05CA" w:rsidRPr="00DA645A">
        <w:rPr>
          <w:color w:val="000000"/>
          <w:spacing w:val="-69"/>
          <w:w w:val="15"/>
          <w:shd w:val="solid" w:color="000000" w:fill="000000"/>
          <w:fitText w:val="-20" w:id="-739980288"/>
          <w14:textFill>
            <w14:solidFill>
              <w14:srgbClr w14:val="000000">
                <w14:alpha w14:val="100000"/>
              </w14:srgbClr>
            </w14:solidFill>
          </w14:textFill>
        </w:rPr>
        <w:t>|</w:t>
      </w:r>
      <w:r w:rsidRPr="008F4E56">
        <w:t xml:space="preserve"> and $</w:t>
      </w:r>
      <w:r w:rsidR="003F05CA" w:rsidRPr="00DA645A">
        <w:rPr>
          <w:color w:val="000000"/>
          <w:w w:val="15"/>
          <w:shd w:val="solid" w:color="000000" w:fill="000000"/>
          <w:fitText w:val="-20" w:id="-739980287"/>
          <w14:textFill>
            <w14:solidFill>
              <w14:srgbClr w14:val="000000">
                <w14:alpha w14:val="100000"/>
              </w14:srgbClr>
            </w14:solidFill>
          </w14:textFill>
        </w:rPr>
        <w:t xml:space="preserve">|  </w:t>
      </w:r>
      <w:r w:rsidR="003F05CA" w:rsidRPr="00DA645A">
        <w:rPr>
          <w:color w:val="000000"/>
          <w:spacing w:val="-69"/>
          <w:w w:val="15"/>
          <w:shd w:val="solid" w:color="000000" w:fill="000000"/>
          <w:fitText w:val="-20" w:id="-739980287"/>
          <w14:textFill>
            <w14:solidFill>
              <w14:srgbClr w14:val="000000">
                <w14:alpha w14:val="100000"/>
              </w14:srgbClr>
            </w14:solidFill>
          </w14:textFill>
        </w:rPr>
        <w:t>|</w:t>
      </w:r>
      <w:r w:rsidRPr="008F4E56">
        <w:t xml:space="preserve"> respectively, and per 100 mg vial as $</w:t>
      </w:r>
      <w:r w:rsidR="003F05CA" w:rsidRPr="00DA645A">
        <w:rPr>
          <w:color w:val="000000"/>
          <w:w w:val="15"/>
          <w:shd w:val="solid" w:color="000000" w:fill="000000"/>
          <w:fitText w:val="-20" w:id="-739980286"/>
          <w14:textFill>
            <w14:solidFill>
              <w14:srgbClr w14:val="000000">
                <w14:alpha w14:val="100000"/>
              </w14:srgbClr>
            </w14:solidFill>
          </w14:textFill>
        </w:rPr>
        <w:t xml:space="preserve">|  </w:t>
      </w:r>
      <w:r w:rsidR="003F05CA" w:rsidRPr="00DA645A">
        <w:rPr>
          <w:color w:val="000000"/>
          <w:spacing w:val="-69"/>
          <w:w w:val="15"/>
          <w:shd w:val="solid" w:color="000000" w:fill="000000"/>
          <w:fitText w:val="-20" w:id="-739980286"/>
          <w14:textFill>
            <w14:solidFill>
              <w14:srgbClr w14:val="000000">
                <w14:alpha w14:val="100000"/>
              </w14:srgbClr>
            </w14:solidFill>
          </w14:textFill>
        </w:rPr>
        <w:t>|</w:t>
      </w:r>
      <w:r w:rsidRPr="008F4E56">
        <w:t xml:space="preserve"> and $</w:t>
      </w:r>
      <w:r w:rsidR="003F05CA" w:rsidRPr="00DA645A">
        <w:rPr>
          <w:color w:val="000000"/>
          <w:w w:val="15"/>
          <w:shd w:val="solid" w:color="000000" w:fill="000000"/>
          <w:fitText w:val="-20" w:id="-739980285"/>
          <w14:textFill>
            <w14:solidFill>
              <w14:srgbClr w14:val="000000">
                <w14:alpha w14:val="100000"/>
              </w14:srgbClr>
            </w14:solidFill>
          </w14:textFill>
        </w:rPr>
        <w:t xml:space="preserve">|  </w:t>
      </w:r>
      <w:r w:rsidR="003F05CA" w:rsidRPr="00DA645A">
        <w:rPr>
          <w:color w:val="000000"/>
          <w:spacing w:val="-69"/>
          <w:w w:val="15"/>
          <w:shd w:val="solid" w:color="000000" w:fill="000000"/>
          <w:fitText w:val="-20" w:id="-739980285"/>
          <w14:textFill>
            <w14:solidFill>
              <w14:srgbClr w14:val="000000">
                <w14:alpha w14:val="100000"/>
              </w14:srgbClr>
            </w14:solidFill>
          </w14:textFill>
        </w:rPr>
        <w:t>|</w:t>
      </w:r>
      <w:r w:rsidRPr="00E6336B">
        <w:t xml:space="preserve"> </w:t>
      </w:r>
      <w:r w:rsidRPr="008F4E56">
        <w:t xml:space="preserve">respectively. </w:t>
      </w:r>
      <w:r w:rsidR="006753B0" w:rsidRPr="00B96B42">
        <w:rPr>
          <w:iCs/>
        </w:rPr>
        <w:t xml:space="preserve">The PSCR proposed a lower </w:t>
      </w:r>
      <w:r w:rsidR="00671659">
        <w:rPr>
          <w:iCs/>
        </w:rPr>
        <w:t xml:space="preserve">effective </w:t>
      </w:r>
      <w:r w:rsidR="006753B0" w:rsidRPr="00B96B42">
        <w:rPr>
          <w:iCs/>
        </w:rPr>
        <w:t>AEMP of $</w:t>
      </w:r>
      <w:r w:rsidR="003F05CA" w:rsidRPr="00DA645A">
        <w:rPr>
          <w:iCs/>
          <w:color w:val="000000"/>
          <w:w w:val="15"/>
          <w:shd w:val="solid" w:color="000000" w:fill="000000"/>
          <w:fitText w:val="-20" w:id="-739980284"/>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84"/>
          <w14:textFill>
            <w14:solidFill>
              <w14:srgbClr w14:val="000000">
                <w14:alpha w14:val="100000"/>
              </w14:srgbClr>
            </w14:solidFill>
          </w14:textFill>
        </w:rPr>
        <w:t>|</w:t>
      </w:r>
      <w:r w:rsidR="006753B0" w:rsidRPr="00E6336B">
        <w:rPr>
          <w:iCs/>
        </w:rPr>
        <w:t xml:space="preserve"> </w:t>
      </w:r>
      <w:r w:rsidR="00A42308">
        <w:rPr>
          <w:iCs/>
        </w:rPr>
        <w:t>and $</w:t>
      </w:r>
      <w:r w:rsidR="003F05CA" w:rsidRPr="00DA645A">
        <w:rPr>
          <w:iCs/>
          <w:color w:val="000000"/>
          <w:w w:val="15"/>
          <w:shd w:val="solid" w:color="000000" w:fill="000000"/>
          <w:fitText w:val="-20" w:id="-739980283"/>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83"/>
          <w14:textFill>
            <w14:solidFill>
              <w14:srgbClr w14:val="000000">
                <w14:alpha w14:val="100000"/>
              </w14:srgbClr>
            </w14:solidFill>
          </w14:textFill>
        </w:rPr>
        <w:t>|</w:t>
      </w:r>
      <w:r w:rsidR="00A42308" w:rsidRPr="00E6336B">
        <w:rPr>
          <w:iCs/>
        </w:rPr>
        <w:t xml:space="preserve"> </w:t>
      </w:r>
      <w:r w:rsidR="006753B0" w:rsidRPr="00B96B42">
        <w:rPr>
          <w:iCs/>
        </w:rPr>
        <w:t>per 100 mg</w:t>
      </w:r>
      <w:r w:rsidR="00A42308">
        <w:rPr>
          <w:iCs/>
        </w:rPr>
        <w:t xml:space="preserve"> and 40 mg</w:t>
      </w:r>
      <w:r w:rsidR="006753B0" w:rsidRPr="00B96B42">
        <w:rPr>
          <w:iCs/>
        </w:rPr>
        <w:t xml:space="preserve"> vial </w:t>
      </w:r>
      <w:r w:rsidR="009D505F" w:rsidRPr="00B96B42">
        <w:rPr>
          <w:iCs/>
        </w:rPr>
        <w:t>of</w:t>
      </w:r>
      <w:r w:rsidR="006753B0" w:rsidRPr="00B96B42">
        <w:rPr>
          <w:iCs/>
        </w:rPr>
        <w:t xml:space="preserve"> nivolumab</w:t>
      </w:r>
      <w:r w:rsidR="004517E7">
        <w:rPr>
          <w:iCs/>
        </w:rPr>
        <w:t xml:space="preserve"> respectively</w:t>
      </w:r>
      <w:r w:rsidR="006753B0" w:rsidRPr="00B96B42">
        <w:rPr>
          <w:iCs/>
        </w:rPr>
        <w:t xml:space="preserve">. </w:t>
      </w:r>
      <w:r w:rsidRPr="006753B0">
        <w:rPr>
          <w:iCs/>
        </w:rPr>
        <w:t xml:space="preserve">The </w:t>
      </w:r>
      <w:r w:rsidR="00B94240" w:rsidRPr="006753B0">
        <w:rPr>
          <w:iCs/>
        </w:rPr>
        <w:t xml:space="preserve">requested </w:t>
      </w:r>
      <w:r w:rsidRPr="006753B0">
        <w:rPr>
          <w:iCs/>
        </w:rPr>
        <w:t xml:space="preserve">effective </w:t>
      </w:r>
      <w:r w:rsidR="000C6FC1" w:rsidRPr="006753B0">
        <w:rPr>
          <w:iCs/>
        </w:rPr>
        <w:t>AEMP</w:t>
      </w:r>
      <w:r w:rsidRPr="006753B0">
        <w:rPr>
          <w:iCs/>
        </w:rPr>
        <w:t xml:space="preserve"> is lower than the $</w:t>
      </w:r>
      <w:r w:rsidR="003F05CA" w:rsidRPr="00DA645A">
        <w:rPr>
          <w:iCs/>
          <w:color w:val="000000"/>
          <w:w w:val="15"/>
          <w:shd w:val="solid" w:color="000000" w:fill="000000"/>
          <w:fitText w:val="-20" w:id="-739980282"/>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82"/>
          <w14:textFill>
            <w14:solidFill>
              <w14:srgbClr w14:val="000000">
                <w14:alpha w14:val="100000"/>
              </w14:srgbClr>
            </w14:solidFill>
          </w14:textFill>
        </w:rPr>
        <w:t>|</w:t>
      </w:r>
      <w:r w:rsidRPr="00E6336B">
        <w:rPr>
          <w:iCs/>
        </w:rPr>
        <w:t xml:space="preserve"> </w:t>
      </w:r>
      <w:r w:rsidRPr="006753B0">
        <w:rPr>
          <w:iCs/>
        </w:rPr>
        <w:t>and $</w:t>
      </w:r>
      <w:r w:rsidR="003F05CA" w:rsidRPr="00DA645A">
        <w:rPr>
          <w:iCs/>
          <w:color w:val="000000"/>
          <w:w w:val="15"/>
          <w:shd w:val="solid" w:color="000000" w:fill="000000"/>
          <w:fitText w:val="-20" w:id="-739980281"/>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81"/>
          <w14:textFill>
            <w14:solidFill>
              <w14:srgbClr w14:val="000000">
                <w14:alpha w14:val="100000"/>
              </w14:srgbClr>
            </w14:solidFill>
          </w14:textFill>
        </w:rPr>
        <w:t>|</w:t>
      </w:r>
      <w:r w:rsidRPr="00E6336B">
        <w:rPr>
          <w:iCs/>
        </w:rPr>
        <w:t xml:space="preserve"> </w:t>
      </w:r>
      <w:r w:rsidRPr="006753B0">
        <w:rPr>
          <w:iCs/>
        </w:rPr>
        <w:t>per 100 mg and 40</w:t>
      </w:r>
      <w:r w:rsidR="00E17844">
        <w:rPr>
          <w:iCs/>
        </w:rPr>
        <w:t xml:space="preserve"> </w:t>
      </w:r>
      <w:r w:rsidRPr="006753B0">
        <w:rPr>
          <w:iCs/>
        </w:rPr>
        <w:t xml:space="preserve">mg vial accepted in the July 2023 resubmission for neoNIVO (paragraph 3.2, nivolumab </w:t>
      </w:r>
      <w:r w:rsidR="00AC78E1">
        <w:rPr>
          <w:iCs/>
        </w:rPr>
        <w:t>Public Summary Document (PSD)</w:t>
      </w:r>
      <w:r w:rsidRPr="006753B0">
        <w:rPr>
          <w:iCs/>
        </w:rPr>
        <w:t>, July 2023 PBAC meeting).</w:t>
      </w:r>
      <w:bookmarkEnd w:id="18"/>
      <w:bookmarkEnd w:id="19"/>
    </w:p>
    <w:p w14:paraId="4A3ED9AF" w14:textId="5CD52AB4" w:rsidR="00711B4C" w:rsidRPr="00572090" w:rsidRDefault="00711B4C" w:rsidP="00F9393E">
      <w:pPr>
        <w:pStyle w:val="3-BodyText"/>
        <w:rPr>
          <w:iCs/>
        </w:rPr>
      </w:pPr>
      <w:bookmarkStart w:id="20" w:name="_Ref176434504"/>
      <w:r w:rsidRPr="00572090">
        <w:rPr>
          <w:iCs/>
        </w:rPr>
        <w:t xml:space="preserve">The requested initial treatment restriction was identical to the July 2023 </w:t>
      </w:r>
      <w:r w:rsidR="00131272" w:rsidRPr="00572090">
        <w:rPr>
          <w:iCs/>
        </w:rPr>
        <w:t>re</w:t>
      </w:r>
      <w:r w:rsidRPr="00572090">
        <w:rPr>
          <w:iCs/>
        </w:rPr>
        <w:t xml:space="preserve">submission for neoNIVO, </w:t>
      </w:r>
      <w:proofErr w:type="gramStart"/>
      <w:r w:rsidRPr="00572090">
        <w:rPr>
          <w:iCs/>
        </w:rPr>
        <w:t>with the exception of</w:t>
      </w:r>
      <w:proofErr w:type="gramEnd"/>
      <w:r w:rsidRPr="00572090">
        <w:rPr>
          <w:iCs/>
        </w:rPr>
        <w:t xml:space="preserve"> the increase in maximum doses </w:t>
      </w:r>
      <w:r w:rsidR="00131272" w:rsidRPr="00572090">
        <w:rPr>
          <w:iCs/>
        </w:rPr>
        <w:t xml:space="preserve">from </w:t>
      </w:r>
      <w:r w:rsidRPr="00572090">
        <w:rPr>
          <w:iCs/>
        </w:rPr>
        <w:t>three to four</w:t>
      </w:r>
      <w:r w:rsidR="00131272" w:rsidRPr="00572090">
        <w:rPr>
          <w:iCs/>
        </w:rPr>
        <w:t>,</w:t>
      </w:r>
      <w:r w:rsidRPr="00572090">
        <w:rPr>
          <w:iCs/>
        </w:rPr>
        <w:t xml:space="preserve"> which was consistent with the respective clinical trials, and the wording</w:t>
      </w:r>
      <w:r w:rsidR="00BA2B4A" w:rsidRPr="00572090">
        <w:rPr>
          <w:iCs/>
        </w:rPr>
        <w:t xml:space="preserve"> of the treatment criterion</w:t>
      </w:r>
      <w:r w:rsidR="005D39E4" w:rsidRPr="00572090">
        <w:rPr>
          <w:iCs/>
        </w:rPr>
        <w:t>:</w:t>
      </w:r>
      <w:r w:rsidRPr="00572090">
        <w:rPr>
          <w:iCs/>
        </w:rPr>
        <w:t xml:space="preserve"> “doses of this drug per lifetime for this indication” was altered to “doses of this drug for initial (neoadjuvant) treatment” which would allow for the addition of adjuvant doses.</w:t>
      </w:r>
      <w:bookmarkEnd w:id="20"/>
    </w:p>
    <w:p w14:paraId="421CC726" w14:textId="18DFB3B9" w:rsidR="004A44B0" w:rsidRPr="00572090" w:rsidRDefault="004A44B0" w:rsidP="00F9393E">
      <w:pPr>
        <w:pStyle w:val="3-BodyText"/>
        <w:rPr>
          <w:iCs/>
        </w:rPr>
      </w:pPr>
      <w:r>
        <w:t>For the continuing (adjuvant) treatment phase, t</w:t>
      </w:r>
      <w:r w:rsidRPr="004A44B0">
        <w:t xml:space="preserve">he dose regimen of </w:t>
      </w:r>
      <w:r>
        <w:t>NIVO</w:t>
      </w:r>
      <w:r w:rsidRPr="004A44B0">
        <w:t xml:space="preserve"> in the CM</w:t>
      </w:r>
      <w:r>
        <w:t>77T</w:t>
      </w:r>
      <w:r w:rsidRPr="004A44B0">
        <w:t xml:space="preserve"> trial was </w:t>
      </w:r>
      <w:r>
        <w:t>480</w:t>
      </w:r>
      <w:r w:rsidRPr="004A44B0">
        <w:t xml:space="preserve"> mg every </w:t>
      </w:r>
      <w:r>
        <w:t>four</w:t>
      </w:r>
      <w:r w:rsidRPr="004A44B0">
        <w:t xml:space="preserve"> weeks (Q</w:t>
      </w:r>
      <w:r>
        <w:t>4</w:t>
      </w:r>
      <w:r w:rsidRPr="004A44B0">
        <w:t xml:space="preserve">W) for a maximum of </w:t>
      </w:r>
      <w:r>
        <w:t>1</w:t>
      </w:r>
      <w:r w:rsidRPr="004A44B0">
        <w:t>3 cycles</w:t>
      </w:r>
      <w:r>
        <w:t xml:space="preserve">. </w:t>
      </w:r>
      <w:r>
        <w:lastRenderedPageBreak/>
        <w:t>A</w:t>
      </w:r>
      <w:r w:rsidRPr="004A44B0">
        <w:t xml:space="preserve">dditional adjuvant dosing </w:t>
      </w:r>
      <w:r>
        <w:t xml:space="preserve">options </w:t>
      </w:r>
      <w:r w:rsidRPr="004A44B0">
        <w:t xml:space="preserve">of 3 mg/kg and 240 mg every two weeks (Q2W) was included in the ‘Dose and Method of Administration’ section of the draft </w:t>
      </w:r>
      <w:r>
        <w:t>product information</w:t>
      </w:r>
      <w:r w:rsidR="00234ED9">
        <w:t xml:space="preserve"> (PI)</w:t>
      </w:r>
      <w:r>
        <w:t>, with a</w:t>
      </w:r>
      <w:r w:rsidRPr="004A44B0">
        <w:t>dministrative advice added in the requested restriction to allow for additional repeat prescriptions to allow dosing on a two-weekly schedule during adjuvant treatment.</w:t>
      </w:r>
      <w:r>
        <w:t xml:space="preserve"> </w:t>
      </w:r>
      <w:r w:rsidRPr="00572090">
        <w:rPr>
          <w:iCs/>
        </w:rPr>
        <w:t xml:space="preserve">The PBAC </w:t>
      </w:r>
      <w:r w:rsidR="0025194D">
        <w:rPr>
          <w:iCs/>
        </w:rPr>
        <w:t>considered this was reasonable as it had</w:t>
      </w:r>
      <w:r w:rsidRPr="00572090">
        <w:rPr>
          <w:iCs/>
        </w:rPr>
        <w:t xml:space="preserve"> previously recommended two flat dosing regimens (240 mg Q2W and 480 mg Q4W) in addition to 3 mg/kg Q2W for all existing and future PBS indications where NIVO monotherapy is used (paragraph 5.1, nivolumab</w:t>
      </w:r>
      <w:r w:rsidR="00DE6B06" w:rsidRPr="00572090">
        <w:rPr>
          <w:iCs/>
        </w:rPr>
        <w:t xml:space="preserve"> </w:t>
      </w:r>
      <w:r w:rsidRPr="00572090">
        <w:rPr>
          <w:iCs/>
        </w:rPr>
        <w:t>PSD, March 2019).</w:t>
      </w:r>
    </w:p>
    <w:p w14:paraId="1D1119A4" w14:textId="77777777" w:rsidR="00A0136F" w:rsidRDefault="00E6666F" w:rsidP="00F9393E">
      <w:pPr>
        <w:pStyle w:val="3-BodyText"/>
        <w:rPr>
          <w:iCs/>
        </w:rPr>
      </w:pPr>
      <w:r w:rsidRPr="00E6666F">
        <w:t>The submission noted that the sponsor is considering opening an access program allowing eligible NSCLC patients to receive periNIVO. The submission stated that the requested restriction would allow for grandfathered patients who may have accessed treatment through the access program to be eligible for PBS treatment, and that key eligibility criteria applied as part of this access program will align with the requested restriction.</w:t>
      </w:r>
      <w:r w:rsidR="0009435F" w:rsidRPr="00572090">
        <w:rPr>
          <w:iCs/>
        </w:rPr>
        <w:t xml:space="preserve"> G</w:t>
      </w:r>
      <w:r w:rsidR="00CC59C6" w:rsidRPr="00572090">
        <w:rPr>
          <w:iCs/>
        </w:rPr>
        <w:t>randfathered patients were not considered in the submission’s financial estimates.</w:t>
      </w:r>
    </w:p>
    <w:p w14:paraId="6124F588" w14:textId="77777777" w:rsidR="00A0136F" w:rsidRDefault="008A66A8" w:rsidP="00F9393E">
      <w:pPr>
        <w:pStyle w:val="3-BodyText"/>
      </w:pPr>
      <w:r w:rsidRPr="00B96B42">
        <w:t xml:space="preserve">The PSCR noted that the circumstances under which prescribers would choose 3 neoadjuvant doses over 4 neoadjuvant doses for their patient would be at the discretion of the prescriber and likely influenced by experience derived from </w:t>
      </w:r>
      <w:r w:rsidR="00F21F4E">
        <w:t>immunotherapy (</w:t>
      </w:r>
      <w:r w:rsidRPr="00B96B42">
        <w:t>IO</w:t>
      </w:r>
      <w:r w:rsidR="00F21F4E">
        <w:t>)</w:t>
      </w:r>
      <w:r w:rsidRPr="00B96B42">
        <w:t xml:space="preserve"> treatment, clinician </w:t>
      </w:r>
      <w:r w:rsidR="0005244A">
        <w:t xml:space="preserve">interpretation </w:t>
      </w:r>
      <w:r w:rsidRPr="00B96B42">
        <w:t>of the CM77T and CM816 trial data, and/or timing of planned surgery. The PSCR stated it would be amenable to combining the neoadjuvant portion of the restriction for the current neoadjuvant listing (3 doses) and the proposed initial restriction (4 doses) for periNIVO.</w:t>
      </w:r>
      <w:r w:rsidRPr="008A66A8">
        <w:t xml:space="preserve"> </w:t>
      </w:r>
      <w:r w:rsidRPr="00B96B42">
        <w:t xml:space="preserve">The </w:t>
      </w:r>
      <w:r w:rsidR="0025194D">
        <w:t xml:space="preserve">PBAC agreed with the </w:t>
      </w:r>
      <w:r w:rsidRPr="00B96B42">
        <w:t xml:space="preserve">ESC </w:t>
      </w:r>
      <w:r w:rsidR="0025194D">
        <w:t xml:space="preserve">that </w:t>
      </w:r>
      <w:r w:rsidRPr="00B96B42">
        <w:t xml:space="preserve">a single restriction for neoadjuvant treatment would be reasonable </w:t>
      </w:r>
      <w:r w:rsidR="0025194D">
        <w:t>(noting that a single vial price would be required).</w:t>
      </w:r>
    </w:p>
    <w:p w14:paraId="7075B85C" w14:textId="783695FD" w:rsidR="00B50DB8" w:rsidRPr="0098262F" w:rsidDel="00195452" w:rsidRDefault="00203181" w:rsidP="004E18E9">
      <w:pPr>
        <w:pStyle w:val="2-SectionHeading"/>
      </w:pPr>
      <w:bookmarkStart w:id="21" w:name="_Toc177566395"/>
      <w:r w:rsidRPr="0098262F" w:rsidDel="00195452">
        <w:t xml:space="preserve">Population and </w:t>
      </w:r>
      <w:r w:rsidR="008E0D3C" w:rsidRPr="0098262F" w:rsidDel="00195452">
        <w:t>d</w:t>
      </w:r>
      <w:r w:rsidRPr="0098262F" w:rsidDel="00195452">
        <w:t>isease</w:t>
      </w:r>
      <w:bookmarkEnd w:id="21"/>
    </w:p>
    <w:p w14:paraId="4CBBDA62" w14:textId="77777777" w:rsidR="00A0136F" w:rsidRDefault="00E6666F" w:rsidP="00E6666F">
      <w:pPr>
        <w:pStyle w:val="3-BodyText"/>
      </w:pPr>
      <w:r w:rsidRPr="00537CF7">
        <w:rPr>
          <w:snapToGrid w:val="0"/>
        </w:rPr>
        <w:t>Lung cancer is a common form of cancer in Australia with 14,782 incident cases reported in 2023</w:t>
      </w:r>
      <w:r>
        <w:rPr>
          <w:snapToGrid w:val="0"/>
        </w:rPr>
        <w:t xml:space="preserve"> (</w:t>
      </w:r>
      <w:r w:rsidRPr="001F2AA5">
        <w:rPr>
          <w:snapToGrid w:val="0"/>
        </w:rPr>
        <w:t>7,696 males and 7,086 females</w:t>
      </w:r>
      <w:r>
        <w:rPr>
          <w:snapToGrid w:val="0"/>
        </w:rPr>
        <w:t>)</w:t>
      </w:r>
      <w:r w:rsidRPr="00537CF7">
        <w:rPr>
          <w:snapToGrid w:val="0"/>
        </w:rPr>
        <w:t xml:space="preserve"> (AIHW, 2023)</w:t>
      </w:r>
      <w:r>
        <w:t xml:space="preserve">. </w:t>
      </w:r>
      <w:r w:rsidRPr="00163C26">
        <w:t xml:space="preserve">Based on </w:t>
      </w:r>
      <w:r w:rsidRPr="00572090">
        <w:rPr>
          <w:iCs/>
        </w:rPr>
        <w:t>an estimated</w:t>
      </w:r>
      <w:r>
        <w:t xml:space="preserve"> </w:t>
      </w:r>
      <w:r w:rsidRPr="00163C26">
        <w:t>86.6% of all lung cancers being</w:t>
      </w:r>
      <w:r>
        <w:t xml:space="preserve"> </w:t>
      </w:r>
      <w:r w:rsidRPr="00163C26">
        <w:t>NSCLC</w:t>
      </w:r>
      <w:r>
        <w:rPr>
          <w:rStyle w:val="FootnoteReference"/>
        </w:rPr>
        <w:footnoteReference w:id="2"/>
      </w:r>
      <w:r>
        <w:t xml:space="preserve"> </w:t>
      </w:r>
      <w:r w:rsidRPr="00163C26">
        <w:t>this equates to 12,801 incident cases of NSCLC in 2023</w:t>
      </w:r>
      <w:r w:rsidRPr="00572090">
        <w:rPr>
          <w:iCs/>
        </w:rPr>
        <w:t>.</w:t>
      </w:r>
      <w:r w:rsidR="005D7202" w:rsidRPr="00572090">
        <w:rPr>
          <w:iCs/>
        </w:rPr>
        <w:t xml:space="preserve"> </w:t>
      </w:r>
      <w:r w:rsidR="00FA25BD" w:rsidRPr="00FA25BD">
        <w:t>In consideration of the high burden of disease and poor survival for patients with NSCLC, there is a need for effective treatment options which delay disease recurrence or progression, prolong survival and do not have a detrimental impact on patient quality of life.</w:t>
      </w:r>
    </w:p>
    <w:p w14:paraId="654DA5C2" w14:textId="42B59FAF" w:rsidR="00FA25BD" w:rsidRPr="00FA25BD" w:rsidRDefault="00FA25BD" w:rsidP="00FA25BD">
      <w:pPr>
        <w:pStyle w:val="3-BodyText"/>
      </w:pPr>
      <w:r w:rsidRPr="00FA25BD">
        <w:t>Generally, patients with Stage I-III</w:t>
      </w:r>
      <w:r w:rsidR="002F6A3A">
        <w:t>B</w:t>
      </w:r>
      <w:r w:rsidRPr="00FA25BD">
        <w:t xml:space="preserve"> NSCLC disease, if deemed operable, would be considered candidates for surgical resection of the primary tumour. Determination of tumour resectability involves consideration of a range of factors such as tumour size</w:t>
      </w:r>
      <w:r>
        <w:t xml:space="preserve"> and </w:t>
      </w:r>
      <w:r w:rsidRPr="00FA25BD">
        <w:t>location, pulmonary and cardiac function, and the patient’s willingness to undergo surgery.</w:t>
      </w:r>
    </w:p>
    <w:p w14:paraId="7BB20682" w14:textId="414EA3C7" w:rsidR="00D1603B" w:rsidRPr="00D1603B" w:rsidRDefault="00FA25BD" w:rsidP="00E6666F">
      <w:pPr>
        <w:pStyle w:val="3-BodyText"/>
        <w:rPr>
          <w:iCs/>
        </w:rPr>
      </w:pPr>
      <w:r w:rsidRPr="00FA25BD">
        <w:lastRenderedPageBreak/>
        <w:t xml:space="preserve">periNIVO is proposed </w:t>
      </w:r>
      <w:r w:rsidR="002F6A3A">
        <w:t>to</w:t>
      </w:r>
      <w:r w:rsidRPr="00FA25BD">
        <w:t xml:space="preserve"> be used as an alternative </w:t>
      </w:r>
      <w:r>
        <w:t>to neoNIVO</w:t>
      </w:r>
      <w:r w:rsidRPr="00B96B42">
        <w:rPr>
          <w:iCs/>
        </w:rPr>
        <w:t xml:space="preserve"> (</w:t>
      </w:r>
      <w:r w:rsidR="00A80095" w:rsidRPr="00B96B42">
        <w:rPr>
          <w:iCs/>
        </w:rPr>
        <w:t xml:space="preserve">main </w:t>
      </w:r>
      <w:r w:rsidRPr="00B96B42">
        <w:rPr>
          <w:iCs/>
        </w:rPr>
        <w:t>comparator</w:t>
      </w:r>
      <w:r w:rsidR="00A80095" w:rsidRPr="00B96B42">
        <w:rPr>
          <w:iCs/>
        </w:rPr>
        <w:t xml:space="preserve"> proposed in the PSCR</w:t>
      </w:r>
      <w:r>
        <w:t xml:space="preserve">). </w:t>
      </w:r>
      <w:r w:rsidRPr="00572090">
        <w:rPr>
          <w:iCs/>
        </w:rPr>
        <w:t xml:space="preserve">In the case that </w:t>
      </w:r>
      <w:r w:rsidR="005A0C4C" w:rsidRPr="00572090">
        <w:rPr>
          <w:iCs/>
        </w:rPr>
        <w:t xml:space="preserve">periNIVO </w:t>
      </w:r>
      <w:r w:rsidRPr="00572090">
        <w:rPr>
          <w:iCs/>
        </w:rPr>
        <w:t xml:space="preserve">is listed </w:t>
      </w:r>
      <w:r w:rsidR="00567F50" w:rsidRPr="00572090">
        <w:rPr>
          <w:iCs/>
        </w:rPr>
        <w:t xml:space="preserve">separately </w:t>
      </w:r>
      <w:r w:rsidRPr="00572090">
        <w:rPr>
          <w:iCs/>
        </w:rPr>
        <w:t xml:space="preserve">on the PBS there </w:t>
      </w:r>
      <w:r w:rsidR="005A0C4C" w:rsidRPr="00572090">
        <w:rPr>
          <w:iCs/>
        </w:rPr>
        <w:t xml:space="preserve">would </w:t>
      </w:r>
      <w:r w:rsidRPr="00572090">
        <w:rPr>
          <w:iCs/>
        </w:rPr>
        <w:t xml:space="preserve">be two neoadjuvant NIVO </w:t>
      </w:r>
      <w:r w:rsidR="00A32FD1">
        <w:rPr>
          <w:iCs/>
        </w:rPr>
        <w:t>regimens</w:t>
      </w:r>
      <w:r w:rsidRPr="00572090">
        <w:rPr>
          <w:iCs/>
        </w:rPr>
        <w:t xml:space="preserve">: </w:t>
      </w:r>
      <w:r w:rsidR="0037439C" w:rsidRPr="00572090">
        <w:rPr>
          <w:iCs/>
        </w:rPr>
        <w:t>every three weeks (</w:t>
      </w:r>
      <w:r w:rsidRPr="00572090">
        <w:rPr>
          <w:iCs/>
        </w:rPr>
        <w:t>Q3W</w:t>
      </w:r>
      <w:r w:rsidR="0037439C" w:rsidRPr="00572090">
        <w:rPr>
          <w:iCs/>
        </w:rPr>
        <w:t>)</w:t>
      </w:r>
      <w:r w:rsidRPr="00572090">
        <w:rPr>
          <w:iCs/>
        </w:rPr>
        <w:t xml:space="preserve"> for a maximum of three cycles (neoNIVO</w:t>
      </w:r>
      <w:r w:rsidR="00127AEB" w:rsidRPr="00572090">
        <w:rPr>
          <w:iCs/>
        </w:rPr>
        <w:t xml:space="preserve"> listing</w:t>
      </w:r>
      <w:r w:rsidRPr="00572090">
        <w:rPr>
          <w:iCs/>
        </w:rPr>
        <w:t>) and Q3W for a maximum of four cycles (periNIVO</w:t>
      </w:r>
      <w:r w:rsidR="00127AEB" w:rsidRPr="00572090">
        <w:rPr>
          <w:iCs/>
        </w:rPr>
        <w:t xml:space="preserve"> listing</w:t>
      </w:r>
      <w:r w:rsidRPr="00572090">
        <w:rPr>
          <w:iCs/>
        </w:rPr>
        <w:t xml:space="preserve">). </w:t>
      </w:r>
      <w:r w:rsidR="00A80095" w:rsidRPr="00B96B42">
        <w:t xml:space="preserve">The PSCR </w:t>
      </w:r>
      <w:r w:rsidR="00D1603B" w:rsidRPr="00B96B42">
        <w:t>noted that allowing patients to receive either 3 or 4 doses of neoadjuvant therapy followed by adjuvant therapy aligned with the draft PI.</w:t>
      </w:r>
    </w:p>
    <w:p w14:paraId="381BA7B9" w14:textId="64B253AE" w:rsidR="00FA25BD" w:rsidRDefault="003D3E6C" w:rsidP="00FA25BD">
      <w:pPr>
        <w:pStyle w:val="3-BodyText"/>
      </w:pPr>
      <w:r>
        <w:t>Nivolumab</w:t>
      </w:r>
      <w:r w:rsidRPr="00FA25BD">
        <w:t xml:space="preserve"> </w:t>
      </w:r>
      <w:r w:rsidR="00FA25BD" w:rsidRPr="00FA25BD">
        <w:t>is a fully human immunoglobulin G4 monoclonal antibody which binds to the PD-1 receptor on T-cells. It acts as an immunomodulation agent by blocking the interaction between PD-1 and its ligands, PD-L1 and PD-L2.</w:t>
      </w:r>
    </w:p>
    <w:p w14:paraId="236CA019" w14:textId="672B031B" w:rsidR="002F6A3A" w:rsidRPr="001005A5" w:rsidRDefault="002F6A3A" w:rsidP="00FA25BD">
      <w:pPr>
        <w:pStyle w:val="3-BodyText"/>
      </w:pPr>
      <w:r w:rsidRPr="00B96B42">
        <w:rPr>
          <w:iCs/>
        </w:rPr>
        <w:t>Epidermal Growth Factor Receptor</w:t>
      </w:r>
      <w:r w:rsidRPr="002F6A3A">
        <w:t xml:space="preserve"> (</w:t>
      </w:r>
      <w:r w:rsidRPr="00B96B42">
        <w:rPr>
          <w:i/>
        </w:rPr>
        <w:t>EGFR</w:t>
      </w:r>
      <w:r w:rsidRPr="002F6A3A">
        <w:t xml:space="preserve">) and </w:t>
      </w:r>
      <w:r w:rsidRPr="00B96B42">
        <w:rPr>
          <w:iCs/>
        </w:rPr>
        <w:t>Anaplastic Lymphoma Kinase</w:t>
      </w:r>
      <w:r w:rsidRPr="002F6A3A">
        <w:t xml:space="preserve"> (</w:t>
      </w:r>
      <w:r w:rsidRPr="0037439C">
        <w:rPr>
          <w:i/>
          <w:iCs/>
        </w:rPr>
        <w:t>ALK</w:t>
      </w:r>
      <w:r w:rsidRPr="002F6A3A">
        <w:t xml:space="preserve">) mutations are two of the most common targetable driver mutations in NSCLC, representing distinct molecular subtypes with targeted therapeutic implications. Molecular testing for driver mutations like </w:t>
      </w:r>
      <w:r w:rsidRPr="0037439C">
        <w:rPr>
          <w:i/>
          <w:iCs/>
        </w:rPr>
        <w:t>EGFR</w:t>
      </w:r>
      <w:r w:rsidRPr="002F6A3A">
        <w:t xml:space="preserve"> and </w:t>
      </w:r>
      <w:r w:rsidRPr="0037439C">
        <w:rPr>
          <w:i/>
          <w:iCs/>
        </w:rPr>
        <w:t>ALK</w:t>
      </w:r>
      <w:r w:rsidRPr="002F6A3A">
        <w:t xml:space="preserve"> is crucial in non-squamous NSCLC to guide targeted therapy, whereas such mutations are rare in squamous cell carcinoma. </w:t>
      </w:r>
      <w:r w:rsidRPr="00572090">
        <w:rPr>
          <w:iCs/>
        </w:rPr>
        <w:t xml:space="preserve">The submission’s requested </w:t>
      </w:r>
      <w:r w:rsidR="008F03CE">
        <w:rPr>
          <w:iCs/>
        </w:rPr>
        <w:t>PBS</w:t>
      </w:r>
      <w:r w:rsidR="00CC226D">
        <w:rPr>
          <w:iCs/>
        </w:rPr>
        <w:t xml:space="preserve"> restriction</w:t>
      </w:r>
      <w:r w:rsidR="00CC226D" w:rsidRPr="00572090">
        <w:rPr>
          <w:iCs/>
        </w:rPr>
        <w:t xml:space="preserve"> </w:t>
      </w:r>
      <w:r w:rsidRPr="00572090">
        <w:rPr>
          <w:iCs/>
        </w:rPr>
        <w:t xml:space="preserve">excludes patients with known </w:t>
      </w:r>
      <w:r w:rsidRPr="00F1299E">
        <w:rPr>
          <w:i/>
          <w:iCs/>
        </w:rPr>
        <w:t>EGFR</w:t>
      </w:r>
      <w:r w:rsidRPr="00572090">
        <w:rPr>
          <w:iCs/>
        </w:rPr>
        <w:t xml:space="preserve"> and </w:t>
      </w:r>
      <w:r w:rsidRPr="00F1299E">
        <w:rPr>
          <w:i/>
          <w:iCs/>
        </w:rPr>
        <w:t>ALK</w:t>
      </w:r>
      <w:r w:rsidRPr="00572090">
        <w:rPr>
          <w:iCs/>
        </w:rPr>
        <w:t xml:space="preserve"> mutations in the non-squamous histology, consistent with the </w:t>
      </w:r>
      <w:r w:rsidR="001005A5" w:rsidRPr="00572090">
        <w:rPr>
          <w:iCs/>
        </w:rPr>
        <w:t xml:space="preserve">previous </w:t>
      </w:r>
      <w:r w:rsidRPr="00572090">
        <w:rPr>
          <w:iCs/>
        </w:rPr>
        <w:t>neoNIVO restriction.</w:t>
      </w:r>
    </w:p>
    <w:p w14:paraId="294F10B9" w14:textId="5713B74B" w:rsidR="001005A5" w:rsidRPr="00572090" w:rsidRDefault="001005A5" w:rsidP="00FA25BD">
      <w:pPr>
        <w:pStyle w:val="3-BodyText"/>
        <w:rPr>
          <w:iCs/>
        </w:rPr>
      </w:pPr>
      <w:r w:rsidRPr="00572090">
        <w:rPr>
          <w:iCs/>
        </w:rPr>
        <w:t>At the Medical Services Advisory Committee (MSAC) November 2021 meeting, MSAC supported amendments to MBS items 73337, 73341</w:t>
      </w:r>
      <w:r w:rsidR="005A0C4C" w:rsidRPr="00572090">
        <w:rPr>
          <w:iCs/>
        </w:rPr>
        <w:t>,</w:t>
      </w:r>
      <w:r w:rsidRPr="00572090">
        <w:rPr>
          <w:iCs/>
        </w:rPr>
        <w:t xml:space="preserve"> 73344</w:t>
      </w:r>
      <w:r w:rsidR="005A0C4C" w:rsidRPr="00572090">
        <w:rPr>
          <w:iCs/>
        </w:rPr>
        <w:t xml:space="preserve"> and 73437</w:t>
      </w:r>
      <w:r w:rsidRPr="00572090">
        <w:rPr>
          <w:iCs/>
        </w:rPr>
        <w:t xml:space="preserve"> to enable Medicare benefits to be payable for biomarker testing, with the term ‘immunotherapy’ replacing ‘pembrolizumab’ to cover multiple types of therapy. MBS items 73337, 73341 and 73344 allow for </w:t>
      </w:r>
      <w:r w:rsidRPr="00F1299E">
        <w:rPr>
          <w:i/>
        </w:rPr>
        <w:t>EGFR</w:t>
      </w:r>
      <w:r w:rsidRPr="00572090">
        <w:rPr>
          <w:iCs/>
        </w:rPr>
        <w:t xml:space="preserve">, </w:t>
      </w:r>
      <w:r w:rsidRPr="00F1299E">
        <w:rPr>
          <w:i/>
        </w:rPr>
        <w:t>ALK</w:t>
      </w:r>
      <w:r w:rsidRPr="00572090">
        <w:rPr>
          <w:iCs/>
        </w:rPr>
        <w:t xml:space="preserve"> or </w:t>
      </w:r>
      <w:r w:rsidRPr="00F1299E">
        <w:rPr>
          <w:i/>
        </w:rPr>
        <w:t>ROS1</w:t>
      </w:r>
      <w:r w:rsidRPr="00572090">
        <w:rPr>
          <w:iCs/>
        </w:rPr>
        <w:t xml:space="preserve"> gene status testing, respectively, for patients with NSCLC which is of non-squamous histology or histology not otherwise specified.</w:t>
      </w:r>
    </w:p>
    <w:p w14:paraId="5DFAD985" w14:textId="3C86188D" w:rsidR="001005A5" w:rsidRPr="0021225D" w:rsidRDefault="001005A5" w:rsidP="00FA25BD">
      <w:pPr>
        <w:pStyle w:val="3-BodyText"/>
      </w:pPr>
      <w:r w:rsidRPr="001005A5">
        <w:t>The PBS population proposed by the submission are unselected in terms of PD-L1 status.</w:t>
      </w:r>
      <w:r>
        <w:t xml:space="preserve"> </w:t>
      </w:r>
      <w:r w:rsidR="000F3989" w:rsidRPr="00572090">
        <w:rPr>
          <w:iCs/>
        </w:rPr>
        <w:t>The PBAC has previously considered PD-L1 status in the context of the March and July 2023 neoNIVO submission. The PBAC noted that PD-L1 subgroup analyses indicated the relative reduction in hazard of an EFS event for neoNIVO appeared larger for tumours that express PD-L1 but considered that restricting access based on PD-L1 status would not be appropriate (</w:t>
      </w:r>
      <w:r w:rsidR="00DE6B06" w:rsidRPr="00572090">
        <w:rPr>
          <w:iCs/>
        </w:rPr>
        <w:t>p</w:t>
      </w:r>
      <w:r w:rsidR="000F3989" w:rsidRPr="00572090">
        <w:rPr>
          <w:iCs/>
        </w:rPr>
        <w:t>aragraph 7.7, nivolumab PSD, March 2023 PBAC meeting)</w:t>
      </w:r>
      <w:r w:rsidR="0037439C" w:rsidRPr="00572090">
        <w:rPr>
          <w:iCs/>
        </w:rPr>
        <w:t>.</w:t>
      </w:r>
    </w:p>
    <w:p w14:paraId="21C9C37A" w14:textId="7C5160A9" w:rsidR="0021225D" w:rsidRPr="0021225D" w:rsidRDefault="0021225D" w:rsidP="0021225D">
      <w:pPr>
        <w:pStyle w:val="3-BodyText"/>
        <w:numPr>
          <w:ilvl w:val="0"/>
          <w:numId w:val="0"/>
        </w:numPr>
        <w:ind w:left="720"/>
        <w:rPr>
          <w:i/>
          <w:iCs/>
        </w:rPr>
      </w:pPr>
      <w:r w:rsidRPr="0021225D">
        <w:rPr>
          <w:i/>
          <w:iCs/>
        </w:rPr>
        <w:t>For more detail on PBAC’s view, see section 7 PBAC outcome.</w:t>
      </w:r>
    </w:p>
    <w:p w14:paraId="51E5AE96" w14:textId="4E0E40D2" w:rsidR="00B50DB8" w:rsidRPr="0098262F" w:rsidRDefault="00B50DB8" w:rsidP="004E18E9">
      <w:pPr>
        <w:pStyle w:val="2-SectionHeading"/>
      </w:pPr>
      <w:bookmarkStart w:id="22" w:name="_Toc177566396"/>
      <w:r w:rsidRPr="0098262F">
        <w:t>Comparator</w:t>
      </w:r>
      <w:bookmarkEnd w:id="22"/>
    </w:p>
    <w:p w14:paraId="2A7F97CC" w14:textId="108FED1D" w:rsidR="00A0136F" w:rsidRDefault="00E13AE7" w:rsidP="00E13AE7">
      <w:pPr>
        <w:pStyle w:val="3-BodyText"/>
        <w:rPr>
          <w:iCs/>
        </w:rPr>
      </w:pPr>
      <w:r>
        <w:t>The nominated comparators</w:t>
      </w:r>
      <w:r w:rsidR="001005A5">
        <w:t xml:space="preserve"> and rationale</w:t>
      </w:r>
      <w:r>
        <w:t xml:space="preserve"> provided in the submission are summarised in</w:t>
      </w:r>
      <w:r w:rsidR="0059537E">
        <w:t xml:space="preserve"> </w:t>
      </w:r>
      <w:r w:rsidR="00B03DA9">
        <w:fldChar w:fldCharType="begin"/>
      </w:r>
      <w:r w:rsidR="00B03DA9">
        <w:instrText xml:space="preserve"> REF _Ref175585196 \h </w:instrText>
      </w:r>
      <w:r w:rsidR="00B03DA9">
        <w:fldChar w:fldCharType="separate"/>
      </w:r>
      <w:r w:rsidR="009C09C9">
        <w:t xml:space="preserve">Table </w:t>
      </w:r>
      <w:r w:rsidR="009C09C9">
        <w:rPr>
          <w:noProof/>
        </w:rPr>
        <w:t>2</w:t>
      </w:r>
      <w:r w:rsidR="00B03DA9">
        <w:fldChar w:fldCharType="end"/>
      </w:r>
      <w:r>
        <w:t>.</w:t>
      </w:r>
      <w:r w:rsidR="009D505F">
        <w:t xml:space="preserve"> </w:t>
      </w:r>
      <w:r w:rsidR="009D505F" w:rsidRPr="00B96B42">
        <w:rPr>
          <w:iCs/>
        </w:rPr>
        <w:t>Due to the listing of neoadjuvant nivolumab</w:t>
      </w:r>
      <w:r w:rsidR="009D505F">
        <w:t xml:space="preserve"> </w:t>
      </w:r>
      <w:r w:rsidR="009D505F" w:rsidRPr="00B96B42">
        <w:rPr>
          <w:iCs/>
        </w:rPr>
        <w:t xml:space="preserve">(1 August 2024) the PSCR </w:t>
      </w:r>
      <w:r w:rsidR="00F1299E" w:rsidRPr="00B96B42">
        <w:rPr>
          <w:iCs/>
        </w:rPr>
        <w:t>changed the nominated</w:t>
      </w:r>
      <w:r w:rsidR="009D505F" w:rsidRPr="00B96B42">
        <w:rPr>
          <w:iCs/>
        </w:rPr>
        <w:t xml:space="preserve"> main comparator</w:t>
      </w:r>
      <w:r w:rsidR="00F1299E" w:rsidRPr="00B96B42">
        <w:rPr>
          <w:iCs/>
        </w:rPr>
        <w:t xml:space="preserve"> to be</w:t>
      </w:r>
      <w:r w:rsidR="009D505F" w:rsidRPr="00B96B42">
        <w:rPr>
          <w:iCs/>
        </w:rPr>
        <w:t xml:space="preserve">: </w:t>
      </w:r>
      <w:r w:rsidR="00301511">
        <w:rPr>
          <w:iCs/>
        </w:rPr>
        <w:t>n</w:t>
      </w:r>
      <w:r w:rsidR="009D505F" w:rsidRPr="00B96B42">
        <w:rPr>
          <w:iCs/>
        </w:rPr>
        <w:t>ivolumab (360mg) plus platinum-doublet chemotherapy</w:t>
      </w:r>
      <w:r w:rsidR="009D505F" w:rsidRPr="00B96B42">
        <w:rPr>
          <w:iCs/>
          <w:vertAlign w:val="superscript"/>
        </w:rPr>
        <w:t xml:space="preserve"> </w:t>
      </w:r>
      <w:r w:rsidR="009D505F" w:rsidRPr="00B96B42">
        <w:rPr>
          <w:iCs/>
        </w:rPr>
        <w:t>for up to 3 cycles as neoadjuvant therapy</w:t>
      </w:r>
      <w:r w:rsidR="00F1299E" w:rsidRPr="00B96B42">
        <w:rPr>
          <w:iCs/>
        </w:rPr>
        <w:t>.</w:t>
      </w:r>
    </w:p>
    <w:p w14:paraId="6C094C3F" w14:textId="669962E3" w:rsidR="00E13AE7" w:rsidRDefault="00AE4064" w:rsidP="00AE4064">
      <w:pPr>
        <w:pStyle w:val="Caption"/>
      </w:pPr>
      <w:bookmarkStart w:id="23" w:name="_Ref175585196"/>
      <w:r>
        <w:lastRenderedPageBreak/>
        <w:t xml:space="preserve">Table </w:t>
      </w:r>
      <w:r w:rsidR="00311318">
        <w:fldChar w:fldCharType="begin"/>
      </w:r>
      <w:r w:rsidR="00311318">
        <w:instrText xml:space="preserve"> SEQ Table \* ARABIC </w:instrText>
      </w:r>
      <w:r w:rsidR="00311318">
        <w:fldChar w:fldCharType="separate"/>
      </w:r>
      <w:r w:rsidR="009C09C9">
        <w:rPr>
          <w:noProof/>
        </w:rPr>
        <w:t>2</w:t>
      </w:r>
      <w:r w:rsidR="00311318">
        <w:rPr>
          <w:noProof/>
        </w:rPr>
        <w:fldChar w:fldCharType="end"/>
      </w:r>
      <w:bookmarkEnd w:id="23"/>
      <w:r w:rsidR="00E13AE7">
        <w:t>: Comparators nominated in the submission and rationale</w:t>
      </w:r>
      <w:r w:rsidR="009D505F">
        <w:t xml:space="preserve"> </w:t>
      </w:r>
      <w:r w:rsidR="009D505F" w:rsidRPr="00B96B42">
        <w:rPr>
          <w:iCs/>
        </w:rPr>
        <w:t>described in the submission</w:t>
      </w:r>
    </w:p>
    <w:tbl>
      <w:tblPr>
        <w:tblStyle w:val="TableGrid"/>
        <w:tblW w:w="0" w:type="auto"/>
        <w:tblLook w:val="04A0" w:firstRow="1" w:lastRow="0" w:firstColumn="1" w:lastColumn="0" w:noHBand="0" w:noVBand="1"/>
        <w:tblCaption w:val="Table 2: Comparators nominated in the submission and rationale described in the submission"/>
        <w:tblDescription w:val="Table 2: Comparators nominated in the submission and rationale described in the submission"/>
      </w:tblPr>
      <w:tblGrid>
        <w:gridCol w:w="1455"/>
        <w:gridCol w:w="1410"/>
        <w:gridCol w:w="2375"/>
        <w:gridCol w:w="3777"/>
      </w:tblGrid>
      <w:tr w:rsidR="00E13AE7" w:rsidRPr="00E13AE7" w14:paraId="386AE352" w14:textId="77777777" w:rsidTr="000F3989">
        <w:tc>
          <w:tcPr>
            <w:tcW w:w="1455" w:type="dxa"/>
            <w:shd w:val="clear" w:color="auto" w:fill="auto"/>
            <w:vAlign w:val="center"/>
          </w:tcPr>
          <w:p w14:paraId="048CDEB6" w14:textId="77777777" w:rsidR="00E13AE7" w:rsidRPr="00E13AE7" w:rsidRDefault="00E13AE7" w:rsidP="000F3989">
            <w:pPr>
              <w:pStyle w:val="TableText0"/>
              <w:rPr>
                <w:b/>
                <w:bCs w:val="0"/>
              </w:rPr>
            </w:pPr>
            <w:bookmarkStart w:id="24" w:name="_Hlk172231424"/>
            <w:r w:rsidRPr="00E13AE7">
              <w:rPr>
                <w:b/>
                <w:bCs w:val="0"/>
              </w:rPr>
              <w:t>Patient population</w:t>
            </w:r>
          </w:p>
        </w:tc>
        <w:tc>
          <w:tcPr>
            <w:tcW w:w="1410" w:type="dxa"/>
            <w:shd w:val="clear" w:color="auto" w:fill="auto"/>
            <w:vAlign w:val="center"/>
          </w:tcPr>
          <w:p w14:paraId="2B48A91C" w14:textId="77777777" w:rsidR="00E13AE7" w:rsidRPr="00E13AE7" w:rsidRDefault="00E13AE7" w:rsidP="000F3989">
            <w:pPr>
              <w:pStyle w:val="TableText0"/>
              <w:rPr>
                <w:b/>
                <w:bCs w:val="0"/>
              </w:rPr>
            </w:pPr>
            <w:r w:rsidRPr="00E13AE7">
              <w:rPr>
                <w:b/>
                <w:bCs w:val="0"/>
              </w:rPr>
              <w:t>Comparator type</w:t>
            </w:r>
          </w:p>
        </w:tc>
        <w:tc>
          <w:tcPr>
            <w:tcW w:w="2375" w:type="dxa"/>
            <w:shd w:val="clear" w:color="auto" w:fill="auto"/>
            <w:vAlign w:val="center"/>
          </w:tcPr>
          <w:p w14:paraId="1D8C6B78" w14:textId="77777777" w:rsidR="00E13AE7" w:rsidRPr="00E13AE7" w:rsidRDefault="00E13AE7" w:rsidP="000F3989">
            <w:pPr>
              <w:pStyle w:val="TableText0"/>
              <w:rPr>
                <w:b/>
                <w:bCs w:val="0"/>
              </w:rPr>
            </w:pPr>
            <w:r w:rsidRPr="00E13AE7">
              <w:rPr>
                <w:b/>
                <w:bCs w:val="0"/>
              </w:rPr>
              <w:t>Comparator treatment</w:t>
            </w:r>
          </w:p>
        </w:tc>
        <w:tc>
          <w:tcPr>
            <w:tcW w:w="3777" w:type="dxa"/>
            <w:shd w:val="clear" w:color="auto" w:fill="auto"/>
            <w:vAlign w:val="center"/>
          </w:tcPr>
          <w:p w14:paraId="2F039B55" w14:textId="77777777" w:rsidR="00E13AE7" w:rsidRPr="00E13AE7" w:rsidRDefault="00E13AE7" w:rsidP="000F3989">
            <w:pPr>
              <w:pStyle w:val="TableText0"/>
              <w:rPr>
                <w:b/>
                <w:bCs w:val="0"/>
              </w:rPr>
            </w:pPr>
            <w:r w:rsidRPr="00E13AE7">
              <w:rPr>
                <w:b/>
                <w:bCs w:val="0"/>
              </w:rPr>
              <w:t>Rationale</w:t>
            </w:r>
          </w:p>
        </w:tc>
      </w:tr>
      <w:tr w:rsidR="00E13AE7" w:rsidRPr="00E13AE7" w14:paraId="71FD4370" w14:textId="77777777" w:rsidTr="000F3989">
        <w:tc>
          <w:tcPr>
            <w:tcW w:w="1455" w:type="dxa"/>
            <w:shd w:val="clear" w:color="auto" w:fill="auto"/>
            <w:vAlign w:val="center"/>
          </w:tcPr>
          <w:p w14:paraId="779F99A7" w14:textId="77777777" w:rsidR="00E13AE7" w:rsidRPr="00E13AE7" w:rsidRDefault="00E13AE7" w:rsidP="000F3989">
            <w:pPr>
              <w:pStyle w:val="TableText0"/>
            </w:pPr>
            <w:r w:rsidRPr="00E13AE7">
              <w:t>Resectable (tumours ≥4 cm or node positive) NSCLC</w:t>
            </w:r>
          </w:p>
        </w:tc>
        <w:tc>
          <w:tcPr>
            <w:tcW w:w="1410" w:type="dxa"/>
            <w:shd w:val="clear" w:color="auto" w:fill="auto"/>
            <w:vAlign w:val="center"/>
          </w:tcPr>
          <w:p w14:paraId="40D685D7" w14:textId="77777777" w:rsidR="00E13AE7" w:rsidRPr="00E13AE7" w:rsidRDefault="00E13AE7" w:rsidP="000F3989">
            <w:pPr>
              <w:pStyle w:val="TableText0"/>
            </w:pPr>
            <w:r w:rsidRPr="00E13AE7">
              <w:t>Main</w:t>
            </w:r>
          </w:p>
        </w:tc>
        <w:tc>
          <w:tcPr>
            <w:tcW w:w="2375" w:type="dxa"/>
            <w:shd w:val="clear" w:color="auto" w:fill="auto"/>
            <w:vAlign w:val="center"/>
          </w:tcPr>
          <w:p w14:paraId="00D971C9" w14:textId="77777777" w:rsidR="00E13AE7" w:rsidRPr="00E13AE7" w:rsidRDefault="00E13AE7" w:rsidP="000F3989">
            <w:pPr>
              <w:pStyle w:val="TableText0"/>
            </w:pPr>
            <w:r w:rsidRPr="00E13AE7">
              <w:t>Neoadjuvant chemotherapy</w:t>
            </w:r>
          </w:p>
        </w:tc>
        <w:tc>
          <w:tcPr>
            <w:tcW w:w="3777" w:type="dxa"/>
            <w:shd w:val="clear" w:color="auto" w:fill="auto"/>
            <w:vAlign w:val="center"/>
          </w:tcPr>
          <w:p w14:paraId="30EED5FB" w14:textId="77777777" w:rsidR="00E13AE7" w:rsidRPr="00E13AE7" w:rsidRDefault="00E13AE7" w:rsidP="000F3989">
            <w:pPr>
              <w:pStyle w:val="TableText0"/>
            </w:pPr>
            <w:bookmarkStart w:id="25" w:name="_Hlk172198941"/>
            <w:r w:rsidRPr="00E13AE7">
              <w:t>The comparator treatment is currently available on the PBS and is likely to be replaced with the use of perioperative nivolumab if PBS listed as requested.</w:t>
            </w:r>
          </w:p>
          <w:bookmarkEnd w:id="25"/>
          <w:p w14:paraId="5593CD3C" w14:textId="77777777" w:rsidR="00E13AE7" w:rsidRPr="00E13AE7" w:rsidRDefault="00E13AE7" w:rsidP="000F3989">
            <w:pPr>
              <w:pStyle w:val="TableText0"/>
            </w:pPr>
          </w:p>
          <w:p w14:paraId="22354DFA" w14:textId="77777777" w:rsidR="00E13AE7" w:rsidRPr="00E13AE7" w:rsidRDefault="00E13AE7" w:rsidP="000F3989">
            <w:pPr>
              <w:pStyle w:val="TableText0"/>
            </w:pPr>
            <w:r w:rsidRPr="00E13AE7">
              <w:t xml:space="preserve">Allows for the assessment of the incremental efficacy and safety of the addition of nivolumab to neoadjuvant use of chemotherapy followed by nivolumab as an adjuvant treatment. </w:t>
            </w:r>
          </w:p>
        </w:tc>
      </w:tr>
      <w:tr w:rsidR="00E13AE7" w:rsidRPr="00E13AE7" w14:paraId="6AF3E16E" w14:textId="77777777" w:rsidTr="000F3989">
        <w:tc>
          <w:tcPr>
            <w:tcW w:w="1455" w:type="dxa"/>
            <w:shd w:val="clear" w:color="auto" w:fill="auto"/>
            <w:vAlign w:val="center"/>
          </w:tcPr>
          <w:p w14:paraId="1C1114CE" w14:textId="77777777" w:rsidR="00E13AE7" w:rsidRPr="00E13AE7" w:rsidRDefault="00E13AE7" w:rsidP="000F3989">
            <w:pPr>
              <w:pStyle w:val="TableText0"/>
            </w:pPr>
            <w:r w:rsidRPr="00E13AE7">
              <w:t>Resectable (tumours ≥4 cm or node positive) NSCLC</w:t>
            </w:r>
          </w:p>
        </w:tc>
        <w:tc>
          <w:tcPr>
            <w:tcW w:w="1410" w:type="dxa"/>
            <w:shd w:val="clear" w:color="auto" w:fill="auto"/>
            <w:vAlign w:val="center"/>
          </w:tcPr>
          <w:p w14:paraId="5657D2B7" w14:textId="77777777" w:rsidR="00E13AE7" w:rsidRPr="00E13AE7" w:rsidRDefault="00E13AE7" w:rsidP="000F3989">
            <w:pPr>
              <w:pStyle w:val="TableText0"/>
            </w:pPr>
            <w:r w:rsidRPr="00E13AE7">
              <w:t>Secondary</w:t>
            </w:r>
          </w:p>
        </w:tc>
        <w:tc>
          <w:tcPr>
            <w:tcW w:w="2375" w:type="dxa"/>
            <w:shd w:val="clear" w:color="auto" w:fill="auto"/>
            <w:vAlign w:val="center"/>
          </w:tcPr>
          <w:p w14:paraId="023B92F2" w14:textId="77777777" w:rsidR="00E13AE7" w:rsidRPr="00E13AE7" w:rsidRDefault="00E13AE7" w:rsidP="000F3989">
            <w:pPr>
              <w:pStyle w:val="TableText0"/>
            </w:pPr>
            <w:r w:rsidRPr="00E13AE7">
              <w:t>Adjuvant chemotherapy</w:t>
            </w:r>
          </w:p>
        </w:tc>
        <w:tc>
          <w:tcPr>
            <w:tcW w:w="3777" w:type="dxa"/>
            <w:shd w:val="clear" w:color="auto" w:fill="auto"/>
            <w:vAlign w:val="center"/>
          </w:tcPr>
          <w:p w14:paraId="428106EF" w14:textId="32C0FDF3" w:rsidR="00E13AE7" w:rsidRPr="00E13AE7" w:rsidRDefault="00E13AE7" w:rsidP="000F3989">
            <w:pPr>
              <w:pStyle w:val="TableText0"/>
            </w:pPr>
            <w:r w:rsidRPr="00E13AE7">
              <w:t>The comparator treatment is currently available on the PBS. Based on the results of the C</w:t>
            </w:r>
            <w:r>
              <w:t>M</w:t>
            </w:r>
            <w:r w:rsidRPr="00E13AE7">
              <w:t>77T trial presented in the submission, it is likely that some clinicians would substitute adjuvant chemotherapy for perioperative nivolumab.</w:t>
            </w:r>
          </w:p>
        </w:tc>
      </w:tr>
      <w:tr w:rsidR="00E13AE7" w:rsidRPr="00E13AE7" w14:paraId="67A666A9" w14:textId="77777777" w:rsidTr="000F3989">
        <w:tc>
          <w:tcPr>
            <w:tcW w:w="1455" w:type="dxa"/>
            <w:shd w:val="clear" w:color="auto" w:fill="auto"/>
            <w:vAlign w:val="center"/>
          </w:tcPr>
          <w:p w14:paraId="291C2B4E" w14:textId="77777777" w:rsidR="00E13AE7" w:rsidRPr="00E13AE7" w:rsidRDefault="00E13AE7" w:rsidP="000F3989">
            <w:pPr>
              <w:pStyle w:val="TableText0"/>
            </w:pPr>
            <w:r w:rsidRPr="00E13AE7">
              <w:t>Resectable (tumours ≥4 cm or node positive) NSCLC</w:t>
            </w:r>
          </w:p>
        </w:tc>
        <w:tc>
          <w:tcPr>
            <w:tcW w:w="1410" w:type="dxa"/>
            <w:shd w:val="clear" w:color="auto" w:fill="auto"/>
            <w:vAlign w:val="center"/>
          </w:tcPr>
          <w:p w14:paraId="38B60A01" w14:textId="77777777" w:rsidR="00E13AE7" w:rsidRPr="00E13AE7" w:rsidRDefault="00E13AE7" w:rsidP="000F3989">
            <w:pPr>
              <w:pStyle w:val="TableText0"/>
            </w:pPr>
            <w:r w:rsidRPr="00E13AE7">
              <w:t xml:space="preserve">Secondary </w:t>
            </w:r>
          </w:p>
        </w:tc>
        <w:tc>
          <w:tcPr>
            <w:tcW w:w="2375" w:type="dxa"/>
            <w:shd w:val="clear" w:color="auto" w:fill="auto"/>
            <w:vAlign w:val="center"/>
          </w:tcPr>
          <w:p w14:paraId="3AAAAAD2" w14:textId="77777777" w:rsidR="00E13AE7" w:rsidRPr="00E13AE7" w:rsidRDefault="00E13AE7" w:rsidP="000F3989">
            <w:pPr>
              <w:pStyle w:val="TableText0"/>
            </w:pPr>
            <w:r w:rsidRPr="00E13AE7">
              <w:t>Neoadjuvant nivolumab + chemotherapy</w:t>
            </w:r>
          </w:p>
        </w:tc>
        <w:tc>
          <w:tcPr>
            <w:tcW w:w="3777" w:type="dxa"/>
            <w:shd w:val="clear" w:color="auto" w:fill="auto"/>
            <w:vAlign w:val="center"/>
          </w:tcPr>
          <w:p w14:paraId="116B886C" w14:textId="77777777" w:rsidR="00A0136F" w:rsidRDefault="00E13AE7" w:rsidP="000F3989">
            <w:pPr>
              <w:pStyle w:val="TableText0"/>
            </w:pPr>
            <w:r w:rsidRPr="00E13AE7">
              <w:t>The comparator treatment has been recommended by the PBAC</w:t>
            </w:r>
            <w:r w:rsidR="00464A0B">
              <w:t xml:space="preserve"> and was PBS-listed on 1 August 2024</w:t>
            </w:r>
            <w:r w:rsidRPr="00E13AE7">
              <w:t>.</w:t>
            </w:r>
          </w:p>
          <w:p w14:paraId="6540A503" w14:textId="5AE4AA71" w:rsidR="00E13AE7" w:rsidRDefault="00E13AE7" w:rsidP="000F3989">
            <w:pPr>
              <w:pStyle w:val="TableText0"/>
            </w:pPr>
          </w:p>
          <w:p w14:paraId="665F0DEF" w14:textId="36C601D2" w:rsidR="00E13AE7" w:rsidRPr="00E13AE7" w:rsidRDefault="00E13AE7" w:rsidP="000F3989">
            <w:pPr>
              <w:pStyle w:val="TableText0"/>
            </w:pPr>
            <w:r w:rsidRPr="00E13AE7">
              <w:t xml:space="preserve">It is likely that some clinicians would substitute neoadjuvant nivolumab plus chemotherapy for perioperative nivolumab. </w:t>
            </w:r>
          </w:p>
        </w:tc>
      </w:tr>
      <w:tr w:rsidR="00E13AE7" w:rsidRPr="00E13AE7" w14:paraId="7501469B" w14:textId="77777777" w:rsidTr="000F3989">
        <w:tc>
          <w:tcPr>
            <w:tcW w:w="1455" w:type="dxa"/>
            <w:shd w:val="clear" w:color="auto" w:fill="auto"/>
            <w:vAlign w:val="center"/>
          </w:tcPr>
          <w:p w14:paraId="75BD3D41" w14:textId="77777777" w:rsidR="00E13AE7" w:rsidRPr="00E13AE7" w:rsidRDefault="00E13AE7" w:rsidP="000F3989">
            <w:pPr>
              <w:pStyle w:val="TableText0"/>
            </w:pPr>
            <w:r w:rsidRPr="00E13AE7">
              <w:t>Resectable stage IIA-IIIB (N2) NSCLC</w:t>
            </w:r>
          </w:p>
        </w:tc>
        <w:tc>
          <w:tcPr>
            <w:tcW w:w="1410" w:type="dxa"/>
            <w:shd w:val="clear" w:color="auto" w:fill="auto"/>
            <w:vAlign w:val="center"/>
          </w:tcPr>
          <w:p w14:paraId="77E3DAF9" w14:textId="77777777" w:rsidR="00E13AE7" w:rsidRPr="00E13AE7" w:rsidRDefault="00E13AE7" w:rsidP="000F3989">
            <w:pPr>
              <w:pStyle w:val="TableText0"/>
            </w:pPr>
            <w:r w:rsidRPr="00E13AE7">
              <w:t>Near market comparator</w:t>
            </w:r>
          </w:p>
        </w:tc>
        <w:tc>
          <w:tcPr>
            <w:tcW w:w="2375" w:type="dxa"/>
            <w:shd w:val="clear" w:color="auto" w:fill="auto"/>
            <w:vAlign w:val="center"/>
          </w:tcPr>
          <w:p w14:paraId="7B54861A" w14:textId="77777777" w:rsidR="00E13AE7" w:rsidRPr="00E13AE7" w:rsidRDefault="00E13AE7" w:rsidP="000F3989">
            <w:pPr>
              <w:pStyle w:val="TableText0"/>
            </w:pPr>
            <w:r w:rsidRPr="00E13AE7">
              <w:t>Neoadjuvant pembrolizumab + chemotherapy followed by adjuvant pembrolizumab</w:t>
            </w:r>
          </w:p>
        </w:tc>
        <w:tc>
          <w:tcPr>
            <w:tcW w:w="3777" w:type="dxa"/>
            <w:shd w:val="clear" w:color="auto" w:fill="auto"/>
            <w:vAlign w:val="center"/>
          </w:tcPr>
          <w:p w14:paraId="68328410" w14:textId="2EE66ADD" w:rsidR="00E13AE7" w:rsidRPr="00E13AE7" w:rsidRDefault="00E13AE7" w:rsidP="000F3989">
            <w:pPr>
              <w:pStyle w:val="TableText0"/>
            </w:pPr>
            <w:r w:rsidRPr="00E13AE7">
              <w:t>It is likely that some clinicians would substitute perioperative pembrolizumab for perioperative nivolumab.</w:t>
            </w:r>
          </w:p>
        </w:tc>
      </w:tr>
      <w:tr w:rsidR="00E13AE7" w:rsidRPr="00E13AE7" w14:paraId="5B5E1B8E" w14:textId="77777777" w:rsidTr="000F3989">
        <w:tc>
          <w:tcPr>
            <w:tcW w:w="1455" w:type="dxa"/>
            <w:shd w:val="clear" w:color="auto" w:fill="auto"/>
            <w:vAlign w:val="center"/>
          </w:tcPr>
          <w:p w14:paraId="4CFE9E9F" w14:textId="77777777" w:rsidR="00E13AE7" w:rsidRPr="00E13AE7" w:rsidRDefault="00E13AE7" w:rsidP="000F3989">
            <w:pPr>
              <w:pStyle w:val="TableText0"/>
            </w:pPr>
            <w:bookmarkStart w:id="26" w:name="_Hlk172215582"/>
            <w:r w:rsidRPr="00E13AE7">
              <w:t>Resectable stage IIA-IIIB (N2) NSCLC</w:t>
            </w:r>
            <w:bookmarkEnd w:id="26"/>
          </w:p>
        </w:tc>
        <w:tc>
          <w:tcPr>
            <w:tcW w:w="1410" w:type="dxa"/>
            <w:shd w:val="clear" w:color="auto" w:fill="auto"/>
            <w:vAlign w:val="center"/>
          </w:tcPr>
          <w:p w14:paraId="5F180C68" w14:textId="77777777" w:rsidR="00E13AE7" w:rsidRPr="00E13AE7" w:rsidRDefault="00E13AE7" w:rsidP="000F3989">
            <w:pPr>
              <w:pStyle w:val="TableText0"/>
            </w:pPr>
            <w:r w:rsidRPr="00E13AE7">
              <w:t>Near market comparator</w:t>
            </w:r>
          </w:p>
        </w:tc>
        <w:tc>
          <w:tcPr>
            <w:tcW w:w="2375" w:type="dxa"/>
            <w:shd w:val="clear" w:color="auto" w:fill="auto"/>
            <w:vAlign w:val="center"/>
          </w:tcPr>
          <w:p w14:paraId="38A0D909" w14:textId="77777777" w:rsidR="00E13AE7" w:rsidRPr="00E13AE7" w:rsidRDefault="00E13AE7" w:rsidP="000F3989">
            <w:pPr>
              <w:pStyle w:val="TableText0"/>
            </w:pPr>
            <w:r w:rsidRPr="00E13AE7">
              <w:t>Neoadjuvant durvalumab + chemotherapy followed by adjuvant durvalumab</w:t>
            </w:r>
          </w:p>
        </w:tc>
        <w:tc>
          <w:tcPr>
            <w:tcW w:w="3777" w:type="dxa"/>
            <w:shd w:val="clear" w:color="auto" w:fill="auto"/>
            <w:vAlign w:val="center"/>
          </w:tcPr>
          <w:p w14:paraId="26CE8201" w14:textId="589E69B7" w:rsidR="00E13AE7" w:rsidRPr="00E13AE7" w:rsidRDefault="00E13AE7" w:rsidP="000F3989">
            <w:pPr>
              <w:pStyle w:val="TableText0"/>
            </w:pPr>
            <w:r w:rsidRPr="00E13AE7">
              <w:t>It is likely that some clinicians would substitute perioperative durvalumab for perioperative nivolumab.</w:t>
            </w:r>
          </w:p>
        </w:tc>
      </w:tr>
      <w:tr w:rsidR="00E13AE7" w:rsidRPr="00E13AE7" w14:paraId="15094A1B" w14:textId="77777777" w:rsidTr="000F3989">
        <w:tc>
          <w:tcPr>
            <w:tcW w:w="1455" w:type="dxa"/>
            <w:shd w:val="clear" w:color="auto" w:fill="auto"/>
            <w:vAlign w:val="center"/>
          </w:tcPr>
          <w:p w14:paraId="59BBD2FD" w14:textId="2948476C" w:rsidR="00E13AE7" w:rsidRPr="00E13AE7" w:rsidRDefault="00E13AE7" w:rsidP="000F3989">
            <w:pPr>
              <w:pStyle w:val="TableText0"/>
            </w:pPr>
            <w:r w:rsidRPr="00E13AE7">
              <w:t>Resected stage II-IIIA NSCLC whose tumours have PD-L1 ≥50%</w:t>
            </w:r>
          </w:p>
        </w:tc>
        <w:tc>
          <w:tcPr>
            <w:tcW w:w="1410" w:type="dxa"/>
            <w:shd w:val="clear" w:color="auto" w:fill="auto"/>
            <w:vAlign w:val="center"/>
          </w:tcPr>
          <w:p w14:paraId="159A1745" w14:textId="4CDE556F" w:rsidR="00E13AE7" w:rsidRPr="00E13AE7" w:rsidRDefault="00E13AE7" w:rsidP="000F3989">
            <w:pPr>
              <w:pStyle w:val="TableText0"/>
            </w:pPr>
            <w:r w:rsidRPr="00E13AE7">
              <w:t>Supplementary comparator</w:t>
            </w:r>
          </w:p>
        </w:tc>
        <w:tc>
          <w:tcPr>
            <w:tcW w:w="2375" w:type="dxa"/>
            <w:shd w:val="clear" w:color="auto" w:fill="auto"/>
            <w:vAlign w:val="center"/>
          </w:tcPr>
          <w:p w14:paraId="537B5FFF" w14:textId="71B1427F" w:rsidR="00E13AE7" w:rsidRPr="00E13AE7" w:rsidRDefault="00E13AE7" w:rsidP="000F3989">
            <w:pPr>
              <w:pStyle w:val="TableText0"/>
            </w:pPr>
            <w:r w:rsidRPr="00E13AE7">
              <w:t>Adjuvant chemotherapy, followed by atezolizumab</w:t>
            </w:r>
          </w:p>
        </w:tc>
        <w:tc>
          <w:tcPr>
            <w:tcW w:w="3777" w:type="dxa"/>
            <w:shd w:val="clear" w:color="auto" w:fill="auto"/>
            <w:vAlign w:val="center"/>
          </w:tcPr>
          <w:p w14:paraId="3F1EA0BD" w14:textId="5141ACE5" w:rsidR="00E13AE7" w:rsidRPr="00E13AE7" w:rsidRDefault="00E13AE7" w:rsidP="000F3989">
            <w:pPr>
              <w:pStyle w:val="TableText0"/>
            </w:pPr>
            <w:r>
              <w:t>Atezolizumab</w:t>
            </w:r>
            <w:r w:rsidRPr="00E13AE7">
              <w:t xml:space="preserve"> is the only immunotherapy currently PBS listed for resectable/resected NSCLC.</w:t>
            </w:r>
          </w:p>
        </w:tc>
      </w:tr>
    </w:tbl>
    <w:bookmarkEnd w:id="24"/>
    <w:p w14:paraId="11726F76" w14:textId="77777777" w:rsidR="00A0136F" w:rsidRDefault="00E13AE7" w:rsidP="00E13AE7">
      <w:pPr>
        <w:pStyle w:val="TableFigureFooter"/>
      </w:pPr>
      <w:r>
        <w:t>Source: Table 7, pp28-29 of the submission.</w:t>
      </w:r>
    </w:p>
    <w:p w14:paraId="2CDA620B" w14:textId="3AE22A02" w:rsidR="00E13AE7" w:rsidRDefault="00E13AE7" w:rsidP="00E13AE7">
      <w:pPr>
        <w:pStyle w:val="TableFigureFooter"/>
      </w:pPr>
      <w:r w:rsidRPr="00E13AE7">
        <w:t>Abbreviations: NSCLC = non-small cell lung cancer; PD-L1 = Programmed death-ligand 1</w:t>
      </w:r>
    </w:p>
    <w:p w14:paraId="3B3E49F8" w14:textId="77777777" w:rsidR="00A0136F" w:rsidRDefault="000B5116" w:rsidP="00500961">
      <w:pPr>
        <w:pStyle w:val="3-BodyText"/>
        <w:rPr>
          <w:iCs/>
        </w:rPr>
      </w:pPr>
      <w:bookmarkStart w:id="27" w:name="_Ref175824586"/>
      <w:r w:rsidRPr="00B96B42">
        <w:t xml:space="preserve">The ESC </w:t>
      </w:r>
      <w:r w:rsidR="0096303A" w:rsidRPr="00B96B42">
        <w:t>agreed</w:t>
      </w:r>
      <w:r w:rsidRPr="00B96B42">
        <w:t xml:space="preserve"> </w:t>
      </w:r>
      <w:r w:rsidR="00E8298F" w:rsidRPr="00B96B42">
        <w:t xml:space="preserve">with the PSCR </w:t>
      </w:r>
      <w:r w:rsidRPr="00B96B42">
        <w:t xml:space="preserve">that given the recent PBS listing of </w:t>
      </w:r>
      <w:r w:rsidR="00500961" w:rsidRPr="00572090">
        <w:rPr>
          <w:iCs/>
        </w:rPr>
        <w:t>neoNIVO</w:t>
      </w:r>
      <w:r w:rsidRPr="00B96B42">
        <w:t>, t</w:t>
      </w:r>
      <w:r w:rsidR="00F84E49" w:rsidRPr="00B96B42">
        <w:t>hat it</w:t>
      </w:r>
      <w:r w:rsidR="00500961" w:rsidRPr="00572090">
        <w:rPr>
          <w:iCs/>
        </w:rPr>
        <w:t xml:space="preserve"> would be the therapy most likely to be replaced by periNIVO</w:t>
      </w:r>
      <w:r w:rsidR="00F84E49">
        <w:rPr>
          <w:iCs/>
        </w:rPr>
        <w:t xml:space="preserve">, </w:t>
      </w:r>
      <w:r w:rsidR="00F84E49" w:rsidRPr="00B96B42">
        <w:t>making it the most</w:t>
      </w:r>
      <w:r w:rsidR="00F165F4" w:rsidRPr="00572090">
        <w:rPr>
          <w:iCs/>
        </w:rPr>
        <w:t xml:space="preserve"> </w:t>
      </w:r>
      <w:r w:rsidR="00500961" w:rsidRPr="00572090">
        <w:rPr>
          <w:iCs/>
        </w:rPr>
        <w:t>appropriate main comparator.</w:t>
      </w:r>
      <w:bookmarkEnd w:id="27"/>
    </w:p>
    <w:p w14:paraId="47D9B48A" w14:textId="3A0A612A" w:rsidR="002C2775" w:rsidRDefault="001E78F8" w:rsidP="002E4F02">
      <w:pPr>
        <w:pStyle w:val="3-BodyText"/>
      </w:pPr>
      <w:r w:rsidRPr="00572090">
        <w:rPr>
          <w:iCs/>
        </w:rPr>
        <w:t>The submission presented a</w:t>
      </w:r>
      <w:r w:rsidR="00F165F4" w:rsidRPr="00572090">
        <w:rPr>
          <w:iCs/>
        </w:rPr>
        <w:t>n economic evaluation for the comparison of periNIVO versus neo</w:t>
      </w:r>
      <w:r w:rsidR="00916745" w:rsidRPr="00572090">
        <w:rPr>
          <w:iCs/>
        </w:rPr>
        <w:t>Chemo</w:t>
      </w:r>
      <w:r w:rsidR="00F165F4" w:rsidRPr="00572090">
        <w:rPr>
          <w:iCs/>
        </w:rPr>
        <w:t xml:space="preserve"> in adult patients with resectable (tumours ≥4 cm or node positive) NSCLC.</w:t>
      </w:r>
      <w:r w:rsidR="000B5116">
        <w:rPr>
          <w:iCs/>
        </w:rPr>
        <w:t xml:space="preserve"> </w:t>
      </w:r>
      <w:r w:rsidR="000B5116" w:rsidRPr="00B96B42">
        <w:t xml:space="preserve">The PSCR presented a cost-minimisation </w:t>
      </w:r>
      <w:r w:rsidR="0096303A" w:rsidRPr="00B96B42">
        <w:t xml:space="preserve">for the comparison of periNIVO </w:t>
      </w:r>
      <w:r w:rsidR="000B5116" w:rsidRPr="00B96B42">
        <w:t>versus neoNIVO.</w:t>
      </w:r>
    </w:p>
    <w:p w14:paraId="7862BA9D" w14:textId="1F1C6574" w:rsidR="0021225D" w:rsidRPr="0021225D" w:rsidRDefault="0021225D" w:rsidP="0021225D">
      <w:pPr>
        <w:pStyle w:val="3-BodyText"/>
        <w:numPr>
          <w:ilvl w:val="0"/>
          <w:numId w:val="0"/>
        </w:numPr>
        <w:ind w:left="720"/>
        <w:rPr>
          <w:i/>
          <w:iCs/>
        </w:rPr>
      </w:pPr>
      <w:r w:rsidRPr="0021225D">
        <w:rPr>
          <w:i/>
          <w:iCs/>
        </w:rPr>
        <w:t>For more detail on PBAC’s view, see section 7 PBAC outcome.</w:t>
      </w:r>
    </w:p>
    <w:p w14:paraId="7F9C27C8" w14:textId="77777777" w:rsidR="00223D5A" w:rsidRDefault="00223D5A" w:rsidP="00223D5A">
      <w:pPr>
        <w:pStyle w:val="2-SectionHeading"/>
        <w:numPr>
          <w:ilvl w:val="0"/>
          <w:numId w:val="1"/>
        </w:numPr>
      </w:pPr>
      <w:bookmarkStart w:id="28" w:name="_Toc177566397"/>
      <w:bookmarkStart w:id="29" w:name="_Toc22897640"/>
      <w:r w:rsidRPr="0098262F">
        <w:t>Consideration of the evidence</w:t>
      </w:r>
      <w:bookmarkEnd w:id="28"/>
    </w:p>
    <w:p w14:paraId="5687B3DE" w14:textId="77777777" w:rsidR="0028664D" w:rsidRPr="006E1229" w:rsidRDefault="0028664D" w:rsidP="00E94E5D">
      <w:pPr>
        <w:pStyle w:val="3-SubsectionHeading"/>
        <w:outlineLvl w:val="1"/>
        <w:rPr>
          <w:lang w:eastAsia="en-AU"/>
        </w:rPr>
      </w:pPr>
      <w:bookmarkStart w:id="30" w:name="_Hlk76375935"/>
      <w:r w:rsidRPr="006E1229">
        <w:rPr>
          <w:lang w:eastAsia="en-AU"/>
        </w:rPr>
        <w:t>Sponsor hearing</w:t>
      </w:r>
    </w:p>
    <w:p w14:paraId="682299F1" w14:textId="64882B16" w:rsidR="0028664D" w:rsidRPr="00F91542" w:rsidRDefault="0028664D" w:rsidP="0028664D">
      <w:pPr>
        <w:widowControl w:val="0"/>
        <w:numPr>
          <w:ilvl w:val="1"/>
          <w:numId w:val="1"/>
        </w:numPr>
        <w:spacing w:after="120"/>
        <w:rPr>
          <w:rFonts w:cs="Calibri"/>
          <w:bCs/>
          <w:snapToGrid w:val="0"/>
        </w:rPr>
      </w:pPr>
      <w:r w:rsidRPr="00F91542">
        <w:rPr>
          <w:rFonts w:cs="Calibri"/>
          <w:bCs/>
          <w:snapToGrid w:val="0"/>
        </w:rPr>
        <w:t xml:space="preserve"> There was no hearing for this item.</w:t>
      </w:r>
    </w:p>
    <w:p w14:paraId="12789FE0" w14:textId="77777777" w:rsidR="0028664D" w:rsidRPr="006E1229" w:rsidRDefault="0028664D" w:rsidP="00E94E5D">
      <w:pPr>
        <w:pStyle w:val="3-SubsectionHeading"/>
        <w:outlineLvl w:val="1"/>
        <w:rPr>
          <w:lang w:eastAsia="en-AU"/>
        </w:rPr>
      </w:pPr>
      <w:r w:rsidRPr="006E1229">
        <w:rPr>
          <w:lang w:eastAsia="en-AU"/>
        </w:rPr>
        <w:lastRenderedPageBreak/>
        <w:t>Consumer comments</w:t>
      </w:r>
    </w:p>
    <w:p w14:paraId="2BA21FC9" w14:textId="1D6C34A8" w:rsidR="004E6320" w:rsidRPr="00BC258D" w:rsidRDefault="0028664D" w:rsidP="00BC258D">
      <w:pPr>
        <w:widowControl w:val="0"/>
        <w:numPr>
          <w:ilvl w:val="1"/>
          <w:numId w:val="1"/>
        </w:numPr>
        <w:spacing w:after="120"/>
        <w:rPr>
          <w:rFonts w:asciiTheme="minorHAnsi" w:hAnsiTheme="minorHAnsi"/>
          <w:bCs/>
          <w:snapToGrid w:val="0"/>
        </w:rPr>
      </w:pPr>
      <w:bookmarkStart w:id="31" w:name="_Hlk76382618"/>
      <w:r w:rsidRPr="00836F75">
        <w:rPr>
          <w:rFonts w:asciiTheme="minorHAnsi" w:hAnsiTheme="minorHAnsi"/>
          <w:bCs/>
          <w:snapToGrid w:val="0"/>
        </w:rPr>
        <w:t>The PBAC noted and welcomed the input from</w:t>
      </w:r>
      <w:r w:rsidR="00056EA5">
        <w:rPr>
          <w:rFonts w:asciiTheme="minorHAnsi" w:hAnsiTheme="minorHAnsi"/>
          <w:bCs/>
          <w:snapToGrid w:val="0"/>
        </w:rPr>
        <w:t xml:space="preserve"> </w:t>
      </w:r>
      <w:r w:rsidR="00E31B55">
        <w:rPr>
          <w:rFonts w:asciiTheme="minorHAnsi" w:hAnsiTheme="minorHAnsi"/>
          <w:bCs/>
          <w:snapToGrid w:val="0"/>
        </w:rPr>
        <w:t>an</w:t>
      </w:r>
      <w:r w:rsidRPr="00836F75">
        <w:rPr>
          <w:rFonts w:asciiTheme="minorHAnsi" w:hAnsiTheme="minorHAnsi"/>
          <w:bCs/>
          <w:snapToGrid w:val="0"/>
        </w:rPr>
        <w:t xml:space="preserve"> individual</w:t>
      </w:r>
      <w:r w:rsidR="00BC1A9F">
        <w:rPr>
          <w:rFonts w:asciiTheme="minorHAnsi" w:hAnsiTheme="minorHAnsi"/>
          <w:bCs/>
          <w:snapToGrid w:val="0"/>
        </w:rPr>
        <w:t xml:space="preserve"> and</w:t>
      </w:r>
      <w:r w:rsidR="00E31B55">
        <w:rPr>
          <w:rFonts w:asciiTheme="minorHAnsi" w:hAnsiTheme="minorHAnsi"/>
          <w:bCs/>
          <w:snapToGrid w:val="0"/>
        </w:rPr>
        <w:t xml:space="preserve"> </w:t>
      </w:r>
      <w:r w:rsidRPr="00836F75">
        <w:rPr>
          <w:rFonts w:asciiTheme="minorHAnsi" w:hAnsiTheme="minorHAnsi"/>
          <w:bCs/>
          <w:snapToGrid w:val="0"/>
        </w:rPr>
        <w:t>organisations (</w:t>
      </w:r>
      <w:r w:rsidR="00E31B55">
        <w:rPr>
          <w:rFonts w:asciiTheme="minorHAnsi" w:hAnsiTheme="minorHAnsi"/>
          <w:bCs/>
          <w:snapToGrid w:val="0"/>
        </w:rPr>
        <w:t>3</w:t>
      </w:r>
      <w:r w:rsidRPr="00836F75">
        <w:rPr>
          <w:rFonts w:asciiTheme="minorHAnsi" w:hAnsiTheme="minorHAnsi"/>
          <w:bCs/>
          <w:snapToGrid w:val="0"/>
        </w:rPr>
        <w:t xml:space="preserve">) via the Consumer Comments facility on the PBS website. </w:t>
      </w:r>
      <w:r w:rsidR="000A633D">
        <w:rPr>
          <w:rFonts w:asciiTheme="minorHAnsi" w:hAnsiTheme="minorHAnsi"/>
          <w:bCs/>
          <w:snapToGrid w:val="0"/>
        </w:rPr>
        <w:t>An</w:t>
      </w:r>
      <w:r w:rsidR="000C3AFB">
        <w:rPr>
          <w:rFonts w:asciiTheme="minorHAnsi" w:hAnsiTheme="minorHAnsi"/>
          <w:bCs/>
          <w:snapToGrid w:val="0"/>
        </w:rPr>
        <w:t xml:space="preserve"> individual</w:t>
      </w:r>
      <w:r w:rsidR="00BC258D">
        <w:rPr>
          <w:rFonts w:asciiTheme="minorHAnsi" w:hAnsiTheme="minorHAnsi"/>
          <w:bCs/>
          <w:snapToGrid w:val="0"/>
        </w:rPr>
        <w:t xml:space="preserve"> </w:t>
      </w:r>
      <w:r w:rsidR="000A633D">
        <w:rPr>
          <w:rFonts w:asciiTheme="minorHAnsi" w:hAnsiTheme="minorHAnsi"/>
          <w:bCs/>
          <w:snapToGrid w:val="0"/>
        </w:rPr>
        <w:t xml:space="preserve">accessing nivolumab through a clinical trial </w:t>
      </w:r>
      <w:r w:rsidR="00BC258D">
        <w:rPr>
          <w:rFonts w:asciiTheme="minorHAnsi" w:hAnsiTheme="minorHAnsi"/>
          <w:bCs/>
          <w:snapToGrid w:val="0"/>
        </w:rPr>
        <w:t xml:space="preserve">stated that there </w:t>
      </w:r>
      <w:r w:rsidR="00E6101E">
        <w:rPr>
          <w:rFonts w:asciiTheme="minorHAnsi" w:hAnsiTheme="minorHAnsi"/>
          <w:bCs/>
          <w:snapToGrid w:val="0"/>
        </w:rPr>
        <w:t>were</w:t>
      </w:r>
      <w:r w:rsidR="00BC258D">
        <w:rPr>
          <w:rFonts w:asciiTheme="minorHAnsi" w:hAnsiTheme="minorHAnsi"/>
          <w:bCs/>
          <w:snapToGrid w:val="0"/>
        </w:rPr>
        <w:t xml:space="preserve"> limited treatment options for </w:t>
      </w:r>
      <w:r w:rsidR="000A633D">
        <w:rPr>
          <w:rFonts w:asciiTheme="minorHAnsi" w:hAnsiTheme="minorHAnsi"/>
          <w:bCs/>
          <w:snapToGrid w:val="0"/>
        </w:rPr>
        <w:t>their</w:t>
      </w:r>
      <w:r w:rsidR="00BC258D">
        <w:rPr>
          <w:rFonts w:asciiTheme="minorHAnsi" w:hAnsiTheme="minorHAnsi"/>
          <w:bCs/>
          <w:snapToGrid w:val="0"/>
        </w:rPr>
        <w:t xml:space="preserve"> type of lung cancer</w:t>
      </w:r>
      <w:r w:rsidR="00DE0620">
        <w:rPr>
          <w:rFonts w:asciiTheme="minorHAnsi" w:hAnsiTheme="minorHAnsi"/>
          <w:bCs/>
          <w:snapToGrid w:val="0"/>
        </w:rPr>
        <w:t xml:space="preserve"> </w:t>
      </w:r>
      <w:r w:rsidR="00DE0620" w:rsidRPr="00BC258D">
        <w:rPr>
          <w:rFonts w:asciiTheme="minorHAnsi" w:hAnsiTheme="minorHAnsi"/>
          <w:bCs/>
          <w:snapToGrid w:val="0"/>
        </w:rPr>
        <w:t xml:space="preserve">and expressed concern </w:t>
      </w:r>
      <w:r w:rsidR="00E6101E">
        <w:rPr>
          <w:rFonts w:asciiTheme="minorHAnsi" w:hAnsiTheme="minorHAnsi"/>
          <w:bCs/>
          <w:snapToGrid w:val="0"/>
        </w:rPr>
        <w:t>of</w:t>
      </w:r>
      <w:r w:rsidR="00DE0620" w:rsidRPr="00BC258D">
        <w:rPr>
          <w:rFonts w:asciiTheme="minorHAnsi" w:hAnsiTheme="minorHAnsi"/>
          <w:bCs/>
          <w:snapToGrid w:val="0"/>
        </w:rPr>
        <w:t xml:space="preserve"> exhausting </w:t>
      </w:r>
      <w:r w:rsidR="00911617" w:rsidRPr="00BC258D">
        <w:rPr>
          <w:rFonts w:asciiTheme="minorHAnsi" w:hAnsiTheme="minorHAnsi"/>
          <w:bCs/>
          <w:snapToGrid w:val="0"/>
        </w:rPr>
        <w:t>treatment</w:t>
      </w:r>
      <w:r w:rsidR="00DE0620" w:rsidRPr="00BC258D">
        <w:rPr>
          <w:rFonts w:asciiTheme="minorHAnsi" w:hAnsiTheme="minorHAnsi"/>
          <w:bCs/>
          <w:snapToGrid w:val="0"/>
        </w:rPr>
        <w:t xml:space="preserve"> options. </w:t>
      </w:r>
      <w:r w:rsidR="00CA4C71" w:rsidRPr="00BC258D">
        <w:rPr>
          <w:rFonts w:asciiTheme="minorHAnsi" w:hAnsiTheme="minorHAnsi"/>
          <w:bCs/>
          <w:snapToGrid w:val="0"/>
        </w:rPr>
        <w:t xml:space="preserve">The </w:t>
      </w:r>
      <w:r w:rsidR="00CA4C71">
        <w:rPr>
          <w:rFonts w:asciiTheme="minorHAnsi" w:hAnsiTheme="minorHAnsi"/>
          <w:bCs/>
          <w:snapToGrid w:val="0"/>
        </w:rPr>
        <w:t xml:space="preserve">individual noted that the </w:t>
      </w:r>
      <w:r w:rsidR="00EA176A">
        <w:rPr>
          <w:rFonts w:asciiTheme="minorHAnsi" w:hAnsiTheme="minorHAnsi"/>
          <w:bCs/>
          <w:snapToGrid w:val="0"/>
        </w:rPr>
        <w:t>condition</w:t>
      </w:r>
      <w:r w:rsidR="00CA4C71" w:rsidRPr="00BC258D">
        <w:rPr>
          <w:rFonts w:asciiTheme="minorHAnsi" w:hAnsiTheme="minorHAnsi"/>
          <w:bCs/>
          <w:snapToGrid w:val="0"/>
        </w:rPr>
        <w:t xml:space="preserve"> </w:t>
      </w:r>
      <w:r w:rsidR="00EA176A">
        <w:rPr>
          <w:rFonts w:asciiTheme="minorHAnsi" w:hAnsiTheme="minorHAnsi"/>
          <w:bCs/>
          <w:snapToGrid w:val="0"/>
        </w:rPr>
        <w:t xml:space="preserve">has </w:t>
      </w:r>
      <w:r w:rsidR="00CA4C71">
        <w:rPr>
          <w:rFonts w:asciiTheme="minorHAnsi" w:hAnsiTheme="minorHAnsi"/>
          <w:bCs/>
          <w:snapToGrid w:val="0"/>
        </w:rPr>
        <w:t xml:space="preserve">had </w:t>
      </w:r>
      <w:r w:rsidR="00CA4C71" w:rsidRPr="00BC258D">
        <w:rPr>
          <w:rFonts w:asciiTheme="minorHAnsi" w:hAnsiTheme="minorHAnsi"/>
          <w:bCs/>
          <w:snapToGrid w:val="0"/>
        </w:rPr>
        <w:t>a profound impact on the</w:t>
      </w:r>
      <w:r w:rsidR="00CA4C71">
        <w:rPr>
          <w:rFonts w:asciiTheme="minorHAnsi" w:hAnsiTheme="minorHAnsi"/>
          <w:bCs/>
          <w:snapToGrid w:val="0"/>
        </w:rPr>
        <w:t>ir</w:t>
      </w:r>
      <w:r w:rsidR="00CA4C71" w:rsidRPr="00BC258D">
        <w:rPr>
          <w:rFonts w:asciiTheme="minorHAnsi" w:hAnsiTheme="minorHAnsi"/>
          <w:bCs/>
          <w:snapToGrid w:val="0"/>
        </w:rPr>
        <w:t xml:space="preserve"> </w:t>
      </w:r>
      <w:r w:rsidR="00CA4C71">
        <w:rPr>
          <w:rFonts w:asciiTheme="minorHAnsi" w:hAnsiTheme="minorHAnsi"/>
          <w:bCs/>
          <w:snapToGrid w:val="0"/>
        </w:rPr>
        <w:t>and their family member</w:t>
      </w:r>
      <w:r w:rsidR="00772B65">
        <w:rPr>
          <w:rFonts w:asciiTheme="minorHAnsi" w:hAnsiTheme="minorHAnsi"/>
          <w:bCs/>
          <w:snapToGrid w:val="0"/>
        </w:rPr>
        <w:t>’</w:t>
      </w:r>
      <w:r w:rsidR="00CA4C71">
        <w:rPr>
          <w:rFonts w:asciiTheme="minorHAnsi" w:hAnsiTheme="minorHAnsi"/>
          <w:bCs/>
          <w:snapToGrid w:val="0"/>
        </w:rPr>
        <w:t xml:space="preserve">s </w:t>
      </w:r>
      <w:r w:rsidR="00CA4C71" w:rsidRPr="00BC258D">
        <w:rPr>
          <w:rFonts w:asciiTheme="minorHAnsi" w:hAnsiTheme="minorHAnsi"/>
          <w:bCs/>
          <w:snapToGrid w:val="0"/>
        </w:rPr>
        <w:t>mental health</w:t>
      </w:r>
      <w:r w:rsidR="009F1DDF">
        <w:rPr>
          <w:rFonts w:asciiTheme="minorHAnsi" w:hAnsiTheme="minorHAnsi"/>
          <w:bCs/>
          <w:snapToGrid w:val="0"/>
        </w:rPr>
        <w:t xml:space="preserve"> and quality of life</w:t>
      </w:r>
      <w:r w:rsidR="00CA4C71" w:rsidRPr="00BC258D">
        <w:rPr>
          <w:rFonts w:asciiTheme="minorHAnsi" w:hAnsiTheme="minorHAnsi"/>
          <w:bCs/>
          <w:snapToGrid w:val="0"/>
        </w:rPr>
        <w:t xml:space="preserve">. </w:t>
      </w:r>
      <w:r w:rsidR="00F167ED" w:rsidRPr="00BC258D">
        <w:rPr>
          <w:rFonts w:asciiTheme="minorHAnsi" w:hAnsiTheme="minorHAnsi"/>
          <w:bCs/>
          <w:snapToGrid w:val="0"/>
        </w:rPr>
        <w:t xml:space="preserve">The </w:t>
      </w:r>
      <w:r w:rsidR="00635905" w:rsidRPr="00BC258D">
        <w:rPr>
          <w:rFonts w:asciiTheme="minorHAnsi" w:hAnsiTheme="minorHAnsi"/>
          <w:bCs/>
          <w:snapToGrid w:val="0"/>
        </w:rPr>
        <w:t>individual</w:t>
      </w:r>
      <w:r w:rsidR="00F167ED" w:rsidRPr="00BC258D">
        <w:rPr>
          <w:rFonts w:asciiTheme="minorHAnsi" w:hAnsiTheme="minorHAnsi"/>
          <w:bCs/>
          <w:snapToGrid w:val="0"/>
        </w:rPr>
        <w:t xml:space="preserve"> highlighted that the side effects associated with nivolumab had </w:t>
      </w:r>
      <w:r w:rsidR="00731FDF">
        <w:rPr>
          <w:rFonts w:asciiTheme="minorHAnsi" w:hAnsiTheme="minorHAnsi"/>
          <w:bCs/>
          <w:snapToGrid w:val="0"/>
        </w:rPr>
        <w:t>led to</w:t>
      </w:r>
      <w:r w:rsidR="00F167ED" w:rsidRPr="00BC258D">
        <w:rPr>
          <w:rFonts w:asciiTheme="minorHAnsi" w:hAnsiTheme="minorHAnsi"/>
          <w:bCs/>
          <w:snapToGrid w:val="0"/>
        </w:rPr>
        <w:t xml:space="preserve"> multiple </w:t>
      </w:r>
      <w:r w:rsidR="00635905" w:rsidRPr="00BC258D">
        <w:rPr>
          <w:rFonts w:asciiTheme="minorHAnsi" w:hAnsiTheme="minorHAnsi"/>
          <w:bCs/>
          <w:snapToGrid w:val="0"/>
        </w:rPr>
        <w:t>hospitalisations</w:t>
      </w:r>
      <w:r w:rsidR="00F167ED" w:rsidRPr="00BC258D">
        <w:rPr>
          <w:rFonts w:asciiTheme="minorHAnsi" w:hAnsiTheme="minorHAnsi"/>
          <w:bCs/>
          <w:snapToGrid w:val="0"/>
        </w:rPr>
        <w:t xml:space="preserve">, </w:t>
      </w:r>
      <w:r w:rsidR="00731FDF">
        <w:rPr>
          <w:rFonts w:asciiTheme="minorHAnsi" w:hAnsiTheme="minorHAnsi"/>
          <w:bCs/>
          <w:snapToGrid w:val="0"/>
        </w:rPr>
        <w:t xml:space="preserve">which </w:t>
      </w:r>
      <w:r w:rsidR="00D06AA3" w:rsidRPr="00BC258D">
        <w:rPr>
          <w:rFonts w:asciiTheme="minorHAnsi" w:hAnsiTheme="minorHAnsi"/>
          <w:bCs/>
          <w:snapToGrid w:val="0"/>
        </w:rPr>
        <w:t>significantly</w:t>
      </w:r>
      <w:r w:rsidR="00F167ED" w:rsidRPr="00BC258D">
        <w:rPr>
          <w:rFonts w:asciiTheme="minorHAnsi" w:hAnsiTheme="minorHAnsi"/>
          <w:bCs/>
          <w:snapToGrid w:val="0"/>
        </w:rPr>
        <w:t xml:space="preserve"> affect</w:t>
      </w:r>
      <w:r w:rsidR="004B7C6E">
        <w:rPr>
          <w:rFonts w:asciiTheme="minorHAnsi" w:hAnsiTheme="minorHAnsi"/>
          <w:bCs/>
          <w:snapToGrid w:val="0"/>
        </w:rPr>
        <w:t>ed</w:t>
      </w:r>
      <w:r w:rsidR="00F167ED" w:rsidRPr="00BC258D">
        <w:rPr>
          <w:rFonts w:asciiTheme="minorHAnsi" w:hAnsiTheme="minorHAnsi"/>
          <w:bCs/>
          <w:snapToGrid w:val="0"/>
        </w:rPr>
        <w:t xml:space="preserve"> their physical and emotional</w:t>
      </w:r>
      <w:r w:rsidR="00B5281A" w:rsidRPr="00BC258D">
        <w:rPr>
          <w:rFonts w:asciiTheme="minorHAnsi" w:hAnsiTheme="minorHAnsi"/>
          <w:bCs/>
          <w:snapToGrid w:val="0"/>
        </w:rPr>
        <w:t xml:space="preserve"> </w:t>
      </w:r>
      <w:r w:rsidR="00F167ED" w:rsidRPr="00BC258D">
        <w:rPr>
          <w:rFonts w:asciiTheme="minorHAnsi" w:hAnsiTheme="minorHAnsi"/>
          <w:bCs/>
          <w:snapToGrid w:val="0"/>
        </w:rPr>
        <w:t>well</w:t>
      </w:r>
      <w:r w:rsidR="00B5281A" w:rsidRPr="00BC258D">
        <w:rPr>
          <w:rFonts w:asciiTheme="minorHAnsi" w:hAnsiTheme="minorHAnsi"/>
          <w:bCs/>
          <w:snapToGrid w:val="0"/>
        </w:rPr>
        <w:t>-</w:t>
      </w:r>
      <w:r w:rsidR="00F167ED" w:rsidRPr="00BC258D">
        <w:rPr>
          <w:rFonts w:asciiTheme="minorHAnsi" w:hAnsiTheme="minorHAnsi"/>
          <w:bCs/>
          <w:snapToGrid w:val="0"/>
        </w:rPr>
        <w:t xml:space="preserve">being. </w:t>
      </w:r>
      <w:r w:rsidR="00096E43">
        <w:rPr>
          <w:rFonts w:asciiTheme="minorHAnsi" w:hAnsiTheme="minorHAnsi"/>
          <w:bCs/>
          <w:snapToGrid w:val="0"/>
        </w:rPr>
        <w:t>Concerns were also raised about the affordability of medications with</w:t>
      </w:r>
      <w:r w:rsidR="009F1DDF">
        <w:rPr>
          <w:rFonts w:asciiTheme="minorHAnsi" w:hAnsiTheme="minorHAnsi"/>
          <w:bCs/>
          <w:snapToGrid w:val="0"/>
        </w:rPr>
        <w:t>out</w:t>
      </w:r>
      <w:r w:rsidR="00096E43">
        <w:rPr>
          <w:rFonts w:asciiTheme="minorHAnsi" w:hAnsiTheme="minorHAnsi"/>
          <w:bCs/>
          <w:snapToGrid w:val="0"/>
        </w:rPr>
        <w:t xml:space="preserve"> PBS reimbursement.</w:t>
      </w:r>
    </w:p>
    <w:p w14:paraId="690B8F4A" w14:textId="77777777" w:rsidR="00A0136F" w:rsidRDefault="004E6320" w:rsidP="005A01FA">
      <w:pPr>
        <w:widowControl w:val="0"/>
        <w:numPr>
          <w:ilvl w:val="1"/>
          <w:numId w:val="1"/>
        </w:numPr>
        <w:spacing w:after="120"/>
        <w:rPr>
          <w:rFonts w:asciiTheme="minorHAnsi" w:hAnsiTheme="minorHAnsi"/>
          <w:bCs/>
          <w:snapToGrid w:val="0"/>
        </w:rPr>
      </w:pPr>
      <w:r>
        <w:rPr>
          <w:rFonts w:asciiTheme="minorHAnsi" w:hAnsiTheme="minorHAnsi"/>
          <w:bCs/>
          <w:snapToGrid w:val="0"/>
        </w:rPr>
        <w:t>The PBAC acknowledged the input from</w:t>
      </w:r>
      <w:r w:rsidR="00A23B6E">
        <w:rPr>
          <w:rFonts w:asciiTheme="minorHAnsi" w:hAnsiTheme="minorHAnsi"/>
          <w:bCs/>
          <w:snapToGrid w:val="0"/>
        </w:rPr>
        <w:t xml:space="preserve"> </w:t>
      </w:r>
      <w:r w:rsidR="004635C9" w:rsidRPr="004635C9">
        <w:rPr>
          <w:rFonts w:asciiTheme="minorHAnsi" w:hAnsiTheme="minorHAnsi"/>
          <w:bCs/>
          <w:snapToGrid w:val="0"/>
        </w:rPr>
        <w:t xml:space="preserve">Rare Cancers Australia </w:t>
      </w:r>
      <w:r w:rsidR="003F3196">
        <w:rPr>
          <w:rFonts w:asciiTheme="minorHAnsi" w:hAnsiTheme="minorHAnsi"/>
          <w:bCs/>
          <w:snapToGrid w:val="0"/>
        </w:rPr>
        <w:t xml:space="preserve">and </w:t>
      </w:r>
      <w:r w:rsidR="003F3196" w:rsidRPr="003F3196">
        <w:rPr>
          <w:rFonts w:asciiTheme="minorHAnsi" w:hAnsiTheme="minorHAnsi"/>
          <w:bCs/>
          <w:snapToGrid w:val="0"/>
        </w:rPr>
        <w:t>Lung Foundation Australia</w:t>
      </w:r>
      <w:r w:rsidR="00393BB8">
        <w:rPr>
          <w:rFonts w:asciiTheme="minorHAnsi" w:hAnsiTheme="minorHAnsi"/>
          <w:bCs/>
          <w:snapToGrid w:val="0"/>
        </w:rPr>
        <w:t xml:space="preserve"> express</w:t>
      </w:r>
      <w:r w:rsidR="00C17F10">
        <w:rPr>
          <w:rFonts w:asciiTheme="minorHAnsi" w:hAnsiTheme="minorHAnsi"/>
          <w:bCs/>
          <w:snapToGrid w:val="0"/>
        </w:rPr>
        <w:t>ing</w:t>
      </w:r>
      <w:r w:rsidR="00393BB8">
        <w:rPr>
          <w:rFonts w:asciiTheme="minorHAnsi" w:hAnsiTheme="minorHAnsi"/>
          <w:bCs/>
          <w:snapToGrid w:val="0"/>
        </w:rPr>
        <w:t xml:space="preserve"> their support for </w:t>
      </w:r>
      <w:r w:rsidR="00184F4E">
        <w:rPr>
          <w:rFonts w:asciiTheme="minorHAnsi" w:hAnsiTheme="minorHAnsi"/>
          <w:bCs/>
          <w:snapToGrid w:val="0"/>
        </w:rPr>
        <w:t xml:space="preserve">the </w:t>
      </w:r>
      <w:r w:rsidR="00A233D5">
        <w:rPr>
          <w:rFonts w:asciiTheme="minorHAnsi" w:hAnsiTheme="minorHAnsi"/>
          <w:bCs/>
          <w:snapToGrid w:val="0"/>
        </w:rPr>
        <w:t xml:space="preserve">listing </w:t>
      </w:r>
      <w:r w:rsidR="00B229A0">
        <w:rPr>
          <w:rFonts w:asciiTheme="minorHAnsi" w:hAnsiTheme="minorHAnsi"/>
          <w:bCs/>
          <w:snapToGrid w:val="0"/>
        </w:rPr>
        <w:t xml:space="preserve">of </w:t>
      </w:r>
      <w:r w:rsidR="00A233D5">
        <w:rPr>
          <w:rFonts w:asciiTheme="minorHAnsi" w:hAnsiTheme="minorHAnsi"/>
          <w:bCs/>
          <w:snapToGrid w:val="0"/>
        </w:rPr>
        <w:t>nivolumab</w:t>
      </w:r>
      <w:r w:rsidR="00823896">
        <w:rPr>
          <w:rFonts w:asciiTheme="minorHAnsi" w:hAnsiTheme="minorHAnsi"/>
          <w:bCs/>
          <w:snapToGrid w:val="0"/>
        </w:rPr>
        <w:t xml:space="preserve"> for the perioperative treatment of resectable NSCLC.</w:t>
      </w:r>
      <w:r w:rsidR="003F0E30">
        <w:rPr>
          <w:rFonts w:asciiTheme="minorHAnsi" w:hAnsiTheme="minorHAnsi"/>
          <w:bCs/>
          <w:snapToGrid w:val="0"/>
        </w:rPr>
        <w:t xml:space="preserve"> </w:t>
      </w:r>
      <w:r w:rsidR="00FF1B81">
        <w:rPr>
          <w:rFonts w:asciiTheme="minorHAnsi" w:hAnsiTheme="minorHAnsi"/>
          <w:bCs/>
          <w:snapToGrid w:val="0"/>
        </w:rPr>
        <w:t>The organisations</w:t>
      </w:r>
      <w:r w:rsidR="00C8799E" w:rsidRPr="003F0E30">
        <w:rPr>
          <w:rFonts w:asciiTheme="minorHAnsi" w:hAnsiTheme="minorHAnsi"/>
          <w:bCs/>
          <w:snapToGrid w:val="0"/>
        </w:rPr>
        <w:t xml:space="preserve"> </w:t>
      </w:r>
      <w:r w:rsidR="00C17F10" w:rsidRPr="003F0E30">
        <w:rPr>
          <w:rFonts w:asciiTheme="minorHAnsi" w:hAnsiTheme="minorHAnsi"/>
          <w:bCs/>
          <w:snapToGrid w:val="0"/>
        </w:rPr>
        <w:t>emphasised</w:t>
      </w:r>
      <w:r w:rsidR="00C8799E" w:rsidRPr="003F0E30">
        <w:rPr>
          <w:rFonts w:asciiTheme="minorHAnsi" w:hAnsiTheme="minorHAnsi"/>
          <w:bCs/>
          <w:snapToGrid w:val="0"/>
        </w:rPr>
        <w:t xml:space="preserve"> the importance of additional treatment options </w:t>
      </w:r>
      <w:r w:rsidR="006B6EE6" w:rsidRPr="003F0E30">
        <w:rPr>
          <w:rFonts w:asciiTheme="minorHAnsi" w:hAnsiTheme="minorHAnsi"/>
          <w:bCs/>
          <w:snapToGrid w:val="0"/>
        </w:rPr>
        <w:t>for this patient group and</w:t>
      </w:r>
      <w:r w:rsidR="00C8799E" w:rsidRPr="003F0E30">
        <w:rPr>
          <w:rFonts w:asciiTheme="minorHAnsi" w:hAnsiTheme="minorHAnsi"/>
          <w:bCs/>
          <w:snapToGrid w:val="0"/>
        </w:rPr>
        <w:t xml:space="preserve"> </w:t>
      </w:r>
      <w:r w:rsidR="002450CC" w:rsidRPr="003F0E30">
        <w:rPr>
          <w:rFonts w:asciiTheme="minorHAnsi" w:hAnsiTheme="minorHAnsi"/>
          <w:bCs/>
          <w:snapToGrid w:val="0"/>
        </w:rPr>
        <w:t xml:space="preserve">considered that nivolumab as perioperative treatment could </w:t>
      </w:r>
      <w:r w:rsidR="002A02A2">
        <w:rPr>
          <w:rFonts w:asciiTheme="minorHAnsi" w:hAnsiTheme="minorHAnsi"/>
          <w:bCs/>
          <w:snapToGrid w:val="0"/>
        </w:rPr>
        <w:t>result in</w:t>
      </w:r>
      <w:r w:rsidR="002450CC" w:rsidRPr="003F0E30">
        <w:rPr>
          <w:rFonts w:asciiTheme="minorHAnsi" w:hAnsiTheme="minorHAnsi"/>
          <w:bCs/>
          <w:snapToGrid w:val="0"/>
        </w:rPr>
        <w:t xml:space="preserve"> considerable benefits for NSCLC patients</w:t>
      </w:r>
      <w:r w:rsidR="00B56925" w:rsidRPr="003F0E30">
        <w:rPr>
          <w:rFonts w:asciiTheme="minorHAnsi" w:hAnsiTheme="minorHAnsi"/>
          <w:bCs/>
          <w:snapToGrid w:val="0"/>
        </w:rPr>
        <w:t xml:space="preserve"> and their carers and families.</w:t>
      </w:r>
      <w:r w:rsidR="00260EE7">
        <w:rPr>
          <w:rFonts w:asciiTheme="minorHAnsi" w:hAnsiTheme="minorHAnsi"/>
          <w:bCs/>
          <w:snapToGrid w:val="0"/>
        </w:rPr>
        <w:t xml:space="preserve"> </w:t>
      </w:r>
      <w:r w:rsidR="00FC4685">
        <w:rPr>
          <w:rFonts w:asciiTheme="minorHAnsi" w:hAnsiTheme="minorHAnsi"/>
          <w:bCs/>
          <w:snapToGrid w:val="0"/>
        </w:rPr>
        <w:t xml:space="preserve">Rare Cancers Australia noted the side effects associated with currently available treatment options for NSCLC, that significantly impacted patients’ </w:t>
      </w:r>
      <w:r w:rsidR="00A90604">
        <w:rPr>
          <w:rFonts w:asciiTheme="minorHAnsi" w:hAnsiTheme="minorHAnsi"/>
          <w:bCs/>
          <w:snapToGrid w:val="0"/>
        </w:rPr>
        <w:t xml:space="preserve">physical well-being and </w:t>
      </w:r>
      <w:r w:rsidR="00FC4685">
        <w:rPr>
          <w:rFonts w:asciiTheme="minorHAnsi" w:hAnsiTheme="minorHAnsi"/>
          <w:bCs/>
          <w:snapToGrid w:val="0"/>
        </w:rPr>
        <w:t>quality of life.</w:t>
      </w:r>
      <w:r w:rsidR="005A01FA">
        <w:rPr>
          <w:rFonts w:asciiTheme="minorHAnsi" w:hAnsiTheme="minorHAnsi"/>
          <w:bCs/>
          <w:snapToGrid w:val="0"/>
        </w:rPr>
        <w:t xml:space="preserve"> </w:t>
      </w:r>
      <w:r w:rsidR="00260EE7" w:rsidRPr="005A01FA">
        <w:rPr>
          <w:rFonts w:asciiTheme="minorHAnsi" w:hAnsiTheme="minorHAnsi"/>
          <w:bCs/>
          <w:snapToGrid w:val="0"/>
        </w:rPr>
        <w:t xml:space="preserve">Rare Cancers Australia </w:t>
      </w:r>
      <w:r w:rsidR="00EE6C6B">
        <w:rPr>
          <w:rFonts w:asciiTheme="minorHAnsi" w:hAnsiTheme="minorHAnsi"/>
          <w:bCs/>
          <w:snapToGrid w:val="0"/>
        </w:rPr>
        <w:t>emphasised</w:t>
      </w:r>
      <w:r w:rsidR="00DC471C" w:rsidRPr="005A01FA">
        <w:rPr>
          <w:rFonts w:asciiTheme="minorHAnsi" w:hAnsiTheme="minorHAnsi"/>
          <w:bCs/>
          <w:snapToGrid w:val="0"/>
        </w:rPr>
        <w:t xml:space="preserve"> the high </w:t>
      </w:r>
      <w:r w:rsidR="00137EA7" w:rsidRPr="005A01FA">
        <w:rPr>
          <w:rFonts w:asciiTheme="minorHAnsi" w:hAnsiTheme="minorHAnsi"/>
          <w:bCs/>
          <w:snapToGrid w:val="0"/>
        </w:rPr>
        <w:t>emotional and financial burden associated with this condition.</w:t>
      </w:r>
      <w:r w:rsidR="00614817" w:rsidRPr="005A01FA">
        <w:rPr>
          <w:rFonts w:asciiTheme="minorHAnsi" w:hAnsiTheme="minorHAnsi"/>
          <w:bCs/>
          <w:snapToGrid w:val="0"/>
        </w:rPr>
        <w:t xml:space="preserve"> </w:t>
      </w:r>
      <w:r w:rsidR="00F72FA9" w:rsidRPr="005A01FA">
        <w:rPr>
          <w:rFonts w:asciiTheme="minorHAnsi" w:hAnsiTheme="minorHAnsi"/>
          <w:bCs/>
          <w:snapToGrid w:val="0"/>
        </w:rPr>
        <w:t>Rare Cancers Australia also noted the side effects</w:t>
      </w:r>
      <w:r w:rsidR="00614817" w:rsidRPr="005A01FA">
        <w:rPr>
          <w:rFonts w:asciiTheme="minorHAnsi" w:hAnsiTheme="minorHAnsi"/>
          <w:bCs/>
          <w:snapToGrid w:val="0"/>
        </w:rPr>
        <w:t xml:space="preserve"> experienced by patients receiving nivolumab includ</w:t>
      </w:r>
      <w:r w:rsidR="001E35D9" w:rsidRPr="005A01FA">
        <w:rPr>
          <w:rFonts w:asciiTheme="minorHAnsi" w:hAnsiTheme="minorHAnsi"/>
          <w:bCs/>
          <w:snapToGrid w:val="0"/>
        </w:rPr>
        <w:t>ed</w:t>
      </w:r>
      <w:r w:rsidR="00614817" w:rsidRPr="005A01FA">
        <w:rPr>
          <w:rFonts w:asciiTheme="minorHAnsi" w:hAnsiTheme="minorHAnsi"/>
          <w:bCs/>
          <w:snapToGrid w:val="0"/>
        </w:rPr>
        <w:t xml:space="preserve"> muscle cramps, weight gain, </w:t>
      </w:r>
      <w:r w:rsidR="004406CC" w:rsidRPr="005A01FA">
        <w:rPr>
          <w:rFonts w:asciiTheme="minorHAnsi" w:hAnsiTheme="minorHAnsi"/>
          <w:bCs/>
          <w:snapToGrid w:val="0"/>
        </w:rPr>
        <w:t>feeling cold, dry skin and hair changes</w:t>
      </w:r>
      <w:r w:rsidR="001E35D9" w:rsidRPr="005A01FA">
        <w:rPr>
          <w:rFonts w:asciiTheme="minorHAnsi" w:hAnsiTheme="minorHAnsi"/>
          <w:bCs/>
          <w:snapToGrid w:val="0"/>
        </w:rPr>
        <w:t xml:space="preserve"> </w:t>
      </w:r>
      <w:r w:rsidR="004406CC" w:rsidRPr="005A01FA">
        <w:rPr>
          <w:rFonts w:asciiTheme="minorHAnsi" w:hAnsiTheme="minorHAnsi"/>
          <w:bCs/>
          <w:snapToGrid w:val="0"/>
        </w:rPr>
        <w:t xml:space="preserve">– however noted that </w:t>
      </w:r>
      <w:r w:rsidR="001E35D9" w:rsidRPr="005A01FA">
        <w:rPr>
          <w:rFonts w:asciiTheme="minorHAnsi" w:hAnsiTheme="minorHAnsi"/>
          <w:bCs/>
          <w:snapToGrid w:val="0"/>
        </w:rPr>
        <w:t>patients</w:t>
      </w:r>
      <w:r w:rsidR="004406CC" w:rsidRPr="005A01FA">
        <w:rPr>
          <w:rFonts w:asciiTheme="minorHAnsi" w:hAnsiTheme="minorHAnsi"/>
          <w:bCs/>
          <w:snapToGrid w:val="0"/>
        </w:rPr>
        <w:t xml:space="preserve"> </w:t>
      </w:r>
      <w:r w:rsidR="001A5DB4" w:rsidRPr="005A01FA">
        <w:rPr>
          <w:rFonts w:asciiTheme="minorHAnsi" w:hAnsiTheme="minorHAnsi"/>
          <w:bCs/>
          <w:snapToGrid w:val="0"/>
        </w:rPr>
        <w:t>most of</w:t>
      </w:r>
      <w:r w:rsidR="00A837A8" w:rsidRPr="005A01FA">
        <w:rPr>
          <w:rFonts w:asciiTheme="minorHAnsi" w:hAnsiTheme="minorHAnsi"/>
          <w:bCs/>
          <w:snapToGrid w:val="0"/>
        </w:rPr>
        <w:t>t</w:t>
      </w:r>
      <w:r w:rsidR="001A5DB4" w:rsidRPr="005A01FA">
        <w:rPr>
          <w:rFonts w:asciiTheme="minorHAnsi" w:hAnsiTheme="minorHAnsi"/>
          <w:bCs/>
          <w:snapToGrid w:val="0"/>
        </w:rPr>
        <w:t>en</w:t>
      </w:r>
      <w:r w:rsidR="004406CC" w:rsidRPr="005A01FA">
        <w:rPr>
          <w:rFonts w:asciiTheme="minorHAnsi" w:hAnsiTheme="minorHAnsi"/>
          <w:bCs/>
          <w:snapToGrid w:val="0"/>
        </w:rPr>
        <w:t xml:space="preserve"> reported that these side effects were manageable and did not outweigh the potential benefits of treatment.</w:t>
      </w:r>
      <w:bookmarkEnd w:id="30"/>
      <w:bookmarkEnd w:id="31"/>
    </w:p>
    <w:p w14:paraId="51CF22DB" w14:textId="1BA6CCCD" w:rsidR="0028664D" w:rsidRPr="00525B39" w:rsidRDefault="0028664D" w:rsidP="00EA515C">
      <w:pPr>
        <w:widowControl w:val="0"/>
        <w:numPr>
          <w:ilvl w:val="1"/>
          <w:numId w:val="1"/>
        </w:numPr>
        <w:spacing w:after="120"/>
        <w:rPr>
          <w:rFonts w:asciiTheme="minorHAnsi" w:hAnsiTheme="minorHAnsi"/>
          <w:bCs/>
          <w:snapToGrid w:val="0"/>
        </w:rPr>
      </w:pPr>
      <w:r w:rsidRPr="00A74363">
        <w:rPr>
          <w:rFonts w:asciiTheme="minorHAnsi" w:hAnsiTheme="minorHAnsi"/>
          <w:bCs/>
          <w:snapToGrid w:val="0"/>
        </w:rPr>
        <w:t xml:space="preserve">The Medical Oncology Group of Australia (MOGA) also expressed its strong support for the </w:t>
      </w:r>
      <w:r w:rsidR="00762ED5">
        <w:rPr>
          <w:rFonts w:asciiTheme="minorHAnsi" w:hAnsiTheme="minorHAnsi"/>
          <w:bCs/>
          <w:snapToGrid w:val="0"/>
        </w:rPr>
        <w:t>nivolumab</w:t>
      </w:r>
      <w:r w:rsidR="00762ED5" w:rsidRPr="00A74363">
        <w:rPr>
          <w:rFonts w:asciiTheme="minorHAnsi" w:hAnsiTheme="minorHAnsi"/>
          <w:bCs/>
          <w:snapToGrid w:val="0"/>
        </w:rPr>
        <w:t xml:space="preserve"> </w:t>
      </w:r>
      <w:r w:rsidRPr="00A74363">
        <w:rPr>
          <w:rFonts w:asciiTheme="minorHAnsi" w:hAnsiTheme="minorHAnsi"/>
          <w:bCs/>
          <w:snapToGrid w:val="0"/>
        </w:rPr>
        <w:t xml:space="preserve">submission, categorising it as one of the therapies of “highest priority for PBS listing” </w:t>
      </w:r>
      <w:proofErr w:type="gramStart"/>
      <w:r w:rsidRPr="00A74363">
        <w:rPr>
          <w:rFonts w:asciiTheme="minorHAnsi" w:hAnsiTheme="minorHAnsi"/>
          <w:bCs/>
          <w:snapToGrid w:val="0"/>
        </w:rPr>
        <w:t>on the basis of</w:t>
      </w:r>
      <w:proofErr w:type="gramEnd"/>
      <w:r w:rsidRPr="00A74363">
        <w:rPr>
          <w:rFonts w:asciiTheme="minorHAnsi" w:hAnsiTheme="minorHAnsi"/>
          <w:bCs/>
          <w:snapToGrid w:val="0"/>
        </w:rPr>
        <w:t xml:space="preserve"> the </w:t>
      </w:r>
      <w:r w:rsidR="00762ED5">
        <w:rPr>
          <w:rFonts w:asciiTheme="minorHAnsi" w:hAnsiTheme="minorHAnsi"/>
          <w:bCs/>
          <w:snapToGrid w:val="0"/>
        </w:rPr>
        <w:t>CM77T</w:t>
      </w:r>
      <w:r w:rsidR="00762ED5" w:rsidRPr="00A74363">
        <w:rPr>
          <w:rFonts w:asciiTheme="minorHAnsi" w:hAnsiTheme="minorHAnsi"/>
          <w:bCs/>
          <w:snapToGrid w:val="0"/>
        </w:rPr>
        <w:t xml:space="preserve"> </w:t>
      </w:r>
      <w:r w:rsidRPr="00A74363">
        <w:rPr>
          <w:rFonts w:asciiTheme="minorHAnsi" w:hAnsiTheme="minorHAnsi"/>
          <w:bCs/>
          <w:snapToGrid w:val="0"/>
        </w:rPr>
        <w:t xml:space="preserve">trial. The PBAC noted that the MOGA presented a European Society for Medical Oncology Magnitude of Clinical Benefit Scale (ESMO-MCBS) </w:t>
      </w:r>
      <w:r w:rsidRPr="00525B39">
        <w:rPr>
          <w:rFonts w:asciiTheme="minorHAnsi" w:hAnsiTheme="minorHAnsi"/>
          <w:bCs/>
          <w:snapToGrid w:val="0"/>
        </w:rPr>
        <w:t xml:space="preserve">for </w:t>
      </w:r>
      <w:r w:rsidR="00760462" w:rsidRPr="00572090">
        <w:rPr>
          <w:iCs/>
        </w:rPr>
        <w:t>periNIVO versus neoChemo</w:t>
      </w:r>
      <w:r w:rsidRPr="00525B39">
        <w:rPr>
          <w:rFonts w:asciiTheme="minorHAnsi" w:hAnsiTheme="minorHAnsi"/>
          <w:bCs/>
          <w:snapToGrid w:val="0"/>
        </w:rPr>
        <w:t xml:space="preserve">, which </w:t>
      </w:r>
      <w:r w:rsidR="00D33984">
        <w:rPr>
          <w:rFonts w:asciiTheme="minorHAnsi" w:hAnsiTheme="minorHAnsi"/>
          <w:bCs/>
          <w:snapToGrid w:val="0"/>
        </w:rPr>
        <w:t>was a Grade</w:t>
      </w:r>
      <w:r w:rsidR="00E456E9">
        <w:rPr>
          <w:rFonts w:asciiTheme="minorHAnsi" w:hAnsiTheme="minorHAnsi"/>
          <w:bCs/>
          <w:snapToGrid w:val="0"/>
        </w:rPr>
        <w:t xml:space="preserve"> A</w:t>
      </w:r>
      <w:r w:rsidR="0016712E">
        <w:rPr>
          <w:rFonts w:asciiTheme="minorHAnsi" w:hAnsiTheme="minorHAnsi"/>
          <w:bCs/>
          <w:snapToGrid w:val="0"/>
        </w:rPr>
        <w:t xml:space="preserve">. </w:t>
      </w:r>
      <w:r w:rsidRPr="00525B39">
        <w:rPr>
          <w:rFonts w:asciiTheme="minorHAnsi" w:hAnsiTheme="minorHAnsi"/>
          <w:bCs/>
          <w:snapToGrid w:val="0"/>
        </w:rPr>
        <w:t xml:space="preserve"> </w:t>
      </w:r>
      <w:r w:rsidR="00E456E9" w:rsidRPr="00B014C2">
        <w:rPr>
          <w:bCs/>
          <w:snapToGrid w:val="0"/>
        </w:rPr>
        <w:t>This is the highest grade on a scale from A to C, where A and B represent the grades with substantial improvement for new approaches to adjuvant therapy or new potentially curative therapies.</w:t>
      </w:r>
      <w:r w:rsidR="00E456E9" w:rsidRPr="00BB1D7E">
        <w:rPr>
          <w:vertAlign w:val="superscript"/>
        </w:rPr>
        <w:footnoteReference w:id="3"/>
      </w:r>
    </w:p>
    <w:p w14:paraId="609C0765" w14:textId="268F56AD" w:rsidR="00B60939" w:rsidRPr="0098262F" w:rsidRDefault="00B60939" w:rsidP="002E4F02">
      <w:pPr>
        <w:pStyle w:val="4-SubsectionHeading"/>
      </w:pPr>
      <w:bookmarkStart w:id="32" w:name="_Toc177566398"/>
      <w:r w:rsidRPr="0098262F">
        <w:t>Clinical trials</w:t>
      </w:r>
      <w:bookmarkEnd w:id="29"/>
      <w:bookmarkEnd w:id="32"/>
    </w:p>
    <w:p w14:paraId="17DE34DC" w14:textId="497576E8" w:rsidR="007F1017" w:rsidRPr="0037439C" w:rsidRDefault="00B130CA" w:rsidP="002E4F02">
      <w:pPr>
        <w:pStyle w:val="3-BodyText"/>
      </w:pPr>
      <w:r>
        <w:t>The submission’s primary evidence was based on a direct randomised, double-blind trial (</w:t>
      </w:r>
      <w:r w:rsidR="0037439C">
        <w:t xml:space="preserve">CheckMate77T; </w:t>
      </w:r>
      <w:r>
        <w:t xml:space="preserve">CM77T) comparing periNIVO (360 mg </w:t>
      </w:r>
      <w:r w:rsidR="00997A80">
        <w:t xml:space="preserve">NIVO </w:t>
      </w:r>
      <w:r>
        <w:t xml:space="preserve">intravenous [IV] Q3W for a maximum of four cycles plus </w:t>
      </w:r>
      <w:r w:rsidR="00997A80">
        <w:t xml:space="preserve">platinum-doublet </w:t>
      </w:r>
      <w:r>
        <w:t>chemotherapy, followed by surgery, followed by 480 mg IV</w:t>
      </w:r>
      <w:r w:rsidR="00997A80">
        <w:t xml:space="preserve"> NIVO</w:t>
      </w:r>
      <w:r>
        <w:t xml:space="preserve"> Q4W for a maximum of 13 cycles)</w:t>
      </w:r>
      <w:r w:rsidR="008F5895">
        <w:t xml:space="preserve"> with </w:t>
      </w:r>
      <w:r w:rsidR="008F5895">
        <w:lastRenderedPageBreak/>
        <w:t>neoChemo (</w:t>
      </w:r>
      <w:r w:rsidR="00997A80">
        <w:t xml:space="preserve">neoadjuvant </w:t>
      </w:r>
      <w:r w:rsidR="008F5895">
        <w:t>platinum</w:t>
      </w:r>
      <w:r w:rsidR="00997A80">
        <w:t>-</w:t>
      </w:r>
      <w:r w:rsidR="008F5895">
        <w:t xml:space="preserve">doublet </w:t>
      </w:r>
      <w:r w:rsidR="00997A80">
        <w:t xml:space="preserve">Q3W for a maximum of four cycles, followed by surgery), for resectable NSCLC (Stage IIA [&gt;4cm] to IIIB [N2]; </w:t>
      </w:r>
      <w:r w:rsidR="00997A80" w:rsidRPr="00997A80">
        <w:t xml:space="preserve">American Joint Commission on Cancer </w:t>
      </w:r>
      <w:r w:rsidR="00997A80">
        <w:t>[</w:t>
      </w:r>
      <w:r w:rsidR="00997A80" w:rsidRPr="00997A80">
        <w:t>AJCC</w:t>
      </w:r>
      <w:r w:rsidR="00997A80">
        <w:t>]</w:t>
      </w:r>
      <w:r w:rsidR="00997A80" w:rsidRPr="00997A80">
        <w:t xml:space="preserve">, </w:t>
      </w:r>
      <w:r w:rsidR="00997A80">
        <w:t>8</w:t>
      </w:r>
      <w:r w:rsidR="00997A80" w:rsidRPr="00997A80">
        <w:t>th Edition</w:t>
      </w:r>
      <w:r w:rsidR="00997A80">
        <w:t>).</w:t>
      </w:r>
    </w:p>
    <w:p w14:paraId="76C02C9C" w14:textId="77777777" w:rsidR="00A0136F" w:rsidRDefault="00997A80" w:rsidP="002E4F02">
      <w:pPr>
        <w:pStyle w:val="3-BodyText"/>
      </w:pPr>
      <w:r w:rsidRPr="00B96B42">
        <w:rPr>
          <w:iCs/>
        </w:rPr>
        <w:t xml:space="preserve">For the </w:t>
      </w:r>
      <w:r w:rsidR="00F22FCE" w:rsidRPr="00B96B42">
        <w:rPr>
          <w:iCs/>
        </w:rPr>
        <w:t xml:space="preserve">main comparator </w:t>
      </w:r>
      <w:r w:rsidR="000C37F0" w:rsidRPr="00B96B42">
        <w:rPr>
          <w:iCs/>
        </w:rPr>
        <w:t>proposed</w:t>
      </w:r>
      <w:r w:rsidR="00F22FCE" w:rsidRPr="00B96B42">
        <w:rPr>
          <w:iCs/>
        </w:rPr>
        <w:t xml:space="preserve"> in the PSCR,</w:t>
      </w:r>
      <w:r>
        <w:t xml:space="preserve"> neoNIVO, the submission’s evidence was based on an </w:t>
      </w:r>
      <w:r w:rsidRPr="00997A80">
        <w:t xml:space="preserve">adjusted (Bucher method) indirect treatment comparison (ITC) of periNIVO in CM77T with neoNIVO in CM816, using neoChemo as common </w:t>
      </w:r>
      <w:r w:rsidR="0037439C">
        <w:t>reference</w:t>
      </w:r>
      <w:r w:rsidRPr="00997A80">
        <w:t>.</w:t>
      </w:r>
      <w:r w:rsidR="00C946B9">
        <w:t xml:space="preserve"> The randomised open-label trial CM816 </w:t>
      </w:r>
      <w:r w:rsidR="00C946B9" w:rsidRPr="00C946B9">
        <w:t>compar</w:t>
      </w:r>
      <w:r w:rsidR="00C946B9">
        <w:t>ed</w:t>
      </w:r>
      <w:r w:rsidR="00C946B9" w:rsidRPr="00C946B9">
        <w:t xml:space="preserve"> </w:t>
      </w:r>
      <w:r w:rsidR="00C946B9">
        <w:t>neoNIVO</w:t>
      </w:r>
      <w:r w:rsidR="00C946B9" w:rsidRPr="00C946B9">
        <w:t xml:space="preserve"> (360 mg</w:t>
      </w:r>
      <w:r w:rsidR="00C946B9">
        <w:t xml:space="preserve"> </w:t>
      </w:r>
      <w:r w:rsidR="00E934FE">
        <w:t>nivolumab</w:t>
      </w:r>
      <w:r w:rsidR="00E934FE" w:rsidRPr="00C946B9">
        <w:t xml:space="preserve"> </w:t>
      </w:r>
      <w:r w:rsidR="00C946B9" w:rsidRPr="00C946B9">
        <w:t xml:space="preserve">IV Q3W for a maximum of </w:t>
      </w:r>
      <w:r w:rsidR="00C946B9">
        <w:t>three</w:t>
      </w:r>
      <w:r w:rsidR="00C946B9" w:rsidRPr="00C946B9">
        <w:t xml:space="preserve"> cycles plus platinum-doublet chemotherapy</w:t>
      </w:r>
      <w:r w:rsidR="00C946B9">
        <w:t>)</w:t>
      </w:r>
      <w:r w:rsidR="00C946B9" w:rsidRPr="00C946B9">
        <w:t xml:space="preserve"> with neoChemo</w:t>
      </w:r>
      <w:r w:rsidR="00C946B9">
        <w:t xml:space="preserve"> (platinum-doublet chemotherapy for a maximum of three cycles)</w:t>
      </w:r>
      <w:r w:rsidR="00C946B9" w:rsidRPr="00C946B9">
        <w:t xml:space="preserve"> as neoadjuvant treatment for resectable early stage NSCLC (Stage IB (≥ 4 cm) – IIIA, American Joint Commission on Cancer (AJCC), 7th Edition)</w:t>
      </w:r>
      <w:r w:rsidR="00C946B9">
        <w:t>.</w:t>
      </w:r>
    </w:p>
    <w:p w14:paraId="4EDA5A6B" w14:textId="77777777" w:rsidR="00A0136F" w:rsidRDefault="00156529" w:rsidP="00156529">
      <w:pPr>
        <w:pStyle w:val="3-BodyText"/>
      </w:pPr>
      <w:bookmarkStart w:id="33" w:name="_Ref180317405"/>
      <w:r>
        <w:t xml:space="preserve">For the secondary comparator adjChemo, </w:t>
      </w:r>
      <w:r w:rsidRPr="00997A80">
        <w:t xml:space="preserve">the submission’s evidence was based on an adjusted </w:t>
      </w:r>
      <w:r>
        <w:t xml:space="preserve">multistep </w:t>
      </w:r>
      <w:r w:rsidRPr="00997A80">
        <w:t xml:space="preserve">ITC (Bucher method) between </w:t>
      </w:r>
      <w:r>
        <w:t>periNIVO</w:t>
      </w:r>
      <w:r w:rsidRPr="00997A80">
        <w:t xml:space="preserve"> in CM</w:t>
      </w:r>
      <w:r>
        <w:t>77T</w:t>
      </w:r>
      <w:r w:rsidRPr="00997A80">
        <w:t xml:space="preserve"> with adjChemo in the NATCH trial, using neoChemo </w:t>
      </w:r>
      <w:r>
        <w:t xml:space="preserve">and surgery </w:t>
      </w:r>
      <w:r w:rsidRPr="00997A80">
        <w:t xml:space="preserve">as the common reference. The </w:t>
      </w:r>
      <w:r>
        <w:t>three</w:t>
      </w:r>
      <w:r w:rsidRPr="00997A80">
        <w:t xml:space="preserve">-arm randomised controlled NATCH trial compared neoChemo (Q3W for 3 cycles) with surgery alone, and adjChemo (Q3W for 3 cycles) with surgery alone, in resectable NSCLC (Stage IA </w:t>
      </w:r>
      <w:r>
        <w:t>[</w:t>
      </w:r>
      <w:r w:rsidRPr="00997A80">
        <w:t>≥2 cm</w:t>
      </w:r>
      <w:r>
        <w:t>]</w:t>
      </w:r>
      <w:r w:rsidRPr="00997A80">
        <w:t>, IB, II or T3N1, AJCC 6th Edition). As the comparative effectiveness of the neoChemo and adjChemo arms of NATCH was not reported, this was derived in the submission using surgery alone as the reference arm.</w:t>
      </w:r>
      <w:bookmarkEnd w:id="33"/>
    </w:p>
    <w:p w14:paraId="4601EB72" w14:textId="77777777" w:rsidR="00A0136F" w:rsidRDefault="00F937A6" w:rsidP="002E4F02">
      <w:pPr>
        <w:pStyle w:val="3-BodyText"/>
        <w:rPr>
          <w:iCs/>
        </w:rPr>
      </w:pPr>
      <w:bookmarkStart w:id="34" w:name="_Ref180309450"/>
      <w:r>
        <w:t xml:space="preserve">Comparisons between periNIVO and the supplementary comparator atezolizumab and the near market comparators perioperative pembrolizumab and perioperative </w:t>
      </w:r>
      <w:r w:rsidR="002522E0">
        <w:t xml:space="preserve">durvalumab </w:t>
      </w:r>
      <w:r w:rsidR="00B46612">
        <w:t xml:space="preserve">were </w:t>
      </w:r>
      <w:r w:rsidR="002522E0">
        <w:t xml:space="preserve">presented in </w:t>
      </w:r>
      <w:r w:rsidR="005156F9">
        <w:t>an appendix</w:t>
      </w:r>
      <w:r w:rsidR="002522E0">
        <w:t xml:space="preserve"> </w:t>
      </w:r>
      <w:r w:rsidR="00E563CB">
        <w:t>t</w:t>
      </w:r>
      <w:r w:rsidR="002522E0">
        <w:t>o the submission</w:t>
      </w:r>
      <w:r w:rsidR="00104B0C">
        <w:t xml:space="preserve">. </w:t>
      </w:r>
      <w:r w:rsidR="00692592" w:rsidRPr="00572090">
        <w:rPr>
          <w:iCs/>
        </w:rPr>
        <w:t xml:space="preserve">Although atezolizumab was considered as offsets in the financial estimates, </w:t>
      </w:r>
      <w:r w:rsidR="00F01A85" w:rsidRPr="00572090">
        <w:rPr>
          <w:iCs/>
        </w:rPr>
        <w:t xml:space="preserve">these comparisons were </w:t>
      </w:r>
      <w:r w:rsidR="00D43455">
        <w:rPr>
          <w:iCs/>
        </w:rPr>
        <w:t xml:space="preserve">not </w:t>
      </w:r>
      <w:r w:rsidR="00F01A85" w:rsidRPr="00572090">
        <w:rPr>
          <w:iCs/>
        </w:rPr>
        <w:t>considered in the economic evaluation.</w:t>
      </w:r>
      <w:bookmarkEnd w:id="34"/>
    </w:p>
    <w:p w14:paraId="2012CFC2" w14:textId="20D0E51C" w:rsidR="00A0136F" w:rsidRDefault="00292E3B" w:rsidP="002E4F02">
      <w:pPr>
        <w:pStyle w:val="3-BodyText"/>
        <w:rPr>
          <w:iCs/>
        </w:rPr>
      </w:pPr>
      <w:r w:rsidRPr="00B96B42">
        <w:t xml:space="preserve">The comparisons </w:t>
      </w:r>
      <w:r w:rsidR="00221EC6" w:rsidRPr="00B96B42">
        <w:t>outlined in paragraph</w:t>
      </w:r>
      <w:r w:rsidR="00B96B42" w:rsidRPr="00B96B42">
        <w:t>s</w:t>
      </w:r>
      <w:r w:rsidR="00221EC6" w:rsidRPr="00B96B42">
        <w:t xml:space="preserve"> </w:t>
      </w:r>
      <w:r w:rsidR="00156529" w:rsidRPr="00B96B42">
        <w:fldChar w:fldCharType="begin"/>
      </w:r>
      <w:r w:rsidR="00156529" w:rsidRPr="00B96B42">
        <w:instrText xml:space="preserve"> REF _Ref180317405 \r \h </w:instrText>
      </w:r>
      <w:r w:rsidR="00156529" w:rsidRPr="00B96B42">
        <w:fldChar w:fldCharType="separate"/>
      </w:r>
      <w:r w:rsidR="009C09C9">
        <w:t>6.7</w:t>
      </w:r>
      <w:r w:rsidR="00156529" w:rsidRPr="00B96B42">
        <w:fldChar w:fldCharType="end"/>
      </w:r>
      <w:r w:rsidR="00156529" w:rsidRPr="00B96B42">
        <w:t xml:space="preserve"> </w:t>
      </w:r>
      <w:r w:rsidR="00221EC6" w:rsidRPr="00B96B42">
        <w:t xml:space="preserve"> and </w:t>
      </w:r>
      <w:r w:rsidR="00221EC6" w:rsidRPr="00B96B42">
        <w:fldChar w:fldCharType="begin"/>
      </w:r>
      <w:r w:rsidR="00221EC6" w:rsidRPr="00B96B42">
        <w:instrText xml:space="preserve"> REF _Ref180309450 \r \h  \* MERGEFORMAT </w:instrText>
      </w:r>
      <w:r w:rsidR="00221EC6" w:rsidRPr="00B96B42">
        <w:fldChar w:fldCharType="separate"/>
      </w:r>
      <w:r w:rsidR="009C09C9">
        <w:t>6.8</w:t>
      </w:r>
      <w:r w:rsidR="00221EC6" w:rsidRPr="00B96B42">
        <w:fldChar w:fldCharType="end"/>
      </w:r>
      <w:r w:rsidR="00221EC6" w:rsidRPr="00B96B42">
        <w:t xml:space="preserve"> </w:t>
      </w:r>
      <w:r w:rsidRPr="00B96B42">
        <w:t xml:space="preserve">will not be discussed further in </w:t>
      </w:r>
      <w:r w:rsidR="00D64A25">
        <w:t>this document</w:t>
      </w:r>
      <w:r w:rsidRPr="00CA492B">
        <w:rPr>
          <w:iCs/>
        </w:rPr>
        <w:t>.</w:t>
      </w:r>
    </w:p>
    <w:p w14:paraId="2B59ABAC" w14:textId="5535335F" w:rsidR="00862502" w:rsidRPr="0098262F" w:rsidRDefault="00725289" w:rsidP="002E4F02">
      <w:pPr>
        <w:pStyle w:val="3-BodyText"/>
      </w:pPr>
      <w:r>
        <w:t xml:space="preserve">Key </w:t>
      </w:r>
      <w:r w:rsidR="0037439C">
        <w:t>d</w:t>
      </w:r>
      <w:r w:rsidR="00A73134" w:rsidRPr="0098262F">
        <w:t xml:space="preserve">etails of the </w:t>
      </w:r>
      <w:r w:rsidR="00EF533A">
        <w:t>CM77T</w:t>
      </w:r>
      <w:r w:rsidR="00221EC6">
        <w:t xml:space="preserve"> and </w:t>
      </w:r>
      <w:r w:rsidR="00EF533A">
        <w:t>CM816 trials as</w:t>
      </w:r>
      <w:r w:rsidR="00A73134" w:rsidRPr="0098262F">
        <w:t xml:space="preserve"> presented in the submission are provided in</w:t>
      </w:r>
      <w:r w:rsidR="00DE34BA">
        <w:t xml:space="preserve"> </w:t>
      </w:r>
      <w:r w:rsidR="00B03DA9">
        <w:fldChar w:fldCharType="begin"/>
      </w:r>
      <w:r w:rsidR="00B03DA9">
        <w:instrText xml:space="preserve"> REF _Ref175587781 \h </w:instrText>
      </w:r>
      <w:r w:rsidR="00B03DA9">
        <w:fldChar w:fldCharType="separate"/>
      </w:r>
      <w:r w:rsidR="009C09C9">
        <w:t xml:space="preserve">Table </w:t>
      </w:r>
      <w:r w:rsidR="009C09C9">
        <w:rPr>
          <w:noProof/>
        </w:rPr>
        <w:t>3</w:t>
      </w:r>
      <w:r w:rsidR="00B03DA9">
        <w:fldChar w:fldCharType="end"/>
      </w:r>
      <w:r w:rsidR="00EF533A" w:rsidRPr="00C82E9F">
        <w:t>.</w:t>
      </w:r>
      <w:r w:rsidR="00EF533A">
        <w:t xml:space="preserve"> </w:t>
      </w:r>
      <w:r w:rsidR="00C063B8" w:rsidRPr="00572090">
        <w:rPr>
          <w:iCs/>
        </w:rPr>
        <w:t>The PBAC has previously considered results from CM816</w:t>
      </w:r>
      <w:r w:rsidRPr="00572090">
        <w:rPr>
          <w:iCs/>
        </w:rPr>
        <w:t xml:space="preserve"> in the consideration of neoNIVO in NSCLC at the March 2023 and July 2023 PBAC meetings.</w:t>
      </w:r>
    </w:p>
    <w:p w14:paraId="7DE3A286" w14:textId="15FFB45E" w:rsidR="008E0D3C" w:rsidRPr="0098262F" w:rsidRDefault="00DE34BA" w:rsidP="00DE34BA">
      <w:pPr>
        <w:pStyle w:val="Caption"/>
        <w:rPr>
          <w:rStyle w:val="CommentReference"/>
          <w:b/>
          <w:szCs w:val="24"/>
        </w:rPr>
      </w:pPr>
      <w:bookmarkStart w:id="35" w:name="_Ref175587781"/>
      <w:r>
        <w:lastRenderedPageBreak/>
        <w:t xml:space="preserve">Table </w:t>
      </w:r>
      <w:r w:rsidR="00311318">
        <w:fldChar w:fldCharType="begin"/>
      </w:r>
      <w:r w:rsidR="00311318">
        <w:instrText xml:space="preserve"> SEQ Table \* ARABIC </w:instrText>
      </w:r>
      <w:r w:rsidR="00311318">
        <w:fldChar w:fldCharType="separate"/>
      </w:r>
      <w:r w:rsidR="009C09C9">
        <w:rPr>
          <w:noProof/>
        </w:rPr>
        <w:t>3</w:t>
      </w:r>
      <w:r w:rsidR="00311318">
        <w:rPr>
          <w:noProof/>
        </w:rPr>
        <w:fldChar w:fldCharType="end"/>
      </w:r>
      <w:bookmarkEnd w:id="35"/>
      <w:r w:rsidR="00696EF9" w:rsidRPr="0098262F">
        <w:t>:</w:t>
      </w:r>
      <w:r w:rsidR="00BC591F" w:rsidRPr="0098262F">
        <w:rPr>
          <w:rStyle w:val="CommentReference"/>
          <w:b/>
          <w:szCs w:val="24"/>
        </w:rPr>
        <w:t xml:space="preserve"> </w:t>
      </w:r>
      <w:r w:rsidR="008E0D3C" w:rsidRPr="0098262F">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Description w:val="Table 3: Trials and associated reports presented in the submission"/>
      </w:tblPr>
      <w:tblGrid>
        <w:gridCol w:w="1435"/>
        <w:gridCol w:w="5459"/>
        <w:gridCol w:w="2123"/>
      </w:tblGrid>
      <w:tr w:rsidR="00EF533A" w:rsidRPr="00EF533A" w14:paraId="3B3B8F83" w14:textId="77777777">
        <w:trPr>
          <w:tblHeader/>
        </w:trPr>
        <w:tc>
          <w:tcPr>
            <w:tcW w:w="796" w:type="pct"/>
            <w:vAlign w:val="center"/>
          </w:tcPr>
          <w:p w14:paraId="4A0C96C6" w14:textId="77777777" w:rsidR="00EF533A" w:rsidRPr="00EF533A" w:rsidRDefault="00EF533A" w:rsidP="002D4DE8">
            <w:pPr>
              <w:pStyle w:val="TableText0"/>
              <w:rPr>
                <w:b/>
                <w:bCs w:val="0"/>
                <w:lang w:val="en-US"/>
              </w:rPr>
            </w:pPr>
            <w:r w:rsidRPr="00EF533A">
              <w:rPr>
                <w:b/>
                <w:bCs w:val="0"/>
                <w:lang w:val="en-US"/>
              </w:rPr>
              <w:t>Trial ID</w:t>
            </w:r>
          </w:p>
        </w:tc>
        <w:tc>
          <w:tcPr>
            <w:tcW w:w="3027" w:type="pct"/>
            <w:vAlign w:val="center"/>
          </w:tcPr>
          <w:p w14:paraId="6000F8D4" w14:textId="77777777" w:rsidR="00EF533A" w:rsidRPr="00EF533A" w:rsidRDefault="00EF533A" w:rsidP="002D4DE8">
            <w:pPr>
              <w:pStyle w:val="TableText0"/>
              <w:rPr>
                <w:b/>
                <w:bCs w:val="0"/>
                <w:lang w:val="en-US"/>
              </w:rPr>
            </w:pPr>
            <w:r w:rsidRPr="00EF533A">
              <w:rPr>
                <w:b/>
                <w:bCs w:val="0"/>
                <w:lang w:val="en-US"/>
              </w:rPr>
              <w:t>Protocol title/ Publication title</w:t>
            </w:r>
          </w:p>
        </w:tc>
        <w:tc>
          <w:tcPr>
            <w:tcW w:w="1177" w:type="pct"/>
            <w:vAlign w:val="center"/>
          </w:tcPr>
          <w:p w14:paraId="2056C11F" w14:textId="77777777" w:rsidR="00EF533A" w:rsidRPr="00EF533A" w:rsidRDefault="00EF533A" w:rsidP="002D4DE8">
            <w:pPr>
              <w:pStyle w:val="TableText0"/>
              <w:rPr>
                <w:b/>
                <w:bCs w:val="0"/>
                <w:lang w:val="en-US"/>
              </w:rPr>
            </w:pPr>
            <w:r w:rsidRPr="00EF533A">
              <w:rPr>
                <w:b/>
                <w:bCs w:val="0"/>
                <w:lang w:val="en-US"/>
              </w:rPr>
              <w:t>Publication citation</w:t>
            </w:r>
          </w:p>
        </w:tc>
      </w:tr>
      <w:tr w:rsidR="00EF533A" w:rsidRPr="00EF533A" w14:paraId="7511D1A7" w14:textId="77777777" w:rsidTr="00EF533A">
        <w:trPr>
          <w:tblHeader/>
        </w:trPr>
        <w:tc>
          <w:tcPr>
            <w:tcW w:w="5000" w:type="pct"/>
            <w:gridSpan w:val="3"/>
            <w:tcBorders>
              <w:bottom w:val="single" w:sz="4" w:space="0" w:color="auto"/>
            </w:tcBorders>
            <w:vAlign w:val="center"/>
          </w:tcPr>
          <w:p w14:paraId="76FD78D7" w14:textId="00049BFC" w:rsidR="00EF533A" w:rsidRPr="00EF533A" w:rsidRDefault="00EF533A" w:rsidP="002D4DE8">
            <w:pPr>
              <w:pStyle w:val="TableText0"/>
              <w:rPr>
                <w:b/>
                <w:bCs w:val="0"/>
                <w:lang w:val="en-US"/>
              </w:rPr>
            </w:pPr>
            <w:r w:rsidRPr="00EF533A">
              <w:rPr>
                <w:b/>
                <w:bCs w:val="0"/>
                <w:lang w:val="en-US"/>
              </w:rPr>
              <w:t>Direct comparison between periNIVO and neoChemo</w:t>
            </w:r>
          </w:p>
        </w:tc>
      </w:tr>
      <w:tr w:rsidR="008F70D5" w:rsidRPr="00EF533A" w14:paraId="60F106ED" w14:textId="77777777" w:rsidTr="0037439C">
        <w:tc>
          <w:tcPr>
            <w:tcW w:w="796" w:type="pct"/>
            <w:vMerge w:val="restart"/>
            <w:tcBorders>
              <w:bottom w:val="single" w:sz="4" w:space="0" w:color="auto"/>
            </w:tcBorders>
          </w:tcPr>
          <w:p w14:paraId="21BD41F0" w14:textId="77777777" w:rsidR="008F70D5" w:rsidRPr="00AA4797" w:rsidRDefault="008F70D5" w:rsidP="002D4DE8">
            <w:pPr>
              <w:pStyle w:val="TableText0"/>
            </w:pPr>
            <w:r w:rsidRPr="00AA4797">
              <w:t>CM77T</w:t>
            </w:r>
          </w:p>
          <w:p w14:paraId="47A4F61E" w14:textId="74974D94" w:rsidR="008F70D5" w:rsidRPr="00EF533A" w:rsidRDefault="008F70D5" w:rsidP="002D4DE8">
            <w:pPr>
              <w:pStyle w:val="TableText0"/>
            </w:pPr>
            <w:r>
              <w:t>NCT04025879</w:t>
            </w:r>
          </w:p>
        </w:tc>
        <w:tc>
          <w:tcPr>
            <w:tcW w:w="3027" w:type="pct"/>
            <w:tcBorders>
              <w:bottom w:val="nil"/>
            </w:tcBorders>
          </w:tcPr>
          <w:p w14:paraId="1E82BFE2" w14:textId="32197536" w:rsidR="008F70D5" w:rsidRPr="00EF533A" w:rsidRDefault="008F70D5" w:rsidP="0037439C">
            <w:pPr>
              <w:pStyle w:val="TableText0"/>
            </w:pPr>
            <w:r w:rsidRPr="00BF372D">
              <w:t>Phase 3, Randomized, Double-Blind Study Of Neoadjuvant Chemotherapy Plus Nivolumab Versus Neoadjuvant Chemotherapy Plus Placebo, Followed By Surgical Resection And Adjuvant Treatment With Nivolumab Or Placebo For Participants With Resectable Stage II-IIIb Non-Small Cell Lung Cancer (Checkmate 77T)</w:t>
            </w:r>
          </w:p>
        </w:tc>
        <w:tc>
          <w:tcPr>
            <w:tcW w:w="1177" w:type="pct"/>
            <w:tcBorders>
              <w:bottom w:val="nil"/>
            </w:tcBorders>
          </w:tcPr>
          <w:p w14:paraId="0C876200" w14:textId="77777777" w:rsidR="008F70D5" w:rsidRDefault="008F70D5" w:rsidP="0037439C">
            <w:pPr>
              <w:pStyle w:val="TableText0"/>
            </w:pPr>
            <w:r>
              <w:t>Clinical study report</w:t>
            </w:r>
          </w:p>
          <w:p w14:paraId="1907F28F" w14:textId="40C74EF9" w:rsidR="008F70D5" w:rsidRPr="00EF533A" w:rsidRDefault="008F70D5" w:rsidP="0037439C">
            <w:pPr>
              <w:pStyle w:val="TableText0"/>
            </w:pPr>
            <w:r>
              <w:t>10 November 2023</w:t>
            </w:r>
          </w:p>
        </w:tc>
      </w:tr>
      <w:tr w:rsidR="008F70D5" w:rsidRPr="00EF533A" w14:paraId="0F25038D" w14:textId="77777777" w:rsidTr="0037439C">
        <w:tc>
          <w:tcPr>
            <w:tcW w:w="796" w:type="pct"/>
            <w:vMerge/>
            <w:tcBorders>
              <w:top w:val="single" w:sz="4" w:space="0" w:color="auto"/>
              <w:bottom w:val="single" w:sz="4" w:space="0" w:color="auto"/>
            </w:tcBorders>
            <w:vAlign w:val="center"/>
          </w:tcPr>
          <w:p w14:paraId="19A3AE08" w14:textId="77777777" w:rsidR="008F70D5" w:rsidRPr="00EF533A" w:rsidRDefault="008F70D5" w:rsidP="002D4DE8">
            <w:pPr>
              <w:pStyle w:val="TableText0"/>
            </w:pPr>
          </w:p>
        </w:tc>
        <w:tc>
          <w:tcPr>
            <w:tcW w:w="3027" w:type="pct"/>
            <w:tcBorders>
              <w:top w:val="nil"/>
              <w:bottom w:val="nil"/>
            </w:tcBorders>
          </w:tcPr>
          <w:p w14:paraId="37582D04" w14:textId="0551E7BB" w:rsidR="008F70D5" w:rsidRPr="00EF533A" w:rsidRDefault="008F70D5" w:rsidP="0037439C">
            <w:pPr>
              <w:pStyle w:val="TableText0"/>
            </w:pPr>
            <w:r w:rsidRPr="00BF372D">
              <w:t>Cascone, T., Awad, M.M., Spicer, J.D., He, J., Lu, S., Sepesi, B., Tanaka, F., Taube, J.M., Cornelissen, R., Havel, L. and Karaseva, N., 2024. Perioperative Nivolumab in Resectable Lung Cancer</w:t>
            </w:r>
          </w:p>
        </w:tc>
        <w:tc>
          <w:tcPr>
            <w:tcW w:w="1177" w:type="pct"/>
            <w:tcBorders>
              <w:top w:val="nil"/>
              <w:bottom w:val="nil"/>
            </w:tcBorders>
          </w:tcPr>
          <w:p w14:paraId="4CC3D090" w14:textId="392D9068" w:rsidR="008F70D5" w:rsidRPr="00EF533A" w:rsidRDefault="008F70D5" w:rsidP="0037439C">
            <w:pPr>
              <w:pStyle w:val="TableText0"/>
            </w:pPr>
            <w:r w:rsidRPr="005A3CD5">
              <w:rPr>
                <w:i/>
                <w:iCs/>
              </w:rPr>
              <w:t>N Engl J Med</w:t>
            </w:r>
            <w:r w:rsidRPr="005A3CD5">
              <w:t xml:space="preserve"> 202</w:t>
            </w:r>
            <w:r>
              <w:t>4</w:t>
            </w:r>
            <w:r w:rsidRPr="005A3CD5">
              <w:t>; 3</w:t>
            </w:r>
            <w:r>
              <w:t>90:</w:t>
            </w:r>
            <w:r w:rsidRPr="005A3CD5">
              <w:t xml:space="preserve"> </w:t>
            </w:r>
            <w:r>
              <w:t>1756-1769</w:t>
            </w:r>
          </w:p>
        </w:tc>
      </w:tr>
      <w:tr w:rsidR="008F70D5" w:rsidRPr="00EF533A" w14:paraId="0F84B461" w14:textId="77777777" w:rsidTr="0037439C">
        <w:tc>
          <w:tcPr>
            <w:tcW w:w="796" w:type="pct"/>
            <w:vMerge/>
            <w:tcBorders>
              <w:top w:val="single" w:sz="4" w:space="0" w:color="auto"/>
              <w:bottom w:val="single" w:sz="4" w:space="0" w:color="auto"/>
            </w:tcBorders>
            <w:vAlign w:val="center"/>
          </w:tcPr>
          <w:p w14:paraId="1A05E688" w14:textId="77777777" w:rsidR="008F70D5" w:rsidRPr="00EF533A" w:rsidRDefault="008F70D5" w:rsidP="002D4DE8">
            <w:pPr>
              <w:pStyle w:val="TableText0"/>
            </w:pPr>
          </w:p>
        </w:tc>
        <w:tc>
          <w:tcPr>
            <w:tcW w:w="3027" w:type="pct"/>
            <w:tcBorders>
              <w:top w:val="nil"/>
              <w:bottom w:val="single" w:sz="4" w:space="0" w:color="auto"/>
            </w:tcBorders>
          </w:tcPr>
          <w:p w14:paraId="441038F6" w14:textId="3233AC0E" w:rsidR="008F70D5" w:rsidRPr="00EF533A" w:rsidRDefault="008F70D5" w:rsidP="0037439C">
            <w:pPr>
              <w:pStyle w:val="TableText0"/>
              <w:rPr>
                <w:lang w:val="en-US"/>
              </w:rPr>
            </w:pPr>
            <w:r w:rsidRPr="00BF372D">
              <w:t xml:space="preserve">Cascone, T., et al. "LBA1 CheckMate 77T: Phase III study comparing neoadjuvant nivolumab (NIVO) plus chemotherapy (chemo) vs neoadjuvant placebo plus chemo followed by surgery and adjuvant NIVO or placebo for previously untreated, resectable stage II-IIIb NSCLC." </w:t>
            </w:r>
          </w:p>
        </w:tc>
        <w:tc>
          <w:tcPr>
            <w:tcW w:w="1177" w:type="pct"/>
            <w:tcBorders>
              <w:top w:val="nil"/>
              <w:bottom w:val="single" w:sz="4" w:space="0" w:color="auto"/>
            </w:tcBorders>
          </w:tcPr>
          <w:p w14:paraId="2409B97A" w14:textId="77777777" w:rsidR="008F70D5" w:rsidRDefault="008F70D5" w:rsidP="0037439C">
            <w:pPr>
              <w:pStyle w:val="TableText0"/>
              <w:rPr>
                <w:iCs/>
              </w:rPr>
            </w:pPr>
            <w:r w:rsidRPr="005A3CD5">
              <w:rPr>
                <w:iCs/>
              </w:rPr>
              <w:t>Conference abstract</w:t>
            </w:r>
          </w:p>
          <w:p w14:paraId="3D66101B" w14:textId="241D530A" w:rsidR="008F70D5" w:rsidRPr="00EF533A" w:rsidRDefault="008F70D5" w:rsidP="0037439C">
            <w:pPr>
              <w:pStyle w:val="TableText0"/>
              <w:rPr>
                <w:i/>
                <w:lang w:val="en-US"/>
              </w:rPr>
            </w:pPr>
            <w:r>
              <w:rPr>
                <w:i/>
              </w:rPr>
              <w:t xml:space="preserve">Annals of Oncology </w:t>
            </w:r>
            <w:r>
              <w:rPr>
                <w:iCs/>
              </w:rPr>
              <w:t>2023, 34(S2):S1295</w:t>
            </w:r>
          </w:p>
        </w:tc>
      </w:tr>
      <w:tr w:rsidR="008F70D5" w:rsidRPr="00EF533A" w14:paraId="677C3471" w14:textId="77777777" w:rsidTr="00EF533A">
        <w:tc>
          <w:tcPr>
            <w:tcW w:w="5000" w:type="pct"/>
            <w:gridSpan w:val="3"/>
            <w:tcBorders>
              <w:top w:val="single" w:sz="4" w:space="0" w:color="auto"/>
              <w:bottom w:val="single" w:sz="4" w:space="0" w:color="auto"/>
            </w:tcBorders>
            <w:vAlign w:val="center"/>
          </w:tcPr>
          <w:p w14:paraId="094CEF12" w14:textId="2DB448D4" w:rsidR="008F70D5" w:rsidRPr="00EF533A" w:rsidRDefault="008F70D5" w:rsidP="002D4DE8">
            <w:pPr>
              <w:pStyle w:val="TableText0"/>
              <w:rPr>
                <w:b/>
                <w:bCs w:val="0"/>
              </w:rPr>
            </w:pPr>
            <w:r w:rsidRPr="00EF533A">
              <w:rPr>
                <w:b/>
                <w:bCs w:val="0"/>
              </w:rPr>
              <w:t>Trials used for indirect comparisons with periNIVO from CM77T</w:t>
            </w:r>
          </w:p>
        </w:tc>
      </w:tr>
      <w:tr w:rsidR="004F1B88" w:rsidRPr="00EF533A" w14:paraId="33A201B2" w14:textId="77777777" w:rsidTr="000B7F73">
        <w:trPr>
          <w:trHeight w:val="708"/>
        </w:trPr>
        <w:tc>
          <w:tcPr>
            <w:tcW w:w="796" w:type="pct"/>
            <w:vMerge w:val="restart"/>
          </w:tcPr>
          <w:p w14:paraId="5ADC2862" w14:textId="35DA70E1" w:rsidR="004F1B88" w:rsidRPr="00EF533A" w:rsidRDefault="004F1B88" w:rsidP="002D4DE8">
            <w:pPr>
              <w:pStyle w:val="TableText0"/>
            </w:pPr>
            <w:r w:rsidRPr="00EF533A">
              <w:t>CM816 NCT0998528</w:t>
            </w:r>
          </w:p>
        </w:tc>
        <w:tc>
          <w:tcPr>
            <w:tcW w:w="3027" w:type="pct"/>
            <w:tcBorders>
              <w:top w:val="single" w:sz="4" w:space="0" w:color="auto"/>
              <w:bottom w:val="nil"/>
            </w:tcBorders>
            <w:shd w:val="clear" w:color="auto" w:fill="auto"/>
          </w:tcPr>
          <w:p w14:paraId="4B06157D" w14:textId="1A449E02" w:rsidR="004F1B88" w:rsidRPr="00EF533A" w:rsidRDefault="004F1B88" w:rsidP="0037439C">
            <w:pPr>
              <w:pStyle w:val="TableText0"/>
            </w:pPr>
            <w:r w:rsidRPr="005A3CD5">
              <w:t>Randomized, open-label, Phase 3 trial of nivolumab plus ipilimumab or nivolumab plus platinum-doublet chemotherapy versus platinum-doublet chemotherapy in early stage NSCLC: Report date 22 November 2022</w:t>
            </w:r>
          </w:p>
        </w:tc>
        <w:tc>
          <w:tcPr>
            <w:tcW w:w="1177" w:type="pct"/>
            <w:tcBorders>
              <w:top w:val="single" w:sz="4" w:space="0" w:color="auto"/>
              <w:bottom w:val="nil"/>
            </w:tcBorders>
            <w:shd w:val="clear" w:color="auto" w:fill="auto"/>
          </w:tcPr>
          <w:p w14:paraId="093694D7" w14:textId="77777777" w:rsidR="004F1B88" w:rsidRDefault="004F1B88" w:rsidP="0037439C">
            <w:pPr>
              <w:pStyle w:val="TableText0"/>
            </w:pPr>
            <w:r>
              <w:t>Clinical study report</w:t>
            </w:r>
          </w:p>
          <w:p w14:paraId="437326BD" w14:textId="0DF8AD56" w:rsidR="004F1B88" w:rsidRPr="00EF533A" w:rsidRDefault="004F1B88" w:rsidP="0037439C">
            <w:pPr>
              <w:pStyle w:val="TableText0"/>
              <w:rPr>
                <w:i/>
              </w:rPr>
            </w:pPr>
            <w:r>
              <w:t>22 November 2022</w:t>
            </w:r>
          </w:p>
        </w:tc>
      </w:tr>
      <w:tr w:rsidR="004F1B88" w:rsidRPr="00EF533A" w14:paraId="0BAC9F8E" w14:textId="77777777" w:rsidTr="000B7F73">
        <w:trPr>
          <w:trHeight w:val="708"/>
        </w:trPr>
        <w:tc>
          <w:tcPr>
            <w:tcW w:w="796" w:type="pct"/>
            <w:vMerge/>
          </w:tcPr>
          <w:p w14:paraId="543D6FD8" w14:textId="77777777" w:rsidR="004F1B88" w:rsidRPr="00EF533A" w:rsidRDefault="004F1B88" w:rsidP="002D4DE8">
            <w:pPr>
              <w:pStyle w:val="TableText0"/>
            </w:pPr>
          </w:p>
        </w:tc>
        <w:tc>
          <w:tcPr>
            <w:tcW w:w="3027" w:type="pct"/>
            <w:tcBorders>
              <w:top w:val="nil"/>
              <w:bottom w:val="nil"/>
            </w:tcBorders>
            <w:shd w:val="clear" w:color="auto" w:fill="auto"/>
          </w:tcPr>
          <w:p w14:paraId="53F89A25" w14:textId="3FE9A30B" w:rsidR="004F1B88" w:rsidRPr="005A3CD5" w:rsidRDefault="004F1B88" w:rsidP="0037439C">
            <w:pPr>
              <w:pStyle w:val="TableText0"/>
            </w:pPr>
            <w:r w:rsidRPr="005A3CD5">
              <w:t xml:space="preserve">Forde, P. M., Spicer, J., Lu, S., et al. 2022. Neoadjuvant Nivolumab plus Chemotherapy in Resectable Lung Cancer. </w:t>
            </w:r>
          </w:p>
        </w:tc>
        <w:tc>
          <w:tcPr>
            <w:tcW w:w="1177" w:type="pct"/>
            <w:tcBorders>
              <w:top w:val="nil"/>
              <w:bottom w:val="nil"/>
            </w:tcBorders>
            <w:shd w:val="clear" w:color="auto" w:fill="auto"/>
          </w:tcPr>
          <w:p w14:paraId="033E64C6" w14:textId="0120A887" w:rsidR="004F1B88" w:rsidRPr="005A3CD5" w:rsidRDefault="004F1B88" w:rsidP="0037439C">
            <w:pPr>
              <w:pStyle w:val="TableText0"/>
            </w:pPr>
            <w:r w:rsidRPr="005A3CD5">
              <w:rPr>
                <w:i/>
                <w:iCs/>
              </w:rPr>
              <w:t>N Engl J Med</w:t>
            </w:r>
            <w:r>
              <w:rPr>
                <w:i/>
                <w:iCs/>
              </w:rPr>
              <w:t xml:space="preserve"> </w:t>
            </w:r>
            <w:r>
              <w:t>2022; 386(21): 1973-1985</w:t>
            </w:r>
          </w:p>
        </w:tc>
      </w:tr>
      <w:tr w:rsidR="004F1B88" w:rsidRPr="00EF533A" w14:paraId="6704989F" w14:textId="77777777" w:rsidTr="000B7F73">
        <w:trPr>
          <w:trHeight w:val="708"/>
        </w:trPr>
        <w:tc>
          <w:tcPr>
            <w:tcW w:w="796" w:type="pct"/>
            <w:vMerge/>
          </w:tcPr>
          <w:p w14:paraId="77EF0ED9" w14:textId="77777777" w:rsidR="004F1B88" w:rsidRPr="00EF533A" w:rsidRDefault="004F1B88" w:rsidP="002D4DE8">
            <w:pPr>
              <w:pStyle w:val="TableText0"/>
            </w:pPr>
          </w:p>
        </w:tc>
        <w:tc>
          <w:tcPr>
            <w:tcW w:w="3027" w:type="pct"/>
            <w:tcBorders>
              <w:top w:val="nil"/>
              <w:bottom w:val="nil"/>
            </w:tcBorders>
            <w:shd w:val="clear" w:color="auto" w:fill="auto"/>
          </w:tcPr>
          <w:p w14:paraId="291997BD" w14:textId="5E62AC6E" w:rsidR="004F1B88" w:rsidRPr="005A3CD5" w:rsidRDefault="004F1B88" w:rsidP="0037439C">
            <w:pPr>
              <w:pStyle w:val="TableText0"/>
            </w:pPr>
            <w:r w:rsidRPr="005A3CD5">
              <w:t xml:space="preserve">Forde, P.M., Spicer, J., Girard, N., Provencio, M., Lu, S., Wang, C., Awad, M., Mitsudomi, T., Felip, E., Swanson, S.J. and Saylors, G., 2023. 84O Neoadjuvant nivolumab (N)+ platinum-doublet chemotherapy (C) for resectable NSCLC: 3-y update from CheckMate 816. </w:t>
            </w:r>
          </w:p>
        </w:tc>
        <w:tc>
          <w:tcPr>
            <w:tcW w:w="1177" w:type="pct"/>
            <w:tcBorders>
              <w:top w:val="nil"/>
              <w:bottom w:val="nil"/>
            </w:tcBorders>
            <w:shd w:val="clear" w:color="auto" w:fill="auto"/>
          </w:tcPr>
          <w:p w14:paraId="2FF1F4BC" w14:textId="77777777" w:rsidR="004F1B88" w:rsidRDefault="004F1B88" w:rsidP="0037439C">
            <w:pPr>
              <w:pStyle w:val="TableText0"/>
            </w:pPr>
            <w:r w:rsidRPr="005A3CD5">
              <w:t>Conference abstract</w:t>
            </w:r>
          </w:p>
          <w:p w14:paraId="55DEFFB5" w14:textId="70468D36" w:rsidR="004F1B88" w:rsidRPr="005A3CD5" w:rsidRDefault="004F1B88" w:rsidP="0037439C">
            <w:pPr>
              <w:pStyle w:val="TableText0"/>
              <w:rPr>
                <w:i/>
                <w:iCs/>
              </w:rPr>
            </w:pPr>
            <w:r>
              <w:rPr>
                <w:i/>
                <w:iCs/>
              </w:rPr>
              <w:t xml:space="preserve">Journal of Thoracic Oncology </w:t>
            </w:r>
            <w:r>
              <w:t>2023, 18(4): S89-S90</w:t>
            </w:r>
          </w:p>
        </w:tc>
      </w:tr>
      <w:tr w:rsidR="004F1B88" w:rsidRPr="00EF533A" w14:paraId="4FDA159B" w14:textId="77777777" w:rsidTr="000B7F73">
        <w:trPr>
          <w:trHeight w:val="708"/>
        </w:trPr>
        <w:tc>
          <w:tcPr>
            <w:tcW w:w="796" w:type="pct"/>
            <w:vMerge/>
          </w:tcPr>
          <w:p w14:paraId="13C69E59" w14:textId="77777777" w:rsidR="004F1B88" w:rsidRPr="00EF533A" w:rsidRDefault="004F1B88" w:rsidP="002D4DE8">
            <w:pPr>
              <w:pStyle w:val="TableText0"/>
            </w:pPr>
          </w:p>
        </w:tc>
        <w:tc>
          <w:tcPr>
            <w:tcW w:w="3027" w:type="pct"/>
            <w:tcBorders>
              <w:top w:val="nil"/>
              <w:bottom w:val="nil"/>
            </w:tcBorders>
            <w:shd w:val="clear" w:color="auto" w:fill="auto"/>
          </w:tcPr>
          <w:p w14:paraId="45B573C7" w14:textId="315A2B01" w:rsidR="004F1B88" w:rsidRPr="005A3CD5" w:rsidRDefault="004F1B88" w:rsidP="0037439C">
            <w:pPr>
              <w:pStyle w:val="TableText0"/>
            </w:pPr>
            <w:r w:rsidRPr="005A3CD5">
              <w:t>Spicer, J., Girard, N., Provencio, M., Lu, S., Wang, C., Awad, M., Mitsudomi, T., Felip, E., Swanson, S.J., Saylors, G., and Forde, P.M., 2024. Neoadjuvant nivolumab plus chemotherapy vs chemotherapy in patients with resectable NSCLC: 4-y update from CheckMate 816.</w:t>
            </w:r>
          </w:p>
        </w:tc>
        <w:tc>
          <w:tcPr>
            <w:tcW w:w="1177" w:type="pct"/>
            <w:tcBorders>
              <w:top w:val="nil"/>
              <w:bottom w:val="nil"/>
            </w:tcBorders>
            <w:shd w:val="clear" w:color="auto" w:fill="auto"/>
          </w:tcPr>
          <w:p w14:paraId="6B30A4E5" w14:textId="77777777" w:rsidR="004F1B88" w:rsidRDefault="004F1B88" w:rsidP="0037439C">
            <w:pPr>
              <w:pStyle w:val="TableText0"/>
            </w:pPr>
            <w:r>
              <w:t>Conference abstract</w:t>
            </w:r>
          </w:p>
          <w:p w14:paraId="5D278304" w14:textId="4432D5BC" w:rsidR="004F1B88" w:rsidRPr="005A3CD5" w:rsidRDefault="004F1B88" w:rsidP="0037439C">
            <w:pPr>
              <w:pStyle w:val="TableText0"/>
              <w:rPr>
                <w:i/>
                <w:iCs/>
              </w:rPr>
            </w:pPr>
            <w:r>
              <w:rPr>
                <w:i/>
                <w:iCs/>
              </w:rPr>
              <w:t>ASCO Annual Meeting Abstract (LBA8010)</w:t>
            </w:r>
          </w:p>
        </w:tc>
      </w:tr>
    </w:tbl>
    <w:p w14:paraId="68D18B05" w14:textId="77777777" w:rsidR="00A0136F" w:rsidRDefault="00D35A0E" w:rsidP="00D35A0E">
      <w:pPr>
        <w:pStyle w:val="TableFigureFooter"/>
      </w:pPr>
      <w:r w:rsidRPr="00D35A0E">
        <w:t>Source: Table 22, 23, 24 and 26, pp56-60 of the submission</w:t>
      </w:r>
    </w:p>
    <w:p w14:paraId="364DAC34" w14:textId="06363666" w:rsidR="00EF533A" w:rsidRPr="0037439C" w:rsidRDefault="00D35A0E" w:rsidP="00F22FCE">
      <w:pPr>
        <w:pStyle w:val="TableFigureFooter"/>
      </w:pPr>
      <w:r>
        <w:t xml:space="preserve">Note: </w:t>
      </w:r>
      <w:r w:rsidR="000B7F73">
        <w:t>Spicer 2024, the 4 year update of CM816 has not been previously considered by the PBAC at the neoadjuvant nivolumab March and July 2023 PBAC meetings.</w:t>
      </w:r>
    </w:p>
    <w:p w14:paraId="01920A5A" w14:textId="5517FEC0" w:rsidR="00A0136F" w:rsidRDefault="008F120A" w:rsidP="00EC5836">
      <w:pPr>
        <w:pStyle w:val="3-BodyText"/>
      </w:pPr>
      <w:r w:rsidRPr="0098262F">
        <w:t xml:space="preserve">The key features of the </w:t>
      </w:r>
      <w:r w:rsidR="00621ADA" w:rsidRPr="0098262F">
        <w:t xml:space="preserve">included </w:t>
      </w:r>
      <w:r w:rsidR="00C82E9F">
        <w:t xml:space="preserve">trials </w:t>
      </w:r>
      <w:r w:rsidRPr="0098262F">
        <w:t>are summarised in</w:t>
      </w:r>
      <w:r w:rsidR="00D6076E" w:rsidRPr="0098262F">
        <w:t xml:space="preserve"> </w:t>
      </w:r>
      <w:r w:rsidR="00B03DA9">
        <w:fldChar w:fldCharType="begin"/>
      </w:r>
      <w:r w:rsidR="00B03DA9">
        <w:instrText xml:space="preserve"> REF _Ref176492103 \h </w:instrText>
      </w:r>
      <w:r w:rsidR="00B03DA9">
        <w:fldChar w:fldCharType="separate"/>
      </w:r>
      <w:r w:rsidR="009C09C9">
        <w:t xml:space="preserve">Table </w:t>
      </w:r>
      <w:r w:rsidR="009C09C9">
        <w:rPr>
          <w:noProof/>
        </w:rPr>
        <w:t>4</w:t>
      </w:r>
      <w:r w:rsidR="00B03DA9">
        <w:fldChar w:fldCharType="end"/>
      </w:r>
      <w:r w:rsidR="00725289" w:rsidRPr="0037439C">
        <w:t>.</w:t>
      </w:r>
    </w:p>
    <w:p w14:paraId="355E2F15" w14:textId="4916EE2F" w:rsidR="007F1017" w:rsidRPr="0098262F" w:rsidRDefault="00725289" w:rsidP="00E76081">
      <w:pPr>
        <w:pStyle w:val="Caption"/>
        <w:rPr>
          <w:rStyle w:val="CommentReference"/>
          <w:rFonts w:eastAsiaTheme="majorEastAsia" w:cstheme="majorBidi"/>
          <w:b/>
          <w:szCs w:val="24"/>
        </w:rPr>
      </w:pPr>
      <w:bookmarkStart w:id="36" w:name="_Ref176492103"/>
      <w:r>
        <w:t xml:space="preserve">Table </w:t>
      </w:r>
      <w:r w:rsidR="00311318">
        <w:fldChar w:fldCharType="begin"/>
      </w:r>
      <w:r w:rsidR="00311318">
        <w:instrText xml:space="preserve"> SEQ Table \* ARABIC </w:instrText>
      </w:r>
      <w:r w:rsidR="00311318">
        <w:fldChar w:fldCharType="separate"/>
      </w:r>
      <w:r w:rsidR="009C09C9">
        <w:rPr>
          <w:noProof/>
        </w:rPr>
        <w:t>4</w:t>
      </w:r>
      <w:r w:rsidR="00311318">
        <w:rPr>
          <w:noProof/>
        </w:rPr>
        <w:fldChar w:fldCharType="end"/>
      </w:r>
      <w:bookmarkEnd w:id="36"/>
      <w:r>
        <w:rPr>
          <w:rStyle w:val="CommentReference"/>
          <w:rFonts w:eastAsiaTheme="majorEastAsia" w:cstheme="majorBidi"/>
          <w:b/>
          <w:szCs w:val="24"/>
        </w:rPr>
        <w:t>:</w:t>
      </w:r>
      <w:r w:rsidR="00D6076E" w:rsidRPr="0098262F">
        <w:rPr>
          <w:rStyle w:val="CommentReference"/>
          <w:rFonts w:eastAsiaTheme="majorEastAsia" w:cstheme="majorBidi"/>
          <w:b/>
          <w:szCs w:val="24"/>
        </w:rPr>
        <w:t xml:space="preserve"> </w:t>
      </w:r>
      <w:r w:rsidR="007F1017" w:rsidRPr="0098262F">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Description w:val="Table 4: Key features of the included evidence"/>
      </w:tblPr>
      <w:tblGrid>
        <w:gridCol w:w="939"/>
        <w:gridCol w:w="527"/>
        <w:gridCol w:w="1791"/>
        <w:gridCol w:w="992"/>
        <w:gridCol w:w="2124"/>
        <w:gridCol w:w="2644"/>
      </w:tblGrid>
      <w:tr w:rsidR="00756188" w:rsidRPr="0098262F" w14:paraId="53DD7CC6" w14:textId="77777777" w:rsidTr="00756188">
        <w:trPr>
          <w:cantSplit/>
          <w:tblHeader/>
        </w:trPr>
        <w:tc>
          <w:tcPr>
            <w:tcW w:w="521" w:type="pct"/>
            <w:shd w:val="clear" w:color="auto" w:fill="auto"/>
            <w:vAlign w:val="center"/>
          </w:tcPr>
          <w:p w14:paraId="794116BC" w14:textId="77777777" w:rsidR="00756188" w:rsidRPr="00725289" w:rsidRDefault="00756188" w:rsidP="00245DCF">
            <w:pPr>
              <w:pStyle w:val="In-tableHeading"/>
            </w:pPr>
            <w:r w:rsidRPr="00725289">
              <w:t>Trial</w:t>
            </w:r>
          </w:p>
        </w:tc>
        <w:tc>
          <w:tcPr>
            <w:tcW w:w="292" w:type="pct"/>
            <w:shd w:val="clear" w:color="auto" w:fill="auto"/>
            <w:vAlign w:val="center"/>
          </w:tcPr>
          <w:p w14:paraId="51122FE5" w14:textId="77777777" w:rsidR="00756188" w:rsidRPr="00725289" w:rsidRDefault="00756188" w:rsidP="00245DCF">
            <w:pPr>
              <w:pStyle w:val="In-tableHeading"/>
            </w:pPr>
            <w:r w:rsidRPr="00725289">
              <w:t>N</w:t>
            </w:r>
          </w:p>
        </w:tc>
        <w:tc>
          <w:tcPr>
            <w:tcW w:w="993" w:type="pct"/>
            <w:shd w:val="clear" w:color="auto" w:fill="auto"/>
            <w:vAlign w:val="center"/>
          </w:tcPr>
          <w:p w14:paraId="41C438EF" w14:textId="77777777" w:rsidR="00756188" w:rsidRPr="00725289" w:rsidRDefault="00756188" w:rsidP="00245DCF">
            <w:pPr>
              <w:pStyle w:val="In-tableHeading"/>
            </w:pPr>
            <w:r w:rsidRPr="00725289">
              <w:t>Design/ duration</w:t>
            </w:r>
          </w:p>
        </w:tc>
        <w:tc>
          <w:tcPr>
            <w:tcW w:w="550" w:type="pct"/>
            <w:shd w:val="clear" w:color="auto" w:fill="auto"/>
            <w:vAlign w:val="center"/>
          </w:tcPr>
          <w:p w14:paraId="1FC91360" w14:textId="77777777" w:rsidR="00756188" w:rsidRPr="00725289" w:rsidRDefault="00756188" w:rsidP="00245DCF">
            <w:pPr>
              <w:pStyle w:val="In-tableHeading"/>
            </w:pPr>
            <w:r w:rsidRPr="00725289">
              <w:t>Risk of bias</w:t>
            </w:r>
          </w:p>
        </w:tc>
        <w:tc>
          <w:tcPr>
            <w:tcW w:w="1178" w:type="pct"/>
            <w:shd w:val="clear" w:color="auto" w:fill="auto"/>
            <w:vAlign w:val="center"/>
          </w:tcPr>
          <w:p w14:paraId="7FF90896" w14:textId="77777777" w:rsidR="00756188" w:rsidRPr="00725289" w:rsidRDefault="00756188" w:rsidP="00245DCF">
            <w:pPr>
              <w:pStyle w:val="In-tableHeading"/>
            </w:pPr>
            <w:r w:rsidRPr="00725289">
              <w:t>Patient population</w:t>
            </w:r>
          </w:p>
        </w:tc>
        <w:tc>
          <w:tcPr>
            <w:tcW w:w="1467" w:type="pct"/>
            <w:shd w:val="clear" w:color="auto" w:fill="auto"/>
            <w:vAlign w:val="center"/>
          </w:tcPr>
          <w:p w14:paraId="08C6F624" w14:textId="0CBD8EEC" w:rsidR="00756188" w:rsidRPr="00725289" w:rsidRDefault="00756188" w:rsidP="00245DCF">
            <w:pPr>
              <w:pStyle w:val="In-tableHeading"/>
            </w:pPr>
            <w:r w:rsidRPr="00725289">
              <w:t>Outcome(s)</w:t>
            </w:r>
          </w:p>
        </w:tc>
      </w:tr>
      <w:tr w:rsidR="00634217" w:rsidRPr="0098262F" w14:paraId="3FD90E2E" w14:textId="77777777" w:rsidTr="009D4BDD">
        <w:trPr>
          <w:cantSplit/>
        </w:trPr>
        <w:tc>
          <w:tcPr>
            <w:tcW w:w="5000" w:type="pct"/>
            <w:gridSpan w:val="6"/>
            <w:shd w:val="clear" w:color="auto" w:fill="auto"/>
            <w:vAlign w:val="center"/>
          </w:tcPr>
          <w:p w14:paraId="2182F639" w14:textId="11A4AAA2" w:rsidR="009D4BDD" w:rsidRPr="001E4606" w:rsidRDefault="009D4BDD" w:rsidP="00E76081">
            <w:pPr>
              <w:pStyle w:val="TableText0"/>
              <w:rPr>
                <w:b/>
                <w:bCs w:val="0"/>
              </w:rPr>
            </w:pPr>
            <w:r w:rsidRPr="001E4606">
              <w:rPr>
                <w:b/>
                <w:bCs w:val="0"/>
              </w:rPr>
              <w:t xml:space="preserve">periNIVO vs </w:t>
            </w:r>
            <w:r w:rsidR="000B7F73" w:rsidRPr="001E4606">
              <w:rPr>
                <w:b/>
                <w:bCs w:val="0"/>
              </w:rPr>
              <w:t>neoC</w:t>
            </w:r>
            <w:r w:rsidR="000B7F73">
              <w:rPr>
                <w:b/>
                <w:bCs w:val="0"/>
              </w:rPr>
              <w:t>hemo</w:t>
            </w:r>
          </w:p>
        </w:tc>
      </w:tr>
      <w:tr w:rsidR="00756188" w:rsidRPr="0098262F" w14:paraId="4EE88DCB" w14:textId="77777777" w:rsidTr="00756188">
        <w:trPr>
          <w:cantSplit/>
        </w:trPr>
        <w:tc>
          <w:tcPr>
            <w:tcW w:w="521" w:type="pct"/>
            <w:shd w:val="clear" w:color="auto" w:fill="auto"/>
            <w:vAlign w:val="center"/>
          </w:tcPr>
          <w:p w14:paraId="6EE77D33" w14:textId="10B27186" w:rsidR="00756188" w:rsidRPr="0098262F" w:rsidRDefault="00756188" w:rsidP="00E76081">
            <w:pPr>
              <w:pStyle w:val="TableText0"/>
            </w:pPr>
            <w:r>
              <w:t>CM77T</w:t>
            </w:r>
          </w:p>
        </w:tc>
        <w:tc>
          <w:tcPr>
            <w:tcW w:w="292" w:type="pct"/>
            <w:shd w:val="clear" w:color="auto" w:fill="auto"/>
            <w:vAlign w:val="center"/>
          </w:tcPr>
          <w:p w14:paraId="41BB0E41" w14:textId="28B24148" w:rsidR="00756188" w:rsidRPr="0098262F" w:rsidRDefault="00756188" w:rsidP="00E76081">
            <w:pPr>
              <w:pStyle w:val="TableText0"/>
              <w:jc w:val="center"/>
            </w:pPr>
            <w:r>
              <w:t>461</w:t>
            </w:r>
          </w:p>
        </w:tc>
        <w:tc>
          <w:tcPr>
            <w:tcW w:w="993" w:type="pct"/>
            <w:shd w:val="clear" w:color="auto" w:fill="auto"/>
            <w:vAlign w:val="center"/>
          </w:tcPr>
          <w:p w14:paraId="58342D88" w14:textId="77777777" w:rsidR="00756188" w:rsidRDefault="00756188" w:rsidP="00E76081">
            <w:pPr>
              <w:pStyle w:val="TableText0"/>
              <w:jc w:val="center"/>
            </w:pPr>
            <w:r>
              <w:t>R, DB, MC</w:t>
            </w:r>
          </w:p>
          <w:p w14:paraId="744D08AC" w14:textId="304F55C1" w:rsidR="00756188" w:rsidRPr="0098262F" w:rsidRDefault="00756188" w:rsidP="00E76081">
            <w:pPr>
              <w:pStyle w:val="TableText0"/>
              <w:jc w:val="center"/>
            </w:pPr>
            <w:r>
              <w:t>25.4 months (IA)</w:t>
            </w:r>
          </w:p>
        </w:tc>
        <w:tc>
          <w:tcPr>
            <w:tcW w:w="550" w:type="pct"/>
            <w:shd w:val="clear" w:color="auto" w:fill="auto"/>
            <w:vAlign w:val="center"/>
          </w:tcPr>
          <w:p w14:paraId="4A529D74" w14:textId="53BFA88A" w:rsidR="00756188" w:rsidRPr="0098262F" w:rsidRDefault="00756188" w:rsidP="00E76081">
            <w:pPr>
              <w:pStyle w:val="TableText0"/>
              <w:jc w:val="center"/>
            </w:pPr>
            <w:r w:rsidRPr="00572090">
              <w:rPr>
                <w:iCs/>
              </w:rPr>
              <w:t>Low</w:t>
            </w:r>
          </w:p>
        </w:tc>
        <w:tc>
          <w:tcPr>
            <w:tcW w:w="1178" w:type="pct"/>
            <w:shd w:val="clear" w:color="auto" w:fill="auto"/>
            <w:vAlign w:val="center"/>
          </w:tcPr>
          <w:p w14:paraId="01E1E1DF" w14:textId="77777777" w:rsidR="00756188" w:rsidRDefault="00756188" w:rsidP="00E76081">
            <w:pPr>
              <w:pStyle w:val="Tabletext"/>
              <w:keepNext/>
              <w:keepLines/>
              <w:jc w:val="center"/>
            </w:pPr>
            <w:r>
              <w:t>Resectable NSCLC</w:t>
            </w:r>
          </w:p>
          <w:p w14:paraId="51A2E1DB" w14:textId="294AE5BD" w:rsidR="00756188" w:rsidRDefault="00756188" w:rsidP="00E76081">
            <w:pPr>
              <w:pStyle w:val="Tabletext"/>
              <w:keepNext/>
              <w:keepLines/>
              <w:jc w:val="center"/>
            </w:pPr>
            <w:r>
              <w:t>Clinical Stage IIA-IIIB</w:t>
            </w:r>
          </w:p>
          <w:p w14:paraId="5E6F456D" w14:textId="24E40063" w:rsidR="00756188" w:rsidRPr="0098262F" w:rsidRDefault="00756188" w:rsidP="00E76081">
            <w:pPr>
              <w:pStyle w:val="TableText0"/>
              <w:jc w:val="center"/>
            </w:pPr>
            <w:r>
              <w:t>(AJCC 8</w:t>
            </w:r>
            <w:r w:rsidRPr="00F23EC6">
              <w:rPr>
                <w:vertAlign w:val="superscript"/>
              </w:rPr>
              <w:t>th</w:t>
            </w:r>
            <w:r>
              <w:t xml:space="preserve"> Edition).</w:t>
            </w:r>
          </w:p>
        </w:tc>
        <w:tc>
          <w:tcPr>
            <w:tcW w:w="1467" w:type="pct"/>
            <w:shd w:val="clear" w:color="auto" w:fill="auto"/>
            <w:vAlign w:val="center"/>
          </w:tcPr>
          <w:p w14:paraId="150A804C" w14:textId="3786769A" w:rsidR="00756188" w:rsidRPr="00D966FA" w:rsidRDefault="00756188" w:rsidP="00E76081">
            <w:pPr>
              <w:pStyle w:val="TableText0"/>
              <w:rPr>
                <w:vertAlign w:val="superscript"/>
              </w:rPr>
            </w:pPr>
            <w:r>
              <w:t xml:space="preserve">EFS, pCR, MPR, ORR </w:t>
            </w:r>
            <w:r>
              <w:rPr>
                <w:vertAlign w:val="superscript"/>
              </w:rPr>
              <w:t>a</w:t>
            </w:r>
            <w:r>
              <w:t xml:space="preserve">, TTDM </w:t>
            </w:r>
            <w:r>
              <w:rPr>
                <w:vertAlign w:val="superscript"/>
              </w:rPr>
              <w:t>a</w:t>
            </w:r>
            <w:r>
              <w:t>, AEs</w:t>
            </w:r>
          </w:p>
        </w:tc>
      </w:tr>
      <w:tr w:rsidR="00A74399" w:rsidRPr="0098262F" w14:paraId="16D76A89" w14:textId="77777777" w:rsidTr="00A74399">
        <w:trPr>
          <w:cantSplit/>
        </w:trPr>
        <w:tc>
          <w:tcPr>
            <w:tcW w:w="5000" w:type="pct"/>
            <w:gridSpan w:val="6"/>
            <w:shd w:val="clear" w:color="auto" w:fill="auto"/>
            <w:vAlign w:val="center"/>
          </w:tcPr>
          <w:p w14:paraId="44875512" w14:textId="09AB9968" w:rsidR="00A74399" w:rsidRPr="001E4606" w:rsidRDefault="00A74399" w:rsidP="00E76081">
            <w:pPr>
              <w:pStyle w:val="TableText0"/>
              <w:rPr>
                <w:b/>
                <w:bCs w:val="0"/>
              </w:rPr>
            </w:pPr>
            <w:r w:rsidRPr="001E4606">
              <w:rPr>
                <w:b/>
                <w:bCs w:val="0"/>
              </w:rPr>
              <w:t xml:space="preserve">neoNIVO vs </w:t>
            </w:r>
            <w:r w:rsidR="001E78F8" w:rsidRPr="001E4606">
              <w:rPr>
                <w:b/>
                <w:bCs w:val="0"/>
              </w:rPr>
              <w:t>neoC</w:t>
            </w:r>
            <w:r w:rsidR="001E78F8">
              <w:rPr>
                <w:b/>
                <w:bCs w:val="0"/>
              </w:rPr>
              <w:t>hemo</w:t>
            </w:r>
          </w:p>
        </w:tc>
      </w:tr>
      <w:tr w:rsidR="00756188" w:rsidRPr="0098262F" w14:paraId="13A6895C" w14:textId="77777777" w:rsidTr="00756188">
        <w:trPr>
          <w:cantSplit/>
        </w:trPr>
        <w:tc>
          <w:tcPr>
            <w:tcW w:w="521" w:type="pct"/>
            <w:shd w:val="clear" w:color="auto" w:fill="auto"/>
            <w:vAlign w:val="center"/>
          </w:tcPr>
          <w:p w14:paraId="4A9488B3" w14:textId="1D80D556" w:rsidR="00756188" w:rsidRPr="0098262F" w:rsidRDefault="00756188" w:rsidP="00E76081">
            <w:pPr>
              <w:pStyle w:val="TableText0"/>
            </w:pPr>
            <w:r>
              <w:t>CM816</w:t>
            </w:r>
          </w:p>
        </w:tc>
        <w:tc>
          <w:tcPr>
            <w:tcW w:w="292" w:type="pct"/>
            <w:shd w:val="clear" w:color="auto" w:fill="auto"/>
            <w:vAlign w:val="center"/>
          </w:tcPr>
          <w:p w14:paraId="3F4D20B5" w14:textId="72850BDF" w:rsidR="00756188" w:rsidRPr="0098262F" w:rsidRDefault="00756188" w:rsidP="00E76081">
            <w:pPr>
              <w:pStyle w:val="TableText0"/>
              <w:jc w:val="center"/>
            </w:pPr>
            <w:r>
              <w:t>358</w:t>
            </w:r>
          </w:p>
        </w:tc>
        <w:tc>
          <w:tcPr>
            <w:tcW w:w="993" w:type="pct"/>
            <w:shd w:val="clear" w:color="auto" w:fill="auto"/>
            <w:vAlign w:val="center"/>
          </w:tcPr>
          <w:p w14:paraId="2717735C" w14:textId="77777777" w:rsidR="00756188" w:rsidRDefault="00756188" w:rsidP="00E76081">
            <w:pPr>
              <w:pStyle w:val="TableText0"/>
              <w:jc w:val="center"/>
            </w:pPr>
            <w:r>
              <w:t>R, OL, MC</w:t>
            </w:r>
          </w:p>
          <w:p w14:paraId="1AFC2963" w14:textId="663A3177" w:rsidR="00756188" w:rsidRDefault="00756188" w:rsidP="00E76081">
            <w:pPr>
              <w:pStyle w:val="TableText0"/>
              <w:jc w:val="center"/>
            </w:pPr>
            <w:r>
              <w:t>29.5 months (1IA)</w:t>
            </w:r>
          </w:p>
          <w:p w14:paraId="7BF15EEB" w14:textId="77777777" w:rsidR="00756188" w:rsidRDefault="00756188" w:rsidP="00E76081">
            <w:pPr>
              <w:pStyle w:val="TableText0"/>
              <w:jc w:val="center"/>
            </w:pPr>
            <w:r>
              <w:t>41.4 months (2IA)</w:t>
            </w:r>
          </w:p>
          <w:p w14:paraId="68D92FE7" w14:textId="64D3C9A0" w:rsidR="00756188" w:rsidRPr="0098262F" w:rsidRDefault="00756188" w:rsidP="00E76081">
            <w:pPr>
              <w:pStyle w:val="TableText0"/>
              <w:jc w:val="center"/>
            </w:pPr>
            <w:r>
              <w:t>57.6 months (3IA)</w:t>
            </w:r>
          </w:p>
        </w:tc>
        <w:tc>
          <w:tcPr>
            <w:tcW w:w="550" w:type="pct"/>
            <w:shd w:val="clear" w:color="auto" w:fill="auto"/>
            <w:vAlign w:val="center"/>
          </w:tcPr>
          <w:p w14:paraId="6F0F93F8" w14:textId="24777247" w:rsidR="00756188" w:rsidRPr="0098262F" w:rsidRDefault="00756188" w:rsidP="00E76081">
            <w:pPr>
              <w:pStyle w:val="TableText0"/>
              <w:jc w:val="center"/>
            </w:pPr>
            <w:r w:rsidRPr="00572090">
              <w:rPr>
                <w:iCs/>
              </w:rPr>
              <w:t>Low</w:t>
            </w:r>
          </w:p>
        </w:tc>
        <w:tc>
          <w:tcPr>
            <w:tcW w:w="1178" w:type="pct"/>
            <w:shd w:val="clear" w:color="auto" w:fill="auto"/>
            <w:vAlign w:val="center"/>
          </w:tcPr>
          <w:p w14:paraId="49CA1617" w14:textId="2E062235" w:rsidR="00756188" w:rsidRDefault="00756188" w:rsidP="00E76081">
            <w:pPr>
              <w:pStyle w:val="Tabletext"/>
              <w:keepNext/>
              <w:keepLines/>
              <w:jc w:val="center"/>
            </w:pPr>
            <w:r>
              <w:t>Resectable NSCLC</w:t>
            </w:r>
          </w:p>
          <w:p w14:paraId="0BEDA676" w14:textId="395C49D5" w:rsidR="00756188" w:rsidRDefault="00756188" w:rsidP="00E76081">
            <w:pPr>
              <w:pStyle w:val="Tabletext"/>
              <w:keepNext/>
              <w:keepLines/>
              <w:jc w:val="center"/>
            </w:pPr>
            <w:r>
              <w:t>Clinical Stage 1B-IIIA</w:t>
            </w:r>
          </w:p>
          <w:p w14:paraId="43AC963E" w14:textId="3852632D" w:rsidR="00756188" w:rsidRPr="0098262F" w:rsidRDefault="00756188" w:rsidP="00E76081">
            <w:pPr>
              <w:pStyle w:val="Tabletext"/>
              <w:keepNext/>
              <w:keepLines/>
              <w:jc w:val="center"/>
            </w:pPr>
            <w:r>
              <w:t>(AJCC 7</w:t>
            </w:r>
            <w:r w:rsidRPr="00F23EC6">
              <w:rPr>
                <w:vertAlign w:val="superscript"/>
              </w:rPr>
              <w:t>th</w:t>
            </w:r>
            <w:r>
              <w:t xml:space="preserve"> Edition).</w:t>
            </w:r>
          </w:p>
        </w:tc>
        <w:tc>
          <w:tcPr>
            <w:tcW w:w="1467" w:type="pct"/>
            <w:shd w:val="clear" w:color="auto" w:fill="auto"/>
            <w:vAlign w:val="center"/>
          </w:tcPr>
          <w:p w14:paraId="3175EA34" w14:textId="21769F06" w:rsidR="00756188" w:rsidRPr="0098262F" w:rsidRDefault="00756188" w:rsidP="00E76081">
            <w:pPr>
              <w:pStyle w:val="TableText0"/>
            </w:pPr>
            <w:r>
              <w:t>EFS, OS</w:t>
            </w:r>
          </w:p>
        </w:tc>
      </w:tr>
    </w:tbl>
    <w:p w14:paraId="560080D2" w14:textId="4350A5E0" w:rsidR="00045017" w:rsidRPr="0098262F" w:rsidRDefault="00045017" w:rsidP="00E76081">
      <w:pPr>
        <w:pStyle w:val="FooterTableFigure"/>
        <w:keepNext/>
        <w:keepLines/>
      </w:pPr>
      <w:r w:rsidRPr="0098262F">
        <w:t xml:space="preserve">Source: </w:t>
      </w:r>
      <w:r w:rsidR="00605267" w:rsidRPr="0098262F">
        <w:t>Table</w:t>
      </w:r>
      <w:r w:rsidR="00605267">
        <w:t xml:space="preserve"> 29</w:t>
      </w:r>
      <w:r w:rsidR="00605267" w:rsidRPr="0098262F">
        <w:t>,</w:t>
      </w:r>
      <w:r w:rsidR="00605267">
        <w:t xml:space="preserve"> Table 30</w:t>
      </w:r>
      <w:r w:rsidR="00605267" w:rsidRPr="0098262F">
        <w:t xml:space="preserve"> pp</w:t>
      </w:r>
      <w:r w:rsidR="00605267">
        <w:t>67-69</w:t>
      </w:r>
      <w:r w:rsidR="00605267" w:rsidRPr="0098262F">
        <w:t xml:space="preserve"> of the submission</w:t>
      </w:r>
      <w:r w:rsidR="00605267">
        <w:t>, p3140 of Felip 2010</w:t>
      </w:r>
    </w:p>
    <w:p w14:paraId="0E296575" w14:textId="433AECDA" w:rsidR="00D966FA" w:rsidRDefault="00D966FA" w:rsidP="00E76081">
      <w:pPr>
        <w:pStyle w:val="FooterTableFigure"/>
        <w:keepNext/>
        <w:keepLines/>
      </w:pPr>
      <w:r w:rsidRPr="00D966FA">
        <w:t xml:space="preserve">AEs=adverse events; AJCC=American Joint Committee on Cancer; DB=double blind; DFS=disease free survival; EFS=event free survival; </w:t>
      </w:r>
      <w:r>
        <w:t xml:space="preserve">IA = interim analysis; </w:t>
      </w:r>
      <w:r w:rsidRPr="00D966FA">
        <w:t>LR = locoregional recurrence; MC=multi-centre; MPR=major pathological response; NSCLC=non-small cell lung cancer; OL=open label; OS=overall survival; pCR=pathological complete response; R=randomis</w:t>
      </w:r>
      <w:r>
        <w:t>ed</w:t>
      </w:r>
      <w:r w:rsidRPr="00D966FA">
        <w:t xml:space="preserve">; TTMD=time to </w:t>
      </w:r>
      <w:r>
        <w:t xml:space="preserve">death or </w:t>
      </w:r>
      <w:r w:rsidRPr="00D966FA">
        <w:t>metastatic disease</w:t>
      </w:r>
    </w:p>
    <w:p w14:paraId="01423C64" w14:textId="77777777" w:rsidR="00A0136F" w:rsidRDefault="00AC3A90" w:rsidP="00E76081">
      <w:pPr>
        <w:pStyle w:val="FooterTableFigure"/>
        <w:keepNext/>
        <w:keepLines/>
      </w:pPr>
      <w:r>
        <w:rPr>
          <w:vertAlign w:val="superscript"/>
        </w:rPr>
        <w:t>a</w:t>
      </w:r>
      <w:r w:rsidR="00D966FA">
        <w:rPr>
          <w:vertAlign w:val="superscript"/>
        </w:rPr>
        <w:t xml:space="preserve"> </w:t>
      </w:r>
      <w:r>
        <w:t>ORR and TTDM were exploratory endpoints of CM77T</w:t>
      </w:r>
    </w:p>
    <w:p w14:paraId="4C4280A7" w14:textId="56B8810B" w:rsidR="00F558D4" w:rsidRPr="00D966FA" w:rsidRDefault="00F558D4" w:rsidP="00F558D4">
      <w:pPr>
        <w:pStyle w:val="3-BodyText"/>
      </w:pPr>
      <w:r w:rsidRPr="00572090">
        <w:rPr>
          <w:iCs/>
        </w:rPr>
        <w:t>The risk of bias was considered low for the direct comparison in the CM77T trial. For the</w:t>
      </w:r>
      <w:r w:rsidR="00F8184C" w:rsidRPr="00572090">
        <w:rPr>
          <w:iCs/>
        </w:rPr>
        <w:t xml:space="preserve"> indirect treatment comparisons</w:t>
      </w:r>
      <w:r w:rsidRPr="00572090">
        <w:rPr>
          <w:iCs/>
        </w:rPr>
        <w:t xml:space="preserve"> </w:t>
      </w:r>
      <w:r w:rsidR="00F8184C" w:rsidRPr="00572090">
        <w:rPr>
          <w:iCs/>
        </w:rPr>
        <w:t>(</w:t>
      </w:r>
      <w:r w:rsidRPr="00572090">
        <w:rPr>
          <w:iCs/>
        </w:rPr>
        <w:t>ITCs</w:t>
      </w:r>
      <w:r w:rsidR="00F8184C" w:rsidRPr="00572090">
        <w:rPr>
          <w:iCs/>
        </w:rPr>
        <w:t>)</w:t>
      </w:r>
      <w:r w:rsidRPr="00572090">
        <w:rPr>
          <w:iCs/>
        </w:rPr>
        <w:t xml:space="preserve">, there were several transitivity issues across </w:t>
      </w:r>
      <w:r w:rsidRPr="00572090">
        <w:rPr>
          <w:iCs/>
        </w:rPr>
        <w:lastRenderedPageBreak/>
        <w:t>the studies due to unadjusted differences in study design, patient clinical characteristics and demographics.</w:t>
      </w:r>
      <w:r w:rsidR="00F941A8" w:rsidRPr="00572090">
        <w:rPr>
          <w:iCs/>
        </w:rPr>
        <w:t xml:space="preserve"> These are discussed further in paragraph </w:t>
      </w:r>
      <w:r w:rsidR="007B0344" w:rsidRPr="00572090">
        <w:rPr>
          <w:iCs/>
        </w:rPr>
        <w:fldChar w:fldCharType="begin"/>
      </w:r>
      <w:r w:rsidR="007B0344" w:rsidRPr="00572090">
        <w:rPr>
          <w:iCs/>
        </w:rPr>
        <w:instrText xml:space="preserve"> REF _Ref175909499 \r \h </w:instrText>
      </w:r>
      <w:r w:rsidR="007B0344" w:rsidRPr="00572090">
        <w:rPr>
          <w:iCs/>
        </w:rPr>
      </w:r>
      <w:r w:rsidR="007B0344" w:rsidRPr="00572090">
        <w:rPr>
          <w:iCs/>
        </w:rPr>
        <w:fldChar w:fldCharType="separate"/>
      </w:r>
      <w:r w:rsidR="009C09C9">
        <w:rPr>
          <w:iCs/>
        </w:rPr>
        <w:t>6.45</w:t>
      </w:r>
      <w:r w:rsidR="007B0344" w:rsidRPr="00572090">
        <w:rPr>
          <w:iCs/>
        </w:rPr>
        <w:fldChar w:fldCharType="end"/>
      </w:r>
      <w:r w:rsidR="00156529">
        <w:rPr>
          <w:iCs/>
        </w:rPr>
        <w:t>.</w:t>
      </w:r>
    </w:p>
    <w:p w14:paraId="1452C351" w14:textId="3352C13C" w:rsidR="00B60939" w:rsidRPr="0098262F" w:rsidRDefault="00B60939" w:rsidP="00D86231">
      <w:pPr>
        <w:pStyle w:val="4-SubsectionHeading"/>
      </w:pPr>
      <w:bookmarkStart w:id="37" w:name="_Toc22897642"/>
      <w:bookmarkStart w:id="38" w:name="_Toc177566400"/>
      <w:r w:rsidRPr="0098262F">
        <w:t>Comparative harms</w:t>
      </w:r>
      <w:bookmarkEnd w:id="37"/>
      <w:bookmarkEnd w:id="38"/>
    </w:p>
    <w:p w14:paraId="2DAF16D1" w14:textId="13354594" w:rsidR="00B60939" w:rsidRPr="0098262F" w:rsidRDefault="00DF03D5" w:rsidP="00D86231">
      <w:pPr>
        <w:pStyle w:val="3-BodyText"/>
        <w:rPr>
          <w:color w:val="0066FF"/>
        </w:rPr>
      </w:pPr>
      <w:bookmarkStart w:id="39" w:name="_Hlk104801403"/>
      <w:r>
        <w:t xml:space="preserve">A summary of overall adverse events (AEs) in CM77T is presented in </w:t>
      </w:r>
      <w:r w:rsidR="00B03DA9">
        <w:fldChar w:fldCharType="begin"/>
      </w:r>
      <w:r w:rsidR="00B03DA9">
        <w:instrText xml:space="preserve"> REF _Ref175758176 \h </w:instrText>
      </w:r>
      <w:r w:rsidR="00B03DA9">
        <w:fldChar w:fldCharType="separate"/>
      </w:r>
      <w:r w:rsidR="009C09C9" w:rsidRPr="0098262F">
        <w:t xml:space="preserve">Table </w:t>
      </w:r>
      <w:r w:rsidR="009C09C9">
        <w:rPr>
          <w:noProof/>
        </w:rPr>
        <w:t>5</w:t>
      </w:r>
      <w:r w:rsidR="00B03DA9">
        <w:fldChar w:fldCharType="end"/>
      </w:r>
      <w:r w:rsidR="00DB77B6">
        <w:t>.</w:t>
      </w:r>
      <w:r>
        <w:t xml:space="preserve"> Frequently reported treatment-related AEs </w:t>
      </w:r>
      <w:r>
        <w:rPr>
          <w:rFonts w:eastAsiaTheme="majorEastAsia"/>
        </w:rPr>
        <w:t>(</w:t>
      </w:r>
      <w:r>
        <w:rPr>
          <w:rFonts w:eastAsiaTheme="majorEastAsia" w:cs="Calibri"/>
        </w:rPr>
        <w:t>≥</w:t>
      </w:r>
      <w:r>
        <w:rPr>
          <w:rFonts w:eastAsiaTheme="majorEastAsia"/>
        </w:rPr>
        <w:t xml:space="preserve">15% </w:t>
      </w:r>
      <w:bookmarkEnd w:id="39"/>
      <w:r>
        <w:t xml:space="preserve">of patients in any treatment arm) in CM77T are summarised in </w:t>
      </w:r>
      <w:r w:rsidR="00B03DA9">
        <w:fldChar w:fldCharType="begin"/>
      </w:r>
      <w:r w:rsidR="00B03DA9">
        <w:instrText xml:space="preserve"> REF _Ref175758206 \h </w:instrText>
      </w:r>
      <w:r w:rsidR="00B03DA9">
        <w:fldChar w:fldCharType="separate"/>
      </w:r>
      <w:r w:rsidR="009C09C9">
        <w:t xml:space="preserve">Table </w:t>
      </w:r>
      <w:r w:rsidR="009C09C9">
        <w:rPr>
          <w:noProof/>
        </w:rPr>
        <w:t>6</w:t>
      </w:r>
      <w:r w:rsidR="00B03DA9">
        <w:fldChar w:fldCharType="end"/>
      </w:r>
      <w:r w:rsidR="00DB77B6">
        <w:t>.</w:t>
      </w:r>
    </w:p>
    <w:p w14:paraId="310B2246" w14:textId="784C5A73" w:rsidR="00B60939" w:rsidRPr="0098262F" w:rsidRDefault="00D6076E" w:rsidP="00D6076E">
      <w:pPr>
        <w:pStyle w:val="TableFigureHeading"/>
        <w:rPr>
          <w:rStyle w:val="CommentReference"/>
          <w:b/>
          <w:szCs w:val="24"/>
        </w:rPr>
      </w:pPr>
      <w:bookmarkStart w:id="40" w:name="_Ref175758176"/>
      <w:r w:rsidRPr="0098262F">
        <w:t xml:space="preserve">Table </w:t>
      </w:r>
      <w:r w:rsidR="00311318">
        <w:fldChar w:fldCharType="begin"/>
      </w:r>
      <w:r w:rsidR="00311318">
        <w:instrText xml:space="preserve"> SEQ Table \* ARABIC </w:instrText>
      </w:r>
      <w:r w:rsidR="00311318">
        <w:fldChar w:fldCharType="separate"/>
      </w:r>
      <w:r w:rsidR="009C09C9">
        <w:rPr>
          <w:noProof/>
        </w:rPr>
        <w:t>5</w:t>
      </w:r>
      <w:r w:rsidR="00311318">
        <w:rPr>
          <w:noProof/>
        </w:rPr>
        <w:fldChar w:fldCharType="end"/>
      </w:r>
      <w:bookmarkEnd w:id="40"/>
      <w:r w:rsidRPr="0098262F">
        <w:t xml:space="preserve">: </w:t>
      </w:r>
      <w:r w:rsidR="005D26B4" w:rsidRPr="0098262F">
        <w:rPr>
          <w:rStyle w:val="CommentReference"/>
          <w:b/>
          <w:szCs w:val="24"/>
        </w:rPr>
        <w:t xml:space="preserve">Summary of key adverse events </w:t>
      </w:r>
      <w:r w:rsidR="00E07EB2">
        <w:rPr>
          <w:rStyle w:val="CommentReference"/>
          <w:b/>
          <w:szCs w:val="24"/>
        </w:rPr>
        <w:t>reported in CM77T</w:t>
      </w:r>
    </w:p>
    <w:tbl>
      <w:tblPr>
        <w:tblStyle w:val="TableGrid"/>
        <w:tblW w:w="0" w:type="auto"/>
        <w:tblLook w:val="04A0" w:firstRow="1" w:lastRow="0" w:firstColumn="1" w:lastColumn="0" w:noHBand="0" w:noVBand="1"/>
        <w:tblCaption w:val="Table 5: Summary of key adverse events reported in CM77T"/>
        <w:tblDescription w:val="Table 5: Summary of key adverse events reported in CM77T"/>
      </w:tblPr>
      <w:tblGrid>
        <w:gridCol w:w="3681"/>
        <w:gridCol w:w="1134"/>
        <w:gridCol w:w="1180"/>
        <w:gridCol w:w="1592"/>
        <w:gridCol w:w="1430"/>
      </w:tblGrid>
      <w:tr w:rsidR="00DF03D5" w:rsidRPr="00992F12" w14:paraId="6FED0A45" w14:textId="77777777">
        <w:tc>
          <w:tcPr>
            <w:tcW w:w="3681" w:type="dxa"/>
            <w:shd w:val="clear" w:color="auto" w:fill="auto"/>
          </w:tcPr>
          <w:p w14:paraId="0CC7F2ED" w14:textId="77777777" w:rsidR="00DF03D5" w:rsidRPr="00992F12" w:rsidRDefault="00DF03D5">
            <w:pPr>
              <w:pStyle w:val="TableText0"/>
            </w:pPr>
          </w:p>
        </w:tc>
        <w:tc>
          <w:tcPr>
            <w:tcW w:w="1134" w:type="dxa"/>
            <w:shd w:val="clear" w:color="auto" w:fill="auto"/>
            <w:vAlign w:val="center"/>
          </w:tcPr>
          <w:p w14:paraId="6DBF2D7C" w14:textId="1F2539E9" w:rsidR="00DF03D5" w:rsidRPr="00475E09" w:rsidRDefault="005E4D21">
            <w:pPr>
              <w:pStyle w:val="TableText0"/>
              <w:jc w:val="center"/>
              <w:rPr>
                <w:b/>
                <w:bCs w:val="0"/>
              </w:rPr>
            </w:pPr>
            <w:r>
              <w:rPr>
                <w:b/>
                <w:bCs w:val="0"/>
              </w:rPr>
              <w:t>peri</w:t>
            </w:r>
            <w:r w:rsidR="00DF03D5" w:rsidRPr="00475E09">
              <w:rPr>
                <w:b/>
                <w:bCs w:val="0"/>
              </w:rPr>
              <w:t>NIVO (N=228)</w:t>
            </w:r>
          </w:p>
        </w:tc>
        <w:tc>
          <w:tcPr>
            <w:tcW w:w="1180" w:type="dxa"/>
            <w:shd w:val="clear" w:color="auto" w:fill="auto"/>
            <w:vAlign w:val="center"/>
          </w:tcPr>
          <w:p w14:paraId="5A40E183" w14:textId="43B30B5A" w:rsidR="00DF03D5" w:rsidRPr="00475E09" w:rsidRDefault="005E4D21">
            <w:pPr>
              <w:pStyle w:val="TableText0"/>
              <w:jc w:val="center"/>
              <w:rPr>
                <w:b/>
                <w:bCs w:val="0"/>
              </w:rPr>
            </w:pPr>
            <w:r>
              <w:rPr>
                <w:b/>
                <w:bCs w:val="0"/>
              </w:rPr>
              <w:t>neoC</w:t>
            </w:r>
            <w:r w:rsidR="00DF03D5" w:rsidRPr="00475E09">
              <w:rPr>
                <w:b/>
                <w:bCs w:val="0"/>
              </w:rPr>
              <w:t>hemo (N=230)</w:t>
            </w:r>
          </w:p>
        </w:tc>
        <w:tc>
          <w:tcPr>
            <w:tcW w:w="1592" w:type="dxa"/>
            <w:shd w:val="clear" w:color="auto" w:fill="auto"/>
            <w:vAlign w:val="center"/>
          </w:tcPr>
          <w:p w14:paraId="061834FC" w14:textId="77777777" w:rsidR="00DF03D5" w:rsidRPr="00475E09" w:rsidRDefault="00DF03D5">
            <w:pPr>
              <w:pStyle w:val="TableText0"/>
              <w:jc w:val="center"/>
              <w:rPr>
                <w:b/>
                <w:bCs w:val="0"/>
              </w:rPr>
            </w:pPr>
            <w:r w:rsidRPr="00475E09">
              <w:rPr>
                <w:b/>
                <w:bCs w:val="0"/>
              </w:rPr>
              <w:t>RR (95% CI)</w:t>
            </w:r>
          </w:p>
        </w:tc>
        <w:tc>
          <w:tcPr>
            <w:tcW w:w="1430" w:type="dxa"/>
            <w:vAlign w:val="center"/>
          </w:tcPr>
          <w:p w14:paraId="69B56B94" w14:textId="77777777" w:rsidR="00DF03D5" w:rsidRPr="00475E09" w:rsidRDefault="00DF03D5">
            <w:pPr>
              <w:pStyle w:val="TableText0"/>
              <w:jc w:val="center"/>
              <w:rPr>
                <w:b/>
                <w:bCs w:val="0"/>
                <w:i/>
                <w:iCs/>
              </w:rPr>
            </w:pPr>
            <w:r w:rsidRPr="00300F14">
              <w:rPr>
                <w:b/>
                <w:bCs w:val="0"/>
                <w:iCs/>
              </w:rPr>
              <w:t>RD (95% CI)</w:t>
            </w:r>
          </w:p>
        </w:tc>
      </w:tr>
      <w:tr w:rsidR="00DF03D5" w:rsidRPr="00300F14" w14:paraId="52FDC5D8" w14:textId="77777777" w:rsidTr="00B9063C">
        <w:tc>
          <w:tcPr>
            <w:tcW w:w="3681" w:type="dxa"/>
            <w:shd w:val="clear" w:color="auto" w:fill="auto"/>
            <w:vAlign w:val="center"/>
          </w:tcPr>
          <w:p w14:paraId="73AFDC6B" w14:textId="77777777" w:rsidR="00DF03D5" w:rsidRPr="00300F14" w:rsidRDefault="00DF03D5">
            <w:pPr>
              <w:pStyle w:val="TableText0"/>
            </w:pPr>
            <w:r w:rsidRPr="00300F14">
              <w:t>Any adverse event (all-causality)</w:t>
            </w:r>
          </w:p>
        </w:tc>
        <w:tc>
          <w:tcPr>
            <w:tcW w:w="1134" w:type="dxa"/>
            <w:shd w:val="clear" w:color="auto" w:fill="auto"/>
            <w:vAlign w:val="center"/>
          </w:tcPr>
          <w:p w14:paraId="3CA7EFAE" w14:textId="77777777" w:rsidR="00DF03D5" w:rsidRPr="00300F14" w:rsidRDefault="00DF03D5">
            <w:pPr>
              <w:pStyle w:val="TableText0"/>
              <w:jc w:val="center"/>
            </w:pPr>
            <w:r w:rsidRPr="00300F14">
              <w:t>222 (97.4%)</w:t>
            </w:r>
          </w:p>
        </w:tc>
        <w:tc>
          <w:tcPr>
            <w:tcW w:w="1180" w:type="dxa"/>
            <w:shd w:val="clear" w:color="auto" w:fill="auto"/>
            <w:vAlign w:val="center"/>
          </w:tcPr>
          <w:p w14:paraId="11A2B4F7" w14:textId="77777777" w:rsidR="00DF03D5" w:rsidRPr="00300F14" w:rsidRDefault="00DF03D5">
            <w:pPr>
              <w:pStyle w:val="TableText0"/>
              <w:jc w:val="center"/>
            </w:pPr>
            <w:r w:rsidRPr="00300F14">
              <w:t>225 (97.8%)</w:t>
            </w:r>
          </w:p>
        </w:tc>
        <w:tc>
          <w:tcPr>
            <w:tcW w:w="1592" w:type="dxa"/>
            <w:shd w:val="clear" w:color="auto" w:fill="auto"/>
            <w:vAlign w:val="center"/>
          </w:tcPr>
          <w:p w14:paraId="2A051789" w14:textId="77777777" w:rsidR="00DF03D5" w:rsidRPr="00300F14" w:rsidRDefault="00DF03D5" w:rsidP="00B9063C">
            <w:pPr>
              <w:pStyle w:val="TableText0"/>
              <w:jc w:val="center"/>
            </w:pPr>
            <w:r w:rsidRPr="00300F14">
              <w:t>0.99 (0.97, 1.02), p = 0.32</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2064B844" w14:textId="77777777" w:rsidR="00DF03D5" w:rsidRPr="00300F14" w:rsidRDefault="00DF03D5" w:rsidP="00B9063C">
            <w:pPr>
              <w:pStyle w:val="TableText0"/>
              <w:jc w:val="center"/>
              <w:rPr>
                <w:iCs/>
              </w:rPr>
            </w:pPr>
            <w:r w:rsidRPr="00300F14">
              <w:rPr>
                <w:iCs/>
              </w:rPr>
              <w:t>-0.5 (-3.3, 2.3)</w:t>
            </w:r>
          </w:p>
        </w:tc>
      </w:tr>
      <w:tr w:rsidR="00DF03D5" w:rsidRPr="00300F14" w14:paraId="67733D11" w14:textId="77777777" w:rsidTr="00B9063C">
        <w:tc>
          <w:tcPr>
            <w:tcW w:w="3681" w:type="dxa"/>
            <w:shd w:val="clear" w:color="auto" w:fill="auto"/>
            <w:vAlign w:val="center"/>
          </w:tcPr>
          <w:p w14:paraId="6C9BD1B3" w14:textId="77777777" w:rsidR="00DF03D5" w:rsidRPr="00300F14" w:rsidRDefault="00DF03D5">
            <w:pPr>
              <w:pStyle w:val="TableText0"/>
            </w:pPr>
            <w:r w:rsidRPr="00300F14">
              <w:t xml:space="preserve">Any adverse event Grade ≥ 3 (all-causality) </w:t>
            </w:r>
            <w:r w:rsidRPr="00300F14">
              <w:rPr>
                <w:vertAlign w:val="superscript"/>
              </w:rPr>
              <w:t>a</w:t>
            </w:r>
          </w:p>
        </w:tc>
        <w:tc>
          <w:tcPr>
            <w:tcW w:w="1134" w:type="dxa"/>
            <w:shd w:val="clear" w:color="auto" w:fill="auto"/>
            <w:vAlign w:val="center"/>
          </w:tcPr>
          <w:p w14:paraId="30C89EE3" w14:textId="77777777" w:rsidR="00DF03D5" w:rsidRPr="00300F14" w:rsidRDefault="00DF03D5">
            <w:pPr>
              <w:pStyle w:val="TableText0"/>
              <w:jc w:val="center"/>
            </w:pPr>
            <w:r w:rsidRPr="00300F14">
              <w:t>115 (50.4%)</w:t>
            </w:r>
          </w:p>
        </w:tc>
        <w:tc>
          <w:tcPr>
            <w:tcW w:w="1180" w:type="dxa"/>
            <w:shd w:val="clear" w:color="auto" w:fill="auto"/>
            <w:vAlign w:val="center"/>
          </w:tcPr>
          <w:p w14:paraId="1B8442CF" w14:textId="77777777" w:rsidR="00DF03D5" w:rsidRPr="00300F14" w:rsidRDefault="00DF03D5">
            <w:pPr>
              <w:pStyle w:val="TableText0"/>
              <w:jc w:val="center"/>
            </w:pPr>
            <w:r w:rsidRPr="00300F14">
              <w:t>103 (44.8%)</w:t>
            </w:r>
          </w:p>
        </w:tc>
        <w:tc>
          <w:tcPr>
            <w:tcW w:w="1592" w:type="dxa"/>
            <w:shd w:val="clear" w:color="auto" w:fill="auto"/>
            <w:vAlign w:val="center"/>
          </w:tcPr>
          <w:p w14:paraId="3C03B898" w14:textId="77777777" w:rsidR="00DF03D5" w:rsidRPr="00300F14" w:rsidRDefault="00DF03D5" w:rsidP="00B9063C">
            <w:pPr>
              <w:pStyle w:val="TableText0"/>
              <w:jc w:val="center"/>
            </w:pPr>
            <w:r w:rsidRPr="00300F14">
              <w:t>1.13 (0.93, 1.37), p = 0.23</w:t>
            </w:r>
          </w:p>
        </w:tc>
        <w:tc>
          <w:tcPr>
            <w:tcW w:w="1430" w:type="dxa"/>
            <w:tcBorders>
              <w:top w:val="nil"/>
              <w:left w:val="single" w:sz="4" w:space="0" w:color="auto"/>
              <w:bottom w:val="single" w:sz="4" w:space="0" w:color="auto"/>
              <w:right w:val="single" w:sz="4" w:space="0" w:color="auto"/>
            </w:tcBorders>
            <w:shd w:val="clear" w:color="auto" w:fill="auto"/>
            <w:vAlign w:val="center"/>
          </w:tcPr>
          <w:p w14:paraId="75CD7E4D" w14:textId="77777777" w:rsidR="00DF03D5" w:rsidRPr="00300F14" w:rsidRDefault="00DF03D5" w:rsidP="00B9063C">
            <w:pPr>
              <w:pStyle w:val="TableText0"/>
              <w:jc w:val="center"/>
              <w:rPr>
                <w:iCs/>
              </w:rPr>
            </w:pPr>
            <w:r w:rsidRPr="00300F14">
              <w:rPr>
                <w:iCs/>
              </w:rPr>
              <w:t>5.7 (-3.5, 14.8)</w:t>
            </w:r>
          </w:p>
        </w:tc>
      </w:tr>
      <w:tr w:rsidR="00DF03D5" w:rsidRPr="00300F14" w14:paraId="60F00540" w14:textId="77777777" w:rsidTr="00B9063C">
        <w:tc>
          <w:tcPr>
            <w:tcW w:w="3681" w:type="dxa"/>
            <w:shd w:val="clear" w:color="auto" w:fill="auto"/>
            <w:vAlign w:val="center"/>
          </w:tcPr>
          <w:p w14:paraId="4AFAA0FF" w14:textId="77777777" w:rsidR="00DF03D5" w:rsidRPr="00300F14" w:rsidRDefault="00DF03D5">
            <w:pPr>
              <w:pStyle w:val="TableText0"/>
              <w:rPr>
                <w:iCs/>
              </w:rPr>
            </w:pPr>
            <w:r w:rsidRPr="00300F14">
              <w:rPr>
                <w:iCs/>
              </w:rPr>
              <w:t>Any SAE (all-causality)</w:t>
            </w:r>
          </w:p>
        </w:tc>
        <w:tc>
          <w:tcPr>
            <w:tcW w:w="1134" w:type="dxa"/>
            <w:shd w:val="clear" w:color="auto" w:fill="auto"/>
            <w:vAlign w:val="center"/>
          </w:tcPr>
          <w:p w14:paraId="0BFF3F17" w14:textId="77777777" w:rsidR="00DF03D5" w:rsidRPr="00300F14" w:rsidRDefault="00DF03D5">
            <w:pPr>
              <w:pStyle w:val="TableText0"/>
              <w:jc w:val="center"/>
              <w:rPr>
                <w:iCs/>
              </w:rPr>
            </w:pPr>
            <w:r w:rsidRPr="00300F14">
              <w:rPr>
                <w:iCs/>
              </w:rPr>
              <w:t>96 (42.1%)</w:t>
            </w:r>
          </w:p>
        </w:tc>
        <w:tc>
          <w:tcPr>
            <w:tcW w:w="1180" w:type="dxa"/>
            <w:shd w:val="clear" w:color="auto" w:fill="auto"/>
            <w:vAlign w:val="center"/>
          </w:tcPr>
          <w:p w14:paraId="5A2410C6" w14:textId="77777777" w:rsidR="00DF03D5" w:rsidRPr="00300F14" w:rsidRDefault="00DF03D5">
            <w:pPr>
              <w:pStyle w:val="TableText0"/>
              <w:jc w:val="center"/>
              <w:rPr>
                <w:iCs/>
              </w:rPr>
            </w:pPr>
            <w:r w:rsidRPr="00300F14">
              <w:rPr>
                <w:iCs/>
              </w:rPr>
              <w:t>71 (30.9%)</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center"/>
          </w:tcPr>
          <w:p w14:paraId="34A45758" w14:textId="77777777" w:rsidR="00DF03D5" w:rsidRPr="00300F14" w:rsidRDefault="00DF03D5" w:rsidP="00B9063C">
            <w:pPr>
              <w:pStyle w:val="TableText0"/>
              <w:jc w:val="center"/>
              <w:rPr>
                <w:b/>
                <w:bCs w:val="0"/>
                <w:iCs/>
              </w:rPr>
            </w:pPr>
            <w:r w:rsidRPr="00300F14">
              <w:rPr>
                <w:b/>
                <w:bCs w:val="0"/>
                <w:iCs/>
              </w:rPr>
              <w:t>1.36 (1.07, 1.74)</w:t>
            </w:r>
          </w:p>
        </w:tc>
        <w:tc>
          <w:tcPr>
            <w:tcW w:w="1430" w:type="dxa"/>
            <w:tcBorders>
              <w:top w:val="single" w:sz="4" w:space="0" w:color="auto"/>
              <w:left w:val="nil"/>
              <w:bottom w:val="single" w:sz="4" w:space="0" w:color="auto"/>
              <w:right w:val="single" w:sz="4" w:space="0" w:color="auto"/>
            </w:tcBorders>
            <w:shd w:val="clear" w:color="auto" w:fill="auto"/>
            <w:vAlign w:val="center"/>
          </w:tcPr>
          <w:p w14:paraId="1FB79586" w14:textId="77777777" w:rsidR="00DF03D5" w:rsidRPr="00300F14" w:rsidRDefault="00DF03D5" w:rsidP="00B9063C">
            <w:pPr>
              <w:pStyle w:val="TableText0"/>
              <w:jc w:val="center"/>
              <w:rPr>
                <w:b/>
                <w:bCs w:val="0"/>
                <w:iCs/>
              </w:rPr>
            </w:pPr>
            <w:r w:rsidRPr="00300F14">
              <w:rPr>
                <w:b/>
                <w:bCs w:val="0"/>
                <w:iCs/>
              </w:rPr>
              <w:t>11.2 (2.5, 20.0)</w:t>
            </w:r>
          </w:p>
        </w:tc>
      </w:tr>
      <w:tr w:rsidR="00DF03D5" w:rsidRPr="00300F14" w14:paraId="5DDEC726" w14:textId="77777777" w:rsidTr="00B9063C">
        <w:tc>
          <w:tcPr>
            <w:tcW w:w="3681" w:type="dxa"/>
            <w:shd w:val="clear" w:color="auto" w:fill="auto"/>
            <w:vAlign w:val="center"/>
          </w:tcPr>
          <w:p w14:paraId="730664B4" w14:textId="77777777" w:rsidR="00DF03D5" w:rsidRPr="00300F14" w:rsidRDefault="00DF03D5">
            <w:pPr>
              <w:pStyle w:val="TableText0"/>
              <w:rPr>
                <w:iCs/>
              </w:rPr>
            </w:pPr>
            <w:r w:rsidRPr="00300F14">
              <w:rPr>
                <w:iCs/>
              </w:rPr>
              <w:t>Any SAE Grade ≥</w:t>
            </w:r>
            <w:r w:rsidRPr="00300F14">
              <w:t xml:space="preserve"> </w:t>
            </w:r>
            <w:r w:rsidRPr="00300F14">
              <w:rPr>
                <w:iCs/>
              </w:rPr>
              <w:t>3-4 (all-causality)</w:t>
            </w:r>
          </w:p>
        </w:tc>
        <w:tc>
          <w:tcPr>
            <w:tcW w:w="1134" w:type="dxa"/>
            <w:shd w:val="clear" w:color="auto" w:fill="auto"/>
            <w:vAlign w:val="center"/>
          </w:tcPr>
          <w:p w14:paraId="57524247" w14:textId="77777777" w:rsidR="00DF03D5" w:rsidRPr="00300F14" w:rsidRDefault="00DF03D5">
            <w:pPr>
              <w:pStyle w:val="TableText0"/>
              <w:jc w:val="center"/>
              <w:rPr>
                <w:iCs/>
              </w:rPr>
            </w:pPr>
            <w:r w:rsidRPr="00300F14">
              <w:rPr>
                <w:iCs/>
              </w:rPr>
              <w:t>65 (28.5%)</w:t>
            </w:r>
          </w:p>
        </w:tc>
        <w:tc>
          <w:tcPr>
            <w:tcW w:w="1180" w:type="dxa"/>
            <w:shd w:val="clear" w:color="auto" w:fill="auto"/>
            <w:vAlign w:val="center"/>
          </w:tcPr>
          <w:p w14:paraId="09C5856C" w14:textId="77777777" w:rsidR="00DF03D5" w:rsidRPr="00300F14" w:rsidRDefault="00DF03D5">
            <w:pPr>
              <w:pStyle w:val="TableText0"/>
              <w:jc w:val="center"/>
              <w:rPr>
                <w:iCs/>
              </w:rPr>
            </w:pPr>
            <w:r w:rsidRPr="00300F14">
              <w:rPr>
                <w:iCs/>
              </w:rPr>
              <w:t>46 (20.0%)</w:t>
            </w:r>
          </w:p>
        </w:tc>
        <w:tc>
          <w:tcPr>
            <w:tcW w:w="1592" w:type="dxa"/>
            <w:tcBorders>
              <w:top w:val="nil"/>
              <w:left w:val="single" w:sz="4" w:space="0" w:color="auto"/>
              <w:bottom w:val="single" w:sz="4" w:space="0" w:color="auto"/>
              <w:right w:val="single" w:sz="4" w:space="0" w:color="auto"/>
            </w:tcBorders>
            <w:shd w:val="clear" w:color="auto" w:fill="auto"/>
            <w:vAlign w:val="center"/>
          </w:tcPr>
          <w:p w14:paraId="799C3BB9" w14:textId="77777777" w:rsidR="00DF03D5" w:rsidRPr="00300F14" w:rsidRDefault="00DF03D5" w:rsidP="00B9063C">
            <w:pPr>
              <w:pStyle w:val="TableText0"/>
              <w:jc w:val="center"/>
              <w:rPr>
                <w:b/>
                <w:bCs w:val="0"/>
                <w:iCs/>
              </w:rPr>
            </w:pPr>
            <w:r w:rsidRPr="00300F14">
              <w:rPr>
                <w:b/>
                <w:bCs w:val="0"/>
                <w:iCs/>
              </w:rPr>
              <w:t>1.43 (1.02, 1.98)</w:t>
            </w:r>
          </w:p>
        </w:tc>
        <w:tc>
          <w:tcPr>
            <w:tcW w:w="1430" w:type="dxa"/>
            <w:tcBorders>
              <w:top w:val="nil"/>
              <w:left w:val="nil"/>
              <w:bottom w:val="single" w:sz="4" w:space="0" w:color="auto"/>
              <w:right w:val="single" w:sz="4" w:space="0" w:color="auto"/>
            </w:tcBorders>
            <w:shd w:val="clear" w:color="auto" w:fill="auto"/>
            <w:vAlign w:val="center"/>
          </w:tcPr>
          <w:p w14:paraId="79AC30F3" w14:textId="77777777" w:rsidR="00DF03D5" w:rsidRPr="00300F14" w:rsidRDefault="00DF03D5" w:rsidP="00B9063C">
            <w:pPr>
              <w:pStyle w:val="TableText0"/>
              <w:jc w:val="center"/>
              <w:rPr>
                <w:b/>
                <w:bCs w:val="0"/>
                <w:iCs/>
              </w:rPr>
            </w:pPr>
            <w:r w:rsidRPr="00300F14">
              <w:rPr>
                <w:b/>
                <w:bCs w:val="0"/>
                <w:iCs/>
              </w:rPr>
              <w:t>8.5 (0.7, 16.3)</w:t>
            </w:r>
          </w:p>
        </w:tc>
      </w:tr>
      <w:tr w:rsidR="00DF03D5" w:rsidRPr="00300F14" w14:paraId="2B7DE951" w14:textId="77777777" w:rsidTr="00B9063C">
        <w:tc>
          <w:tcPr>
            <w:tcW w:w="3681" w:type="dxa"/>
            <w:shd w:val="clear" w:color="auto" w:fill="auto"/>
            <w:vAlign w:val="center"/>
          </w:tcPr>
          <w:p w14:paraId="468AD3CC" w14:textId="77777777" w:rsidR="00DF03D5" w:rsidRPr="00300F14" w:rsidRDefault="00DF03D5">
            <w:pPr>
              <w:pStyle w:val="TableText0"/>
            </w:pPr>
            <w:r w:rsidRPr="00300F14">
              <w:t>Adverse events resulting in treatment discontinuation (all-causality)</w:t>
            </w:r>
          </w:p>
        </w:tc>
        <w:tc>
          <w:tcPr>
            <w:tcW w:w="1134" w:type="dxa"/>
            <w:shd w:val="clear" w:color="auto" w:fill="auto"/>
            <w:vAlign w:val="center"/>
          </w:tcPr>
          <w:p w14:paraId="56EC0E87" w14:textId="77777777" w:rsidR="00DF03D5" w:rsidRPr="00300F14" w:rsidRDefault="00DF03D5">
            <w:pPr>
              <w:pStyle w:val="TableText0"/>
              <w:jc w:val="center"/>
            </w:pPr>
            <w:r w:rsidRPr="00300F14">
              <w:t>56 (24.6%)</w:t>
            </w:r>
          </w:p>
        </w:tc>
        <w:tc>
          <w:tcPr>
            <w:tcW w:w="1180" w:type="dxa"/>
            <w:shd w:val="clear" w:color="auto" w:fill="auto"/>
            <w:vAlign w:val="center"/>
          </w:tcPr>
          <w:p w14:paraId="38F62D95" w14:textId="77777777" w:rsidR="00DF03D5" w:rsidRPr="00300F14" w:rsidRDefault="00DF03D5">
            <w:pPr>
              <w:pStyle w:val="TableText0"/>
              <w:jc w:val="center"/>
            </w:pPr>
            <w:r w:rsidRPr="00300F14">
              <w:t>25 (10.9%)</w:t>
            </w:r>
          </w:p>
        </w:tc>
        <w:tc>
          <w:tcPr>
            <w:tcW w:w="1592" w:type="dxa"/>
            <w:shd w:val="clear" w:color="auto" w:fill="auto"/>
            <w:vAlign w:val="center"/>
          </w:tcPr>
          <w:p w14:paraId="573F6D1E" w14:textId="77777777" w:rsidR="00DF03D5" w:rsidRPr="00300F14" w:rsidRDefault="00DF03D5" w:rsidP="00B9063C">
            <w:pPr>
              <w:pStyle w:val="TableText0"/>
              <w:jc w:val="center"/>
              <w:rPr>
                <w:b/>
                <w:bCs w:val="0"/>
              </w:rPr>
            </w:pPr>
            <w:r w:rsidRPr="00300F14">
              <w:rPr>
                <w:b/>
                <w:bCs w:val="0"/>
              </w:rPr>
              <w:t>2.26 (1.46, 3.49), P = 0.0002</w:t>
            </w:r>
          </w:p>
        </w:tc>
        <w:tc>
          <w:tcPr>
            <w:tcW w:w="1430" w:type="dxa"/>
            <w:tcBorders>
              <w:top w:val="nil"/>
              <w:left w:val="single" w:sz="4" w:space="0" w:color="auto"/>
              <w:bottom w:val="single" w:sz="4" w:space="0" w:color="auto"/>
              <w:right w:val="single" w:sz="4" w:space="0" w:color="auto"/>
            </w:tcBorders>
            <w:shd w:val="clear" w:color="auto" w:fill="auto"/>
            <w:vAlign w:val="center"/>
          </w:tcPr>
          <w:p w14:paraId="3749F662" w14:textId="77777777" w:rsidR="00DF03D5" w:rsidRPr="00300F14" w:rsidRDefault="00DF03D5" w:rsidP="00B9063C">
            <w:pPr>
              <w:pStyle w:val="TableText0"/>
              <w:jc w:val="center"/>
              <w:rPr>
                <w:b/>
                <w:bCs w:val="0"/>
                <w:iCs/>
              </w:rPr>
            </w:pPr>
            <w:r w:rsidRPr="00300F14">
              <w:rPr>
                <w:b/>
                <w:bCs w:val="0"/>
                <w:iCs/>
              </w:rPr>
              <w:t>13.7 (6.8, 20.6)</w:t>
            </w:r>
          </w:p>
        </w:tc>
      </w:tr>
      <w:tr w:rsidR="00DF03D5" w:rsidRPr="00300F14" w14:paraId="05E63625" w14:textId="77777777" w:rsidTr="00B9063C">
        <w:tc>
          <w:tcPr>
            <w:tcW w:w="3681" w:type="dxa"/>
            <w:shd w:val="clear" w:color="auto" w:fill="auto"/>
            <w:vAlign w:val="center"/>
          </w:tcPr>
          <w:p w14:paraId="186C887E" w14:textId="77777777" w:rsidR="00DF03D5" w:rsidRPr="00300F14" w:rsidRDefault="00DF03D5">
            <w:pPr>
              <w:pStyle w:val="TableText0"/>
            </w:pPr>
            <w:r w:rsidRPr="00300F14">
              <w:t>Adverse events resulting in treatment discontinuation (study drug related)</w:t>
            </w:r>
          </w:p>
        </w:tc>
        <w:tc>
          <w:tcPr>
            <w:tcW w:w="1134" w:type="dxa"/>
            <w:shd w:val="clear" w:color="auto" w:fill="auto"/>
            <w:vAlign w:val="center"/>
          </w:tcPr>
          <w:p w14:paraId="16BD08DE" w14:textId="77777777" w:rsidR="00DF03D5" w:rsidRPr="00300F14" w:rsidRDefault="00DF03D5">
            <w:pPr>
              <w:pStyle w:val="TableText0"/>
              <w:jc w:val="center"/>
            </w:pPr>
            <w:r w:rsidRPr="00300F14">
              <w:t>44 (19.3%)</w:t>
            </w:r>
          </w:p>
        </w:tc>
        <w:tc>
          <w:tcPr>
            <w:tcW w:w="1180" w:type="dxa"/>
            <w:shd w:val="clear" w:color="auto" w:fill="auto"/>
            <w:vAlign w:val="center"/>
          </w:tcPr>
          <w:p w14:paraId="6D09DDE0" w14:textId="77777777" w:rsidR="00DF03D5" w:rsidRPr="00300F14" w:rsidRDefault="00DF03D5">
            <w:pPr>
              <w:pStyle w:val="TableText0"/>
              <w:jc w:val="center"/>
            </w:pPr>
            <w:r w:rsidRPr="00300F14">
              <w:t>17 (7.4%)</w:t>
            </w:r>
          </w:p>
        </w:tc>
        <w:tc>
          <w:tcPr>
            <w:tcW w:w="1592" w:type="dxa"/>
            <w:shd w:val="clear" w:color="auto" w:fill="auto"/>
            <w:vAlign w:val="center"/>
          </w:tcPr>
          <w:p w14:paraId="2E91C12E" w14:textId="77777777" w:rsidR="00DF03D5" w:rsidRPr="00300F14" w:rsidRDefault="00DF03D5" w:rsidP="00B9063C">
            <w:pPr>
              <w:pStyle w:val="TableText0"/>
              <w:jc w:val="center"/>
              <w:rPr>
                <w:b/>
                <w:bCs w:val="0"/>
              </w:rPr>
            </w:pPr>
            <w:r w:rsidRPr="00300F14">
              <w:rPr>
                <w:b/>
                <w:bCs w:val="0"/>
              </w:rPr>
              <w:t>2.61 (1.54, 4.43), p = 0.0004</w:t>
            </w:r>
          </w:p>
        </w:tc>
        <w:tc>
          <w:tcPr>
            <w:tcW w:w="1430" w:type="dxa"/>
            <w:tcBorders>
              <w:top w:val="nil"/>
              <w:left w:val="single" w:sz="4" w:space="0" w:color="auto"/>
              <w:bottom w:val="single" w:sz="4" w:space="0" w:color="auto"/>
              <w:right w:val="single" w:sz="4" w:space="0" w:color="auto"/>
            </w:tcBorders>
            <w:shd w:val="clear" w:color="auto" w:fill="auto"/>
            <w:vAlign w:val="center"/>
          </w:tcPr>
          <w:p w14:paraId="28ACBD48" w14:textId="77777777" w:rsidR="00DF03D5" w:rsidRPr="00300F14" w:rsidRDefault="00DF03D5" w:rsidP="00B9063C">
            <w:pPr>
              <w:pStyle w:val="TableText0"/>
              <w:jc w:val="center"/>
              <w:rPr>
                <w:b/>
                <w:bCs w:val="0"/>
                <w:iCs/>
              </w:rPr>
            </w:pPr>
            <w:r w:rsidRPr="00300F14">
              <w:rPr>
                <w:b/>
                <w:bCs w:val="0"/>
                <w:iCs/>
              </w:rPr>
              <w:t>11.9 (5.8, 18.0)</w:t>
            </w:r>
          </w:p>
        </w:tc>
      </w:tr>
      <w:tr w:rsidR="00DF03D5" w:rsidRPr="00300F14" w14:paraId="6EA1CE09" w14:textId="77777777" w:rsidTr="00B9063C">
        <w:tc>
          <w:tcPr>
            <w:tcW w:w="3681" w:type="dxa"/>
            <w:shd w:val="clear" w:color="auto" w:fill="auto"/>
            <w:vAlign w:val="center"/>
          </w:tcPr>
          <w:p w14:paraId="6BB7EBC0" w14:textId="30E50FE6" w:rsidR="00DF03D5" w:rsidRPr="00300F14" w:rsidRDefault="00DF03D5">
            <w:pPr>
              <w:pStyle w:val="TableText0"/>
              <w:rPr>
                <w:vertAlign w:val="superscript"/>
              </w:rPr>
            </w:pPr>
            <w:r w:rsidRPr="00300F14">
              <w:t>Deaths due to study drug toxicity</w:t>
            </w:r>
            <w:r w:rsidR="002D121B" w:rsidRPr="00300F14">
              <w:t xml:space="preserve"> </w:t>
            </w:r>
            <w:r w:rsidR="002D121B" w:rsidRPr="00300F14">
              <w:rPr>
                <w:vertAlign w:val="superscript"/>
              </w:rPr>
              <w:t>b</w:t>
            </w:r>
          </w:p>
        </w:tc>
        <w:tc>
          <w:tcPr>
            <w:tcW w:w="1134" w:type="dxa"/>
            <w:shd w:val="clear" w:color="auto" w:fill="auto"/>
            <w:vAlign w:val="center"/>
          </w:tcPr>
          <w:p w14:paraId="09DC1B71" w14:textId="77777777" w:rsidR="00DF03D5" w:rsidRPr="00300F14" w:rsidRDefault="00DF03D5">
            <w:pPr>
              <w:pStyle w:val="TableText0"/>
              <w:jc w:val="center"/>
            </w:pPr>
            <w:r w:rsidRPr="00300F14">
              <w:t>2 (0.9%)</w:t>
            </w:r>
          </w:p>
        </w:tc>
        <w:tc>
          <w:tcPr>
            <w:tcW w:w="1180" w:type="dxa"/>
            <w:shd w:val="clear" w:color="auto" w:fill="auto"/>
            <w:vAlign w:val="center"/>
          </w:tcPr>
          <w:p w14:paraId="5C1566BC" w14:textId="77777777" w:rsidR="00DF03D5" w:rsidRPr="00300F14" w:rsidRDefault="00DF03D5">
            <w:pPr>
              <w:pStyle w:val="TableText0"/>
              <w:jc w:val="center"/>
            </w:pPr>
            <w:r w:rsidRPr="00300F14">
              <w:t>0 (0.0%)</w:t>
            </w:r>
          </w:p>
        </w:tc>
        <w:tc>
          <w:tcPr>
            <w:tcW w:w="1592" w:type="dxa"/>
            <w:shd w:val="clear" w:color="auto" w:fill="auto"/>
            <w:vAlign w:val="center"/>
          </w:tcPr>
          <w:p w14:paraId="3C132C57" w14:textId="77777777" w:rsidR="00DF03D5" w:rsidRPr="00300F14" w:rsidRDefault="00DF03D5" w:rsidP="00B9063C">
            <w:pPr>
              <w:pStyle w:val="TableText0"/>
              <w:jc w:val="center"/>
            </w:pPr>
            <w:r w:rsidRPr="00300F14">
              <w:t>5.04 (0.24, 104.49), P = 0.30</w:t>
            </w:r>
          </w:p>
        </w:tc>
        <w:tc>
          <w:tcPr>
            <w:tcW w:w="1430" w:type="dxa"/>
            <w:tcBorders>
              <w:top w:val="nil"/>
              <w:left w:val="single" w:sz="4" w:space="0" w:color="auto"/>
              <w:bottom w:val="single" w:sz="4" w:space="0" w:color="auto"/>
              <w:right w:val="single" w:sz="4" w:space="0" w:color="auto"/>
            </w:tcBorders>
            <w:shd w:val="clear" w:color="auto" w:fill="auto"/>
            <w:vAlign w:val="center"/>
          </w:tcPr>
          <w:p w14:paraId="4698CA9D" w14:textId="77777777" w:rsidR="00DF03D5" w:rsidRPr="00300F14" w:rsidRDefault="00DF03D5" w:rsidP="00B9063C">
            <w:pPr>
              <w:pStyle w:val="TableText0"/>
              <w:jc w:val="center"/>
              <w:rPr>
                <w:iCs/>
              </w:rPr>
            </w:pPr>
            <w:r w:rsidRPr="00300F14">
              <w:rPr>
                <w:iCs/>
              </w:rPr>
              <w:t>0.9 (-0.3, 2.1)</w:t>
            </w:r>
          </w:p>
        </w:tc>
      </w:tr>
      <w:tr w:rsidR="00DF03D5" w:rsidRPr="00300F14" w14:paraId="20DE323B" w14:textId="77777777" w:rsidTr="00B9063C">
        <w:tc>
          <w:tcPr>
            <w:tcW w:w="3681" w:type="dxa"/>
            <w:shd w:val="clear" w:color="auto" w:fill="auto"/>
            <w:vAlign w:val="center"/>
          </w:tcPr>
          <w:p w14:paraId="506A29C7" w14:textId="77777777" w:rsidR="00DF03D5" w:rsidRPr="00300F14" w:rsidRDefault="00DF03D5">
            <w:pPr>
              <w:pStyle w:val="TableText0"/>
            </w:pPr>
            <w:r w:rsidRPr="00300F14">
              <w:t>Surgery related adverse events</w:t>
            </w:r>
          </w:p>
        </w:tc>
        <w:tc>
          <w:tcPr>
            <w:tcW w:w="1134" w:type="dxa"/>
            <w:shd w:val="clear" w:color="auto" w:fill="auto"/>
            <w:vAlign w:val="center"/>
          </w:tcPr>
          <w:p w14:paraId="13D19089" w14:textId="77777777" w:rsidR="00DF03D5" w:rsidRPr="00300F14" w:rsidRDefault="00DF03D5">
            <w:pPr>
              <w:pStyle w:val="TableText0"/>
              <w:jc w:val="center"/>
            </w:pPr>
            <w:r w:rsidRPr="00300F14">
              <w:t>73/178 (41.0%)</w:t>
            </w:r>
          </w:p>
        </w:tc>
        <w:tc>
          <w:tcPr>
            <w:tcW w:w="1180" w:type="dxa"/>
            <w:shd w:val="clear" w:color="auto" w:fill="auto"/>
            <w:vAlign w:val="center"/>
          </w:tcPr>
          <w:p w14:paraId="69A2980E" w14:textId="77777777" w:rsidR="00DF03D5" w:rsidRPr="00300F14" w:rsidRDefault="00DF03D5">
            <w:pPr>
              <w:pStyle w:val="TableText0"/>
              <w:jc w:val="center"/>
            </w:pPr>
            <w:r w:rsidRPr="00300F14">
              <w:t>69/178</w:t>
            </w:r>
          </w:p>
          <w:p w14:paraId="1DB04B72" w14:textId="77777777" w:rsidR="00DF03D5" w:rsidRPr="00300F14" w:rsidRDefault="00DF03D5">
            <w:pPr>
              <w:pStyle w:val="TableText0"/>
              <w:jc w:val="center"/>
            </w:pPr>
            <w:r w:rsidRPr="00300F14">
              <w:t>(38.8%)</w:t>
            </w:r>
          </w:p>
        </w:tc>
        <w:tc>
          <w:tcPr>
            <w:tcW w:w="1592" w:type="dxa"/>
            <w:shd w:val="clear" w:color="auto" w:fill="auto"/>
            <w:vAlign w:val="center"/>
          </w:tcPr>
          <w:p w14:paraId="0F4B1FA5" w14:textId="77777777" w:rsidR="00DF03D5" w:rsidRPr="00300F14" w:rsidRDefault="00DF03D5" w:rsidP="00B9063C">
            <w:pPr>
              <w:pStyle w:val="TableText0"/>
              <w:jc w:val="center"/>
            </w:pPr>
            <w:r w:rsidRPr="00300F14">
              <w:t>1.06 (0.820, 1.37), p = 0.67</w:t>
            </w:r>
          </w:p>
        </w:tc>
        <w:tc>
          <w:tcPr>
            <w:tcW w:w="1430" w:type="dxa"/>
            <w:vAlign w:val="center"/>
          </w:tcPr>
          <w:p w14:paraId="5009BE81" w14:textId="77777777" w:rsidR="00DF03D5" w:rsidRPr="00300F14" w:rsidRDefault="00DF03D5" w:rsidP="00B9063C">
            <w:pPr>
              <w:pStyle w:val="TableText0"/>
              <w:jc w:val="center"/>
              <w:rPr>
                <w:iCs/>
              </w:rPr>
            </w:pPr>
            <w:r w:rsidRPr="00300F14">
              <w:rPr>
                <w:iCs/>
              </w:rPr>
              <w:t>2.2 (-7.9, 12.4)</w:t>
            </w:r>
          </w:p>
        </w:tc>
      </w:tr>
      <w:tr w:rsidR="00E07EB2" w:rsidRPr="00992F12" w14:paraId="192D4EBB" w14:textId="77777777">
        <w:tc>
          <w:tcPr>
            <w:tcW w:w="9017" w:type="dxa"/>
            <w:gridSpan w:val="5"/>
            <w:shd w:val="clear" w:color="auto" w:fill="auto"/>
            <w:vAlign w:val="center"/>
          </w:tcPr>
          <w:p w14:paraId="39AF67C9" w14:textId="6C5DCA34" w:rsidR="00E07EB2" w:rsidRPr="00E07EB2" w:rsidRDefault="00E07EB2" w:rsidP="00E07EB2">
            <w:pPr>
              <w:pStyle w:val="TableText0"/>
              <w:rPr>
                <w:b/>
                <w:bCs w:val="0"/>
              </w:rPr>
            </w:pPr>
            <w:r w:rsidRPr="00E07EB2">
              <w:rPr>
                <w:b/>
                <w:bCs w:val="0"/>
              </w:rPr>
              <w:t xml:space="preserve">Immune-mediated </w:t>
            </w:r>
            <w:r>
              <w:rPr>
                <w:b/>
                <w:bCs w:val="0"/>
              </w:rPr>
              <w:t>adverse events</w:t>
            </w:r>
          </w:p>
        </w:tc>
      </w:tr>
      <w:tr w:rsidR="00E07EB2" w:rsidRPr="00300F14" w14:paraId="60292CC4" w14:textId="77777777">
        <w:tc>
          <w:tcPr>
            <w:tcW w:w="3681" w:type="dxa"/>
            <w:shd w:val="clear" w:color="auto" w:fill="auto"/>
            <w:vAlign w:val="center"/>
          </w:tcPr>
          <w:p w14:paraId="10679745" w14:textId="51EEEDC9" w:rsidR="00E07EB2" w:rsidRPr="00300F14" w:rsidRDefault="00E07EB2" w:rsidP="00E07EB2">
            <w:pPr>
              <w:pStyle w:val="TableText0"/>
            </w:pPr>
            <w:r w:rsidRPr="00300F14">
              <w:t>Pneumonitis (any grade)</w:t>
            </w:r>
          </w:p>
        </w:tc>
        <w:tc>
          <w:tcPr>
            <w:tcW w:w="1134" w:type="dxa"/>
            <w:tcBorders>
              <w:top w:val="single" w:sz="4" w:space="0" w:color="auto"/>
            </w:tcBorders>
          </w:tcPr>
          <w:p w14:paraId="7122EDC8" w14:textId="2907921E" w:rsidR="00E07EB2" w:rsidRPr="00300F14" w:rsidRDefault="00E07EB2" w:rsidP="00E07EB2">
            <w:pPr>
              <w:pStyle w:val="TableText0"/>
              <w:jc w:val="center"/>
            </w:pPr>
            <w:r w:rsidRPr="00300F14">
              <w:t>12 (5.3%)</w:t>
            </w:r>
          </w:p>
        </w:tc>
        <w:tc>
          <w:tcPr>
            <w:tcW w:w="1180" w:type="dxa"/>
            <w:tcBorders>
              <w:top w:val="single" w:sz="4" w:space="0" w:color="auto"/>
            </w:tcBorders>
          </w:tcPr>
          <w:p w14:paraId="640908F1" w14:textId="227D3FC0" w:rsidR="00E07EB2" w:rsidRPr="00300F14" w:rsidRDefault="00E07EB2" w:rsidP="00E07EB2">
            <w:pPr>
              <w:pStyle w:val="TableText0"/>
              <w:jc w:val="center"/>
            </w:pPr>
            <w:r w:rsidRPr="00300F14">
              <w:t>3 (1.3%)</w:t>
            </w:r>
          </w:p>
        </w:tc>
        <w:tc>
          <w:tcPr>
            <w:tcW w:w="1592" w:type="dxa"/>
            <w:tcBorders>
              <w:top w:val="nil"/>
              <w:left w:val="single" w:sz="4" w:space="0" w:color="auto"/>
              <w:bottom w:val="single" w:sz="4" w:space="0" w:color="auto"/>
              <w:right w:val="single" w:sz="4" w:space="0" w:color="auto"/>
            </w:tcBorders>
            <w:shd w:val="clear" w:color="auto" w:fill="auto"/>
            <w:vAlign w:val="bottom"/>
          </w:tcPr>
          <w:p w14:paraId="49A8E5FC" w14:textId="3A035ABA" w:rsidR="00E07EB2" w:rsidRPr="00300F14" w:rsidRDefault="00E07EB2" w:rsidP="00E07EB2">
            <w:pPr>
              <w:pStyle w:val="TableText0"/>
              <w:jc w:val="center"/>
            </w:pPr>
            <w:r w:rsidRPr="00300F14">
              <w:rPr>
                <w:b/>
                <w:bCs w:val="0"/>
                <w:iCs/>
              </w:rPr>
              <w:t>4.04 (1.15, 14.11)</w:t>
            </w:r>
          </w:p>
        </w:tc>
        <w:tc>
          <w:tcPr>
            <w:tcW w:w="1430" w:type="dxa"/>
            <w:tcBorders>
              <w:top w:val="nil"/>
              <w:left w:val="nil"/>
              <w:bottom w:val="single" w:sz="4" w:space="0" w:color="auto"/>
              <w:right w:val="single" w:sz="4" w:space="0" w:color="auto"/>
            </w:tcBorders>
            <w:shd w:val="clear" w:color="auto" w:fill="auto"/>
            <w:vAlign w:val="bottom"/>
          </w:tcPr>
          <w:p w14:paraId="6F8BC59E" w14:textId="2DBC7155" w:rsidR="00E07EB2" w:rsidRPr="00300F14" w:rsidRDefault="00E07EB2" w:rsidP="00E07EB2">
            <w:pPr>
              <w:pStyle w:val="TableText0"/>
              <w:jc w:val="center"/>
              <w:rPr>
                <w:b/>
                <w:bCs w:val="0"/>
                <w:iCs/>
              </w:rPr>
            </w:pPr>
            <w:r w:rsidRPr="00300F14">
              <w:rPr>
                <w:b/>
                <w:bCs w:val="0"/>
                <w:iCs/>
              </w:rPr>
              <w:t>4.0 (0.7, 7.2)</w:t>
            </w:r>
          </w:p>
        </w:tc>
      </w:tr>
      <w:tr w:rsidR="00E07EB2" w:rsidRPr="00300F14" w14:paraId="6B2B856E" w14:textId="77777777">
        <w:tc>
          <w:tcPr>
            <w:tcW w:w="3681" w:type="dxa"/>
            <w:shd w:val="clear" w:color="auto" w:fill="auto"/>
            <w:vAlign w:val="center"/>
          </w:tcPr>
          <w:p w14:paraId="453A9810" w14:textId="2923A9FB" w:rsidR="00E07EB2" w:rsidRPr="00300F14" w:rsidRDefault="00E07EB2" w:rsidP="00B16036">
            <w:pPr>
              <w:pStyle w:val="TableText0"/>
            </w:pPr>
            <w:r w:rsidRPr="00300F14">
              <w:t>Grade ≥ 3</w:t>
            </w:r>
          </w:p>
        </w:tc>
        <w:tc>
          <w:tcPr>
            <w:tcW w:w="1134" w:type="dxa"/>
            <w:tcBorders>
              <w:top w:val="single" w:sz="4" w:space="0" w:color="auto"/>
            </w:tcBorders>
          </w:tcPr>
          <w:p w14:paraId="73E882BD" w14:textId="15385C20" w:rsidR="00E07EB2" w:rsidRPr="00300F14" w:rsidRDefault="00E07EB2" w:rsidP="00E07EB2">
            <w:pPr>
              <w:pStyle w:val="TableText0"/>
              <w:jc w:val="center"/>
            </w:pPr>
            <w:r w:rsidRPr="00300F14">
              <w:t>5 (2.2%)</w:t>
            </w:r>
          </w:p>
        </w:tc>
        <w:tc>
          <w:tcPr>
            <w:tcW w:w="1180" w:type="dxa"/>
            <w:tcBorders>
              <w:top w:val="single" w:sz="4" w:space="0" w:color="auto"/>
            </w:tcBorders>
          </w:tcPr>
          <w:p w14:paraId="39EC8033" w14:textId="2E32E51C" w:rsidR="00E07EB2" w:rsidRPr="00300F14" w:rsidRDefault="00E07EB2" w:rsidP="00E07EB2">
            <w:pPr>
              <w:pStyle w:val="TableText0"/>
              <w:jc w:val="center"/>
            </w:pPr>
            <w:r w:rsidRPr="00300F14">
              <w:t>2 (0.9%)</w:t>
            </w:r>
          </w:p>
        </w:tc>
        <w:tc>
          <w:tcPr>
            <w:tcW w:w="1592" w:type="dxa"/>
            <w:tcBorders>
              <w:top w:val="nil"/>
              <w:left w:val="single" w:sz="4" w:space="0" w:color="auto"/>
              <w:bottom w:val="single" w:sz="4" w:space="0" w:color="auto"/>
              <w:right w:val="single" w:sz="4" w:space="0" w:color="auto"/>
            </w:tcBorders>
            <w:shd w:val="clear" w:color="auto" w:fill="auto"/>
            <w:vAlign w:val="bottom"/>
          </w:tcPr>
          <w:p w14:paraId="40FF01F7" w14:textId="718C2076" w:rsidR="00E07EB2" w:rsidRPr="00300F14" w:rsidRDefault="00E07EB2" w:rsidP="00E07EB2">
            <w:pPr>
              <w:pStyle w:val="TableText0"/>
              <w:jc w:val="center"/>
              <w:rPr>
                <w:b/>
                <w:bCs w:val="0"/>
                <w:iCs/>
              </w:rPr>
            </w:pPr>
            <w:r w:rsidRPr="00300F14">
              <w:rPr>
                <w:iCs/>
              </w:rPr>
              <w:t>2.52 (0.49, 12.87)</w:t>
            </w:r>
          </w:p>
        </w:tc>
        <w:tc>
          <w:tcPr>
            <w:tcW w:w="1430" w:type="dxa"/>
            <w:tcBorders>
              <w:top w:val="nil"/>
              <w:left w:val="nil"/>
              <w:bottom w:val="single" w:sz="4" w:space="0" w:color="auto"/>
              <w:right w:val="single" w:sz="4" w:space="0" w:color="auto"/>
            </w:tcBorders>
            <w:shd w:val="clear" w:color="auto" w:fill="auto"/>
            <w:vAlign w:val="bottom"/>
          </w:tcPr>
          <w:p w14:paraId="11FB279E" w14:textId="27C63F09" w:rsidR="00E07EB2" w:rsidRPr="00300F14" w:rsidRDefault="00E07EB2" w:rsidP="00E07EB2">
            <w:pPr>
              <w:pStyle w:val="TableText0"/>
              <w:jc w:val="center"/>
              <w:rPr>
                <w:iCs/>
              </w:rPr>
            </w:pPr>
            <w:r w:rsidRPr="00300F14">
              <w:rPr>
                <w:iCs/>
              </w:rPr>
              <w:t>1.3 (-0.9, 3.6)</w:t>
            </w:r>
          </w:p>
        </w:tc>
      </w:tr>
    </w:tbl>
    <w:p w14:paraId="0739D356" w14:textId="4B6DF6C5" w:rsidR="00DF03D5" w:rsidRPr="00475E09" w:rsidRDefault="00DF03D5" w:rsidP="00DF03D5">
      <w:pPr>
        <w:pStyle w:val="TableFigureFooter"/>
        <w:rPr>
          <w:rFonts w:eastAsiaTheme="majorEastAsia"/>
        </w:rPr>
      </w:pPr>
      <w:r>
        <w:rPr>
          <w:rFonts w:eastAsiaTheme="majorEastAsia"/>
        </w:rPr>
        <w:t xml:space="preserve">Source: Table 73, p120 of the submission, </w:t>
      </w:r>
      <w:r w:rsidRPr="000000FE">
        <w:rPr>
          <w:rFonts w:eastAsiaTheme="minorHAnsi"/>
        </w:rPr>
        <w:t>Table 8.1.1-1</w:t>
      </w:r>
      <w:r>
        <w:rPr>
          <w:rFonts w:eastAsiaTheme="minorHAnsi"/>
        </w:rPr>
        <w:t>, Table 8.4-1</w:t>
      </w:r>
      <w:r w:rsidRPr="000000FE">
        <w:rPr>
          <w:rFonts w:eastAsiaTheme="minorHAnsi"/>
        </w:rPr>
        <w:t xml:space="preserve"> p</w:t>
      </w:r>
      <w:r>
        <w:rPr>
          <w:rFonts w:eastAsiaTheme="minorHAnsi"/>
        </w:rPr>
        <w:t>103, p123 of the</w:t>
      </w:r>
      <w:r w:rsidRPr="00F47D56">
        <w:rPr>
          <w:rFonts w:eastAsiaTheme="minorHAnsi"/>
        </w:rPr>
        <w:t xml:space="preserve"> C</w:t>
      </w:r>
      <w:r>
        <w:rPr>
          <w:rFonts w:eastAsiaTheme="minorHAnsi"/>
        </w:rPr>
        <w:t>M</w:t>
      </w:r>
      <w:r w:rsidRPr="00F47D56">
        <w:rPr>
          <w:rFonts w:eastAsiaTheme="minorHAnsi"/>
        </w:rPr>
        <w:t xml:space="preserve">77T </w:t>
      </w:r>
      <w:r>
        <w:rPr>
          <w:rFonts w:eastAsiaTheme="minorHAnsi"/>
        </w:rPr>
        <w:t>clinical study report</w:t>
      </w:r>
      <w:r w:rsidR="00572090">
        <w:rPr>
          <w:rFonts w:eastAsiaTheme="minorHAnsi"/>
        </w:rPr>
        <w:t xml:space="preserve"> and compiled</w:t>
      </w:r>
      <w:r w:rsidR="00300F14">
        <w:rPr>
          <w:rFonts w:eastAsiaTheme="minorHAnsi"/>
        </w:rPr>
        <w:t>/calculated</w:t>
      </w:r>
      <w:r w:rsidR="00572090">
        <w:rPr>
          <w:rFonts w:eastAsiaTheme="minorHAnsi"/>
        </w:rPr>
        <w:t xml:space="preserve"> during the evaluation</w:t>
      </w:r>
    </w:p>
    <w:p w14:paraId="506D2BCF" w14:textId="5A89F62B" w:rsidR="00DF03D5" w:rsidRDefault="00DF03D5" w:rsidP="00DF03D5">
      <w:pPr>
        <w:pStyle w:val="TableFigureFooter"/>
        <w:rPr>
          <w:rFonts w:eastAsiaTheme="majorEastAsia"/>
        </w:rPr>
      </w:pPr>
      <w:r w:rsidRPr="00992F12">
        <w:rPr>
          <w:rFonts w:eastAsiaTheme="majorEastAsia"/>
        </w:rPr>
        <w:t xml:space="preserve">Abbreviations: CI = confidence interval; </w:t>
      </w:r>
      <w:r w:rsidR="005E4D21">
        <w:rPr>
          <w:rFonts w:eastAsiaTheme="majorEastAsia"/>
        </w:rPr>
        <w:t>neoC</w:t>
      </w:r>
      <w:r w:rsidRPr="00992F12">
        <w:rPr>
          <w:rFonts w:eastAsiaTheme="majorEastAsia"/>
        </w:rPr>
        <w:t xml:space="preserve">hemo = neoadjuvant chemotherapy; </w:t>
      </w:r>
      <w:r w:rsidR="005E4D21">
        <w:rPr>
          <w:rFonts w:eastAsiaTheme="majorEastAsia"/>
        </w:rPr>
        <w:t>peri</w:t>
      </w:r>
      <w:r w:rsidRPr="00992F12">
        <w:rPr>
          <w:rFonts w:eastAsiaTheme="majorEastAsia"/>
        </w:rPr>
        <w:t>NIVO = perioperative nivolumab; RR = relative risk</w:t>
      </w:r>
      <w:r>
        <w:rPr>
          <w:rFonts w:eastAsiaTheme="majorEastAsia"/>
        </w:rPr>
        <w:t>; SAE = serious adverse event</w:t>
      </w:r>
    </w:p>
    <w:p w14:paraId="07368C6E" w14:textId="59F609DB" w:rsidR="00DF03D5" w:rsidRDefault="00DF03D5" w:rsidP="00DF03D5">
      <w:pPr>
        <w:pStyle w:val="TableFigureFooter"/>
        <w:rPr>
          <w:rFonts w:eastAsiaTheme="majorEastAsia"/>
        </w:rPr>
      </w:pPr>
      <w:r>
        <w:rPr>
          <w:rFonts w:eastAsiaTheme="majorEastAsia"/>
        </w:rPr>
        <w:t xml:space="preserve">Note: Bold values indicate results where the 95% CI did not include </w:t>
      </w:r>
      <w:r w:rsidR="00B9063C">
        <w:rPr>
          <w:rFonts w:eastAsiaTheme="majorEastAsia"/>
        </w:rPr>
        <w:t>the null</w:t>
      </w:r>
      <w:r>
        <w:rPr>
          <w:rFonts w:eastAsiaTheme="majorEastAsia"/>
        </w:rPr>
        <w:t>.</w:t>
      </w:r>
    </w:p>
    <w:p w14:paraId="52B5FE79" w14:textId="4ED7EFF9" w:rsidR="00DF03D5" w:rsidRDefault="00DF03D5" w:rsidP="00DF03D5">
      <w:pPr>
        <w:pStyle w:val="TableFigureFooter"/>
        <w:rPr>
          <w:rFonts w:eastAsiaTheme="minorHAnsi"/>
        </w:rPr>
      </w:pPr>
      <w:r>
        <w:rPr>
          <w:rFonts w:eastAsiaTheme="majorEastAsia"/>
          <w:vertAlign w:val="superscript"/>
        </w:rPr>
        <w:t>a</w:t>
      </w:r>
      <w:r>
        <w:rPr>
          <w:rFonts w:eastAsiaTheme="majorEastAsia"/>
        </w:rPr>
        <w:t xml:space="preserve"> The reported number of ≥ Grade 3 (all-causality) events provided by the submission could not be verified during evaluation</w:t>
      </w:r>
      <w:r>
        <w:rPr>
          <w:rFonts w:eastAsiaTheme="minorHAnsi"/>
        </w:rPr>
        <w:t>. Table 8.2-1, p113-4 of the CM77T CSR reported 108 (47.4%) and 99 (43.0%) grade 3-4 events for periNIVO and neoChemo respectively, compared to 115 (50.4%) and 103 (44.8%) reported by the submission.</w:t>
      </w:r>
    </w:p>
    <w:p w14:paraId="5C990653" w14:textId="68C94E72" w:rsidR="00DF03D5" w:rsidRPr="002D121B" w:rsidRDefault="002D121B" w:rsidP="00D86231">
      <w:pPr>
        <w:pStyle w:val="FooterTableFigure"/>
        <w:rPr>
          <w:rFonts w:eastAsia="Calibri"/>
        </w:rPr>
      </w:pPr>
      <w:r>
        <w:rPr>
          <w:rFonts w:eastAsia="Calibri"/>
          <w:vertAlign w:val="superscript"/>
        </w:rPr>
        <w:t xml:space="preserve">b </w:t>
      </w:r>
      <w:r>
        <w:rPr>
          <w:rFonts w:eastAsia="Calibri"/>
        </w:rPr>
        <w:t>T</w:t>
      </w:r>
      <w:r w:rsidRPr="002D121B">
        <w:rPr>
          <w:rFonts w:eastAsia="Calibri"/>
        </w:rPr>
        <w:t xml:space="preserve">wo deaths due to study drug toxicity (per investigator) </w:t>
      </w:r>
      <w:r>
        <w:rPr>
          <w:rFonts w:eastAsia="Calibri"/>
        </w:rPr>
        <w:t xml:space="preserve">were </w:t>
      </w:r>
      <w:r w:rsidRPr="002D121B">
        <w:rPr>
          <w:rFonts w:eastAsia="Calibri"/>
        </w:rPr>
        <w:t>reported in the periNIVO treatment arm. Both patients were reported to have died of pneumonitis after completing four cycles of neoadjuvant treatment.</w:t>
      </w:r>
    </w:p>
    <w:p w14:paraId="786BD0B4" w14:textId="1B9382B0" w:rsidR="00DF03D5" w:rsidRDefault="00E07EB2" w:rsidP="00E76081">
      <w:pPr>
        <w:pStyle w:val="Caption"/>
        <w:rPr>
          <w:rFonts w:eastAsia="Calibri"/>
        </w:rPr>
      </w:pPr>
      <w:bookmarkStart w:id="41" w:name="_Ref175758206"/>
      <w:r>
        <w:lastRenderedPageBreak/>
        <w:t xml:space="preserve">Table </w:t>
      </w:r>
      <w:r w:rsidR="00311318">
        <w:fldChar w:fldCharType="begin"/>
      </w:r>
      <w:r w:rsidR="00311318">
        <w:instrText xml:space="preserve"> SEQ Table \* ARABIC </w:instrText>
      </w:r>
      <w:r w:rsidR="00311318">
        <w:fldChar w:fldCharType="separate"/>
      </w:r>
      <w:r w:rsidR="009C09C9">
        <w:rPr>
          <w:noProof/>
        </w:rPr>
        <w:t>6</w:t>
      </w:r>
      <w:r w:rsidR="00311318">
        <w:rPr>
          <w:noProof/>
        </w:rPr>
        <w:fldChar w:fldCharType="end"/>
      </w:r>
      <w:bookmarkEnd w:id="41"/>
      <w:r>
        <w:t xml:space="preserve">: </w:t>
      </w:r>
      <w:r w:rsidRPr="00E07EB2">
        <w:t xml:space="preserve">Frequently reported treatment-related adverse events (≥ 15% of patients in any treatment arm) </w:t>
      </w:r>
      <w:r>
        <w:t>–</w:t>
      </w:r>
      <w:r w:rsidRPr="00E07EB2">
        <w:t xml:space="preserve"> CM</w:t>
      </w:r>
      <w:r>
        <w:t>77T</w:t>
      </w:r>
    </w:p>
    <w:tbl>
      <w:tblPr>
        <w:tblStyle w:val="TableGrid"/>
        <w:tblW w:w="0" w:type="auto"/>
        <w:tblLook w:val="04A0" w:firstRow="1" w:lastRow="0" w:firstColumn="1" w:lastColumn="0" w:noHBand="0" w:noVBand="1"/>
        <w:tblCaption w:val="Table 6: Frequently reported treatment-related adverse events (≥ 15% of patients in any treatment arm) – CM77T"/>
        <w:tblDescription w:val="Table 6: Frequently reported treatment-related adverse events (≥ 15% of patients in any treatment arm) – CM77T"/>
      </w:tblPr>
      <w:tblGrid>
        <w:gridCol w:w="3681"/>
        <w:gridCol w:w="1134"/>
        <w:gridCol w:w="1180"/>
        <w:gridCol w:w="1592"/>
        <w:gridCol w:w="1430"/>
      </w:tblGrid>
      <w:tr w:rsidR="00E07EB2" w:rsidRPr="00300F14" w14:paraId="76D13882" w14:textId="77777777">
        <w:tc>
          <w:tcPr>
            <w:tcW w:w="3681" w:type="dxa"/>
            <w:shd w:val="clear" w:color="auto" w:fill="auto"/>
          </w:tcPr>
          <w:p w14:paraId="50C3AD3F" w14:textId="77777777" w:rsidR="00E07EB2" w:rsidRPr="00300F14" w:rsidRDefault="00E07EB2" w:rsidP="00E76081">
            <w:pPr>
              <w:pStyle w:val="TableText0"/>
            </w:pPr>
          </w:p>
        </w:tc>
        <w:tc>
          <w:tcPr>
            <w:tcW w:w="1134" w:type="dxa"/>
            <w:shd w:val="clear" w:color="auto" w:fill="auto"/>
            <w:vAlign w:val="center"/>
          </w:tcPr>
          <w:p w14:paraId="7DDA3435" w14:textId="207B99A2" w:rsidR="00E07EB2" w:rsidRPr="00300F14" w:rsidRDefault="005E4D21" w:rsidP="00E76081">
            <w:pPr>
              <w:pStyle w:val="TableText0"/>
              <w:jc w:val="center"/>
              <w:rPr>
                <w:b/>
                <w:bCs w:val="0"/>
              </w:rPr>
            </w:pPr>
            <w:r w:rsidRPr="00300F14">
              <w:rPr>
                <w:b/>
                <w:bCs w:val="0"/>
              </w:rPr>
              <w:t>peri</w:t>
            </w:r>
            <w:r w:rsidR="00E07EB2" w:rsidRPr="00300F14">
              <w:rPr>
                <w:b/>
                <w:bCs w:val="0"/>
              </w:rPr>
              <w:t>NIVO (N=228)</w:t>
            </w:r>
          </w:p>
        </w:tc>
        <w:tc>
          <w:tcPr>
            <w:tcW w:w="1180" w:type="dxa"/>
            <w:shd w:val="clear" w:color="auto" w:fill="auto"/>
            <w:vAlign w:val="center"/>
          </w:tcPr>
          <w:p w14:paraId="3711CBCB" w14:textId="3112A8AE" w:rsidR="00E07EB2" w:rsidRPr="00300F14" w:rsidRDefault="005E4D21" w:rsidP="00E76081">
            <w:pPr>
              <w:pStyle w:val="TableText0"/>
              <w:jc w:val="center"/>
              <w:rPr>
                <w:b/>
                <w:bCs w:val="0"/>
              </w:rPr>
            </w:pPr>
            <w:r w:rsidRPr="00300F14">
              <w:rPr>
                <w:b/>
                <w:bCs w:val="0"/>
              </w:rPr>
              <w:t>neoC</w:t>
            </w:r>
            <w:r w:rsidR="00E07EB2" w:rsidRPr="00300F14">
              <w:rPr>
                <w:b/>
                <w:bCs w:val="0"/>
              </w:rPr>
              <w:t>hemo (N=230)</w:t>
            </w:r>
          </w:p>
        </w:tc>
        <w:tc>
          <w:tcPr>
            <w:tcW w:w="1592" w:type="dxa"/>
            <w:shd w:val="clear" w:color="auto" w:fill="auto"/>
            <w:vAlign w:val="center"/>
          </w:tcPr>
          <w:p w14:paraId="40C3EC02" w14:textId="77777777" w:rsidR="00E07EB2" w:rsidRPr="00300F14" w:rsidRDefault="00E07EB2" w:rsidP="00E76081">
            <w:pPr>
              <w:pStyle w:val="TableText0"/>
              <w:jc w:val="center"/>
              <w:rPr>
                <w:b/>
                <w:bCs w:val="0"/>
              </w:rPr>
            </w:pPr>
            <w:r w:rsidRPr="00300F14">
              <w:rPr>
                <w:b/>
                <w:bCs w:val="0"/>
              </w:rPr>
              <w:t>RR (95% CI)</w:t>
            </w:r>
          </w:p>
        </w:tc>
        <w:tc>
          <w:tcPr>
            <w:tcW w:w="1430" w:type="dxa"/>
            <w:vAlign w:val="center"/>
          </w:tcPr>
          <w:p w14:paraId="3741EA95" w14:textId="77777777" w:rsidR="00E07EB2" w:rsidRPr="00300F14" w:rsidRDefault="00E07EB2" w:rsidP="00E76081">
            <w:pPr>
              <w:pStyle w:val="TableText0"/>
              <w:jc w:val="center"/>
              <w:rPr>
                <w:b/>
                <w:bCs w:val="0"/>
                <w:iCs/>
              </w:rPr>
            </w:pPr>
            <w:r w:rsidRPr="00300F14">
              <w:rPr>
                <w:b/>
                <w:bCs w:val="0"/>
                <w:iCs/>
              </w:rPr>
              <w:t>RD (95% CI)</w:t>
            </w:r>
          </w:p>
        </w:tc>
      </w:tr>
      <w:tr w:rsidR="00E07EB2" w:rsidRPr="00300F14" w14:paraId="184FC913" w14:textId="77777777">
        <w:tc>
          <w:tcPr>
            <w:tcW w:w="3681" w:type="dxa"/>
            <w:tcBorders>
              <w:top w:val="single" w:sz="4" w:space="0" w:color="auto"/>
            </w:tcBorders>
          </w:tcPr>
          <w:p w14:paraId="5371C006" w14:textId="77777777" w:rsidR="00E07EB2" w:rsidRPr="00300F14" w:rsidRDefault="00E07EB2" w:rsidP="00E76081">
            <w:pPr>
              <w:pStyle w:val="TableText0"/>
            </w:pPr>
            <w:r w:rsidRPr="00300F14">
              <w:t xml:space="preserve">Any Grade Treatment-related adverse events </w:t>
            </w:r>
          </w:p>
        </w:tc>
        <w:tc>
          <w:tcPr>
            <w:tcW w:w="1134" w:type="dxa"/>
          </w:tcPr>
          <w:p w14:paraId="4DE07621" w14:textId="77777777" w:rsidR="00E07EB2" w:rsidRPr="00300F14" w:rsidRDefault="00E07EB2" w:rsidP="00E76081">
            <w:pPr>
              <w:pStyle w:val="TableText0"/>
              <w:jc w:val="center"/>
            </w:pPr>
            <w:r w:rsidRPr="00300F14">
              <w:t>203 (89.0%)</w:t>
            </w:r>
          </w:p>
        </w:tc>
        <w:tc>
          <w:tcPr>
            <w:tcW w:w="1180" w:type="dxa"/>
          </w:tcPr>
          <w:p w14:paraId="3720A28F" w14:textId="77777777" w:rsidR="00E07EB2" w:rsidRPr="00300F14" w:rsidRDefault="00E07EB2" w:rsidP="00E76081">
            <w:pPr>
              <w:pStyle w:val="TableText0"/>
              <w:jc w:val="center"/>
            </w:pPr>
            <w:r w:rsidRPr="00300F14">
              <w:t>200 (87.0%)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7A09283B" w14:textId="77777777" w:rsidR="00E07EB2" w:rsidRPr="00300F14" w:rsidRDefault="00E07EB2" w:rsidP="00E76081">
            <w:pPr>
              <w:pStyle w:val="TableText0"/>
              <w:jc w:val="center"/>
              <w:rPr>
                <w:iCs/>
              </w:rPr>
            </w:pPr>
            <w:r w:rsidRPr="00300F14">
              <w:rPr>
                <w:iCs/>
              </w:rPr>
              <w:t>1.02 (0.96, 1.10)</w:t>
            </w:r>
          </w:p>
        </w:tc>
        <w:tc>
          <w:tcPr>
            <w:tcW w:w="1430" w:type="dxa"/>
            <w:tcBorders>
              <w:top w:val="single" w:sz="4" w:space="0" w:color="auto"/>
              <w:left w:val="nil"/>
              <w:bottom w:val="single" w:sz="4" w:space="0" w:color="auto"/>
              <w:right w:val="single" w:sz="4" w:space="0" w:color="auto"/>
            </w:tcBorders>
            <w:shd w:val="clear" w:color="auto" w:fill="auto"/>
            <w:vAlign w:val="bottom"/>
          </w:tcPr>
          <w:p w14:paraId="4C5948EF" w14:textId="77777777" w:rsidR="00E07EB2" w:rsidRPr="00300F14" w:rsidRDefault="00E07EB2" w:rsidP="00E76081">
            <w:pPr>
              <w:pStyle w:val="TableText0"/>
              <w:jc w:val="center"/>
              <w:rPr>
                <w:iCs/>
              </w:rPr>
            </w:pPr>
            <w:r w:rsidRPr="00300F14">
              <w:rPr>
                <w:iCs/>
              </w:rPr>
              <w:t>2.1 (-3.9, 8.0)</w:t>
            </w:r>
          </w:p>
        </w:tc>
      </w:tr>
      <w:tr w:rsidR="00E07EB2" w:rsidRPr="00300F14" w14:paraId="46BAA714" w14:textId="77777777">
        <w:tc>
          <w:tcPr>
            <w:tcW w:w="3681" w:type="dxa"/>
          </w:tcPr>
          <w:p w14:paraId="47E1A5FC" w14:textId="77777777" w:rsidR="00E07EB2" w:rsidRPr="00300F14" w:rsidRDefault="00E07EB2" w:rsidP="00E76081">
            <w:pPr>
              <w:pStyle w:val="TableText0"/>
              <w:ind w:left="170"/>
            </w:pPr>
            <w:r w:rsidRPr="00300F14">
              <w:t>Anaemia</w:t>
            </w:r>
          </w:p>
        </w:tc>
        <w:tc>
          <w:tcPr>
            <w:tcW w:w="1134" w:type="dxa"/>
            <w:shd w:val="clear" w:color="auto" w:fill="auto"/>
          </w:tcPr>
          <w:p w14:paraId="36A98459" w14:textId="77777777" w:rsidR="00E07EB2" w:rsidRPr="00300F14" w:rsidRDefault="00E07EB2" w:rsidP="00E76081">
            <w:pPr>
              <w:pStyle w:val="TableText0"/>
              <w:jc w:val="center"/>
            </w:pPr>
            <w:r w:rsidRPr="00300F14">
              <w:t>57 (25.0%)</w:t>
            </w:r>
          </w:p>
        </w:tc>
        <w:tc>
          <w:tcPr>
            <w:tcW w:w="1180" w:type="dxa"/>
            <w:shd w:val="clear" w:color="auto" w:fill="auto"/>
          </w:tcPr>
          <w:p w14:paraId="20470EF8" w14:textId="77777777" w:rsidR="00E07EB2" w:rsidRPr="00300F14" w:rsidRDefault="00E07EB2" w:rsidP="00E76081">
            <w:pPr>
              <w:pStyle w:val="TableText0"/>
              <w:jc w:val="center"/>
            </w:pPr>
            <w:r w:rsidRPr="00300F14">
              <w:t>51 (22.2%)</w:t>
            </w:r>
          </w:p>
        </w:tc>
        <w:tc>
          <w:tcPr>
            <w:tcW w:w="1592" w:type="dxa"/>
            <w:tcBorders>
              <w:top w:val="nil"/>
              <w:left w:val="single" w:sz="4" w:space="0" w:color="auto"/>
              <w:bottom w:val="single" w:sz="4" w:space="0" w:color="auto"/>
              <w:right w:val="single" w:sz="4" w:space="0" w:color="auto"/>
            </w:tcBorders>
            <w:shd w:val="clear" w:color="auto" w:fill="auto"/>
            <w:vAlign w:val="bottom"/>
          </w:tcPr>
          <w:p w14:paraId="61160241" w14:textId="77777777" w:rsidR="00E07EB2" w:rsidRPr="00300F14" w:rsidRDefault="00E07EB2" w:rsidP="00E76081">
            <w:pPr>
              <w:pStyle w:val="TableText0"/>
              <w:jc w:val="center"/>
              <w:rPr>
                <w:iCs/>
              </w:rPr>
            </w:pPr>
            <w:r w:rsidRPr="00300F14">
              <w:rPr>
                <w:iCs/>
              </w:rPr>
              <w:t>1.13 (0.81, 1.57)</w:t>
            </w:r>
          </w:p>
        </w:tc>
        <w:tc>
          <w:tcPr>
            <w:tcW w:w="1430" w:type="dxa"/>
            <w:tcBorders>
              <w:top w:val="nil"/>
              <w:left w:val="nil"/>
              <w:bottom w:val="single" w:sz="4" w:space="0" w:color="auto"/>
              <w:right w:val="single" w:sz="4" w:space="0" w:color="auto"/>
            </w:tcBorders>
            <w:shd w:val="clear" w:color="auto" w:fill="auto"/>
            <w:vAlign w:val="bottom"/>
          </w:tcPr>
          <w:p w14:paraId="2461605D" w14:textId="77777777" w:rsidR="00E07EB2" w:rsidRPr="00300F14" w:rsidRDefault="00E07EB2" w:rsidP="00E76081">
            <w:pPr>
              <w:pStyle w:val="TableText0"/>
              <w:jc w:val="center"/>
              <w:rPr>
                <w:iCs/>
              </w:rPr>
            </w:pPr>
            <w:r w:rsidRPr="00300F14">
              <w:rPr>
                <w:iCs/>
              </w:rPr>
              <w:t>2.8 (-4.9, 10.6)</w:t>
            </w:r>
          </w:p>
        </w:tc>
      </w:tr>
      <w:tr w:rsidR="00E07EB2" w:rsidRPr="00300F14" w14:paraId="6D591CA1" w14:textId="77777777">
        <w:tc>
          <w:tcPr>
            <w:tcW w:w="3681" w:type="dxa"/>
          </w:tcPr>
          <w:p w14:paraId="01A87533" w14:textId="77777777" w:rsidR="00E07EB2" w:rsidRPr="00300F14" w:rsidRDefault="00E07EB2" w:rsidP="00E76081">
            <w:pPr>
              <w:pStyle w:val="TableText0"/>
              <w:ind w:left="170"/>
            </w:pPr>
            <w:r w:rsidRPr="00300F14">
              <w:t>Nausea</w:t>
            </w:r>
          </w:p>
        </w:tc>
        <w:tc>
          <w:tcPr>
            <w:tcW w:w="1134" w:type="dxa"/>
            <w:shd w:val="clear" w:color="auto" w:fill="auto"/>
          </w:tcPr>
          <w:p w14:paraId="36A4CB38" w14:textId="77777777" w:rsidR="00E07EB2" w:rsidRPr="00300F14" w:rsidRDefault="00E07EB2" w:rsidP="00E76081">
            <w:pPr>
              <w:pStyle w:val="TableText0"/>
              <w:jc w:val="center"/>
            </w:pPr>
            <w:r w:rsidRPr="00300F14">
              <w:t>53 (23.2%)</w:t>
            </w:r>
          </w:p>
        </w:tc>
        <w:tc>
          <w:tcPr>
            <w:tcW w:w="1180" w:type="dxa"/>
            <w:shd w:val="clear" w:color="auto" w:fill="auto"/>
          </w:tcPr>
          <w:p w14:paraId="6B14E4D4" w14:textId="77777777" w:rsidR="00E07EB2" w:rsidRPr="00300F14" w:rsidRDefault="00E07EB2" w:rsidP="00E76081">
            <w:pPr>
              <w:pStyle w:val="TableText0"/>
              <w:jc w:val="center"/>
            </w:pPr>
            <w:r w:rsidRPr="00300F14">
              <w:t>65 (28.3%)</w:t>
            </w:r>
          </w:p>
        </w:tc>
        <w:tc>
          <w:tcPr>
            <w:tcW w:w="1592" w:type="dxa"/>
            <w:tcBorders>
              <w:top w:val="nil"/>
              <w:left w:val="single" w:sz="4" w:space="0" w:color="auto"/>
              <w:bottom w:val="single" w:sz="4" w:space="0" w:color="auto"/>
              <w:right w:val="single" w:sz="4" w:space="0" w:color="auto"/>
            </w:tcBorders>
            <w:shd w:val="clear" w:color="auto" w:fill="auto"/>
            <w:vAlign w:val="bottom"/>
          </w:tcPr>
          <w:p w14:paraId="1B9B9B3E" w14:textId="77777777" w:rsidR="00E07EB2" w:rsidRPr="00300F14" w:rsidRDefault="00E07EB2" w:rsidP="00E76081">
            <w:pPr>
              <w:pStyle w:val="TableText0"/>
              <w:jc w:val="center"/>
              <w:rPr>
                <w:iCs/>
              </w:rPr>
            </w:pPr>
            <w:r w:rsidRPr="00300F14">
              <w:rPr>
                <w:iCs/>
              </w:rPr>
              <w:t>0.82 (0.60, 1.12)</w:t>
            </w:r>
          </w:p>
        </w:tc>
        <w:tc>
          <w:tcPr>
            <w:tcW w:w="1430" w:type="dxa"/>
            <w:tcBorders>
              <w:top w:val="nil"/>
              <w:left w:val="nil"/>
              <w:bottom w:val="single" w:sz="4" w:space="0" w:color="auto"/>
              <w:right w:val="single" w:sz="4" w:space="0" w:color="auto"/>
            </w:tcBorders>
            <w:shd w:val="clear" w:color="auto" w:fill="auto"/>
            <w:vAlign w:val="bottom"/>
          </w:tcPr>
          <w:p w14:paraId="3B9F67AD" w14:textId="77777777" w:rsidR="00E07EB2" w:rsidRPr="00300F14" w:rsidRDefault="00E07EB2" w:rsidP="00E76081">
            <w:pPr>
              <w:pStyle w:val="TableText0"/>
              <w:jc w:val="center"/>
              <w:rPr>
                <w:iCs/>
              </w:rPr>
            </w:pPr>
            <w:r w:rsidRPr="00300F14">
              <w:rPr>
                <w:iCs/>
              </w:rPr>
              <w:t>-5.0 (-13.0, 3.0)</w:t>
            </w:r>
          </w:p>
        </w:tc>
      </w:tr>
      <w:tr w:rsidR="00E07EB2" w:rsidRPr="00300F14" w14:paraId="50E99AB0" w14:textId="77777777">
        <w:tc>
          <w:tcPr>
            <w:tcW w:w="3681" w:type="dxa"/>
          </w:tcPr>
          <w:p w14:paraId="0EAC42F4" w14:textId="77777777" w:rsidR="00E07EB2" w:rsidRPr="00300F14" w:rsidRDefault="00E07EB2" w:rsidP="00E76081">
            <w:pPr>
              <w:pStyle w:val="TableText0"/>
              <w:ind w:left="170"/>
            </w:pPr>
            <w:r w:rsidRPr="00300F14">
              <w:t>Alopecia</w:t>
            </w:r>
          </w:p>
        </w:tc>
        <w:tc>
          <w:tcPr>
            <w:tcW w:w="1134" w:type="dxa"/>
            <w:shd w:val="clear" w:color="auto" w:fill="auto"/>
          </w:tcPr>
          <w:p w14:paraId="019144DD" w14:textId="77777777" w:rsidR="00E07EB2" w:rsidRPr="00300F14" w:rsidRDefault="00E07EB2" w:rsidP="00E76081">
            <w:pPr>
              <w:pStyle w:val="TableText0"/>
              <w:jc w:val="center"/>
            </w:pPr>
            <w:r w:rsidRPr="00300F14">
              <w:t>52 (22.8%)</w:t>
            </w:r>
          </w:p>
        </w:tc>
        <w:tc>
          <w:tcPr>
            <w:tcW w:w="1180" w:type="dxa"/>
            <w:shd w:val="clear" w:color="auto" w:fill="auto"/>
          </w:tcPr>
          <w:p w14:paraId="3D0B8AEE" w14:textId="77777777" w:rsidR="00E07EB2" w:rsidRPr="00300F14" w:rsidRDefault="00E07EB2" w:rsidP="00E76081">
            <w:pPr>
              <w:pStyle w:val="TableText0"/>
              <w:jc w:val="center"/>
            </w:pPr>
            <w:r w:rsidRPr="00300F14">
              <w:t>53 (23.0%)</w:t>
            </w:r>
          </w:p>
        </w:tc>
        <w:tc>
          <w:tcPr>
            <w:tcW w:w="1592" w:type="dxa"/>
            <w:tcBorders>
              <w:top w:val="nil"/>
              <w:left w:val="single" w:sz="4" w:space="0" w:color="auto"/>
              <w:bottom w:val="single" w:sz="4" w:space="0" w:color="auto"/>
              <w:right w:val="single" w:sz="4" w:space="0" w:color="auto"/>
            </w:tcBorders>
            <w:shd w:val="clear" w:color="auto" w:fill="auto"/>
            <w:vAlign w:val="bottom"/>
          </w:tcPr>
          <w:p w14:paraId="7EDDB296" w14:textId="77777777" w:rsidR="00E07EB2" w:rsidRPr="00300F14" w:rsidRDefault="00E07EB2" w:rsidP="00E76081">
            <w:pPr>
              <w:pStyle w:val="TableText0"/>
              <w:jc w:val="center"/>
              <w:rPr>
                <w:iCs/>
              </w:rPr>
            </w:pPr>
            <w:r w:rsidRPr="00300F14">
              <w:rPr>
                <w:iCs/>
              </w:rPr>
              <w:t>0.99 (0.71, 1.38)</w:t>
            </w:r>
          </w:p>
        </w:tc>
        <w:tc>
          <w:tcPr>
            <w:tcW w:w="1430" w:type="dxa"/>
            <w:tcBorders>
              <w:top w:val="nil"/>
              <w:left w:val="nil"/>
              <w:bottom w:val="single" w:sz="4" w:space="0" w:color="auto"/>
              <w:right w:val="single" w:sz="4" w:space="0" w:color="auto"/>
            </w:tcBorders>
            <w:shd w:val="clear" w:color="auto" w:fill="auto"/>
            <w:vAlign w:val="bottom"/>
          </w:tcPr>
          <w:p w14:paraId="1A191FE7" w14:textId="77777777" w:rsidR="00E07EB2" w:rsidRPr="00300F14" w:rsidRDefault="00E07EB2" w:rsidP="00E76081">
            <w:pPr>
              <w:pStyle w:val="TableText0"/>
              <w:jc w:val="center"/>
              <w:rPr>
                <w:iCs/>
              </w:rPr>
            </w:pPr>
            <w:r w:rsidRPr="00300F14">
              <w:rPr>
                <w:iCs/>
              </w:rPr>
              <w:t>-0.2 (-7.9, 7.5)</w:t>
            </w:r>
          </w:p>
        </w:tc>
      </w:tr>
      <w:tr w:rsidR="00E07EB2" w:rsidRPr="00300F14" w14:paraId="527CA315" w14:textId="77777777">
        <w:tc>
          <w:tcPr>
            <w:tcW w:w="3681" w:type="dxa"/>
          </w:tcPr>
          <w:p w14:paraId="2CE02D80" w14:textId="77777777" w:rsidR="00E07EB2" w:rsidRPr="00300F14" w:rsidRDefault="00E07EB2" w:rsidP="00E76081">
            <w:pPr>
              <w:pStyle w:val="TableText0"/>
              <w:ind w:left="170"/>
              <w:rPr>
                <w:iCs/>
              </w:rPr>
            </w:pPr>
            <w:r w:rsidRPr="00300F14">
              <w:t>Constipation</w:t>
            </w:r>
          </w:p>
        </w:tc>
        <w:tc>
          <w:tcPr>
            <w:tcW w:w="1134" w:type="dxa"/>
            <w:shd w:val="clear" w:color="auto" w:fill="auto"/>
          </w:tcPr>
          <w:p w14:paraId="2F3E5FFE" w14:textId="77777777" w:rsidR="00E07EB2" w:rsidRPr="00300F14" w:rsidRDefault="00E07EB2" w:rsidP="00E76081">
            <w:pPr>
              <w:pStyle w:val="TableText0"/>
              <w:jc w:val="center"/>
              <w:rPr>
                <w:iCs/>
              </w:rPr>
            </w:pPr>
            <w:r w:rsidRPr="00300F14">
              <w:t>51 (22.4%)</w:t>
            </w:r>
          </w:p>
        </w:tc>
        <w:tc>
          <w:tcPr>
            <w:tcW w:w="1180" w:type="dxa"/>
            <w:shd w:val="clear" w:color="auto" w:fill="auto"/>
          </w:tcPr>
          <w:p w14:paraId="06F55A9C" w14:textId="77777777" w:rsidR="00E07EB2" w:rsidRPr="00300F14" w:rsidRDefault="00E07EB2" w:rsidP="00E76081">
            <w:pPr>
              <w:pStyle w:val="TableText0"/>
              <w:jc w:val="center"/>
              <w:rPr>
                <w:iCs/>
              </w:rPr>
            </w:pPr>
            <w:r w:rsidRPr="00300F14">
              <w:t>39 (17.0%)</w:t>
            </w:r>
          </w:p>
        </w:tc>
        <w:tc>
          <w:tcPr>
            <w:tcW w:w="1592" w:type="dxa"/>
            <w:tcBorders>
              <w:top w:val="nil"/>
              <w:left w:val="single" w:sz="4" w:space="0" w:color="auto"/>
              <w:bottom w:val="single" w:sz="4" w:space="0" w:color="auto"/>
              <w:right w:val="single" w:sz="4" w:space="0" w:color="auto"/>
            </w:tcBorders>
            <w:shd w:val="clear" w:color="auto" w:fill="auto"/>
            <w:vAlign w:val="bottom"/>
          </w:tcPr>
          <w:p w14:paraId="0DA1C327" w14:textId="77777777" w:rsidR="00E07EB2" w:rsidRPr="00300F14" w:rsidRDefault="00E07EB2" w:rsidP="00E76081">
            <w:pPr>
              <w:pStyle w:val="TableText0"/>
              <w:jc w:val="center"/>
              <w:rPr>
                <w:iCs/>
              </w:rPr>
            </w:pPr>
            <w:r w:rsidRPr="00300F14">
              <w:rPr>
                <w:iCs/>
              </w:rPr>
              <w:t>1.32 (0.91, 1.92)</w:t>
            </w:r>
          </w:p>
        </w:tc>
        <w:tc>
          <w:tcPr>
            <w:tcW w:w="1430" w:type="dxa"/>
            <w:tcBorders>
              <w:top w:val="nil"/>
              <w:left w:val="nil"/>
              <w:bottom w:val="single" w:sz="4" w:space="0" w:color="auto"/>
              <w:right w:val="single" w:sz="4" w:space="0" w:color="auto"/>
            </w:tcBorders>
            <w:shd w:val="clear" w:color="auto" w:fill="auto"/>
            <w:vAlign w:val="bottom"/>
          </w:tcPr>
          <w:p w14:paraId="11C876A7" w14:textId="77777777" w:rsidR="00E07EB2" w:rsidRPr="00300F14" w:rsidRDefault="00E07EB2" w:rsidP="00E76081">
            <w:pPr>
              <w:pStyle w:val="TableText0"/>
              <w:jc w:val="center"/>
              <w:rPr>
                <w:iCs/>
              </w:rPr>
            </w:pPr>
            <w:r w:rsidRPr="00300F14">
              <w:rPr>
                <w:iCs/>
              </w:rPr>
              <w:t>5.4 (-1.9, 12.7)</w:t>
            </w:r>
          </w:p>
        </w:tc>
      </w:tr>
      <w:tr w:rsidR="00E07EB2" w:rsidRPr="00300F14" w14:paraId="2EAA8A69" w14:textId="77777777">
        <w:tc>
          <w:tcPr>
            <w:tcW w:w="3681" w:type="dxa"/>
          </w:tcPr>
          <w:p w14:paraId="1289423C" w14:textId="77777777" w:rsidR="00E07EB2" w:rsidRPr="00300F14" w:rsidRDefault="00E07EB2" w:rsidP="00E76081">
            <w:pPr>
              <w:pStyle w:val="TableText0"/>
              <w:ind w:left="170"/>
            </w:pPr>
            <w:r w:rsidRPr="00300F14">
              <w:t>Fatigue</w:t>
            </w:r>
          </w:p>
        </w:tc>
        <w:tc>
          <w:tcPr>
            <w:tcW w:w="1134" w:type="dxa"/>
            <w:shd w:val="clear" w:color="auto" w:fill="auto"/>
          </w:tcPr>
          <w:p w14:paraId="36BEB6F6" w14:textId="77777777" w:rsidR="00E07EB2" w:rsidRPr="00300F14" w:rsidRDefault="00E07EB2" w:rsidP="00E76081">
            <w:pPr>
              <w:pStyle w:val="TableText0"/>
              <w:jc w:val="center"/>
              <w:rPr>
                <w:iCs/>
              </w:rPr>
            </w:pPr>
            <w:r w:rsidRPr="00300F14">
              <w:t>47 (20.6%)</w:t>
            </w:r>
          </w:p>
        </w:tc>
        <w:tc>
          <w:tcPr>
            <w:tcW w:w="1180" w:type="dxa"/>
            <w:shd w:val="clear" w:color="auto" w:fill="auto"/>
          </w:tcPr>
          <w:p w14:paraId="4D7DD9ED" w14:textId="77777777" w:rsidR="00E07EB2" w:rsidRPr="00300F14" w:rsidRDefault="00E07EB2" w:rsidP="00E76081">
            <w:pPr>
              <w:pStyle w:val="TableText0"/>
              <w:jc w:val="center"/>
              <w:rPr>
                <w:iCs/>
              </w:rPr>
            </w:pPr>
            <w:r w:rsidRPr="00300F14">
              <w:t>44 (19.1%)</w:t>
            </w:r>
          </w:p>
        </w:tc>
        <w:tc>
          <w:tcPr>
            <w:tcW w:w="1592" w:type="dxa"/>
            <w:tcBorders>
              <w:top w:val="nil"/>
              <w:left w:val="single" w:sz="4" w:space="0" w:color="auto"/>
              <w:bottom w:val="single" w:sz="4" w:space="0" w:color="auto"/>
              <w:right w:val="single" w:sz="4" w:space="0" w:color="auto"/>
            </w:tcBorders>
            <w:shd w:val="clear" w:color="auto" w:fill="auto"/>
            <w:vAlign w:val="bottom"/>
          </w:tcPr>
          <w:p w14:paraId="701E3BC7" w14:textId="77777777" w:rsidR="00E07EB2" w:rsidRPr="00300F14" w:rsidRDefault="00E07EB2" w:rsidP="00E76081">
            <w:pPr>
              <w:pStyle w:val="TableText0"/>
              <w:jc w:val="center"/>
              <w:rPr>
                <w:iCs/>
              </w:rPr>
            </w:pPr>
            <w:r w:rsidRPr="00300F14">
              <w:rPr>
                <w:iCs/>
              </w:rPr>
              <w:t>1.08 (0.75, 1.56)</w:t>
            </w:r>
          </w:p>
        </w:tc>
        <w:tc>
          <w:tcPr>
            <w:tcW w:w="1430" w:type="dxa"/>
            <w:tcBorders>
              <w:top w:val="nil"/>
              <w:left w:val="nil"/>
              <w:bottom w:val="single" w:sz="4" w:space="0" w:color="auto"/>
              <w:right w:val="single" w:sz="4" w:space="0" w:color="auto"/>
            </w:tcBorders>
            <w:shd w:val="clear" w:color="auto" w:fill="auto"/>
            <w:vAlign w:val="bottom"/>
          </w:tcPr>
          <w:p w14:paraId="52E82399" w14:textId="77777777" w:rsidR="00E07EB2" w:rsidRPr="00300F14" w:rsidRDefault="00E07EB2" w:rsidP="00E76081">
            <w:pPr>
              <w:pStyle w:val="TableText0"/>
              <w:jc w:val="center"/>
              <w:rPr>
                <w:iCs/>
              </w:rPr>
            </w:pPr>
            <w:r w:rsidRPr="00300F14">
              <w:rPr>
                <w:iCs/>
              </w:rPr>
              <w:t>1.5 (-5.8, 8.8)</w:t>
            </w:r>
          </w:p>
        </w:tc>
      </w:tr>
      <w:tr w:rsidR="00E07EB2" w:rsidRPr="00300F14" w14:paraId="6C453981" w14:textId="77777777">
        <w:tc>
          <w:tcPr>
            <w:tcW w:w="3681" w:type="dxa"/>
          </w:tcPr>
          <w:p w14:paraId="5F8CB236" w14:textId="77777777" w:rsidR="00E07EB2" w:rsidRPr="00300F14" w:rsidRDefault="00E07EB2" w:rsidP="00E76081">
            <w:pPr>
              <w:pStyle w:val="TableText0"/>
              <w:ind w:left="170"/>
              <w:rPr>
                <w:iCs/>
              </w:rPr>
            </w:pPr>
            <w:r w:rsidRPr="00300F14">
              <w:t>Decreased neutrophil count</w:t>
            </w:r>
          </w:p>
        </w:tc>
        <w:tc>
          <w:tcPr>
            <w:tcW w:w="1134" w:type="dxa"/>
            <w:shd w:val="clear" w:color="auto" w:fill="auto"/>
          </w:tcPr>
          <w:p w14:paraId="339DBA2E" w14:textId="77777777" w:rsidR="00E07EB2" w:rsidRPr="00300F14" w:rsidRDefault="00E07EB2" w:rsidP="00E76081">
            <w:pPr>
              <w:pStyle w:val="TableText0"/>
              <w:jc w:val="center"/>
              <w:rPr>
                <w:iCs/>
              </w:rPr>
            </w:pPr>
            <w:r w:rsidRPr="00300F14">
              <w:t>35 (15.4%)</w:t>
            </w:r>
          </w:p>
        </w:tc>
        <w:tc>
          <w:tcPr>
            <w:tcW w:w="1180" w:type="dxa"/>
            <w:shd w:val="clear" w:color="auto" w:fill="auto"/>
          </w:tcPr>
          <w:p w14:paraId="44FC3427" w14:textId="77777777" w:rsidR="00E07EB2" w:rsidRPr="00300F14" w:rsidRDefault="00E07EB2" w:rsidP="00E76081">
            <w:pPr>
              <w:pStyle w:val="TableText0"/>
              <w:jc w:val="center"/>
              <w:rPr>
                <w:iCs/>
              </w:rPr>
            </w:pPr>
            <w:r w:rsidRPr="00300F14">
              <w:t>20 (8.7%)</w:t>
            </w:r>
          </w:p>
        </w:tc>
        <w:tc>
          <w:tcPr>
            <w:tcW w:w="1592" w:type="dxa"/>
            <w:tcBorders>
              <w:top w:val="nil"/>
              <w:left w:val="single" w:sz="4" w:space="0" w:color="auto"/>
              <w:bottom w:val="single" w:sz="4" w:space="0" w:color="auto"/>
              <w:right w:val="single" w:sz="4" w:space="0" w:color="auto"/>
            </w:tcBorders>
            <w:shd w:val="clear" w:color="auto" w:fill="auto"/>
            <w:vAlign w:val="bottom"/>
          </w:tcPr>
          <w:p w14:paraId="1A6993E9" w14:textId="77777777" w:rsidR="00E07EB2" w:rsidRPr="00300F14" w:rsidRDefault="00E07EB2" w:rsidP="00E76081">
            <w:pPr>
              <w:pStyle w:val="TableText0"/>
              <w:jc w:val="center"/>
              <w:rPr>
                <w:b/>
                <w:bCs w:val="0"/>
                <w:iCs/>
              </w:rPr>
            </w:pPr>
            <w:r w:rsidRPr="00300F14">
              <w:rPr>
                <w:b/>
                <w:bCs w:val="0"/>
                <w:iCs/>
              </w:rPr>
              <w:t>1.77 (1.05, 2.96)</w:t>
            </w:r>
          </w:p>
        </w:tc>
        <w:tc>
          <w:tcPr>
            <w:tcW w:w="1430" w:type="dxa"/>
            <w:tcBorders>
              <w:top w:val="nil"/>
              <w:left w:val="nil"/>
              <w:bottom w:val="single" w:sz="4" w:space="0" w:color="auto"/>
              <w:right w:val="single" w:sz="4" w:space="0" w:color="auto"/>
            </w:tcBorders>
            <w:shd w:val="clear" w:color="auto" w:fill="auto"/>
            <w:vAlign w:val="bottom"/>
          </w:tcPr>
          <w:p w14:paraId="5F5C2005" w14:textId="77777777" w:rsidR="00E07EB2" w:rsidRPr="00300F14" w:rsidRDefault="00E07EB2" w:rsidP="00E76081">
            <w:pPr>
              <w:pStyle w:val="TableText0"/>
              <w:jc w:val="center"/>
              <w:rPr>
                <w:b/>
                <w:bCs w:val="0"/>
                <w:iCs/>
              </w:rPr>
            </w:pPr>
            <w:r w:rsidRPr="00300F14">
              <w:rPr>
                <w:b/>
                <w:bCs w:val="0"/>
                <w:iCs/>
              </w:rPr>
              <w:t>6.7 (0.7, 12.6)</w:t>
            </w:r>
          </w:p>
        </w:tc>
      </w:tr>
      <w:tr w:rsidR="00E07EB2" w:rsidRPr="00300F14" w14:paraId="5B8CA957" w14:textId="77777777">
        <w:tc>
          <w:tcPr>
            <w:tcW w:w="3681" w:type="dxa"/>
          </w:tcPr>
          <w:p w14:paraId="36BBF3F6" w14:textId="77777777" w:rsidR="00E07EB2" w:rsidRPr="00300F14" w:rsidRDefault="00E07EB2" w:rsidP="00E76081">
            <w:pPr>
              <w:pStyle w:val="TableText0"/>
              <w:ind w:left="170"/>
            </w:pPr>
            <w:r w:rsidRPr="00300F14">
              <w:t>Neutropenia</w:t>
            </w:r>
          </w:p>
        </w:tc>
        <w:tc>
          <w:tcPr>
            <w:tcW w:w="1134" w:type="dxa"/>
            <w:shd w:val="clear" w:color="auto" w:fill="auto"/>
          </w:tcPr>
          <w:p w14:paraId="638B05FF" w14:textId="77777777" w:rsidR="00E07EB2" w:rsidRPr="00300F14" w:rsidRDefault="00E07EB2" w:rsidP="00E76081">
            <w:pPr>
              <w:pStyle w:val="TableText0"/>
              <w:jc w:val="center"/>
            </w:pPr>
            <w:r w:rsidRPr="00300F14">
              <w:t>21 (9.2%)</w:t>
            </w:r>
          </w:p>
        </w:tc>
        <w:tc>
          <w:tcPr>
            <w:tcW w:w="1180" w:type="dxa"/>
            <w:shd w:val="clear" w:color="auto" w:fill="auto"/>
          </w:tcPr>
          <w:p w14:paraId="6771FB79" w14:textId="77777777" w:rsidR="00E07EB2" w:rsidRPr="00300F14" w:rsidRDefault="00E07EB2" w:rsidP="00E76081">
            <w:pPr>
              <w:pStyle w:val="TableText0"/>
              <w:jc w:val="center"/>
            </w:pPr>
            <w:r w:rsidRPr="00300F14">
              <w:t>23 (10.0%)</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AC94A1E" w14:textId="77777777" w:rsidR="00E07EB2" w:rsidRPr="00300F14" w:rsidRDefault="00E07EB2" w:rsidP="00E76081">
            <w:pPr>
              <w:pStyle w:val="TableText0"/>
              <w:jc w:val="center"/>
              <w:rPr>
                <w:iCs/>
              </w:rPr>
            </w:pPr>
            <w:r w:rsidRPr="00300F14">
              <w:rPr>
                <w:iCs/>
              </w:rPr>
              <w:t>0.92 (0.52, 1.62)</w:t>
            </w:r>
          </w:p>
        </w:tc>
        <w:tc>
          <w:tcPr>
            <w:tcW w:w="1430" w:type="dxa"/>
            <w:tcBorders>
              <w:top w:val="single" w:sz="4" w:space="0" w:color="auto"/>
              <w:left w:val="nil"/>
              <w:bottom w:val="single" w:sz="4" w:space="0" w:color="auto"/>
              <w:right w:val="single" w:sz="4" w:space="0" w:color="auto"/>
            </w:tcBorders>
            <w:shd w:val="clear" w:color="auto" w:fill="auto"/>
            <w:vAlign w:val="bottom"/>
          </w:tcPr>
          <w:p w14:paraId="372D2FB9" w14:textId="77777777" w:rsidR="00E07EB2" w:rsidRPr="00300F14" w:rsidRDefault="00E07EB2" w:rsidP="00E76081">
            <w:pPr>
              <w:pStyle w:val="TableText0"/>
              <w:jc w:val="center"/>
              <w:rPr>
                <w:iCs/>
              </w:rPr>
            </w:pPr>
            <w:r w:rsidRPr="00300F14">
              <w:rPr>
                <w:iCs/>
              </w:rPr>
              <w:t>-0.8 (-6.2, 4.6)</w:t>
            </w:r>
          </w:p>
        </w:tc>
      </w:tr>
      <w:tr w:rsidR="00E07EB2" w:rsidRPr="00300F14" w14:paraId="5F48E616" w14:textId="77777777">
        <w:tc>
          <w:tcPr>
            <w:tcW w:w="3681" w:type="dxa"/>
          </w:tcPr>
          <w:p w14:paraId="3E496657" w14:textId="77777777" w:rsidR="00E07EB2" w:rsidRPr="00300F14" w:rsidRDefault="00E07EB2" w:rsidP="00E76081">
            <w:pPr>
              <w:pStyle w:val="TableText0"/>
            </w:pPr>
            <w:r w:rsidRPr="00300F14">
              <w:t>Grade ≥3-4 Treatment-related adverse events</w:t>
            </w:r>
          </w:p>
        </w:tc>
        <w:tc>
          <w:tcPr>
            <w:tcW w:w="1134" w:type="dxa"/>
          </w:tcPr>
          <w:p w14:paraId="20E7FB7D" w14:textId="77777777" w:rsidR="00E07EB2" w:rsidRPr="00300F14" w:rsidRDefault="00E07EB2" w:rsidP="00E76081">
            <w:pPr>
              <w:pStyle w:val="TableText0"/>
              <w:jc w:val="center"/>
              <w:rPr>
                <w:iCs/>
              </w:rPr>
            </w:pPr>
            <w:r w:rsidRPr="00300F14">
              <w:t>74 (32.5%)</w:t>
            </w:r>
          </w:p>
        </w:tc>
        <w:tc>
          <w:tcPr>
            <w:tcW w:w="1180" w:type="dxa"/>
          </w:tcPr>
          <w:p w14:paraId="7EA7A2C1" w14:textId="77777777" w:rsidR="00E07EB2" w:rsidRPr="00300F14" w:rsidRDefault="00E07EB2" w:rsidP="00E76081">
            <w:pPr>
              <w:pStyle w:val="TableText0"/>
              <w:jc w:val="center"/>
              <w:rPr>
                <w:iCs/>
              </w:rPr>
            </w:pPr>
            <w:r w:rsidRPr="00300F14">
              <w:t>58 (25.2%)</w:t>
            </w:r>
          </w:p>
        </w:tc>
        <w:tc>
          <w:tcPr>
            <w:tcW w:w="1592" w:type="dxa"/>
            <w:tcBorders>
              <w:top w:val="nil"/>
              <w:left w:val="single" w:sz="4" w:space="0" w:color="auto"/>
              <w:bottom w:val="single" w:sz="4" w:space="0" w:color="auto"/>
              <w:right w:val="single" w:sz="4" w:space="0" w:color="auto"/>
            </w:tcBorders>
            <w:shd w:val="clear" w:color="auto" w:fill="auto"/>
            <w:vAlign w:val="bottom"/>
          </w:tcPr>
          <w:p w14:paraId="001BB6BC" w14:textId="77777777" w:rsidR="00E07EB2" w:rsidRPr="00300F14" w:rsidRDefault="00E07EB2" w:rsidP="00E76081">
            <w:pPr>
              <w:pStyle w:val="TableText0"/>
              <w:jc w:val="center"/>
              <w:rPr>
                <w:iCs/>
              </w:rPr>
            </w:pPr>
            <w:r w:rsidRPr="00300F14">
              <w:rPr>
                <w:iCs/>
              </w:rPr>
              <w:t>1.29 (0.96, 1.72)</w:t>
            </w:r>
          </w:p>
        </w:tc>
        <w:tc>
          <w:tcPr>
            <w:tcW w:w="1430" w:type="dxa"/>
            <w:tcBorders>
              <w:top w:val="nil"/>
              <w:left w:val="nil"/>
              <w:bottom w:val="single" w:sz="4" w:space="0" w:color="auto"/>
              <w:right w:val="single" w:sz="4" w:space="0" w:color="auto"/>
            </w:tcBorders>
            <w:shd w:val="clear" w:color="auto" w:fill="auto"/>
            <w:vAlign w:val="bottom"/>
          </w:tcPr>
          <w:p w14:paraId="423DFE13" w14:textId="77777777" w:rsidR="00E07EB2" w:rsidRPr="00300F14" w:rsidRDefault="00E07EB2" w:rsidP="00E76081">
            <w:pPr>
              <w:pStyle w:val="TableText0"/>
              <w:jc w:val="center"/>
              <w:rPr>
                <w:iCs/>
              </w:rPr>
            </w:pPr>
            <w:r w:rsidRPr="00300F14">
              <w:rPr>
                <w:iCs/>
              </w:rPr>
              <w:t>7.2 (-1.0, 15.5)</w:t>
            </w:r>
          </w:p>
        </w:tc>
      </w:tr>
      <w:tr w:rsidR="00E07EB2" w:rsidRPr="00300F14" w14:paraId="7C46FA60" w14:textId="77777777">
        <w:tc>
          <w:tcPr>
            <w:tcW w:w="3681" w:type="dxa"/>
          </w:tcPr>
          <w:p w14:paraId="0AAFB14A" w14:textId="77777777" w:rsidR="00E07EB2" w:rsidRPr="00306E9C" w:rsidRDefault="00E07EB2" w:rsidP="00E76081">
            <w:pPr>
              <w:pStyle w:val="TableText0"/>
              <w:ind w:left="170"/>
            </w:pPr>
            <w:r w:rsidRPr="00306E9C">
              <w:t>Anaemia</w:t>
            </w:r>
          </w:p>
        </w:tc>
        <w:tc>
          <w:tcPr>
            <w:tcW w:w="1134" w:type="dxa"/>
            <w:shd w:val="clear" w:color="auto" w:fill="auto"/>
          </w:tcPr>
          <w:p w14:paraId="11310873" w14:textId="77777777" w:rsidR="00E07EB2" w:rsidRPr="00300F14" w:rsidRDefault="00E07EB2" w:rsidP="00E76081">
            <w:pPr>
              <w:pStyle w:val="TableText0"/>
              <w:jc w:val="center"/>
            </w:pPr>
            <w:r w:rsidRPr="00300F14">
              <w:t>8 (3.5%)</w:t>
            </w:r>
          </w:p>
        </w:tc>
        <w:tc>
          <w:tcPr>
            <w:tcW w:w="1180" w:type="dxa"/>
            <w:shd w:val="clear" w:color="auto" w:fill="auto"/>
          </w:tcPr>
          <w:p w14:paraId="211DEFD5" w14:textId="77777777" w:rsidR="00E07EB2" w:rsidRPr="00300F14" w:rsidRDefault="00E07EB2" w:rsidP="00E76081">
            <w:pPr>
              <w:pStyle w:val="TableText0"/>
              <w:jc w:val="center"/>
            </w:pPr>
            <w:r w:rsidRPr="00300F14">
              <w:t>8 (3.5%)</w:t>
            </w:r>
          </w:p>
        </w:tc>
        <w:tc>
          <w:tcPr>
            <w:tcW w:w="1592" w:type="dxa"/>
            <w:tcBorders>
              <w:top w:val="nil"/>
              <w:left w:val="single" w:sz="4" w:space="0" w:color="auto"/>
              <w:bottom w:val="single" w:sz="4" w:space="0" w:color="auto"/>
              <w:right w:val="single" w:sz="4" w:space="0" w:color="auto"/>
            </w:tcBorders>
            <w:shd w:val="clear" w:color="auto" w:fill="auto"/>
            <w:vAlign w:val="bottom"/>
          </w:tcPr>
          <w:p w14:paraId="14867FDF" w14:textId="77777777" w:rsidR="00E07EB2" w:rsidRPr="00300F14" w:rsidRDefault="00E07EB2" w:rsidP="00E76081">
            <w:pPr>
              <w:pStyle w:val="TableText0"/>
              <w:jc w:val="center"/>
              <w:rPr>
                <w:iCs/>
              </w:rPr>
            </w:pPr>
            <w:r w:rsidRPr="00300F14">
              <w:rPr>
                <w:iCs/>
              </w:rPr>
              <w:t>1.01 (0.39, 2.64)</w:t>
            </w:r>
          </w:p>
        </w:tc>
        <w:tc>
          <w:tcPr>
            <w:tcW w:w="1430" w:type="dxa"/>
            <w:tcBorders>
              <w:top w:val="nil"/>
              <w:left w:val="nil"/>
              <w:bottom w:val="single" w:sz="4" w:space="0" w:color="auto"/>
              <w:right w:val="single" w:sz="4" w:space="0" w:color="auto"/>
            </w:tcBorders>
            <w:shd w:val="clear" w:color="auto" w:fill="auto"/>
            <w:vAlign w:val="bottom"/>
          </w:tcPr>
          <w:p w14:paraId="06E4380D" w14:textId="77777777" w:rsidR="00E07EB2" w:rsidRPr="00300F14" w:rsidRDefault="00E07EB2" w:rsidP="00E76081">
            <w:pPr>
              <w:pStyle w:val="TableText0"/>
              <w:jc w:val="center"/>
              <w:rPr>
                <w:iCs/>
              </w:rPr>
            </w:pPr>
            <w:r w:rsidRPr="00300F14">
              <w:rPr>
                <w:iCs/>
              </w:rPr>
              <w:t>0.0 (-3.3, 3.4)</w:t>
            </w:r>
          </w:p>
        </w:tc>
      </w:tr>
      <w:tr w:rsidR="00E07EB2" w:rsidRPr="00300F14" w14:paraId="36BB5304" w14:textId="77777777">
        <w:tc>
          <w:tcPr>
            <w:tcW w:w="3681" w:type="dxa"/>
          </w:tcPr>
          <w:p w14:paraId="4A0022CB" w14:textId="77777777" w:rsidR="00E07EB2" w:rsidRPr="00306E9C" w:rsidRDefault="00E07EB2" w:rsidP="00E76081">
            <w:pPr>
              <w:pStyle w:val="TableText0"/>
              <w:ind w:left="170"/>
            </w:pPr>
            <w:r w:rsidRPr="00306E9C">
              <w:t>Nausea</w:t>
            </w:r>
          </w:p>
        </w:tc>
        <w:tc>
          <w:tcPr>
            <w:tcW w:w="1134" w:type="dxa"/>
            <w:shd w:val="clear" w:color="auto" w:fill="auto"/>
          </w:tcPr>
          <w:p w14:paraId="0243B192" w14:textId="77777777" w:rsidR="00E07EB2" w:rsidRPr="00300F14" w:rsidRDefault="00E07EB2" w:rsidP="00E76081">
            <w:pPr>
              <w:pStyle w:val="TableText0"/>
              <w:jc w:val="center"/>
            </w:pPr>
            <w:r w:rsidRPr="00300F14">
              <w:t>2 (0.9%)</w:t>
            </w:r>
          </w:p>
        </w:tc>
        <w:tc>
          <w:tcPr>
            <w:tcW w:w="1180" w:type="dxa"/>
            <w:shd w:val="clear" w:color="auto" w:fill="auto"/>
          </w:tcPr>
          <w:p w14:paraId="79FFF01F" w14:textId="77777777" w:rsidR="00E07EB2" w:rsidRPr="00300F14" w:rsidRDefault="00E07EB2" w:rsidP="00E76081">
            <w:pPr>
              <w:pStyle w:val="TableText0"/>
              <w:jc w:val="center"/>
            </w:pPr>
            <w:r w:rsidRPr="00300F14">
              <w:t>3 (1.3%)</w:t>
            </w:r>
          </w:p>
        </w:tc>
        <w:tc>
          <w:tcPr>
            <w:tcW w:w="1592" w:type="dxa"/>
            <w:tcBorders>
              <w:top w:val="nil"/>
              <w:left w:val="single" w:sz="4" w:space="0" w:color="auto"/>
              <w:bottom w:val="single" w:sz="4" w:space="0" w:color="auto"/>
              <w:right w:val="single" w:sz="4" w:space="0" w:color="auto"/>
            </w:tcBorders>
            <w:shd w:val="clear" w:color="auto" w:fill="auto"/>
            <w:vAlign w:val="bottom"/>
          </w:tcPr>
          <w:p w14:paraId="6AABDD68" w14:textId="77777777" w:rsidR="00E07EB2" w:rsidRPr="00300F14" w:rsidRDefault="00E07EB2" w:rsidP="00E76081">
            <w:pPr>
              <w:pStyle w:val="TableText0"/>
              <w:jc w:val="center"/>
              <w:rPr>
                <w:iCs/>
              </w:rPr>
            </w:pPr>
            <w:r w:rsidRPr="00300F14">
              <w:rPr>
                <w:iCs/>
              </w:rPr>
              <w:t>0.67 (0.11, 3.99)</w:t>
            </w:r>
          </w:p>
        </w:tc>
        <w:tc>
          <w:tcPr>
            <w:tcW w:w="1430" w:type="dxa"/>
            <w:tcBorders>
              <w:top w:val="nil"/>
              <w:left w:val="nil"/>
              <w:bottom w:val="single" w:sz="4" w:space="0" w:color="auto"/>
              <w:right w:val="single" w:sz="4" w:space="0" w:color="auto"/>
            </w:tcBorders>
            <w:shd w:val="clear" w:color="auto" w:fill="auto"/>
            <w:vAlign w:val="bottom"/>
          </w:tcPr>
          <w:p w14:paraId="5E59D132" w14:textId="77777777" w:rsidR="00E07EB2" w:rsidRPr="00300F14" w:rsidRDefault="00E07EB2" w:rsidP="00E76081">
            <w:pPr>
              <w:pStyle w:val="TableText0"/>
              <w:jc w:val="center"/>
              <w:rPr>
                <w:iCs/>
              </w:rPr>
            </w:pPr>
            <w:r w:rsidRPr="00300F14">
              <w:rPr>
                <w:iCs/>
              </w:rPr>
              <w:t>-0.4 (-2.3, 1.5)</w:t>
            </w:r>
          </w:p>
        </w:tc>
      </w:tr>
      <w:tr w:rsidR="00E07EB2" w:rsidRPr="00300F14" w14:paraId="39DAF23A" w14:textId="77777777">
        <w:tc>
          <w:tcPr>
            <w:tcW w:w="3681" w:type="dxa"/>
          </w:tcPr>
          <w:p w14:paraId="4B6C90DA" w14:textId="77777777" w:rsidR="00E07EB2" w:rsidRPr="00306E9C" w:rsidRDefault="00E07EB2" w:rsidP="00E76081">
            <w:pPr>
              <w:pStyle w:val="TableText0"/>
              <w:ind w:left="170"/>
            </w:pPr>
            <w:r w:rsidRPr="00306E9C">
              <w:t>Alopecia</w:t>
            </w:r>
          </w:p>
        </w:tc>
        <w:tc>
          <w:tcPr>
            <w:tcW w:w="1134" w:type="dxa"/>
            <w:shd w:val="clear" w:color="auto" w:fill="auto"/>
          </w:tcPr>
          <w:p w14:paraId="1EFDD137" w14:textId="77777777" w:rsidR="00E07EB2" w:rsidRPr="00300F14" w:rsidRDefault="00E07EB2" w:rsidP="00E76081">
            <w:pPr>
              <w:pStyle w:val="TableText0"/>
              <w:jc w:val="center"/>
            </w:pPr>
            <w:r w:rsidRPr="00300F14">
              <w:t>1 (0.4%)</w:t>
            </w:r>
          </w:p>
        </w:tc>
        <w:tc>
          <w:tcPr>
            <w:tcW w:w="1180" w:type="dxa"/>
            <w:shd w:val="clear" w:color="auto" w:fill="auto"/>
          </w:tcPr>
          <w:p w14:paraId="0A4FF28A" w14:textId="77777777" w:rsidR="00E07EB2" w:rsidRPr="00300F14" w:rsidRDefault="00E07EB2" w:rsidP="00E76081">
            <w:pPr>
              <w:pStyle w:val="TableText0"/>
              <w:jc w:val="center"/>
            </w:pPr>
            <w:r w:rsidRPr="00300F14">
              <w:t>0</w:t>
            </w:r>
          </w:p>
        </w:tc>
        <w:tc>
          <w:tcPr>
            <w:tcW w:w="1592" w:type="dxa"/>
            <w:tcBorders>
              <w:top w:val="nil"/>
              <w:left w:val="single" w:sz="4" w:space="0" w:color="auto"/>
              <w:bottom w:val="single" w:sz="4" w:space="0" w:color="auto"/>
              <w:right w:val="single" w:sz="4" w:space="0" w:color="auto"/>
            </w:tcBorders>
            <w:shd w:val="clear" w:color="auto" w:fill="auto"/>
            <w:vAlign w:val="bottom"/>
          </w:tcPr>
          <w:p w14:paraId="38185D84" w14:textId="77777777" w:rsidR="00E07EB2" w:rsidRPr="00300F14" w:rsidRDefault="00E07EB2" w:rsidP="00E76081">
            <w:pPr>
              <w:pStyle w:val="TableText0"/>
              <w:jc w:val="center"/>
              <w:rPr>
                <w:iCs/>
              </w:rPr>
            </w:pPr>
            <w:r w:rsidRPr="00300F14">
              <w:rPr>
                <w:iCs/>
              </w:rPr>
              <w:t>-</w:t>
            </w:r>
          </w:p>
        </w:tc>
        <w:tc>
          <w:tcPr>
            <w:tcW w:w="1430" w:type="dxa"/>
            <w:tcBorders>
              <w:top w:val="nil"/>
              <w:left w:val="nil"/>
              <w:bottom w:val="single" w:sz="4" w:space="0" w:color="auto"/>
              <w:right w:val="single" w:sz="4" w:space="0" w:color="auto"/>
            </w:tcBorders>
            <w:shd w:val="clear" w:color="auto" w:fill="auto"/>
            <w:vAlign w:val="bottom"/>
          </w:tcPr>
          <w:p w14:paraId="19C87270" w14:textId="77777777" w:rsidR="00E07EB2" w:rsidRPr="00300F14" w:rsidRDefault="00E07EB2" w:rsidP="00E76081">
            <w:pPr>
              <w:pStyle w:val="TableText0"/>
              <w:jc w:val="center"/>
              <w:rPr>
                <w:iCs/>
              </w:rPr>
            </w:pPr>
            <w:r w:rsidRPr="00300F14">
              <w:rPr>
                <w:iCs/>
              </w:rPr>
              <w:t>0.4 (-0.4, 1.3)</w:t>
            </w:r>
          </w:p>
        </w:tc>
      </w:tr>
      <w:tr w:rsidR="00E07EB2" w:rsidRPr="00300F14" w14:paraId="21147B38" w14:textId="77777777">
        <w:tc>
          <w:tcPr>
            <w:tcW w:w="3681" w:type="dxa"/>
          </w:tcPr>
          <w:p w14:paraId="1F8B761C" w14:textId="77777777" w:rsidR="00E07EB2" w:rsidRPr="00306E9C" w:rsidRDefault="00E07EB2" w:rsidP="00E76081">
            <w:pPr>
              <w:pStyle w:val="TableText0"/>
              <w:ind w:left="170"/>
            </w:pPr>
            <w:r w:rsidRPr="00306E9C">
              <w:t>Constipation</w:t>
            </w:r>
          </w:p>
        </w:tc>
        <w:tc>
          <w:tcPr>
            <w:tcW w:w="1134" w:type="dxa"/>
            <w:shd w:val="clear" w:color="auto" w:fill="auto"/>
          </w:tcPr>
          <w:p w14:paraId="443EDE3F" w14:textId="77777777" w:rsidR="00E07EB2" w:rsidRPr="00300F14" w:rsidRDefault="00E07EB2" w:rsidP="00E76081">
            <w:pPr>
              <w:pStyle w:val="TableText0"/>
              <w:jc w:val="center"/>
            </w:pPr>
            <w:r w:rsidRPr="00300F14">
              <w:t>0</w:t>
            </w:r>
          </w:p>
        </w:tc>
        <w:tc>
          <w:tcPr>
            <w:tcW w:w="1180" w:type="dxa"/>
            <w:shd w:val="clear" w:color="auto" w:fill="auto"/>
          </w:tcPr>
          <w:p w14:paraId="3AE0FB11" w14:textId="77777777" w:rsidR="00E07EB2" w:rsidRPr="00300F14" w:rsidRDefault="00E07EB2" w:rsidP="00E76081">
            <w:pPr>
              <w:pStyle w:val="TableText0"/>
              <w:jc w:val="center"/>
            </w:pPr>
            <w:r w:rsidRPr="00300F14">
              <w:t>1 (0.4%)</w:t>
            </w:r>
          </w:p>
        </w:tc>
        <w:tc>
          <w:tcPr>
            <w:tcW w:w="1592" w:type="dxa"/>
            <w:tcBorders>
              <w:top w:val="nil"/>
              <w:left w:val="single" w:sz="4" w:space="0" w:color="auto"/>
              <w:bottom w:val="single" w:sz="4" w:space="0" w:color="auto"/>
              <w:right w:val="single" w:sz="4" w:space="0" w:color="auto"/>
            </w:tcBorders>
            <w:shd w:val="clear" w:color="auto" w:fill="auto"/>
            <w:vAlign w:val="bottom"/>
          </w:tcPr>
          <w:p w14:paraId="640C8F65" w14:textId="77777777" w:rsidR="00E07EB2" w:rsidRPr="00300F14" w:rsidRDefault="00E07EB2" w:rsidP="00E76081">
            <w:pPr>
              <w:pStyle w:val="TableText0"/>
              <w:jc w:val="center"/>
              <w:rPr>
                <w:iCs/>
              </w:rPr>
            </w:pPr>
            <w:r w:rsidRPr="00300F14">
              <w:rPr>
                <w:iCs/>
              </w:rPr>
              <w:t>-</w:t>
            </w:r>
          </w:p>
        </w:tc>
        <w:tc>
          <w:tcPr>
            <w:tcW w:w="1430" w:type="dxa"/>
            <w:tcBorders>
              <w:top w:val="nil"/>
              <w:left w:val="nil"/>
              <w:bottom w:val="single" w:sz="4" w:space="0" w:color="auto"/>
              <w:right w:val="single" w:sz="4" w:space="0" w:color="auto"/>
            </w:tcBorders>
            <w:shd w:val="clear" w:color="auto" w:fill="auto"/>
            <w:vAlign w:val="bottom"/>
          </w:tcPr>
          <w:p w14:paraId="50E5F5D3" w14:textId="77777777" w:rsidR="00E07EB2" w:rsidRPr="00300F14" w:rsidRDefault="00E07EB2" w:rsidP="00E76081">
            <w:pPr>
              <w:pStyle w:val="TableText0"/>
              <w:jc w:val="center"/>
              <w:rPr>
                <w:iCs/>
              </w:rPr>
            </w:pPr>
            <w:r w:rsidRPr="00300F14">
              <w:rPr>
                <w:iCs/>
              </w:rPr>
              <w:t>-0.4 (-1.3, 0.4)</w:t>
            </w:r>
          </w:p>
        </w:tc>
      </w:tr>
      <w:tr w:rsidR="00E07EB2" w:rsidRPr="00300F14" w14:paraId="0D22F2FF" w14:textId="77777777">
        <w:tc>
          <w:tcPr>
            <w:tcW w:w="3681" w:type="dxa"/>
          </w:tcPr>
          <w:p w14:paraId="29C7C579" w14:textId="77777777" w:rsidR="00E07EB2" w:rsidRPr="00306E9C" w:rsidRDefault="00E07EB2" w:rsidP="00E76081">
            <w:pPr>
              <w:pStyle w:val="TableText0"/>
              <w:ind w:left="170"/>
            </w:pPr>
            <w:r w:rsidRPr="00306E9C">
              <w:t>Fatigue</w:t>
            </w:r>
          </w:p>
        </w:tc>
        <w:tc>
          <w:tcPr>
            <w:tcW w:w="1134" w:type="dxa"/>
            <w:shd w:val="clear" w:color="auto" w:fill="auto"/>
          </w:tcPr>
          <w:p w14:paraId="6FEF7A49" w14:textId="77777777" w:rsidR="00E07EB2" w:rsidRPr="00300F14" w:rsidRDefault="00E07EB2" w:rsidP="00E76081">
            <w:pPr>
              <w:pStyle w:val="TableText0"/>
              <w:jc w:val="center"/>
            </w:pPr>
            <w:r w:rsidRPr="00300F14">
              <w:t>5 (2.2%)</w:t>
            </w:r>
          </w:p>
        </w:tc>
        <w:tc>
          <w:tcPr>
            <w:tcW w:w="1180" w:type="dxa"/>
            <w:shd w:val="clear" w:color="auto" w:fill="auto"/>
          </w:tcPr>
          <w:p w14:paraId="51333FB9" w14:textId="77777777" w:rsidR="00E07EB2" w:rsidRPr="00300F14" w:rsidRDefault="00E07EB2" w:rsidP="00E76081">
            <w:pPr>
              <w:pStyle w:val="TableText0"/>
              <w:jc w:val="center"/>
            </w:pPr>
            <w:r w:rsidRPr="00300F14">
              <w:t>2 (0.9%)</w:t>
            </w:r>
          </w:p>
        </w:tc>
        <w:tc>
          <w:tcPr>
            <w:tcW w:w="1592" w:type="dxa"/>
            <w:tcBorders>
              <w:top w:val="nil"/>
              <w:left w:val="single" w:sz="4" w:space="0" w:color="auto"/>
              <w:bottom w:val="single" w:sz="4" w:space="0" w:color="auto"/>
              <w:right w:val="single" w:sz="4" w:space="0" w:color="auto"/>
            </w:tcBorders>
            <w:shd w:val="clear" w:color="auto" w:fill="auto"/>
            <w:vAlign w:val="bottom"/>
          </w:tcPr>
          <w:p w14:paraId="36208A21" w14:textId="77777777" w:rsidR="00E07EB2" w:rsidRPr="00300F14" w:rsidRDefault="00E07EB2" w:rsidP="00E76081">
            <w:pPr>
              <w:pStyle w:val="TableText0"/>
              <w:jc w:val="center"/>
              <w:rPr>
                <w:iCs/>
              </w:rPr>
            </w:pPr>
            <w:r w:rsidRPr="00300F14">
              <w:rPr>
                <w:iCs/>
              </w:rPr>
              <w:t>2.52 (0.49, 12.87)</w:t>
            </w:r>
          </w:p>
        </w:tc>
        <w:tc>
          <w:tcPr>
            <w:tcW w:w="1430" w:type="dxa"/>
            <w:tcBorders>
              <w:top w:val="nil"/>
              <w:left w:val="nil"/>
              <w:bottom w:val="single" w:sz="4" w:space="0" w:color="auto"/>
              <w:right w:val="single" w:sz="4" w:space="0" w:color="auto"/>
            </w:tcBorders>
            <w:shd w:val="clear" w:color="auto" w:fill="auto"/>
            <w:vAlign w:val="bottom"/>
          </w:tcPr>
          <w:p w14:paraId="195FD960" w14:textId="77777777" w:rsidR="00E07EB2" w:rsidRPr="00300F14" w:rsidRDefault="00E07EB2" w:rsidP="00E76081">
            <w:pPr>
              <w:pStyle w:val="TableText0"/>
              <w:jc w:val="center"/>
              <w:rPr>
                <w:iCs/>
              </w:rPr>
            </w:pPr>
            <w:r w:rsidRPr="00300F14">
              <w:rPr>
                <w:iCs/>
              </w:rPr>
              <w:t>1.3 (-0.9, 3.6)</w:t>
            </w:r>
          </w:p>
        </w:tc>
      </w:tr>
      <w:tr w:rsidR="00E07EB2" w:rsidRPr="00300F14" w14:paraId="5B7BB3CA" w14:textId="77777777">
        <w:tc>
          <w:tcPr>
            <w:tcW w:w="3681" w:type="dxa"/>
          </w:tcPr>
          <w:p w14:paraId="10D0E02E" w14:textId="77777777" w:rsidR="00E07EB2" w:rsidRPr="00306E9C" w:rsidRDefault="00E07EB2" w:rsidP="00E76081">
            <w:pPr>
              <w:pStyle w:val="TableText0"/>
              <w:ind w:left="170"/>
            </w:pPr>
            <w:r w:rsidRPr="00306E9C">
              <w:t>Decreased neutrophil count</w:t>
            </w:r>
          </w:p>
        </w:tc>
        <w:tc>
          <w:tcPr>
            <w:tcW w:w="1134" w:type="dxa"/>
            <w:shd w:val="clear" w:color="auto" w:fill="auto"/>
          </w:tcPr>
          <w:p w14:paraId="3834F963" w14:textId="77777777" w:rsidR="00E07EB2" w:rsidRPr="00300F14" w:rsidRDefault="00E07EB2" w:rsidP="00E76081">
            <w:pPr>
              <w:pStyle w:val="TableText0"/>
              <w:jc w:val="center"/>
            </w:pPr>
            <w:r w:rsidRPr="00300F14">
              <w:t>23 (10.1%)</w:t>
            </w:r>
          </w:p>
        </w:tc>
        <w:tc>
          <w:tcPr>
            <w:tcW w:w="1180" w:type="dxa"/>
            <w:shd w:val="clear" w:color="auto" w:fill="auto"/>
          </w:tcPr>
          <w:p w14:paraId="6350190A" w14:textId="77777777" w:rsidR="00E07EB2" w:rsidRPr="00300F14" w:rsidRDefault="00E07EB2" w:rsidP="00E76081">
            <w:pPr>
              <w:pStyle w:val="TableText0"/>
              <w:jc w:val="center"/>
            </w:pPr>
            <w:r w:rsidRPr="00300F14">
              <w:t>15 (6.5%)</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2DD78D1" w14:textId="77777777" w:rsidR="00E07EB2" w:rsidRPr="00300F14" w:rsidRDefault="00E07EB2" w:rsidP="00E76081">
            <w:pPr>
              <w:pStyle w:val="TableText0"/>
              <w:jc w:val="center"/>
              <w:rPr>
                <w:iCs/>
              </w:rPr>
            </w:pPr>
            <w:r w:rsidRPr="00300F14">
              <w:rPr>
                <w:iCs/>
              </w:rPr>
              <w:t>1.55 (0.83, 2.89)</w:t>
            </w:r>
          </w:p>
        </w:tc>
        <w:tc>
          <w:tcPr>
            <w:tcW w:w="1430" w:type="dxa"/>
            <w:tcBorders>
              <w:top w:val="single" w:sz="4" w:space="0" w:color="auto"/>
              <w:left w:val="nil"/>
              <w:bottom w:val="single" w:sz="4" w:space="0" w:color="auto"/>
              <w:right w:val="single" w:sz="4" w:space="0" w:color="auto"/>
            </w:tcBorders>
            <w:shd w:val="clear" w:color="auto" w:fill="auto"/>
            <w:vAlign w:val="bottom"/>
          </w:tcPr>
          <w:p w14:paraId="557097C8" w14:textId="77777777" w:rsidR="00E07EB2" w:rsidRPr="00300F14" w:rsidRDefault="00E07EB2" w:rsidP="00E76081">
            <w:pPr>
              <w:pStyle w:val="TableText0"/>
              <w:jc w:val="center"/>
              <w:rPr>
                <w:iCs/>
              </w:rPr>
            </w:pPr>
            <w:r w:rsidRPr="00300F14">
              <w:rPr>
                <w:iCs/>
              </w:rPr>
              <w:t>3.6 (-1.5, 8.6)</w:t>
            </w:r>
          </w:p>
        </w:tc>
      </w:tr>
      <w:tr w:rsidR="00E07EB2" w:rsidRPr="00300F14" w14:paraId="51A8369F" w14:textId="77777777">
        <w:tc>
          <w:tcPr>
            <w:tcW w:w="3681" w:type="dxa"/>
          </w:tcPr>
          <w:p w14:paraId="33AD27F2" w14:textId="77777777" w:rsidR="00E07EB2" w:rsidRPr="00306E9C" w:rsidRDefault="00E07EB2" w:rsidP="00E76081">
            <w:pPr>
              <w:pStyle w:val="TableText0"/>
              <w:ind w:left="170"/>
            </w:pPr>
            <w:r w:rsidRPr="00306E9C">
              <w:t>Neutropenia</w:t>
            </w:r>
          </w:p>
        </w:tc>
        <w:tc>
          <w:tcPr>
            <w:tcW w:w="1134" w:type="dxa"/>
            <w:shd w:val="clear" w:color="auto" w:fill="auto"/>
          </w:tcPr>
          <w:p w14:paraId="14E24768" w14:textId="77777777" w:rsidR="00E07EB2" w:rsidRPr="00300F14" w:rsidRDefault="00E07EB2" w:rsidP="00E76081">
            <w:pPr>
              <w:pStyle w:val="TableText0"/>
              <w:jc w:val="center"/>
            </w:pPr>
            <w:r w:rsidRPr="00300F14">
              <w:t>8 (3.5%)</w:t>
            </w:r>
          </w:p>
        </w:tc>
        <w:tc>
          <w:tcPr>
            <w:tcW w:w="1180" w:type="dxa"/>
            <w:shd w:val="clear" w:color="auto" w:fill="auto"/>
          </w:tcPr>
          <w:p w14:paraId="47DA281D" w14:textId="77777777" w:rsidR="00E07EB2" w:rsidRPr="00300F14" w:rsidRDefault="00E07EB2" w:rsidP="00E76081">
            <w:pPr>
              <w:pStyle w:val="TableText0"/>
              <w:jc w:val="center"/>
            </w:pPr>
            <w:r w:rsidRPr="00300F14">
              <w:t>13 (5.7%)</w:t>
            </w:r>
          </w:p>
        </w:tc>
        <w:tc>
          <w:tcPr>
            <w:tcW w:w="1592" w:type="dxa"/>
            <w:tcBorders>
              <w:top w:val="single" w:sz="4" w:space="0" w:color="auto"/>
              <w:left w:val="single" w:sz="4" w:space="0" w:color="auto"/>
              <w:bottom w:val="single" w:sz="4" w:space="0" w:color="auto"/>
              <w:right w:val="single" w:sz="4" w:space="0" w:color="auto"/>
            </w:tcBorders>
            <w:shd w:val="clear" w:color="auto" w:fill="auto"/>
            <w:vAlign w:val="bottom"/>
          </w:tcPr>
          <w:p w14:paraId="1741B761" w14:textId="77777777" w:rsidR="00E07EB2" w:rsidRPr="00300F14" w:rsidRDefault="00E07EB2" w:rsidP="00E76081">
            <w:pPr>
              <w:pStyle w:val="TableText0"/>
              <w:jc w:val="center"/>
              <w:rPr>
                <w:iCs/>
              </w:rPr>
            </w:pPr>
            <w:r w:rsidRPr="00300F14">
              <w:rPr>
                <w:iCs/>
              </w:rPr>
              <w:t>0.62 (0.26, 1.47)</w:t>
            </w:r>
          </w:p>
        </w:tc>
        <w:tc>
          <w:tcPr>
            <w:tcW w:w="1430" w:type="dxa"/>
            <w:tcBorders>
              <w:top w:val="single" w:sz="4" w:space="0" w:color="auto"/>
              <w:left w:val="nil"/>
              <w:bottom w:val="single" w:sz="4" w:space="0" w:color="auto"/>
              <w:right w:val="single" w:sz="4" w:space="0" w:color="auto"/>
            </w:tcBorders>
            <w:shd w:val="clear" w:color="auto" w:fill="auto"/>
            <w:vAlign w:val="bottom"/>
          </w:tcPr>
          <w:p w14:paraId="4F24CBB8" w14:textId="77777777" w:rsidR="00E07EB2" w:rsidRPr="00300F14" w:rsidRDefault="00E07EB2" w:rsidP="00E76081">
            <w:pPr>
              <w:pStyle w:val="TableText0"/>
              <w:jc w:val="center"/>
              <w:rPr>
                <w:iCs/>
              </w:rPr>
            </w:pPr>
            <w:r w:rsidRPr="00300F14">
              <w:rPr>
                <w:iCs/>
              </w:rPr>
              <w:t>-2.1 (-6.0, 1.7)</w:t>
            </w:r>
          </w:p>
        </w:tc>
      </w:tr>
    </w:tbl>
    <w:p w14:paraId="3D44575D" w14:textId="70037F23" w:rsidR="00E07EB2" w:rsidRDefault="00E07EB2" w:rsidP="00E76081">
      <w:pPr>
        <w:pStyle w:val="TableFigureFooter"/>
        <w:keepNext/>
        <w:rPr>
          <w:rFonts w:eastAsiaTheme="majorEastAsia"/>
        </w:rPr>
      </w:pPr>
      <w:r w:rsidRPr="00940145">
        <w:rPr>
          <w:rFonts w:eastAsiaTheme="majorEastAsia"/>
        </w:rPr>
        <w:t xml:space="preserve">Source: Table </w:t>
      </w:r>
      <w:r>
        <w:rPr>
          <w:rFonts w:eastAsiaTheme="majorEastAsia"/>
        </w:rPr>
        <w:t xml:space="preserve">74, Table 77, p121 &amp; p124 of the submission, </w:t>
      </w:r>
      <w:r w:rsidRPr="00C04E14">
        <w:rPr>
          <w:rFonts w:eastAsiaTheme="majorEastAsia"/>
        </w:rPr>
        <w:t>Table 8.1.1-1 pp. 103-5 C</w:t>
      </w:r>
      <w:r>
        <w:rPr>
          <w:rFonts w:eastAsiaTheme="majorEastAsia"/>
        </w:rPr>
        <w:t>M</w:t>
      </w:r>
      <w:r w:rsidRPr="00C04E14">
        <w:rPr>
          <w:rFonts w:eastAsiaTheme="majorEastAsia"/>
        </w:rPr>
        <w:t>77T CSR</w:t>
      </w:r>
      <w:r w:rsidR="00300F14">
        <w:rPr>
          <w:rFonts w:eastAsiaTheme="majorEastAsia"/>
        </w:rPr>
        <w:t xml:space="preserve"> and compiled/calculated during the evaluation</w:t>
      </w:r>
    </w:p>
    <w:p w14:paraId="7AD31EC7" w14:textId="77777777" w:rsidR="00A0136F" w:rsidRDefault="00E07EB2" w:rsidP="00E76081">
      <w:pPr>
        <w:pStyle w:val="TableFigureFooter"/>
        <w:keepNext/>
        <w:rPr>
          <w:rFonts w:eastAsiaTheme="majorEastAsia"/>
        </w:rPr>
      </w:pPr>
      <w:r w:rsidRPr="00940145">
        <w:rPr>
          <w:rFonts w:eastAsiaTheme="majorEastAsia"/>
        </w:rPr>
        <w:t xml:space="preserve">Abbreviations: </w:t>
      </w:r>
      <w:r>
        <w:rPr>
          <w:rFonts w:eastAsiaTheme="majorEastAsia"/>
        </w:rPr>
        <w:t>neoC</w:t>
      </w:r>
      <w:r w:rsidRPr="00940145">
        <w:rPr>
          <w:rFonts w:eastAsiaTheme="majorEastAsia"/>
        </w:rPr>
        <w:t xml:space="preserve">hemo = neoadjuvant chemotherapy; </w:t>
      </w:r>
      <w:r>
        <w:rPr>
          <w:rFonts w:eastAsiaTheme="majorEastAsia"/>
        </w:rPr>
        <w:t>peri</w:t>
      </w:r>
      <w:r w:rsidRPr="00940145">
        <w:rPr>
          <w:rFonts w:eastAsiaTheme="majorEastAsia"/>
        </w:rPr>
        <w:t>NIVO = perioperative nivolumab</w:t>
      </w:r>
    </w:p>
    <w:p w14:paraId="21E12919" w14:textId="5BB99D44" w:rsidR="00DF03D5" w:rsidRPr="00C76718" w:rsidRDefault="00E07EB2" w:rsidP="00E76081">
      <w:pPr>
        <w:pStyle w:val="TableFigureFooter"/>
        <w:keepNext/>
        <w:rPr>
          <w:rFonts w:eastAsiaTheme="majorEastAsia"/>
        </w:rPr>
      </w:pPr>
      <w:r>
        <w:rPr>
          <w:rFonts w:eastAsiaTheme="majorEastAsia"/>
        </w:rPr>
        <w:t xml:space="preserve">Note:. Bold values indicate results where the 95% CI did not include </w:t>
      </w:r>
      <w:r w:rsidR="00B9063C">
        <w:rPr>
          <w:rFonts w:eastAsiaTheme="majorEastAsia"/>
        </w:rPr>
        <w:t>the null</w:t>
      </w:r>
    </w:p>
    <w:p w14:paraId="2FC3E6C1" w14:textId="2C57BCB0" w:rsidR="00DF03D5" w:rsidRPr="00300F14" w:rsidRDefault="002D121B" w:rsidP="002D121B">
      <w:pPr>
        <w:pStyle w:val="3-BodyText"/>
        <w:rPr>
          <w:iCs/>
        </w:rPr>
      </w:pPr>
      <w:r w:rsidRPr="00300F14">
        <w:rPr>
          <w:iCs/>
        </w:rPr>
        <w:t xml:space="preserve">The rates of AE Grade </w:t>
      </w:r>
      <w:r w:rsidRPr="00300F14">
        <w:rPr>
          <w:rFonts w:cstheme="minorHAnsi"/>
          <w:iCs/>
        </w:rPr>
        <w:t>≥</w:t>
      </w:r>
      <w:r w:rsidRPr="00300F14">
        <w:rPr>
          <w:iCs/>
        </w:rPr>
        <w:t xml:space="preserve">3 (all cause), SAEs (all cause), SAEs </w:t>
      </w:r>
      <w:r w:rsidRPr="00300F14">
        <w:rPr>
          <w:rFonts w:cstheme="minorHAnsi"/>
          <w:iCs/>
        </w:rPr>
        <w:t>≥</w:t>
      </w:r>
      <w:r w:rsidRPr="00300F14">
        <w:rPr>
          <w:iCs/>
        </w:rPr>
        <w:t xml:space="preserve">3 (all cause) and AEs resulting in treatment discontinuation (all cause and treatment related) were higher in the periNIVO arm compared with the neoChemo arm. </w:t>
      </w:r>
      <w:r w:rsidR="00D56081" w:rsidRPr="00300F14">
        <w:rPr>
          <w:iCs/>
        </w:rPr>
        <w:t>There were two deaths due to study drug toxicity (per investigator) reported in the periNIVO treatment arm and zero reported in the neoChemo arm. Both patients were reported to have died of pneumonitis after completing four cycles of neoadjuvant treatment.</w:t>
      </w:r>
    </w:p>
    <w:p w14:paraId="7A4B4EC7" w14:textId="69A5207B" w:rsidR="00D56081" w:rsidRPr="00300F14" w:rsidRDefault="00FD3FA2" w:rsidP="00D56081">
      <w:pPr>
        <w:pStyle w:val="3-BodyText"/>
        <w:rPr>
          <w:iCs/>
        </w:rPr>
      </w:pPr>
      <w:r w:rsidRPr="00300F14">
        <w:rPr>
          <w:iCs/>
        </w:rPr>
        <w:t xml:space="preserve">In patients treated with </w:t>
      </w:r>
      <w:r w:rsidR="00D56081" w:rsidRPr="00300F14">
        <w:rPr>
          <w:iCs/>
        </w:rPr>
        <w:t xml:space="preserve">periNIVO </w:t>
      </w:r>
      <w:r w:rsidRPr="00300F14">
        <w:rPr>
          <w:iCs/>
        </w:rPr>
        <w:t xml:space="preserve">compared to patients treated with </w:t>
      </w:r>
      <w:r w:rsidR="00D56081" w:rsidRPr="00300F14">
        <w:rPr>
          <w:iCs/>
        </w:rPr>
        <w:t xml:space="preserve">neoChemo, the most common Grade </w:t>
      </w:r>
      <w:r w:rsidR="00D56081" w:rsidRPr="00300F14">
        <w:rPr>
          <w:rFonts w:cstheme="minorHAnsi"/>
          <w:iCs/>
        </w:rPr>
        <w:t>≥</w:t>
      </w:r>
      <w:r w:rsidR="00D56081" w:rsidRPr="00300F14">
        <w:rPr>
          <w:iCs/>
        </w:rPr>
        <w:t>3 treatment-related AEs were decreased neutrophil count (10.1% versus 6.5%), anaemia (3.5% each) and neutropenia (3.5% versus 5.7%, respectively).</w:t>
      </w:r>
    </w:p>
    <w:p w14:paraId="4E09FCDC" w14:textId="3F60A928" w:rsidR="00D56081" w:rsidRDefault="00D56081" w:rsidP="002D121B">
      <w:pPr>
        <w:pStyle w:val="3-BodyText"/>
      </w:pPr>
      <w:r w:rsidRPr="00D56081">
        <w:t xml:space="preserve">The most frequently reported immune-mediated AEs (IMAEs) reported for patients treated with </w:t>
      </w:r>
      <w:r>
        <w:t>periNIVO</w:t>
      </w:r>
      <w:r w:rsidRPr="00D56081">
        <w:t xml:space="preserve"> were:</w:t>
      </w:r>
      <w:r>
        <w:t xml:space="preserve"> </w:t>
      </w:r>
      <w:r w:rsidRPr="00D56081">
        <w:t>hypothyroidism/thyroiditis (11%)</w:t>
      </w:r>
      <w:r>
        <w:t>;</w:t>
      </w:r>
      <w:r w:rsidRPr="00D56081">
        <w:t xml:space="preserve"> pneumonitis (5%)</w:t>
      </w:r>
      <w:r>
        <w:t>;</w:t>
      </w:r>
      <w:r w:rsidRPr="00D56081">
        <w:t xml:space="preserve"> rash (5%)</w:t>
      </w:r>
      <w:r>
        <w:t>;</w:t>
      </w:r>
      <w:r w:rsidRPr="00D56081">
        <w:t xml:space="preserve"> and hyperthyroidism (5%). The nature of these IMAEs is consistent with the established IMAE profile of immunotherapy-based treatment regimens.</w:t>
      </w:r>
      <w:r>
        <w:t xml:space="preserve"> </w:t>
      </w:r>
      <w:r w:rsidR="00C42909">
        <w:t xml:space="preserve">See </w:t>
      </w:r>
      <w:r w:rsidR="00B03DA9">
        <w:fldChar w:fldCharType="begin"/>
      </w:r>
      <w:r w:rsidR="00B03DA9">
        <w:instrText xml:space="preserve"> REF _Ref176495455 \h </w:instrText>
      </w:r>
      <w:r w:rsidR="00B03DA9">
        <w:fldChar w:fldCharType="separate"/>
      </w:r>
      <w:r w:rsidR="009C09C9">
        <w:t xml:space="preserve">Table </w:t>
      </w:r>
      <w:r w:rsidR="009C09C9">
        <w:rPr>
          <w:noProof/>
        </w:rPr>
        <w:t>8</w:t>
      </w:r>
      <w:r w:rsidR="00B03DA9">
        <w:fldChar w:fldCharType="end"/>
      </w:r>
      <w:r w:rsidR="00B03DA9">
        <w:t xml:space="preserve"> </w:t>
      </w:r>
      <w:r w:rsidR="00C42909">
        <w:t>for details.</w:t>
      </w:r>
    </w:p>
    <w:p w14:paraId="4831D479" w14:textId="1EB2E66A" w:rsidR="00AC1912" w:rsidRPr="00300F14" w:rsidRDefault="00682679" w:rsidP="002D121B">
      <w:pPr>
        <w:pStyle w:val="3-BodyText"/>
        <w:rPr>
          <w:iCs/>
        </w:rPr>
      </w:pPr>
      <w:r w:rsidRPr="00300F14">
        <w:rPr>
          <w:iCs/>
        </w:rPr>
        <w:t xml:space="preserve">Compared with </w:t>
      </w:r>
      <w:r w:rsidR="00D5529A" w:rsidRPr="00300F14">
        <w:rPr>
          <w:iCs/>
        </w:rPr>
        <w:t xml:space="preserve">patients treated with </w:t>
      </w:r>
      <w:r w:rsidRPr="00300F14">
        <w:rPr>
          <w:iCs/>
        </w:rPr>
        <w:t xml:space="preserve">neoChemo, </w:t>
      </w:r>
      <w:r w:rsidR="00D5529A" w:rsidRPr="00300F14">
        <w:rPr>
          <w:iCs/>
        </w:rPr>
        <w:t xml:space="preserve">patients treated with </w:t>
      </w:r>
      <w:r w:rsidRPr="00300F14">
        <w:rPr>
          <w:iCs/>
        </w:rPr>
        <w:t xml:space="preserve">periNIVO </w:t>
      </w:r>
      <w:r w:rsidR="003604A0" w:rsidRPr="00300F14">
        <w:rPr>
          <w:iCs/>
        </w:rPr>
        <w:t xml:space="preserve">were </w:t>
      </w:r>
      <w:r w:rsidRPr="00300F14">
        <w:rPr>
          <w:iCs/>
        </w:rPr>
        <w:t>observed to have had a notably higher rate of any-grade thyroiditis (11% versus 1.7%). The numerically higher incidence of pneumonitis (periNIVO: n=12 [5.3%], neoChemo: n=3 [1.3%]) may be important, given pneumonitis was attributed as the cause of death due to study drug toxicity (per investigator) for two (0.9%) patients in the periNIVO arm.</w:t>
      </w:r>
    </w:p>
    <w:p w14:paraId="04DED98C" w14:textId="77777777" w:rsidR="00A0136F" w:rsidRDefault="00682679" w:rsidP="002D121B">
      <w:pPr>
        <w:pStyle w:val="3-BodyText"/>
        <w:rPr>
          <w:iCs/>
        </w:rPr>
      </w:pPr>
      <w:r w:rsidRPr="00300F14">
        <w:rPr>
          <w:iCs/>
        </w:rPr>
        <w:t xml:space="preserve">Overall, the submission’s claim of noninferiority for the safety of periNIVO compared with neoChemo was not supported by the presented AE data. </w:t>
      </w:r>
      <w:r w:rsidR="007F482E" w:rsidRPr="00300F14">
        <w:rPr>
          <w:iCs/>
        </w:rPr>
        <w:t>The rate of any SAEs (all-causality)</w:t>
      </w:r>
      <w:r w:rsidRPr="00300F14">
        <w:rPr>
          <w:iCs/>
        </w:rPr>
        <w:t xml:space="preserve"> was substantially higher in the periNIVO arm compared with neoChemo </w:t>
      </w:r>
      <w:r w:rsidRPr="00300F14">
        <w:rPr>
          <w:iCs/>
        </w:rPr>
        <w:lastRenderedPageBreak/>
        <w:t>(RD</w:t>
      </w:r>
      <w:r w:rsidR="003604A0" w:rsidRPr="00300F14">
        <w:rPr>
          <w:iCs/>
        </w:rPr>
        <w:t> </w:t>
      </w:r>
      <w:r w:rsidRPr="00300F14">
        <w:rPr>
          <w:iCs/>
        </w:rPr>
        <w:t>=11.2, 95%CI 2.5, 20.0), as was the rate of Grade ≥3</w:t>
      </w:r>
      <w:r w:rsidR="00C34F68" w:rsidRPr="0037439C">
        <w:t>–</w:t>
      </w:r>
      <w:r w:rsidRPr="00300F14">
        <w:rPr>
          <w:iCs/>
        </w:rPr>
        <w:t>4 SAEs (all-causality) (RD</w:t>
      </w:r>
      <w:r w:rsidR="003604A0" w:rsidRPr="00300F14">
        <w:rPr>
          <w:iCs/>
        </w:rPr>
        <w:t> </w:t>
      </w:r>
      <w:r w:rsidRPr="00300F14">
        <w:rPr>
          <w:iCs/>
        </w:rPr>
        <w:t>= 8.5, 95%CI 0.7, 16.3). In addition, the rate of AEs resulting in treatment discontinuation was more than double in the periNIVO arm compared with neoChemo (RD = 13.7, 95%CI 6.8, 20.6), as was the rate of study-drug related AEs resulting in treatment discontinuation (RD = 11.9, 95%CI 5.8, 18.0).</w:t>
      </w:r>
    </w:p>
    <w:p w14:paraId="64E583DE" w14:textId="40B1ED06" w:rsidR="00682679" w:rsidRPr="00300F14" w:rsidRDefault="00682679" w:rsidP="002D121B">
      <w:pPr>
        <w:pStyle w:val="3-BodyText"/>
        <w:rPr>
          <w:iCs/>
        </w:rPr>
      </w:pPr>
      <w:r w:rsidRPr="00300F14">
        <w:rPr>
          <w:iCs/>
        </w:rPr>
        <w:t xml:space="preserve">The PBAC, in the consideration of the March 2023 neoNIVO submission, considered that a claim of noninferior safety for neoNIVO versus neoChemo was not supported by the clinical evidence (paragraph 7.10, nivolumab PSD, March 2023 PBAC meeting). This was reaffirmed in the July 2023 meeting (paragraph 5.6, nivolumab PSD, July 2023 PBAC meeting). Therefore, it would follow that periNIVO (which </w:t>
      </w:r>
      <w:r w:rsidR="00D5529A" w:rsidRPr="00300F14">
        <w:rPr>
          <w:iCs/>
        </w:rPr>
        <w:t xml:space="preserve">adds </w:t>
      </w:r>
      <w:r w:rsidRPr="00300F14">
        <w:rPr>
          <w:iCs/>
        </w:rPr>
        <w:t>adjuvant NIVO treatment to neoNIVO) would be unlikely to have noninferior safety compared with neoChemo.</w:t>
      </w:r>
    </w:p>
    <w:p w14:paraId="2C08FC85" w14:textId="49A5AE9A" w:rsidR="00A0136F" w:rsidRDefault="00B11A77" w:rsidP="00D86231">
      <w:pPr>
        <w:pStyle w:val="3-BodyText"/>
        <w:rPr>
          <w:iCs/>
        </w:rPr>
      </w:pPr>
      <w:r>
        <w:t xml:space="preserve">The indirect comparisons of safety between periNIVO and neoNIVO </w:t>
      </w:r>
      <w:r w:rsidR="003604A0">
        <w:t xml:space="preserve">are </w:t>
      </w:r>
      <w:r>
        <w:t xml:space="preserve">presented in </w:t>
      </w:r>
      <w:r w:rsidR="00B03DA9">
        <w:fldChar w:fldCharType="begin"/>
      </w:r>
      <w:r w:rsidR="00B03DA9">
        <w:instrText xml:space="preserve"> REF _Ref176455616 \h </w:instrText>
      </w:r>
      <w:r w:rsidR="00B03DA9">
        <w:fldChar w:fldCharType="separate"/>
      </w:r>
      <w:r w:rsidR="009C09C9">
        <w:t xml:space="preserve">Table </w:t>
      </w:r>
      <w:r w:rsidR="009C09C9">
        <w:rPr>
          <w:noProof/>
        </w:rPr>
        <w:t>7</w:t>
      </w:r>
      <w:r w:rsidR="00B03DA9">
        <w:fldChar w:fldCharType="end"/>
      </w:r>
      <w:r w:rsidR="00B03DA9">
        <w:t xml:space="preserve"> </w:t>
      </w:r>
      <w:r w:rsidR="00815ACD">
        <w:t>and</w:t>
      </w:r>
      <w:r w:rsidR="006D4E15">
        <w:t xml:space="preserve"> </w:t>
      </w:r>
      <w:r w:rsidR="00B03DA9">
        <w:fldChar w:fldCharType="begin"/>
      </w:r>
      <w:r w:rsidR="00B03DA9">
        <w:instrText xml:space="preserve"> REF _Ref176495455 \h </w:instrText>
      </w:r>
      <w:r w:rsidR="00B03DA9">
        <w:fldChar w:fldCharType="separate"/>
      </w:r>
      <w:r w:rsidR="009C09C9">
        <w:t xml:space="preserve">Table </w:t>
      </w:r>
      <w:r w:rsidR="009C09C9">
        <w:rPr>
          <w:noProof/>
        </w:rPr>
        <w:t>8</w:t>
      </w:r>
      <w:r w:rsidR="00B03DA9">
        <w:fldChar w:fldCharType="end"/>
      </w:r>
      <w:r w:rsidR="00815ACD">
        <w:t>.</w:t>
      </w:r>
      <w:r w:rsidR="00DE4C7E" w:rsidRPr="00DE4C7E">
        <w:t xml:space="preserve"> </w:t>
      </w:r>
      <w:r w:rsidR="00DE4C7E" w:rsidRPr="00300F14">
        <w:rPr>
          <w:iCs/>
        </w:rPr>
        <w:t xml:space="preserve">There was no description of methodology for the relative risk calculations for adverse events in the ITC in the submission and it was unclear if this was an anchored or unanchored comparison. </w:t>
      </w:r>
      <w:r w:rsidR="006F784F" w:rsidRPr="00300F14">
        <w:rPr>
          <w:iCs/>
        </w:rPr>
        <w:t>No formal statistical comparison of IMAEs were presented.</w:t>
      </w:r>
    </w:p>
    <w:p w14:paraId="6DCC8DB3" w14:textId="5974315E" w:rsidR="00DF03D5" w:rsidRDefault="00815ACD" w:rsidP="00815ACD">
      <w:pPr>
        <w:pStyle w:val="Caption"/>
      </w:pPr>
      <w:bookmarkStart w:id="42" w:name="_Ref176455616"/>
      <w:r>
        <w:t xml:space="preserve">Table </w:t>
      </w:r>
      <w:r w:rsidR="00311318">
        <w:fldChar w:fldCharType="begin"/>
      </w:r>
      <w:r w:rsidR="00311318">
        <w:instrText xml:space="preserve"> SEQ Table \* ARABIC </w:instrText>
      </w:r>
      <w:r w:rsidR="00311318">
        <w:fldChar w:fldCharType="separate"/>
      </w:r>
      <w:r w:rsidR="009C09C9">
        <w:rPr>
          <w:noProof/>
        </w:rPr>
        <w:t>7</w:t>
      </w:r>
      <w:r w:rsidR="00311318">
        <w:rPr>
          <w:noProof/>
        </w:rPr>
        <w:fldChar w:fldCharType="end"/>
      </w:r>
      <w:bookmarkEnd w:id="42"/>
      <w:r>
        <w:t xml:space="preserve">: </w:t>
      </w:r>
      <w:r w:rsidR="000929CC" w:rsidRPr="000929CC">
        <w:t>Relative risk of adverse events in NIVO arms of CM77T (perioperative) and CM816 (neoadjuvant)</w:t>
      </w:r>
    </w:p>
    <w:tbl>
      <w:tblPr>
        <w:tblStyle w:val="TableGrid"/>
        <w:tblW w:w="5000" w:type="pct"/>
        <w:tblLook w:val="04A0" w:firstRow="1" w:lastRow="0" w:firstColumn="1" w:lastColumn="0" w:noHBand="0" w:noVBand="1"/>
        <w:tblCaption w:val="Table 7: Relative risk of adverse events in NIVO arms of CM77T (perioperative) and CM816 (neoadjuvant)"/>
        <w:tblDescription w:val="Table 7: Relative risk of adverse events in NIVO arms of CM77T (perioperative) and CM816 (neoadjuvant)"/>
      </w:tblPr>
      <w:tblGrid>
        <w:gridCol w:w="2975"/>
        <w:gridCol w:w="1417"/>
        <w:gridCol w:w="1416"/>
        <w:gridCol w:w="1416"/>
        <w:gridCol w:w="1793"/>
      </w:tblGrid>
      <w:tr w:rsidR="009960AC" w:rsidRPr="00896ED3" w14:paraId="62C6D229" w14:textId="77777777">
        <w:tc>
          <w:tcPr>
            <w:tcW w:w="1650" w:type="pct"/>
            <w:tcBorders>
              <w:bottom w:val="nil"/>
            </w:tcBorders>
            <w:shd w:val="clear" w:color="auto" w:fill="auto"/>
          </w:tcPr>
          <w:p w14:paraId="078CF61A" w14:textId="77777777" w:rsidR="009960AC" w:rsidRPr="00896ED3" w:rsidRDefault="009960AC">
            <w:pPr>
              <w:pStyle w:val="TableText0"/>
            </w:pPr>
          </w:p>
        </w:tc>
        <w:tc>
          <w:tcPr>
            <w:tcW w:w="786" w:type="pct"/>
            <w:shd w:val="clear" w:color="auto" w:fill="auto"/>
            <w:vAlign w:val="center"/>
          </w:tcPr>
          <w:p w14:paraId="45CA0143" w14:textId="77777777" w:rsidR="009960AC" w:rsidRPr="00896ED3" w:rsidRDefault="009960AC">
            <w:pPr>
              <w:pStyle w:val="TableText0"/>
              <w:jc w:val="center"/>
              <w:rPr>
                <w:b/>
                <w:bCs w:val="0"/>
              </w:rPr>
            </w:pPr>
            <w:r w:rsidRPr="00896ED3">
              <w:rPr>
                <w:b/>
                <w:bCs w:val="0"/>
              </w:rPr>
              <w:t>CM77T</w:t>
            </w:r>
          </w:p>
        </w:tc>
        <w:tc>
          <w:tcPr>
            <w:tcW w:w="785" w:type="pct"/>
            <w:shd w:val="clear" w:color="auto" w:fill="B8CCE4" w:themeFill="accent1" w:themeFillTint="66"/>
            <w:vAlign w:val="center"/>
          </w:tcPr>
          <w:p w14:paraId="719F3B8E" w14:textId="77777777" w:rsidR="009960AC" w:rsidRPr="007E0D6D" w:rsidRDefault="009960AC">
            <w:pPr>
              <w:pStyle w:val="TableText0"/>
              <w:jc w:val="center"/>
              <w:rPr>
                <w:b/>
                <w:bCs w:val="0"/>
                <w:vertAlign w:val="superscript"/>
              </w:rPr>
            </w:pPr>
            <w:r w:rsidRPr="00896ED3">
              <w:rPr>
                <w:b/>
                <w:bCs w:val="0"/>
              </w:rPr>
              <w:t xml:space="preserve">CM816: Interim analysis 1 </w:t>
            </w:r>
            <w:r>
              <w:rPr>
                <w:b/>
                <w:bCs w:val="0"/>
                <w:vertAlign w:val="superscript"/>
              </w:rPr>
              <w:t>a</w:t>
            </w:r>
          </w:p>
        </w:tc>
        <w:tc>
          <w:tcPr>
            <w:tcW w:w="785" w:type="pct"/>
            <w:shd w:val="clear" w:color="auto" w:fill="auto"/>
            <w:vAlign w:val="center"/>
          </w:tcPr>
          <w:p w14:paraId="04BCBD16" w14:textId="77777777" w:rsidR="009960AC" w:rsidRPr="007E0D6D" w:rsidRDefault="009960AC">
            <w:pPr>
              <w:pStyle w:val="TableText0"/>
              <w:jc w:val="center"/>
              <w:rPr>
                <w:b/>
                <w:bCs w:val="0"/>
                <w:vertAlign w:val="superscript"/>
              </w:rPr>
            </w:pPr>
            <w:r w:rsidRPr="00896ED3">
              <w:rPr>
                <w:b/>
                <w:bCs w:val="0"/>
              </w:rPr>
              <w:t>CM816: 4-year update</w:t>
            </w:r>
            <w:r>
              <w:rPr>
                <w:b/>
                <w:bCs w:val="0"/>
              </w:rPr>
              <w:t xml:space="preserve"> </w:t>
            </w:r>
            <w:r>
              <w:rPr>
                <w:b/>
                <w:bCs w:val="0"/>
                <w:vertAlign w:val="superscript"/>
              </w:rPr>
              <w:t>b</w:t>
            </w:r>
          </w:p>
        </w:tc>
        <w:tc>
          <w:tcPr>
            <w:tcW w:w="994" w:type="pct"/>
            <w:vMerge w:val="restart"/>
            <w:vAlign w:val="center"/>
          </w:tcPr>
          <w:p w14:paraId="57AEAA44" w14:textId="6F541099" w:rsidR="009960AC" w:rsidRPr="00896ED3" w:rsidRDefault="009960AC">
            <w:pPr>
              <w:pStyle w:val="TableText0"/>
              <w:jc w:val="center"/>
              <w:rPr>
                <w:b/>
                <w:bCs w:val="0"/>
              </w:rPr>
            </w:pPr>
            <w:r>
              <w:rPr>
                <w:b/>
                <w:bCs w:val="0"/>
              </w:rPr>
              <w:t>RR</w:t>
            </w:r>
            <w:r w:rsidR="00686CD9">
              <w:rPr>
                <w:b/>
                <w:bCs w:val="0"/>
              </w:rPr>
              <w:t xml:space="preserve"> </w:t>
            </w:r>
            <w:r w:rsidR="00686CD9">
              <w:rPr>
                <w:b/>
                <w:bCs w:val="0"/>
                <w:vertAlign w:val="superscript"/>
              </w:rPr>
              <w:t>c</w:t>
            </w:r>
            <w:r>
              <w:rPr>
                <w:b/>
                <w:bCs w:val="0"/>
              </w:rPr>
              <w:t xml:space="preserve"> (95%CI)</w:t>
            </w:r>
          </w:p>
        </w:tc>
      </w:tr>
      <w:tr w:rsidR="009960AC" w:rsidRPr="00896ED3" w14:paraId="56CE86AD" w14:textId="77777777">
        <w:tc>
          <w:tcPr>
            <w:tcW w:w="1650" w:type="pct"/>
            <w:tcBorders>
              <w:top w:val="nil"/>
            </w:tcBorders>
            <w:shd w:val="clear" w:color="auto" w:fill="auto"/>
          </w:tcPr>
          <w:p w14:paraId="00795879" w14:textId="77777777" w:rsidR="009960AC" w:rsidRPr="00896ED3" w:rsidRDefault="009960AC">
            <w:pPr>
              <w:pStyle w:val="TableText0"/>
            </w:pPr>
          </w:p>
        </w:tc>
        <w:tc>
          <w:tcPr>
            <w:tcW w:w="786" w:type="pct"/>
            <w:shd w:val="clear" w:color="auto" w:fill="auto"/>
            <w:vAlign w:val="center"/>
          </w:tcPr>
          <w:p w14:paraId="4A43CACF" w14:textId="77777777" w:rsidR="009960AC" w:rsidRPr="00896ED3" w:rsidRDefault="009960AC">
            <w:pPr>
              <w:pStyle w:val="TableText0"/>
              <w:jc w:val="center"/>
              <w:rPr>
                <w:b/>
                <w:bCs w:val="0"/>
              </w:rPr>
            </w:pPr>
            <w:r>
              <w:rPr>
                <w:b/>
                <w:bCs w:val="0"/>
              </w:rPr>
              <w:t>peri</w:t>
            </w:r>
            <w:r w:rsidRPr="00896ED3">
              <w:rPr>
                <w:b/>
                <w:bCs w:val="0"/>
              </w:rPr>
              <w:t>NIVO (N=228)</w:t>
            </w:r>
          </w:p>
        </w:tc>
        <w:tc>
          <w:tcPr>
            <w:tcW w:w="785" w:type="pct"/>
            <w:shd w:val="clear" w:color="auto" w:fill="B8CCE4" w:themeFill="accent1" w:themeFillTint="66"/>
            <w:vAlign w:val="center"/>
          </w:tcPr>
          <w:p w14:paraId="25C85187" w14:textId="77777777" w:rsidR="009960AC" w:rsidRPr="00896ED3" w:rsidRDefault="009960AC">
            <w:pPr>
              <w:pStyle w:val="TableText0"/>
              <w:jc w:val="center"/>
              <w:rPr>
                <w:b/>
                <w:bCs w:val="0"/>
              </w:rPr>
            </w:pPr>
            <w:r>
              <w:rPr>
                <w:b/>
                <w:bCs w:val="0"/>
              </w:rPr>
              <w:t>neo</w:t>
            </w:r>
            <w:r w:rsidRPr="00896ED3">
              <w:rPr>
                <w:b/>
                <w:bCs w:val="0"/>
              </w:rPr>
              <w:t>NIVO (N=176)</w:t>
            </w:r>
          </w:p>
        </w:tc>
        <w:tc>
          <w:tcPr>
            <w:tcW w:w="785" w:type="pct"/>
            <w:shd w:val="clear" w:color="auto" w:fill="auto"/>
            <w:vAlign w:val="center"/>
          </w:tcPr>
          <w:p w14:paraId="10EC5D52" w14:textId="77777777" w:rsidR="009960AC" w:rsidRPr="00896ED3" w:rsidRDefault="009960AC">
            <w:pPr>
              <w:pStyle w:val="TableText0"/>
              <w:jc w:val="center"/>
              <w:rPr>
                <w:b/>
                <w:bCs w:val="0"/>
              </w:rPr>
            </w:pPr>
            <w:r>
              <w:rPr>
                <w:b/>
                <w:bCs w:val="0"/>
              </w:rPr>
              <w:t>neo</w:t>
            </w:r>
            <w:r w:rsidRPr="00896ED3">
              <w:rPr>
                <w:b/>
                <w:bCs w:val="0"/>
              </w:rPr>
              <w:t>NIVO (N=176)</w:t>
            </w:r>
          </w:p>
        </w:tc>
        <w:tc>
          <w:tcPr>
            <w:tcW w:w="994" w:type="pct"/>
            <w:vMerge/>
          </w:tcPr>
          <w:p w14:paraId="56C4CBE2" w14:textId="77777777" w:rsidR="009960AC" w:rsidRDefault="009960AC">
            <w:pPr>
              <w:pStyle w:val="TableText0"/>
              <w:jc w:val="center"/>
              <w:rPr>
                <w:b/>
                <w:bCs w:val="0"/>
              </w:rPr>
            </w:pPr>
          </w:p>
        </w:tc>
      </w:tr>
      <w:tr w:rsidR="009960AC" w:rsidRPr="00896ED3" w14:paraId="53F02807" w14:textId="77777777">
        <w:tc>
          <w:tcPr>
            <w:tcW w:w="1650" w:type="pct"/>
            <w:shd w:val="clear" w:color="auto" w:fill="auto"/>
          </w:tcPr>
          <w:p w14:paraId="4C117210" w14:textId="77777777" w:rsidR="009960AC" w:rsidRPr="00896ED3" w:rsidRDefault="009960AC">
            <w:pPr>
              <w:pStyle w:val="TableText0"/>
            </w:pPr>
            <w:r w:rsidRPr="00896ED3">
              <w:t>Any adverse event (all-causality)</w:t>
            </w:r>
          </w:p>
        </w:tc>
        <w:tc>
          <w:tcPr>
            <w:tcW w:w="786" w:type="pct"/>
            <w:shd w:val="clear" w:color="auto" w:fill="auto"/>
            <w:vAlign w:val="center"/>
          </w:tcPr>
          <w:p w14:paraId="5451BA23" w14:textId="77777777" w:rsidR="009960AC" w:rsidRPr="00896ED3" w:rsidRDefault="009960AC">
            <w:pPr>
              <w:pStyle w:val="TableText0"/>
              <w:jc w:val="center"/>
            </w:pPr>
            <w:r w:rsidRPr="00896ED3">
              <w:t>222 (97%)</w:t>
            </w:r>
          </w:p>
        </w:tc>
        <w:tc>
          <w:tcPr>
            <w:tcW w:w="785" w:type="pct"/>
            <w:shd w:val="clear" w:color="auto" w:fill="B8CCE4" w:themeFill="accent1" w:themeFillTint="66"/>
            <w:vAlign w:val="center"/>
          </w:tcPr>
          <w:p w14:paraId="5E5EA0E3" w14:textId="77777777" w:rsidR="009960AC" w:rsidRPr="00896ED3" w:rsidRDefault="009960AC">
            <w:pPr>
              <w:pStyle w:val="TableText0"/>
              <w:jc w:val="center"/>
            </w:pPr>
            <w:r w:rsidRPr="00896ED3">
              <w:t>163 (93%)</w:t>
            </w:r>
          </w:p>
        </w:tc>
        <w:tc>
          <w:tcPr>
            <w:tcW w:w="785" w:type="pct"/>
            <w:shd w:val="clear" w:color="auto" w:fill="auto"/>
            <w:vAlign w:val="center"/>
          </w:tcPr>
          <w:p w14:paraId="6F4F0BF0" w14:textId="77777777" w:rsidR="009960AC" w:rsidRPr="00896ED3" w:rsidRDefault="009960AC">
            <w:pPr>
              <w:pStyle w:val="TableText0"/>
              <w:jc w:val="center"/>
            </w:pPr>
            <w:r w:rsidRPr="00896ED3">
              <w:t>165 (94%)</w:t>
            </w:r>
          </w:p>
        </w:tc>
        <w:tc>
          <w:tcPr>
            <w:tcW w:w="994" w:type="pct"/>
            <w:shd w:val="clear" w:color="auto" w:fill="auto"/>
            <w:vAlign w:val="center"/>
          </w:tcPr>
          <w:p w14:paraId="626AD5AE" w14:textId="77777777" w:rsidR="00A0136F" w:rsidRDefault="009960AC">
            <w:pPr>
              <w:pStyle w:val="TableText0"/>
              <w:jc w:val="center"/>
            </w:pPr>
            <w:r w:rsidRPr="005A4A11">
              <w:t>1.0 (0.99, 1.1),</w:t>
            </w:r>
          </w:p>
          <w:p w14:paraId="34DB1638" w14:textId="4248156D" w:rsidR="009960AC" w:rsidRPr="00896ED3" w:rsidRDefault="009960AC">
            <w:pPr>
              <w:pStyle w:val="TableText0"/>
              <w:jc w:val="center"/>
            </w:pPr>
            <w:r w:rsidRPr="005A4A11">
              <w:t>p = 0.09</w:t>
            </w:r>
          </w:p>
        </w:tc>
      </w:tr>
      <w:tr w:rsidR="009960AC" w:rsidRPr="00896ED3" w14:paraId="1FF6B629" w14:textId="77777777">
        <w:tc>
          <w:tcPr>
            <w:tcW w:w="1650" w:type="pct"/>
            <w:shd w:val="clear" w:color="auto" w:fill="auto"/>
          </w:tcPr>
          <w:p w14:paraId="3F3C6B89" w14:textId="77777777" w:rsidR="009960AC" w:rsidRPr="00896ED3" w:rsidRDefault="009960AC">
            <w:pPr>
              <w:pStyle w:val="TableText0"/>
            </w:pPr>
            <w:r w:rsidRPr="00896ED3">
              <w:t xml:space="preserve">Any adverse event </w:t>
            </w:r>
            <w:bookmarkStart w:id="43" w:name="_Hlk175759262"/>
            <w:r w:rsidRPr="00896ED3">
              <w:t xml:space="preserve">≥ Grade 3 </w:t>
            </w:r>
            <w:bookmarkEnd w:id="43"/>
            <w:r w:rsidRPr="00896ED3">
              <w:t>(all-causality)</w:t>
            </w:r>
          </w:p>
        </w:tc>
        <w:tc>
          <w:tcPr>
            <w:tcW w:w="786" w:type="pct"/>
            <w:shd w:val="clear" w:color="auto" w:fill="auto"/>
            <w:vAlign w:val="center"/>
          </w:tcPr>
          <w:p w14:paraId="0BF63C31" w14:textId="77777777" w:rsidR="009960AC" w:rsidRPr="00896ED3" w:rsidRDefault="009960AC">
            <w:pPr>
              <w:pStyle w:val="TableText0"/>
              <w:jc w:val="center"/>
              <w:rPr>
                <w:b/>
                <w:bCs w:val="0"/>
              </w:rPr>
            </w:pPr>
            <w:r w:rsidRPr="00896ED3">
              <w:rPr>
                <w:b/>
                <w:bCs w:val="0"/>
              </w:rPr>
              <w:t>115 (50%)</w:t>
            </w:r>
          </w:p>
        </w:tc>
        <w:tc>
          <w:tcPr>
            <w:tcW w:w="785" w:type="pct"/>
            <w:shd w:val="clear" w:color="auto" w:fill="B8CCE4" w:themeFill="accent1" w:themeFillTint="66"/>
            <w:vAlign w:val="center"/>
          </w:tcPr>
          <w:p w14:paraId="006FD9FA" w14:textId="77777777" w:rsidR="009960AC" w:rsidRPr="00896ED3" w:rsidRDefault="009960AC">
            <w:pPr>
              <w:pStyle w:val="TableText0"/>
              <w:jc w:val="center"/>
            </w:pPr>
            <w:r w:rsidRPr="00896ED3">
              <w:t>72 (41%)</w:t>
            </w:r>
          </w:p>
        </w:tc>
        <w:tc>
          <w:tcPr>
            <w:tcW w:w="785" w:type="pct"/>
            <w:shd w:val="clear" w:color="auto" w:fill="auto"/>
            <w:vAlign w:val="center"/>
          </w:tcPr>
          <w:p w14:paraId="5E0A0BCF" w14:textId="77777777" w:rsidR="009960AC" w:rsidRPr="00896ED3" w:rsidRDefault="009960AC">
            <w:pPr>
              <w:pStyle w:val="TableText0"/>
              <w:jc w:val="center"/>
            </w:pPr>
            <w:r w:rsidRPr="00896ED3">
              <w:t>76 (43%)</w:t>
            </w:r>
          </w:p>
        </w:tc>
        <w:tc>
          <w:tcPr>
            <w:tcW w:w="994" w:type="pct"/>
            <w:shd w:val="clear" w:color="auto" w:fill="auto"/>
            <w:vAlign w:val="center"/>
          </w:tcPr>
          <w:p w14:paraId="09606DF8" w14:textId="77777777" w:rsidR="00A0136F" w:rsidRDefault="009960AC">
            <w:pPr>
              <w:pStyle w:val="TableText0"/>
              <w:jc w:val="center"/>
            </w:pPr>
            <w:r w:rsidRPr="005A4A11">
              <w:t>1.2 (0.94, 1.44),</w:t>
            </w:r>
          </w:p>
          <w:p w14:paraId="72CC3ABF" w14:textId="2848BBFC" w:rsidR="009960AC" w:rsidRPr="00896ED3" w:rsidRDefault="009960AC">
            <w:pPr>
              <w:pStyle w:val="TableText0"/>
              <w:jc w:val="center"/>
            </w:pPr>
            <w:r w:rsidRPr="005A4A11">
              <w:t>p = 0.15</w:t>
            </w:r>
          </w:p>
        </w:tc>
      </w:tr>
      <w:tr w:rsidR="009960AC" w:rsidRPr="00896ED3" w14:paraId="77368C40" w14:textId="77777777">
        <w:tc>
          <w:tcPr>
            <w:tcW w:w="1650" w:type="pct"/>
            <w:shd w:val="clear" w:color="auto" w:fill="auto"/>
          </w:tcPr>
          <w:p w14:paraId="56B717A3" w14:textId="77777777" w:rsidR="009960AC" w:rsidRPr="00896ED3" w:rsidRDefault="009960AC">
            <w:pPr>
              <w:pStyle w:val="TableText0"/>
            </w:pPr>
            <w:r w:rsidRPr="00896ED3">
              <w:t>Adverse events resulting in treatment discontinuation (all-causality)</w:t>
            </w:r>
          </w:p>
        </w:tc>
        <w:tc>
          <w:tcPr>
            <w:tcW w:w="786" w:type="pct"/>
            <w:shd w:val="clear" w:color="auto" w:fill="auto"/>
            <w:vAlign w:val="center"/>
          </w:tcPr>
          <w:p w14:paraId="4912B2C3" w14:textId="77777777" w:rsidR="009960AC" w:rsidRPr="00896ED3" w:rsidRDefault="009960AC">
            <w:pPr>
              <w:pStyle w:val="TableText0"/>
              <w:jc w:val="center"/>
              <w:rPr>
                <w:b/>
                <w:bCs w:val="0"/>
              </w:rPr>
            </w:pPr>
            <w:r w:rsidRPr="00896ED3">
              <w:rPr>
                <w:b/>
                <w:bCs w:val="0"/>
              </w:rPr>
              <w:t>56 (25%)</w:t>
            </w:r>
          </w:p>
        </w:tc>
        <w:tc>
          <w:tcPr>
            <w:tcW w:w="785" w:type="pct"/>
            <w:shd w:val="clear" w:color="auto" w:fill="B8CCE4" w:themeFill="accent1" w:themeFillTint="66"/>
            <w:vAlign w:val="center"/>
          </w:tcPr>
          <w:p w14:paraId="6D60C7EA" w14:textId="77777777" w:rsidR="009960AC" w:rsidRPr="00896ED3" w:rsidRDefault="009960AC">
            <w:pPr>
              <w:pStyle w:val="TableText0"/>
              <w:jc w:val="center"/>
            </w:pPr>
            <w:r w:rsidRPr="00896ED3">
              <w:t>18 (10%)</w:t>
            </w:r>
          </w:p>
        </w:tc>
        <w:tc>
          <w:tcPr>
            <w:tcW w:w="785" w:type="pct"/>
            <w:shd w:val="clear" w:color="auto" w:fill="auto"/>
            <w:vAlign w:val="center"/>
          </w:tcPr>
          <w:p w14:paraId="34E25D7C" w14:textId="77777777" w:rsidR="009960AC" w:rsidRPr="00896ED3" w:rsidRDefault="009960AC">
            <w:pPr>
              <w:pStyle w:val="TableText0"/>
              <w:jc w:val="center"/>
            </w:pPr>
            <w:r w:rsidRPr="00896ED3">
              <w:t>19 (11%)</w:t>
            </w:r>
          </w:p>
        </w:tc>
        <w:tc>
          <w:tcPr>
            <w:tcW w:w="994" w:type="pct"/>
            <w:shd w:val="clear" w:color="auto" w:fill="auto"/>
            <w:vAlign w:val="center"/>
          </w:tcPr>
          <w:p w14:paraId="236D30B6" w14:textId="77777777" w:rsidR="00A0136F" w:rsidRDefault="009960AC">
            <w:pPr>
              <w:pStyle w:val="TableText0"/>
              <w:jc w:val="center"/>
              <w:rPr>
                <w:b/>
                <w:bCs w:val="0"/>
              </w:rPr>
            </w:pPr>
            <w:r w:rsidRPr="005A4A11">
              <w:rPr>
                <w:b/>
                <w:bCs w:val="0"/>
              </w:rPr>
              <w:t>2.3 (1.4, 3.9),</w:t>
            </w:r>
          </w:p>
          <w:p w14:paraId="2699D96A" w14:textId="114F1F37" w:rsidR="009960AC" w:rsidRPr="00896ED3" w:rsidRDefault="009960AC">
            <w:pPr>
              <w:pStyle w:val="TableText0"/>
              <w:jc w:val="center"/>
            </w:pPr>
            <w:r w:rsidRPr="005A4A11">
              <w:rPr>
                <w:b/>
                <w:bCs w:val="0"/>
              </w:rPr>
              <w:t>p = 0.0008</w:t>
            </w:r>
          </w:p>
        </w:tc>
      </w:tr>
      <w:tr w:rsidR="009960AC" w:rsidRPr="00896ED3" w14:paraId="7AEB5625" w14:textId="77777777">
        <w:tc>
          <w:tcPr>
            <w:tcW w:w="1650" w:type="pct"/>
            <w:shd w:val="clear" w:color="auto" w:fill="auto"/>
          </w:tcPr>
          <w:p w14:paraId="02AF5DCD" w14:textId="77777777" w:rsidR="009960AC" w:rsidRPr="00896ED3" w:rsidRDefault="009960AC">
            <w:pPr>
              <w:pStyle w:val="TableText0"/>
            </w:pPr>
            <w:r w:rsidRPr="00896ED3">
              <w:t>Adverse events resulting in treatment discontinuation (study drug-related)</w:t>
            </w:r>
          </w:p>
        </w:tc>
        <w:tc>
          <w:tcPr>
            <w:tcW w:w="786" w:type="pct"/>
            <w:shd w:val="clear" w:color="auto" w:fill="auto"/>
            <w:vAlign w:val="center"/>
          </w:tcPr>
          <w:p w14:paraId="1CAE4057" w14:textId="77777777" w:rsidR="009960AC" w:rsidRPr="00896ED3" w:rsidRDefault="009960AC">
            <w:pPr>
              <w:pStyle w:val="TableText0"/>
              <w:jc w:val="center"/>
              <w:rPr>
                <w:b/>
                <w:bCs w:val="0"/>
              </w:rPr>
            </w:pPr>
            <w:r w:rsidRPr="00896ED3">
              <w:rPr>
                <w:b/>
                <w:bCs w:val="0"/>
              </w:rPr>
              <w:t>44 (19%)</w:t>
            </w:r>
          </w:p>
        </w:tc>
        <w:tc>
          <w:tcPr>
            <w:tcW w:w="785" w:type="pct"/>
            <w:shd w:val="clear" w:color="auto" w:fill="B8CCE4" w:themeFill="accent1" w:themeFillTint="66"/>
            <w:vAlign w:val="center"/>
          </w:tcPr>
          <w:p w14:paraId="63E70C4B" w14:textId="77777777" w:rsidR="009960AC" w:rsidRPr="00896ED3" w:rsidRDefault="009960AC">
            <w:pPr>
              <w:pStyle w:val="TableText0"/>
              <w:jc w:val="center"/>
            </w:pPr>
            <w:r w:rsidRPr="00896ED3">
              <w:t>18 (10%)</w:t>
            </w:r>
          </w:p>
        </w:tc>
        <w:tc>
          <w:tcPr>
            <w:tcW w:w="785" w:type="pct"/>
            <w:shd w:val="clear" w:color="auto" w:fill="auto"/>
            <w:vAlign w:val="center"/>
          </w:tcPr>
          <w:p w14:paraId="31CF7D0D" w14:textId="77777777" w:rsidR="009960AC" w:rsidRPr="00896ED3" w:rsidRDefault="009960AC">
            <w:pPr>
              <w:pStyle w:val="TableText0"/>
              <w:jc w:val="center"/>
            </w:pPr>
            <w:r w:rsidRPr="00896ED3">
              <w:t>19 (11%)</w:t>
            </w:r>
          </w:p>
        </w:tc>
        <w:tc>
          <w:tcPr>
            <w:tcW w:w="994" w:type="pct"/>
            <w:shd w:val="clear" w:color="auto" w:fill="auto"/>
            <w:vAlign w:val="center"/>
          </w:tcPr>
          <w:p w14:paraId="724D24C4" w14:textId="77777777" w:rsidR="00A0136F" w:rsidRDefault="009960AC">
            <w:pPr>
              <w:pStyle w:val="TableText0"/>
              <w:jc w:val="center"/>
              <w:rPr>
                <w:b/>
                <w:bCs w:val="0"/>
              </w:rPr>
            </w:pPr>
            <w:r w:rsidRPr="005A4A11">
              <w:rPr>
                <w:b/>
                <w:bCs w:val="0"/>
              </w:rPr>
              <w:t>1.8 (1.1, 2.9),</w:t>
            </w:r>
          </w:p>
          <w:p w14:paraId="2FAC2A9B" w14:textId="6BD1FFBF" w:rsidR="009960AC" w:rsidRPr="00896ED3" w:rsidRDefault="009960AC">
            <w:pPr>
              <w:pStyle w:val="TableText0"/>
              <w:jc w:val="center"/>
            </w:pPr>
            <w:r w:rsidRPr="005A4A11">
              <w:rPr>
                <w:b/>
                <w:bCs w:val="0"/>
              </w:rPr>
              <w:t>p = 0.02</w:t>
            </w:r>
          </w:p>
        </w:tc>
      </w:tr>
      <w:tr w:rsidR="009960AC" w:rsidRPr="00896ED3" w14:paraId="48A07E56" w14:textId="77777777">
        <w:tc>
          <w:tcPr>
            <w:tcW w:w="1650" w:type="pct"/>
            <w:shd w:val="clear" w:color="auto" w:fill="auto"/>
          </w:tcPr>
          <w:p w14:paraId="3154C17A" w14:textId="77777777" w:rsidR="009960AC" w:rsidRPr="00896ED3" w:rsidRDefault="009960AC">
            <w:pPr>
              <w:pStyle w:val="TableText0"/>
            </w:pPr>
            <w:r w:rsidRPr="00896ED3">
              <w:t>Deaths due to study drug toxicity</w:t>
            </w:r>
          </w:p>
        </w:tc>
        <w:tc>
          <w:tcPr>
            <w:tcW w:w="786" w:type="pct"/>
            <w:shd w:val="clear" w:color="auto" w:fill="auto"/>
            <w:vAlign w:val="center"/>
          </w:tcPr>
          <w:p w14:paraId="1B8F3EDD" w14:textId="77777777" w:rsidR="009960AC" w:rsidRPr="00896ED3" w:rsidRDefault="009960AC">
            <w:pPr>
              <w:pStyle w:val="TableText0"/>
              <w:jc w:val="center"/>
            </w:pPr>
            <w:r w:rsidRPr="00896ED3">
              <w:t>2 (0.9%)</w:t>
            </w:r>
          </w:p>
        </w:tc>
        <w:tc>
          <w:tcPr>
            <w:tcW w:w="785" w:type="pct"/>
            <w:shd w:val="clear" w:color="auto" w:fill="B8CCE4" w:themeFill="accent1" w:themeFillTint="66"/>
            <w:vAlign w:val="center"/>
          </w:tcPr>
          <w:p w14:paraId="616B5A15" w14:textId="77777777" w:rsidR="009960AC" w:rsidRPr="00896ED3" w:rsidRDefault="009960AC">
            <w:pPr>
              <w:pStyle w:val="TableText0"/>
              <w:jc w:val="center"/>
            </w:pPr>
            <w:r w:rsidRPr="00896ED3">
              <w:t>0</w:t>
            </w:r>
          </w:p>
        </w:tc>
        <w:tc>
          <w:tcPr>
            <w:tcW w:w="785" w:type="pct"/>
            <w:shd w:val="clear" w:color="auto" w:fill="auto"/>
            <w:vAlign w:val="center"/>
          </w:tcPr>
          <w:p w14:paraId="6E6BC180" w14:textId="77777777" w:rsidR="009960AC" w:rsidRPr="00896ED3" w:rsidRDefault="009960AC">
            <w:pPr>
              <w:pStyle w:val="TableText0"/>
              <w:jc w:val="center"/>
            </w:pPr>
            <w:r w:rsidRPr="00896ED3">
              <w:t>0</w:t>
            </w:r>
          </w:p>
        </w:tc>
        <w:tc>
          <w:tcPr>
            <w:tcW w:w="994" w:type="pct"/>
            <w:shd w:val="clear" w:color="auto" w:fill="auto"/>
            <w:vAlign w:val="center"/>
          </w:tcPr>
          <w:p w14:paraId="36EB3E97" w14:textId="77777777" w:rsidR="009960AC" w:rsidRDefault="009960AC">
            <w:pPr>
              <w:pStyle w:val="TableText0"/>
              <w:jc w:val="center"/>
            </w:pPr>
            <w:r w:rsidRPr="005A4A11">
              <w:t>3.9 (0.19, 80.0),</w:t>
            </w:r>
          </w:p>
          <w:p w14:paraId="79CD00B1" w14:textId="77777777" w:rsidR="009960AC" w:rsidRPr="00896ED3" w:rsidRDefault="009960AC">
            <w:pPr>
              <w:pStyle w:val="TableText0"/>
              <w:jc w:val="center"/>
            </w:pPr>
            <w:r w:rsidRPr="005A4A11">
              <w:t xml:space="preserve"> p = 0.38</w:t>
            </w:r>
          </w:p>
        </w:tc>
      </w:tr>
      <w:tr w:rsidR="009960AC" w:rsidRPr="00896ED3" w14:paraId="06C4AFD3" w14:textId="77777777">
        <w:tc>
          <w:tcPr>
            <w:tcW w:w="1650" w:type="pct"/>
            <w:shd w:val="clear" w:color="auto" w:fill="auto"/>
          </w:tcPr>
          <w:p w14:paraId="501B82C8" w14:textId="77777777" w:rsidR="009960AC" w:rsidRPr="00896ED3" w:rsidRDefault="009960AC">
            <w:pPr>
              <w:pStyle w:val="TableText0"/>
            </w:pPr>
            <w:r w:rsidRPr="00896ED3">
              <w:t>Surgery related adverse events</w:t>
            </w:r>
          </w:p>
        </w:tc>
        <w:tc>
          <w:tcPr>
            <w:tcW w:w="786" w:type="pct"/>
            <w:shd w:val="clear" w:color="auto" w:fill="auto"/>
            <w:vAlign w:val="center"/>
          </w:tcPr>
          <w:p w14:paraId="4A750ED1" w14:textId="77777777" w:rsidR="009960AC" w:rsidRPr="00896ED3" w:rsidRDefault="009960AC">
            <w:pPr>
              <w:pStyle w:val="TableText0"/>
              <w:jc w:val="center"/>
            </w:pPr>
            <w:r w:rsidRPr="00896ED3">
              <w:t>73/178 (41%)</w:t>
            </w:r>
          </w:p>
        </w:tc>
        <w:tc>
          <w:tcPr>
            <w:tcW w:w="785" w:type="pct"/>
            <w:shd w:val="clear" w:color="auto" w:fill="B8CCE4" w:themeFill="accent1" w:themeFillTint="66"/>
            <w:vAlign w:val="center"/>
          </w:tcPr>
          <w:p w14:paraId="07C651CE" w14:textId="77777777" w:rsidR="009960AC" w:rsidRPr="00896ED3" w:rsidRDefault="009960AC">
            <w:pPr>
              <w:pStyle w:val="TableText0"/>
              <w:jc w:val="center"/>
            </w:pPr>
            <w:r w:rsidRPr="00896ED3">
              <w:t>62/149 (42%)</w:t>
            </w:r>
          </w:p>
        </w:tc>
        <w:tc>
          <w:tcPr>
            <w:tcW w:w="785" w:type="pct"/>
            <w:shd w:val="clear" w:color="auto" w:fill="auto"/>
            <w:vAlign w:val="center"/>
          </w:tcPr>
          <w:p w14:paraId="5E3CF233" w14:textId="77777777" w:rsidR="009960AC" w:rsidRPr="00896ED3" w:rsidRDefault="009960AC">
            <w:pPr>
              <w:pStyle w:val="TableText0"/>
              <w:jc w:val="center"/>
            </w:pPr>
            <w:r w:rsidRPr="00896ED3">
              <w:t>NR</w:t>
            </w:r>
          </w:p>
        </w:tc>
        <w:tc>
          <w:tcPr>
            <w:tcW w:w="994" w:type="pct"/>
            <w:shd w:val="clear" w:color="auto" w:fill="auto"/>
            <w:vAlign w:val="center"/>
          </w:tcPr>
          <w:p w14:paraId="6324685D" w14:textId="77777777" w:rsidR="009960AC" w:rsidRPr="00896ED3" w:rsidRDefault="009960AC">
            <w:pPr>
              <w:pStyle w:val="TableText0"/>
              <w:jc w:val="center"/>
            </w:pPr>
            <w:r w:rsidRPr="005A4A11">
              <w:t>-</w:t>
            </w:r>
          </w:p>
        </w:tc>
      </w:tr>
    </w:tbl>
    <w:p w14:paraId="71165235" w14:textId="77777777" w:rsidR="00A0136F" w:rsidRDefault="00316358" w:rsidP="00316358">
      <w:pPr>
        <w:pStyle w:val="TableFigureFooter"/>
        <w:rPr>
          <w:rFonts w:eastAsia="Calibri"/>
        </w:rPr>
      </w:pPr>
      <w:bookmarkStart w:id="44" w:name="_Ref175822821"/>
      <w:r w:rsidRPr="00DB77B6">
        <w:rPr>
          <w:rFonts w:eastAsia="Calibri"/>
        </w:rPr>
        <w:t>Source: Table 79,</w:t>
      </w:r>
      <w:r>
        <w:rPr>
          <w:rFonts w:eastAsia="Calibri"/>
        </w:rPr>
        <w:t xml:space="preserve"> Table 80,</w:t>
      </w:r>
      <w:r w:rsidRPr="00DB77B6">
        <w:rPr>
          <w:rFonts w:eastAsia="Calibri"/>
        </w:rPr>
        <w:t xml:space="preserve"> p</w:t>
      </w:r>
      <w:r>
        <w:rPr>
          <w:rFonts w:eastAsia="Calibri"/>
        </w:rPr>
        <w:t>p</w:t>
      </w:r>
      <w:r w:rsidRPr="00DB77B6">
        <w:rPr>
          <w:rFonts w:eastAsia="Calibri"/>
        </w:rPr>
        <w:t>127</w:t>
      </w:r>
      <w:r>
        <w:rPr>
          <w:rFonts w:eastAsia="Calibri"/>
        </w:rPr>
        <w:t>-128</w:t>
      </w:r>
      <w:r w:rsidRPr="00DB77B6">
        <w:rPr>
          <w:rFonts w:eastAsia="Calibri"/>
        </w:rPr>
        <w:t xml:space="preserve"> of the submission</w:t>
      </w:r>
    </w:p>
    <w:p w14:paraId="32941919" w14:textId="77777777" w:rsidR="00A0136F" w:rsidRDefault="00316358" w:rsidP="00316358">
      <w:pPr>
        <w:pStyle w:val="TableFigureFooter"/>
        <w:rPr>
          <w:rFonts w:eastAsia="Calibri"/>
        </w:rPr>
      </w:pPr>
      <w:r w:rsidRPr="00DB77B6">
        <w:rPr>
          <w:rFonts w:eastAsia="Calibri"/>
        </w:rPr>
        <w:t>Abbreviations: EFS = event-free survival; neoChemo = neoadjuvant chemotherapy; neoNIVO = neoadjuvant nivolumab plus</w:t>
      </w:r>
      <w:r>
        <w:rPr>
          <w:rFonts w:eastAsia="Calibri"/>
        </w:rPr>
        <w:t xml:space="preserve"> </w:t>
      </w:r>
      <w:r w:rsidRPr="00DB77B6">
        <w:rPr>
          <w:rFonts w:eastAsia="Calibri"/>
        </w:rPr>
        <w:t>chemotherapy; periNIVO = perioperative nivolumab</w:t>
      </w:r>
    </w:p>
    <w:p w14:paraId="3D92858F" w14:textId="77777777" w:rsidR="00A0136F" w:rsidRDefault="00316358" w:rsidP="00316358">
      <w:pPr>
        <w:pStyle w:val="TableFigureFooter"/>
        <w:rPr>
          <w:rFonts w:eastAsia="Calibri"/>
        </w:rPr>
      </w:pPr>
      <w:r>
        <w:rPr>
          <w:rFonts w:eastAsia="Calibri"/>
          <w:vertAlign w:val="superscript"/>
        </w:rPr>
        <w:t xml:space="preserve">a </w:t>
      </w:r>
      <w:r>
        <w:rPr>
          <w:rFonts w:eastAsia="Calibri"/>
        </w:rPr>
        <w:t>Median follow up of 29.5 months</w:t>
      </w:r>
    </w:p>
    <w:p w14:paraId="1C4487B8" w14:textId="580B1E34" w:rsidR="00686CD9" w:rsidRDefault="00316358" w:rsidP="00316358">
      <w:pPr>
        <w:pStyle w:val="TableFigureFooter"/>
        <w:rPr>
          <w:rFonts w:eastAsia="Calibri"/>
        </w:rPr>
      </w:pPr>
      <w:r>
        <w:rPr>
          <w:rFonts w:eastAsia="Calibri"/>
          <w:vertAlign w:val="superscript"/>
        </w:rPr>
        <w:t xml:space="preserve">b </w:t>
      </w:r>
      <w:r>
        <w:rPr>
          <w:rFonts w:eastAsia="Calibri"/>
        </w:rPr>
        <w:t>Median follow up of 57.6 months</w:t>
      </w:r>
    </w:p>
    <w:p w14:paraId="1BC99FE4" w14:textId="20F0806F" w:rsidR="00316358" w:rsidRPr="00686CD9" w:rsidRDefault="00686CD9" w:rsidP="00316358">
      <w:pPr>
        <w:pStyle w:val="TableFigureFooter"/>
        <w:rPr>
          <w:rFonts w:eastAsia="Calibri"/>
        </w:rPr>
      </w:pPr>
      <w:r>
        <w:rPr>
          <w:rFonts w:eastAsia="Calibri"/>
          <w:vertAlign w:val="superscript"/>
        </w:rPr>
        <w:t xml:space="preserve">c </w:t>
      </w:r>
      <w:r w:rsidRPr="00300F14">
        <w:rPr>
          <w:rFonts w:eastAsia="Calibri"/>
          <w:iCs/>
        </w:rPr>
        <w:t>The relative risks presented by the submission compared CM77T interim analysis (median follow up 25.4 months) to the CM816 4-year update (median follow up 57.6 months)</w:t>
      </w:r>
    </w:p>
    <w:p w14:paraId="4E4EC1E8" w14:textId="77777777" w:rsidR="00A0136F" w:rsidRDefault="00316358" w:rsidP="00316358">
      <w:pPr>
        <w:pStyle w:val="TableFigureFooter"/>
        <w:rPr>
          <w:rFonts w:eastAsia="Calibri"/>
        </w:rPr>
      </w:pPr>
      <w:r w:rsidRPr="00DB77B6">
        <w:rPr>
          <w:rFonts w:eastAsia="Calibri"/>
        </w:rPr>
        <w:t xml:space="preserve">Note: Cells in bold indicate </w:t>
      </w:r>
      <w:r>
        <w:rPr>
          <w:rFonts w:eastAsia="Calibri"/>
        </w:rPr>
        <w:t xml:space="preserve">values where the 95%CI did </w:t>
      </w:r>
      <w:r w:rsidR="005B6461">
        <w:rPr>
          <w:rFonts w:eastAsia="Calibri"/>
        </w:rPr>
        <w:t>include the null</w:t>
      </w:r>
      <w:r>
        <w:rPr>
          <w:rFonts w:eastAsia="Calibri"/>
        </w:rPr>
        <w:t>, cells shaded in blue reflect information previously considered by the PBAC.</w:t>
      </w:r>
    </w:p>
    <w:p w14:paraId="09DBC65F" w14:textId="4834A074" w:rsidR="00DF03D5" w:rsidRDefault="00DB77B6" w:rsidP="007E0D6D">
      <w:pPr>
        <w:pStyle w:val="Caption"/>
        <w:spacing w:before="120"/>
      </w:pPr>
      <w:bookmarkStart w:id="45" w:name="_Ref176495455"/>
      <w:r>
        <w:lastRenderedPageBreak/>
        <w:t xml:space="preserve">Table </w:t>
      </w:r>
      <w:r w:rsidR="00311318">
        <w:fldChar w:fldCharType="begin"/>
      </w:r>
      <w:r w:rsidR="00311318">
        <w:instrText xml:space="preserve"> SEQ Table \* ARABIC </w:instrText>
      </w:r>
      <w:r w:rsidR="00311318">
        <w:fldChar w:fldCharType="separate"/>
      </w:r>
      <w:r w:rsidR="009C09C9">
        <w:rPr>
          <w:noProof/>
        </w:rPr>
        <w:t>8</w:t>
      </w:r>
      <w:r w:rsidR="00311318">
        <w:rPr>
          <w:noProof/>
        </w:rPr>
        <w:fldChar w:fldCharType="end"/>
      </w:r>
      <w:bookmarkEnd w:id="44"/>
      <w:bookmarkEnd w:id="45"/>
      <w:r>
        <w:t>: Comparison of immune mediated adverse events: CM77T and CM816</w:t>
      </w:r>
    </w:p>
    <w:tbl>
      <w:tblPr>
        <w:tblStyle w:val="TableGrid"/>
        <w:tblW w:w="5000" w:type="pct"/>
        <w:tblLook w:val="04A0" w:firstRow="1" w:lastRow="0" w:firstColumn="1" w:lastColumn="0" w:noHBand="0" w:noVBand="1"/>
        <w:tblCaption w:val="Table 8: Comparison of immune mediated adverse events: CM77T and CM816"/>
        <w:tblDescription w:val="Table 8: Comparison of immune mediated adverse events: CM77T and CM816"/>
      </w:tblPr>
      <w:tblGrid>
        <w:gridCol w:w="3295"/>
        <w:gridCol w:w="1544"/>
        <w:gridCol w:w="1316"/>
        <w:gridCol w:w="1546"/>
        <w:gridCol w:w="1316"/>
      </w:tblGrid>
      <w:tr w:rsidR="007E0D6D" w:rsidRPr="00A51404" w14:paraId="6A41651D" w14:textId="77777777" w:rsidTr="0089130B">
        <w:tc>
          <w:tcPr>
            <w:tcW w:w="1827" w:type="pct"/>
            <w:tcBorders>
              <w:bottom w:val="nil"/>
            </w:tcBorders>
            <w:shd w:val="clear" w:color="auto" w:fill="auto"/>
          </w:tcPr>
          <w:p w14:paraId="2A3DA54D" w14:textId="77777777" w:rsidR="007E0D6D" w:rsidRPr="00A51404" w:rsidRDefault="007E0D6D">
            <w:pPr>
              <w:pStyle w:val="TableText0"/>
            </w:pPr>
          </w:p>
        </w:tc>
        <w:tc>
          <w:tcPr>
            <w:tcW w:w="1586" w:type="pct"/>
            <w:gridSpan w:val="2"/>
            <w:shd w:val="clear" w:color="auto" w:fill="auto"/>
            <w:vAlign w:val="center"/>
          </w:tcPr>
          <w:p w14:paraId="3EF9753F" w14:textId="77777777" w:rsidR="007E0D6D" w:rsidRPr="00A51404" w:rsidRDefault="007E0D6D">
            <w:pPr>
              <w:pStyle w:val="TableText0"/>
              <w:jc w:val="center"/>
              <w:rPr>
                <w:b/>
              </w:rPr>
            </w:pPr>
            <w:r w:rsidRPr="00A51404">
              <w:rPr>
                <w:b/>
              </w:rPr>
              <w:t>C</w:t>
            </w:r>
            <w:r>
              <w:rPr>
                <w:b/>
              </w:rPr>
              <w:t>M</w:t>
            </w:r>
            <w:r w:rsidRPr="00A51404">
              <w:rPr>
                <w:b/>
              </w:rPr>
              <w:t>77T</w:t>
            </w:r>
          </w:p>
        </w:tc>
        <w:tc>
          <w:tcPr>
            <w:tcW w:w="1587" w:type="pct"/>
            <w:gridSpan w:val="2"/>
            <w:shd w:val="clear" w:color="auto" w:fill="B8CCE4" w:themeFill="accent1" w:themeFillTint="66"/>
            <w:vAlign w:val="center"/>
          </w:tcPr>
          <w:p w14:paraId="2AB7CEB6" w14:textId="77777777" w:rsidR="007E0D6D" w:rsidRPr="00A51404" w:rsidRDefault="007E0D6D">
            <w:pPr>
              <w:pStyle w:val="TableText0"/>
              <w:jc w:val="center"/>
              <w:rPr>
                <w:b/>
              </w:rPr>
            </w:pPr>
            <w:r w:rsidRPr="00A51404">
              <w:rPr>
                <w:b/>
              </w:rPr>
              <w:t>C</w:t>
            </w:r>
            <w:r>
              <w:rPr>
                <w:b/>
              </w:rPr>
              <w:t>M8</w:t>
            </w:r>
            <w:r w:rsidRPr="00A51404">
              <w:rPr>
                <w:b/>
              </w:rPr>
              <w:t>16: Interim analysis 1 of EFS</w:t>
            </w:r>
          </w:p>
        </w:tc>
      </w:tr>
      <w:tr w:rsidR="007E0D6D" w:rsidRPr="00A51404" w14:paraId="3B4B8EF4" w14:textId="77777777" w:rsidTr="0089130B">
        <w:tc>
          <w:tcPr>
            <w:tcW w:w="1827" w:type="pct"/>
            <w:tcBorders>
              <w:top w:val="nil"/>
              <w:bottom w:val="nil"/>
            </w:tcBorders>
            <w:shd w:val="clear" w:color="auto" w:fill="auto"/>
          </w:tcPr>
          <w:p w14:paraId="69D0F56E" w14:textId="77777777" w:rsidR="007E0D6D" w:rsidRPr="00A51404" w:rsidRDefault="007E0D6D">
            <w:pPr>
              <w:pStyle w:val="TableText0"/>
            </w:pPr>
          </w:p>
        </w:tc>
        <w:tc>
          <w:tcPr>
            <w:tcW w:w="1586" w:type="pct"/>
            <w:gridSpan w:val="2"/>
            <w:shd w:val="clear" w:color="auto" w:fill="auto"/>
            <w:vAlign w:val="center"/>
          </w:tcPr>
          <w:p w14:paraId="687DFC5D" w14:textId="77777777" w:rsidR="00A0136F" w:rsidRDefault="007E0D6D">
            <w:pPr>
              <w:pStyle w:val="TableText0"/>
              <w:jc w:val="center"/>
              <w:rPr>
                <w:rFonts w:eastAsia="Times New Roman"/>
                <w:b/>
              </w:rPr>
            </w:pPr>
            <w:r>
              <w:rPr>
                <w:rFonts w:eastAsia="Times New Roman"/>
                <w:b/>
              </w:rPr>
              <w:t>peri</w:t>
            </w:r>
            <w:r w:rsidRPr="00A51404">
              <w:rPr>
                <w:rFonts w:eastAsia="Times New Roman"/>
                <w:b/>
              </w:rPr>
              <w:t>NIVO</w:t>
            </w:r>
          </w:p>
          <w:p w14:paraId="779EA2E5" w14:textId="2F3A3E8A" w:rsidR="007E0D6D" w:rsidRPr="00A51404" w:rsidRDefault="007E0D6D">
            <w:pPr>
              <w:pStyle w:val="TableText0"/>
              <w:jc w:val="center"/>
              <w:rPr>
                <w:b/>
              </w:rPr>
            </w:pPr>
            <w:r w:rsidRPr="00A51404">
              <w:rPr>
                <w:rFonts w:eastAsia="Times New Roman"/>
                <w:b/>
              </w:rPr>
              <w:t>(N=228)</w:t>
            </w:r>
          </w:p>
        </w:tc>
        <w:tc>
          <w:tcPr>
            <w:tcW w:w="1587" w:type="pct"/>
            <w:gridSpan w:val="2"/>
            <w:shd w:val="clear" w:color="auto" w:fill="B8CCE4" w:themeFill="accent1" w:themeFillTint="66"/>
            <w:vAlign w:val="center"/>
          </w:tcPr>
          <w:p w14:paraId="24D73246" w14:textId="77777777" w:rsidR="00A0136F" w:rsidRDefault="007E0D6D">
            <w:pPr>
              <w:pStyle w:val="TableText0"/>
              <w:jc w:val="center"/>
              <w:rPr>
                <w:b/>
              </w:rPr>
            </w:pPr>
            <w:r>
              <w:rPr>
                <w:b/>
              </w:rPr>
              <w:t>neo</w:t>
            </w:r>
            <w:r w:rsidRPr="00A51404">
              <w:rPr>
                <w:b/>
              </w:rPr>
              <w:t>NIVO</w:t>
            </w:r>
          </w:p>
          <w:p w14:paraId="4E40D134" w14:textId="04BB69D1" w:rsidR="007E0D6D" w:rsidRPr="00A51404" w:rsidRDefault="007E0D6D">
            <w:pPr>
              <w:pStyle w:val="TableText0"/>
              <w:jc w:val="center"/>
              <w:rPr>
                <w:b/>
              </w:rPr>
            </w:pPr>
            <w:r>
              <w:rPr>
                <w:b/>
              </w:rPr>
              <w:t>(</w:t>
            </w:r>
            <w:r w:rsidRPr="00A51404">
              <w:rPr>
                <w:b/>
              </w:rPr>
              <w:t>N=176)</w:t>
            </w:r>
          </w:p>
        </w:tc>
      </w:tr>
      <w:tr w:rsidR="007E0D6D" w:rsidRPr="00A51404" w14:paraId="7F0BAB11" w14:textId="77777777" w:rsidTr="0089130B">
        <w:tc>
          <w:tcPr>
            <w:tcW w:w="1827" w:type="pct"/>
            <w:tcBorders>
              <w:top w:val="nil"/>
              <w:bottom w:val="single" w:sz="4" w:space="0" w:color="auto"/>
            </w:tcBorders>
            <w:shd w:val="clear" w:color="auto" w:fill="auto"/>
          </w:tcPr>
          <w:p w14:paraId="5CB7F072" w14:textId="77777777" w:rsidR="007E0D6D" w:rsidRPr="00A51404" w:rsidRDefault="007E0D6D">
            <w:pPr>
              <w:pStyle w:val="TableText0"/>
            </w:pPr>
          </w:p>
        </w:tc>
        <w:tc>
          <w:tcPr>
            <w:tcW w:w="856" w:type="pct"/>
            <w:tcBorders>
              <w:bottom w:val="single" w:sz="4" w:space="0" w:color="auto"/>
            </w:tcBorders>
            <w:shd w:val="clear" w:color="auto" w:fill="auto"/>
            <w:vAlign w:val="center"/>
          </w:tcPr>
          <w:p w14:paraId="17901C09" w14:textId="77777777" w:rsidR="007E0D6D" w:rsidRPr="00A51404" w:rsidRDefault="007E0D6D">
            <w:pPr>
              <w:pStyle w:val="TableText0"/>
              <w:jc w:val="center"/>
              <w:rPr>
                <w:b/>
              </w:rPr>
            </w:pPr>
            <w:r w:rsidRPr="00A51404">
              <w:rPr>
                <w:b/>
              </w:rPr>
              <w:t>Any Grade</w:t>
            </w:r>
          </w:p>
        </w:tc>
        <w:tc>
          <w:tcPr>
            <w:tcW w:w="730" w:type="pct"/>
            <w:tcBorders>
              <w:bottom w:val="single" w:sz="4" w:space="0" w:color="auto"/>
            </w:tcBorders>
            <w:shd w:val="clear" w:color="auto" w:fill="auto"/>
            <w:vAlign w:val="center"/>
          </w:tcPr>
          <w:p w14:paraId="0E9037D9" w14:textId="77777777" w:rsidR="007E0D6D" w:rsidRPr="00A51404" w:rsidRDefault="007E0D6D">
            <w:pPr>
              <w:pStyle w:val="TableText0"/>
              <w:jc w:val="center"/>
              <w:rPr>
                <w:b/>
              </w:rPr>
            </w:pPr>
            <w:r w:rsidRPr="00A51404">
              <w:rPr>
                <w:b/>
              </w:rPr>
              <w:t>Grade 3-4</w:t>
            </w:r>
          </w:p>
        </w:tc>
        <w:tc>
          <w:tcPr>
            <w:tcW w:w="857" w:type="pct"/>
            <w:tcBorders>
              <w:bottom w:val="single" w:sz="4" w:space="0" w:color="auto"/>
            </w:tcBorders>
            <w:shd w:val="clear" w:color="auto" w:fill="B8CCE4" w:themeFill="accent1" w:themeFillTint="66"/>
            <w:vAlign w:val="center"/>
          </w:tcPr>
          <w:p w14:paraId="5D2CCCE5" w14:textId="77777777" w:rsidR="007E0D6D" w:rsidRPr="00A51404" w:rsidRDefault="007E0D6D">
            <w:pPr>
              <w:pStyle w:val="TableText0"/>
              <w:jc w:val="center"/>
              <w:rPr>
                <w:b/>
              </w:rPr>
            </w:pPr>
            <w:r w:rsidRPr="00A51404">
              <w:rPr>
                <w:b/>
              </w:rPr>
              <w:t>Any Grade</w:t>
            </w:r>
          </w:p>
        </w:tc>
        <w:tc>
          <w:tcPr>
            <w:tcW w:w="730" w:type="pct"/>
            <w:tcBorders>
              <w:bottom w:val="single" w:sz="4" w:space="0" w:color="auto"/>
            </w:tcBorders>
            <w:shd w:val="clear" w:color="auto" w:fill="B8CCE4" w:themeFill="accent1" w:themeFillTint="66"/>
            <w:vAlign w:val="center"/>
          </w:tcPr>
          <w:p w14:paraId="1ABD6335" w14:textId="77777777" w:rsidR="007E0D6D" w:rsidRPr="00A51404" w:rsidRDefault="007E0D6D">
            <w:pPr>
              <w:pStyle w:val="TableText0"/>
              <w:jc w:val="center"/>
              <w:rPr>
                <w:b/>
              </w:rPr>
            </w:pPr>
            <w:r w:rsidRPr="00A51404">
              <w:rPr>
                <w:b/>
              </w:rPr>
              <w:t>Grade 3-4</w:t>
            </w:r>
          </w:p>
        </w:tc>
      </w:tr>
      <w:tr w:rsidR="007E0D6D" w:rsidRPr="00A51404" w14:paraId="7A817CC6" w14:textId="77777777" w:rsidTr="0089130B">
        <w:tc>
          <w:tcPr>
            <w:tcW w:w="1827" w:type="pct"/>
            <w:tcBorders>
              <w:top w:val="single" w:sz="4" w:space="0" w:color="auto"/>
            </w:tcBorders>
            <w:shd w:val="clear" w:color="auto" w:fill="auto"/>
            <w:vAlign w:val="center"/>
          </w:tcPr>
          <w:p w14:paraId="7DAEB6D7" w14:textId="77777777" w:rsidR="007E0D6D" w:rsidRPr="00A51404" w:rsidRDefault="007E0D6D">
            <w:pPr>
              <w:pStyle w:val="TableText0"/>
            </w:pPr>
            <w:r w:rsidRPr="00A51404">
              <w:t>Rash</w:t>
            </w:r>
          </w:p>
        </w:tc>
        <w:tc>
          <w:tcPr>
            <w:tcW w:w="856" w:type="pct"/>
            <w:tcBorders>
              <w:top w:val="single" w:sz="4" w:space="0" w:color="auto"/>
            </w:tcBorders>
            <w:shd w:val="clear" w:color="auto" w:fill="auto"/>
            <w:vAlign w:val="center"/>
          </w:tcPr>
          <w:p w14:paraId="32A94620" w14:textId="77777777" w:rsidR="007E0D6D" w:rsidRPr="00A51404" w:rsidRDefault="007E0D6D">
            <w:pPr>
              <w:pStyle w:val="TableText0"/>
              <w:jc w:val="center"/>
            </w:pPr>
            <w:r w:rsidRPr="00A51404">
              <w:t>11 (5%)</w:t>
            </w:r>
          </w:p>
        </w:tc>
        <w:tc>
          <w:tcPr>
            <w:tcW w:w="730" w:type="pct"/>
            <w:tcBorders>
              <w:top w:val="single" w:sz="4" w:space="0" w:color="auto"/>
            </w:tcBorders>
            <w:shd w:val="clear" w:color="auto" w:fill="auto"/>
            <w:vAlign w:val="center"/>
          </w:tcPr>
          <w:p w14:paraId="22F40262" w14:textId="77777777" w:rsidR="007E0D6D" w:rsidRPr="00A51404" w:rsidRDefault="007E0D6D">
            <w:pPr>
              <w:pStyle w:val="TableText0"/>
              <w:jc w:val="center"/>
            </w:pPr>
            <w:r w:rsidRPr="00A51404">
              <w:t>2 (0.9%)</w:t>
            </w:r>
          </w:p>
        </w:tc>
        <w:tc>
          <w:tcPr>
            <w:tcW w:w="857" w:type="pct"/>
            <w:tcBorders>
              <w:top w:val="single" w:sz="4" w:space="0" w:color="auto"/>
            </w:tcBorders>
            <w:shd w:val="clear" w:color="auto" w:fill="B8CCE4" w:themeFill="accent1" w:themeFillTint="66"/>
            <w:vAlign w:val="center"/>
          </w:tcPr>
          <w:p w14:paraId="634426B1" w14:textId="77777777" w:rsidR="007E0D6D" w:rsidRPr="00A51404" w:rsidRDefault="007E0D6D">
            <w:pPr>
              <w:pStyle w:val="TableText0"/>
              <w:jc w:val="center"/>
            </w:pPr>
            <w:r w:rsidRPr="00A51404">
              <w:t>15 (9%)</w:t>
            </w:r>
          </w:p>
        </w:tc>
        <w:tc>
          <w:tcPr>
            <w:tcW w:w="730" w:type="pct"/>
            <w:tcBorders>
              <w:top w:val="single" w:sz="4" w:space="0" w:color="auto"/>
            </w:tcBorders>
            <w:shd w:val="clear" w:color="auto" w:fill="B8CCE4" w:themeFill="accent1" w:themeFillTint="66"/>
            <w:vAlign w:val="center"/>
          </w:tcPr>
          <w:p w14:paraId="488D43B8" w14:textId="77777777" w:rsidR="007E0D6D" w:rsidRPr="00A51404" w:rsidRDefault="007E0D6D">
            <w:pPr>
              <w:pStyle w:val="TableText0"/>
              <w:jc w:val="center"/>
            </w:pPr>
            <w:r w:rsidRPr="00A51404">
              <w:t>3 (2%)</w:t>
            </w:r>
          </w:p>
        </w:tc>
      </w:tr>
      <w:tr w:rsidR="007E0D6D" w:rsidRPr="00A51404" w14:paraId="720AA19E" w14:textId="77777777" w:rsidTr="0089130B">
        <w:tc>
          <w:tcPr>
            <w:tcW w:w="1827" w:type="pct"/>
            <w:tcBorders>
              <w:top w:val="single" w:sz="4" w:space="0" w:color="auto"/>
            </w:tcBorders>
            <w:shd w:val="clear" w:color="auto" w:fill="auto"/>
            <w:vAlign w:val="center"/>
          </w:tcPr>
          <w:p w14:paraId="549CA03B" w14:textId="77777777" w:rsidR="007E0D6D" w:rsidRPr="00A51404" w:rsidRDefault="007E0D6D">
            <w:pPr>
              <w:pStyle w:val="TableText0"/>
            </w:pPr>
            <w:r w:rsidRPr="00A51404">
              <w:t>Hypersensitivity</w:t>
            </w:r>
          </w:p>
        </w:tc>
        <w:tc>
          <w:tcPr>
            <w:tcW w:w="856" w:type="pct"/>
            <w:tcBorders>
              <w:top w:val="single" w:sz="4" w:space="0" w:color="auto"/>
            </w:tcBorders>
            <w:shd w:val="clear" w:color="auto" w:fill="auto"/>
            <w:vAlign w:val="center"/>
          </w:tcPr>
          <w:p w14:paraId="17BBCB48" w14:textId="77777777" w:rsidR="007E0D6D" w:rsidRPr="00A51404" w:rsidRDefault="007E0D6D">
            <w:pPr>
              <w:pStyle w:val="TableText0"/>
              <w:jc w:val="center"/>
            </w:pPr>
            <w:r w:rsidRPr="00A51404">
              <w:t>1 (0.4%)</w:t>
            </w:r>
          </w:p>
        </w:tc>
        <w:tc>
          <w:tcPr>
            <w:tcW w:w="730" w:type="pct"/>
            <w:tcBorders>
              <w:top w:val="single" w:sz="4" w:space="0" w:color="auto"/>
            </w:tcBorders>
            <w:shd w:val="clear" w:color="auto" w:fill="auto"/>
            <w:vAlign w:val="center"/>
          </w:tcPr>
          <w:p w14:paraId="1A724673" w14:textId="77777777" w:rsidR="007E0D6D" w:rsidRPr="00A51404" w:rsidRDefault="007E0D6D">
            <w:pPr>
              <w:pStyle w:val="TableText0"/>
              <w:jc w:val="center"/>
            </w:pPr>
            <w:r w:rsidRPr="00A51404">
              <w:t>0</w:t>
            </w:r>
          </w:p>
        </w:tc>
        <w:tc>
          <w:tcPr>
            <w:tcW w:w="857" w:type="pct"/>
            <w:tcBorders>
              <w:top w:val="single" w:sz="4" w:space="0" w:color="auto"/>
            </w:tcBorders>
            <w:shd w:val="clear" w:color="auto" w:fill="B8CCE4" w:themeFill="accent1" w:themeFillTint="66"/>
            <w:vAlign w:val="center"/>
          </w:tcPr>
          <w:p w14:paraId="5B5A0553" w14:textId="77777777" w:rsidR="007E0D6D" w:rsidRPr="00A51404" w:rsidRDefault="007E0D6D">
            <w:pPr>
              <w:pStyle w:val="TableText0"/>
              <w:jc w:val="center"/>
            </w:pPr>
            <w:r w:rsidRPr="00A51404">
              <w:t>2 (1%)</w:t>
            </w:r>
          </w:p>
        </w:tc>
        <w:tc>
          <w:tcPr>
            <w:tcW w:w="730" w:type="pct"/>
            <w:tcBorders>
              <w:top w:val="single" w:sz="4" w:space="0" w:color="auto"/>
            </w:tcBorders>
            <w:shd w:val="clear" w:color="auto" w:fill="B8CCE4" w:themeFill="accent1" w:themeFillTint="66"/>
            <w:vAlign w:val="center"/>
          </w:tcPr>
          <w:p w14:paraId="278B324C" w14:textId="77777777" w:rsidR="007E0D6D" w:rsidRPr="00A51404" w:rsidRDefault="007E0D6D">
            <w:pPr>
              <w:pStyle w:val="TableText0"/>
              <w:jc w:val="center"/>
            </w:pPr>
            <w:r w:rsidRPr="00A51404">
              <w:t>0</w:t>
            </w:r>
          </w:p>
        </w:tc>
      </w:tr>
      <w:tr w:rsidR="007E0D6D" w:rsidRPr="00A51404" w14:paraId="3E1E3C3E" w14:textId="77777777" w:rsidTr="0089130B">
        <w:tc>
          <w:tcPr>
            <w:tcW w:w="1827" w:type="pct"/>
            <w:shd w:val="clear" w:color="auto" w:fill="auto"/>
            <w:vAlign w:val="center"/>
          </w:tcPr>
          <w:p w14:paraId="1CE72DD3" w14:textId="77777777" w:rsidR="007E0D6D" w:rsidRPr="00A51404" w:rsidRDefault="007E0D6D">
            <w:pPr>
              <w:pStyle w:val="TableText0"/>
            </w:pPr>
            <w:r w:rsidRPr="00A51404">
              <w:t>Pneumonitis</w:t>
            </w:r>
          </w:p>
        </w:tc>
        <w:tc>
          <w:tcPr>
            <w:tcW w:w="856" w:type="pct"/>
            <w:shd w:val="clear" w:color="auto" w:fill="auto"/>
            <w:vAlign w:val="center"/>
          </w:tcPr>
          <w:p w14:paraId="6BD5C234" w14:textId="77777777" w:rsidR="007E0D6D" w:rsidRPr="00A51404" w:rsidRDefault="007E0D6D">
            <w:pPr>
              <w:pStyle w:val="TableText0"/>
              <w:jc w:val="center"/>
            </w:pPr>
            <w:r w:rsidRPr="00A51404">
              <w:t>12 (5%)</w:t>
            </w:r>
          </w:p>
        </w:tc>
        <w:tc>
          <w:tcPr>
            <w:tcW w:w="730" w:type="pct"/>
            <w:shd w:val="clear" w:color="auto" w:fill="auto"/>
            <w:vAlign w:val="center"/>
          </w:tcPr>
          <w:p w14:paraId="02883AD5" w14:textId="77777777" w:rsidR="007E0D6D" w:rsidRPr="00A51404" w:rsidRDefault="007E0D6D">
            <w:pPr>
              <w:pStyle w:val="TableText0"/>
              <w:jc w:val="center"/>
            </w:pPr>
            <w:r w:rsidRPr="00A51404">
              <w:t>5 (2%)</w:t>
            </w:r>
          </w:p>
        </w:tc>
        <w:tc>
          <w:tcPr>
            <w:tcW w:w="857" w:type="pct"/>
            <w:shd w:val="clear" w:color="auto" w:fill="B8CCE4" w:themeFill="accent1" w:themeFillTint="66"/>
            <w:vAlign w:val="center"/>
          </w:tcPr>
          <w:p w14:paraId="044F5414" w14:textId="77777777" w:rsidR="007E0D6D" w:rsidRPr="00A51404" w:rsidRDefault="007E0D6D">
            <w:pPr>
              <w:pStyle w:val="TableText0"/>
              <w:jc w:val="center"/>
            </w:pPr>
            <w:r w:rsidRPr="00A51404">
              <w:t>2 (1%)</w:t>
            </w:r>
          </w:p>
        </w:tc>
        <w:tc>
          <w:tcPr>
            <w:tcW w:w="730" w:type="pct"/>
            <w:shd w:val="clear" w:color="auto" w:fill="B8CCE4" w:themeFill="accent1" w:themeFillTint="66"/>
            <w:vAlign w:val="center"/>
          </w:tcPr>
          <w:p w14:paraId="72593670" w14:textId="77777777" w:rsidR="007E0D6D" w:rsidRPr="00A51404" w:rsidRDefault="007E0D6D">
            <w:pPr>
              <w:pStyle w:val="TableText0"/>
              <w:jc w:val="center"/>
            </w:pPr>
            <w:r w:rsidRPr="00A51404">
              <w:t>0</w:t>
            </w:r>
          </w:p>
        </w:tc>
      </w:tr>
      <w:tr w:rsidR="007E0D6D" w:rsidRPr="00A51404" w14:paraId="03CDE52A" w14:textId="77777777" w:rsidTr="0089130B">
        <w:tc>
          <w:tcPr>
            <w:tcW w:w="1827" w:type="pct"/>
            <w:shd w:val="clear" w:color="auto" w:fill="auto"/>
            <w:vAlign w:val="center"/>
          </w:tcPr>
          <w:p w14:paraId="28F9E81F" w14:textId="77777777" w:rsidR="007E0D6D" w:rsidRPr="00A51404" w:rsidRDefault="007E0D6D">
            <w:pPr>
              <w:pStyle w:val="TableText0"/>
              <w:rPr>
                <w:vertAlign w:val="superscript"/>
              </w:rPr>
            </w:pPr>
            <w:r w:rsidRPr="00A51404">
              <w:t>Endocrine</w:t>
            </w:r>
          </w:p>
        </w:tc>
        <w:tc>
          <w:tcPr>
            <w:tcW w:w="856" w:type="pct"/>
            <w:shd w:val="clear" w:color="auto" w:fill="auto"/>
            <w:vAlign w:val="center"/>
          </w:tcPr>
          <w:p w14:paraId="164ABFB0" w14:textId="77777777" w:rsidR="007E0D6D" w:rsidRPr="00A51404" w:rsidRDefault="007E0D6D">
            <w:pPr>
              <w:pStyle w:val="TableText0"/>
              <w:jc w:val="center"/>
            </w:pPr>
          </w:p>
        </w:tc>
        <w:tc>
          <w:tcPr>
            <w:tcW w:w="730" w:type="pct"/>
            <w:shd w:val="clear" w:color="auto" w:fill="auto"/>
            <w:vAlign w:val="center"/>
          </w:tcPr>
          <w:p w14:paraId="4CA86EEC" w14:textId="77777777" w:rsidR="007E0D6D" w:rsidRPr="00A51404" w:rsidRDefault="007E0D6D">
            <w:pPr>
              <w:pStyle w:val="TableText0"/>
              <w:jc w:val="center"/>
            </w:pPr>
          </w:p>
        </w:tc>
        <w:tc>
          <w:tcPr>
            <w:tcW w:w="857" w:type="pct"/>
            <w:shd w:val="clear" w:color="auto" w:fill="B8CCE4" w:themeFill="accent1" w:themeFillTint="66"/>
            <w:vAlign w:val="center"/>
          </w:tcPr>
          <w:p w14:paraId="39890778" w14:textId="77777777" w:rsidR="007E0D6D" w:rsidRPr="00A51404" w:rsidRDefault="007E0D6D">
            <w:pPr>
              <w:pStyle w:val="TableText0"/>
              <w:jc w:val="center"/>
            </w:pPr>
          </w:p>
        </w:tc>
        <w:tc>
          <w:tcPr>
            <w:tcW w:w="730" w:type="pct"/>
            <w:shd w:val="clear" w:color="auto" w:fill="B8CCE4" w:themeFill="accent1" w:themeFillTint="66"/>
            <w:vAlign w:val="center"/>
          </w:tcPr>
          <w:p w14:paraId="58F06035" w14:textId="77777777" w:rsidR="007E0D6D" w:rsidRPr="00A51404" w:rsidRDefault="007E0D6D">
            <w:pPr>
              <w:pStyle w:val="TableText0"/>
              <w:jc w:val="center"/>
            </w:pPr>
          </w:p>
        </w:tc>
      </w:tr>
      <w:tr w:rsidR="007E0D6D" w:rsidRPr="00A51404" w14:paraId="15AC5CFA" w14:textId="77777777" w:rsidTr="0089130B">
        <w:tc>
          <w:tcPr>
            <w:tcW w:w="1827" w:type="pct"/>
            <w:shd w:val="clear" w:color="auto" w:fill="auto"/>
            <w:vAlign w:val="center"/>
          </w:tcPr>
          <w:p w14:paraId="0CDD2C4A" w14:textId="77777777" w:rsidR="007E0D6D" w:rsidRPr="00A51404" w:rsidRDefault="007E0D6D" w:rsidP="00AA6255">
            <w:pPr>
              <w:pStyle w:val="TableText0"/>
              <w:ind w:left="174"/>
            </w:pPr>
            <w:r w:rsidRPr="00A51404">
              <w:t>Adrenal insufficiency</w:t>
            </w:r>
          </w:p>
        </w:tc>
        <w:tc>
          <w:tcPr>
            <w:tcW w:w="856" w:type="pct"/>
            <w:shd w:val="clear" w:color="auto" w:fill="auto"/>
            <w:vAlign w:val="center"/>
          </w:tcPr>
          <w:p w14:paraId="1BF8D6EC" w14:textId="77777777" w:rsidR="007E0D6D" w:rsidRPr="00A51404" w:rsidRDefault="007E0D6D">
            <w:pPr>
              <w:pStyle w:val="TableText0"/>
              <w:jc w:val="center"/>
            </w:pPr>
            <w:r w:rsidRPr="00A51404">
              <w:t>4 (2%)</w:t>
            </w:r>
          </w:p>
        </w:tc>
        <w:tc>
          <w:tcPr>
            <w:tcW w:w="730" w:type="pct"/>
            <w:shd w:val="clear" w:color="auto" w:fill="auto"/>
            <w:vAlign w:val="center"/>
          </w:tcPr>
          <w:p w14:paraId="3459CC84" w14:textId="77777777" w:rsidR="007E0D6D" w:rsidRPr="00A51404" w:rsidRDefault="007E0D6D">
            <w:pPr>
              <w:pStyle w:val="TableText0"/>
              <w:jc w:val="center"/>
            </w:pPr>
            <w:r w:rsidRPr="00A51404">
              <w:t>0</w:t>
            </w:r>
          </w:p>
        </w:tc>
        <w:tc>
          <w:tcPr>
            <w:tcW w:w="857" w:type="pct"/>
            <w:shd w:val="clear" w:color="auto" w:fill="B8CCE4" w:themeFill="accent1" w:themeFillTint="66"/>
            <w:vAlign w:val="center"/>
          </w:tcPr>
          <w:p w14:paraId="6097306E" w14:textId="77777777" w:rsidR="007E0D6D" w:rsidRPr="00A51404" w:rsidRDefault="007E0D6D">
            <w:pPr>
              <w:pStyle w:val="TableText0"/>
              <w:jc w:val="center"/>
            </w:pPr>
            <w:r w:rsidRPr="00A51404">
              <w:t>2 (1%)</w:t>
            </w:r>
          </w:p>
        </w:tc>
        <w:tc>
          <w:tcPr>
            <w:tcW w:w="730" w:type="pct"/>
            <w:shd w:val="clear" w:color="auto" w:fill="B8CCE4" w:themeFill="accent1" w:themeFillTint="66"/>
            <w:vAlign w:val="center"/>
          </w:tcPr>
          <w:p w14:paraId="2329CA5F" w14:textId="77777777" w:rsidR="007E0D6D" w:rsidRPr="00A51404" w:rsidRDefault="007E0D6D">
            <w:pPr>
              <w:pStyle w:val="TableText0"/>
              <w:jc w:val="center"/>
            </w:pPr>
            <w:r w:rsidRPr="00A51404">
              <w:t>2 (1%)</w:t>
            </w:r>
          </w:p>
        </w:tc>
      </w:tr>
      <w:tr w:rsidR="007E0D6D" w:rsidRPr="00A51404" w14:paraId="7E02AED8" w14:textId="77777777" w:rsidTr="0089130B">
        <w:tc>
          <w:tcPr>
            <w:tcW w:w="1827" w:type="pct"/>
            <w:shd w:val="clear" w:color="auto" w:fill="auto"/>
            <w:vAlign w:val="center"/>
          </w:tcPr>
          <w:p w14:paraId="10779793" w14:textId="77777777" w:rsidR="007E0D6D" w:rsidRPr="00A51404" w:rsidRDefault="007E0D6D" w:rsidP="00AA6255">
            <w:pPr>
              <w:pStyle w:val="TableText0"/>
              <w:ind w:left="174"/>
            </w:pPr>
            <w:r w:rsidRPr="00A51404">
              <w:t>Hypophysitis</w:t>
            </w:r>
          </w:p>
        </w:tc>
        <w:tc>
          <w:tcPr>
            <w:tcW w:w="856" w:type="pct"/>
            <w:shd w:val="clear" w:color="auto" w:fill="auto"/>
            <w:vAlign w:val="center"/>
          </w:tcPr>
          <w:p w14:paraId="56FE9115" w14:textId="77777777" w:rsidR="007E0D6D" w:rsidRPr="00A51404" w:rsidRDefault="007E0D6D">
            <w:pPr>
              <w:pStyle w:val="TableText0"/>
              <w:jc w:val="center"/>
            </w:pPr>
            <w:r w:rsidRPr="00A51404">
              <w:t>2 (0.9%)</w:t>
            </w:r>
          </w:p>
        </w:tc>
        <w:tc>
          <w:tcPr>
            <w:tcW w:w="730" w:type="pct"/>
            <w:shd w:val="clear" w:color="auto" w:fill="auto"/>
            <w:vAlign w:val="center"/>
          </w:tcPr>
          <w:p w14:paraId="7F10B2AF" w14:textId="77777777" w:rsidR="007E0D6D" w:rsidRPr="00A51404" w:rsidRDefault="007E0D6D">
            <w:pPr>
              <w:pStyle w:val="TableText0"/>
              <w:jc w:val="center"/>
            </w:pPr>
            <w:r w:rsidRPr="00A51404">
              <w:t>0</w:t>
            </w:r>
          </w:p>
        </w:tc>
        <w:tc>
          <w:tcPr>
            <w:tcW w:w="857" w:type="pct"/>
            <w:shd w:val="clear" w:color="auto" w:fill="B8CCE4" w:themeFill="accent1" w:themeFillTint="66"/>
            <w:vAlign w:val="center"/>
          </w:tcPr>
          <w:p w14:paraId="30E73AA5" w14:textId="77777777" w:rsidR="007E0D6D" w:rsidRPr="00A51404" w:rsidRDefault="007E0D6D">
            <w:pPr>
              <w:pStyle w:val="TableText0"/>
              <w:jc w:val="center"/>
            </w:pPr>
            <w:r w:rsidRPr="00A51404">
              <w:t>1 (0.6%)</w:t>
            </w:r>
          </w:p>
        </w:tc>
        <w:tc>
          <w:tcPr>
            <w:tcW w:w="730" w:type="pct"/>
            <w:shd w:val="clear" w:color="auto" w:fill="B8CCE4" w:themeFill="accent1" w:themeFillTint="66"/>
            <w:vAlign w:val="center"/>
          </w:tcPr>
          <w:p w14:paraId="31C1A22F" w14:textId="77777777" w:rsidR="007E0D6D" w:rsidRPr="00A51404" w:rsidRDefault="007E0D6D">
            <w:pPr>
              <w:pStyle w:val="TableText0"/>
              <w:jc w:val="center"/>
            </w:pPr>
            <w:r w:rsidRPr="00A51404">
              <w:t>1 (0.6%)</w:t>
            </w:r>
          </w:p>
        </w:tc>
      </w:tr>
      <w:tr w:rsidR="007E0D6D" w:rsidRPr="00A51404" w14:paraId="1654AE90" w14:textId="77777777" w:rsidTr="0089130B">
        <w:tc>
          <w:tcPr>
            <w:tcW w:w="1827" w:type="pct"/>
            <w:shd w:val="clear" w:color="auto" w:fill="auto"/>
            <w:vAlign w:val="center"/>
          </w:tcPr>
          <w:p w14:paraId="47FA9D23" w14:textId="77777777" w:rsidR="007E0D6D" w:rsidRPr="00A51404" w:rsidRDefault="007E0D6D" w:rsidP="00AA6255">
            <w:pPr>
              <w:pStyle w:val="TableText0"/>
              <w:ind w:left="174"/>
              <w:rPr>
                <w:vertAlign w:val="superscript"/>
              </w:rPr>
            </w:pPr>
            <w:r w:rsidRPr="00A51404">
              <w:t>Hypothyroidism/thyroiditis</w:t>
            </w:r>
          </w:p>
        </w:tc>
        <w:tc>
          <w:tcPr>
            <w:tcW w:w="856" w:type="pct"/>
            <w:shd w:val="clear" w:color="auto" w:fill="auto"/>
            <w:vAlign w:val="center"/>
          </w:tcPr>
          <w:p w14:paraId="746B2D8A" w14:textId="77777777" w:rsidR="007E0D6D" w:rsidRPr="00BA41EA" w:rsidRDefault="007E0D6D">
            <w:pPr>
              <w:pStyle w:val="TableText0"/>
              <w:jc w:val="center"/>
              <w:rPr>
                <w:b/>
                <w:bCs w:val="0"/>
              </w:rPr>
            </w:pPr>
            <w:r w:rsidRPr="00BA41EA">
              <w:rPr>
                <w:b/>
                <w:bCs w:val="0"/>
              </w:rPr>
              <w:t>25 (11%)</w:t>
            </w:r>
          </w:p>
        </w:tc>
        <w:tc>
          <w:tcPr>
            <w:tcW w:w="730" w:type="pct"/>
            <w:shd w:val="clear" w:color="auto" w:fill="auto"/>
            <w:vAlign w:val="center"/>
          </w:tcPr>
          <w:p w14:paraId="4EBF0191" w14:textId="77777777" w:rsidR="007E0D6D" w:rsidRPr="00A51404" w:rsidRDefault="007E0D6D">
            <w:pPr>
              <w:pStyle w:val="TableText0"/>
              <w:jc w:val="center"/>
            </w:pPr>
            <w:r w:rsidRPr="00A51404">
              <w:t>0</w:t>
            </w:r>
          </w:p>
        </w:tc>
        <w:tc>
          <w:tcPr>
            <w:tcW w:w="857" w:type="pct"/>
            <w:shd w:val="clear" w:color="auto" w:fill="B8CCE4" w:themeFill="accent1" w:themeFillTint="66"/>
            <w:vAlign w:val="center"/>
          </w:tcPr>
          <w:p w14:paraId="101E4474" w14:textId="77777777" w:rsidR="007E0D6D" w:rsidRPr="00A51404" w:rsidRDefault="007E0D6D">
            <w:pPr>
              <w:pStyle w:val="TableText0"/>
              <w:jc w:val="center"/>
            </w:pPr>
            <w:r w:rsidRPr="00A51404">
              <w:t>4 (2%)</w:t>
            </w:r>
          </w:p>
        </w:tc>
        <w:tc>
          <w:tcPr>
            <w:tcW w:w="730" w:type="pct"/>
            <w:shd w:val="clear" w:color="auto" w:fill="B8CCE4" w:themeFill="accent1" w:themeFillTint="66"/>
            <w:vAlign w:val="center"/>
          </w:tcPr>
          <w:p w14:paraId="7434BEE6" w14:textId="77777777" w:rsidR="007E0D6D" w:rsidRPr="00A51404" w:rsidRDefault="007E0D6D">
            <w:pPr>
              <w:pStyle w:val="TableText0"/>
              <w:jc w:val="center"/>
            </w:pPr>
            <w:r w:rsidRPr="00A51404">
              <w:t>0</w:t>
            </w:r>
          </w:p>
        </w:tc>
      </w:tr>
      <w:tr w:rsidR="007E0D6D" w:rsidRPr="00A51404" w14:paraId="1522B026" w14:textId="77777777" w:rsidTr="0089130B">
        <w:tc>
          <w:tcPr>
            <w:tcW w:w="1827" w:type="pct"/>
            <w:shd w:val="clear" w:color="auto" w:fill="auto"/>
            <w:vAlign w:val="center"/>
          </w:tcPr>
          <w:p w14:paraId="49B996F7" w14:textId="77777777" w:rsidR="007E0D6D" w:rsidRPr="00A51404" w:rsidRDefault="007E0D6D" w:rsidP="00AA6255">
            <w:pPr>
              <w:pStyle w:val="TableText0"/>
              <w:ind w:left="174"/>
            </w:pPr>
            <w:r w:rsidRPr="00A51404">
              <w:t>Hyperthyroidism</w:t>
            </w:r>
          </w:p>
        </w:tc>
        <w:tc>
          <w:tcPr>
            <w:tcW w:w="856" w:type="pct"/>
            <w:shd w:val="clear" w:color="auto" w:fill="auto"/>
            <w:vAlign w:val="center"/>
          </w:tcPr>
          <w:p w14:paraId="6FE15499" w14:textId="77777777" w:rsidR="007E0D6D" w:rsidRPr="00A51404" w:rsidRDefault="007E0D6D">
            <w:pPr>
              <w:pStyle w:val="TableText0"/>
              <w:jc w:val="center"/>
            </w:pPr>
            <w:r w:rsidRPr="00A51404">
              <w:t>11 (5%)</w:t>
            </w:r>
          </w:p>
        </w:tc>
        <w:tc>
          <w:tcPr>
            <w:tcW w:w="730" w:type="pct"/>
            <w:shd w:val="clear" w:color="auto" w:fill="auto"/>
            <w:vAlign w:val="center"/>
          </w:tcPr>
          <w:p w14:paraId="32776DBD" w14:textId="77777777" w:rsidR="007E0D6D" w:rsidRPr="00A51404" w:rsidRDefault="007E0D6D">
            <w:pPr>
              <w:pStyle w:val="TableText0"/>
              <w:jc w:val="center"/>
            </w:pPr>
            <w:r w:rsidRPr="00A51404">
              <w:t>1 (0.4%)</w:t>
            </w:r>
          </w:p>
        </w:tc>
        <w:tc>
          <w:tcPr>
            <w:tcW w:w="857" w:type="pct"/>
            <w:shd w:val="clear" w:color="auto" w:fill="B8CCE4" w:themeFill="accent1" w:themeFillTint="66"/>
            <w:vAlign w:val="center"/>
          </w:tcPr>
          <w:p w14:paraId="143FFB78" w14:textId="77777777" w:rsidR="007E0D6D" w:rsidRPr="00A51404" w:rsidRDefault="007E0D6D">
            <w:pPr>
              <w:pStyle w:val="TableText0"/>
              <w:jc w:val="center"/>
            </w:pPr>
            <w:r w:rsidRPr="00A51404">
              <w:t>7 (4%)</w:t>
            </w:r>
          </w:p>
        </w:tc>
        <w:tc>
          <w:tcPr>
            <w:tcW w:w="730" w:type="pct"/>
            <w:shd w:val="clear" w:color="auto" w:fill="B8CCE4" w:themeFill="accent1" w:themeFillTint="66"/>
            <w:vAlign w:val="center"/>
          </w:tcPr>
          <w:p w14:paraId="759EF512" w14:textId="77777777" w:rsidR="007E0D6D" w:rsidRPr="00A51404" w:rsidRDefault="007E0D6D">
            <w:pPr>
              <w:pStyle w:val="TableText0"/>
              <w:jc w:val="center"/>
            </w:pPr>
            <w:r w:rsidRPr="00A51404">
              <w:t>0</w:t>
            </w:r>
          </w:p>
        </w:tc>
      </w:tr>
      <w:tr w:rsidR="007E0D6D" w:rsidRPr="00A51404" w14:paraId="3BA441A4" w14:textId="77777777" w:rsidTr="0089130B">
        <w:tc>
          <w:tcPr>
            <w:tcW w:w="1827" w:type="pct"/>
            <w:shd w:val="clear" w:color="auto" w:fill="auto"/>
            <w:vAlign w:val="center"/>
          </w:tcPr>
          <w:p w14:paraId="6ECC696F" w14:textId="77777777" w:rsidR="007E0D6D" w:rsidRPr="00A51404" w:rsidRDefault="007E0D6D" w:rsidP="00AA6255">
            <w:pPr>
              <w:pStyle w:val="TableText0"/>
              <w:ind w:left="174"/>
            </w:pPr>
            <w:r w:rsidRPr="00A51404">
              <w:t>Diabetes mellitus</w:t>
            </w:r>
          </w:p>
        </w:tc>
        <w:tc>
          <w:tcPr>
            <w:tcW w:w="856" w:type="pct"/>
            <w:shd w:val="clear" w:color="auto" w:fill="auto"/>
            <w:vAlign w:val="center"/>
          </w:tcPr>
          <w:p w14:paraId="32F5BA0A" w14:textId="77777777" w:rsidR="007E0D6D" w:rsidRPr="00A51404" w:rsidRDefault="007E0D6D">
            <w:pPr>
              <w:pStyle w:val="TableText0"/>
              <w:jc w:val="center"/>
            </w:pPr>
            <w:r w:rsidRPr="00A51404">
              <w:t>2 (0.9%)</w:t>
            </w:r>
          </w:p>
        </w:tc>
        <w:tc>
          <w:tcPr>
            <w:tcW w:w="730" w:type="pct"/>
            <w:shd w:val="clear" w:color="auto" w:fill="auto"/>
            <w:vAlign w:val="center"/>
          </w:tcPr>
          <w:p w14:paraId="17EEEF12" w14:textId="77777777" w:rsidR="007E0D6D" w:rsidRPr="00A51404" w:rsidRDefault="007E0D6D">
            <w:pPr>
              <w:pStyle w:val="TableText0"/>
              <w:jc w:val="center"/>
            </w:pPr>
            <w:r w:rsidRPr="00A51404">
              <w:t>0</w:t>
            </w:r>
          </w:p>
        </w:tc>
        <w:tc>
          <w:tcPr>
            <w:tcW w:w="857" w:type="pct"/>
            <w:shd w:val="clear" w:color="auto" w:fill="B8CCE4" w:themeFill="accent1" w:themeFillTint="66"/>
            <w:vAlign w:val="center"/>
          </w:tcPr>
          <w:p w14:paraId="54D866B2" w14:textId="77777777" w:rsidR="007E0D6D" w:rsidRPr="00A51404" w:rsidRDefault="007E0D6D">
            <w:pPr>
              <w:pStyle w:val="TableText0"/>
              <w:jc w:val="center"/>
            </w:pPr>
            <w:r w:rsidRPr="00A51404">
              <w:t>2 (1%)</w:t>
            </w:r>
          </w:p>
        </w:tc>
        <w:tc>
          <w:tcPr>
            <w:tcW w:w="730" w:type="pct"/>
            <w:shd w:val="clear" w:color="auto" w:fill="B8CCE4" w:themeFill="accent1" w:themeFillTint="66"/>
            <w:vAlign w:val="center"/>
          </w:tcPr>
          <w:p w14:paraId="0CE89D33" w14:textId="77777777" w:rsidR="007E0D6D" w:rsidRPr="00A51404" w:rsidRDefault="007E0D6D">
            <w:pPr>
              <w:pStyle w:val="TableText0"/>
              <w:jc w:val="center"/>
            </w:pPr>
            <w:r w:rsidRPr="00A51404">
              <w:t>0</w:t>
            </w:r>
          </w:p>
        </w:tc>
      </w:tr>
    </w:tbl>
    <w:p w14:paraId="602374B0" w14:textId="77777777" w:rsidR="00A0136F" w:rsidRDefault="007E0D6D" w:rsidP="007E0D6D">
      <w:pPr>
        <w:pStyle w:val="TableFooter"/>
      </w:pPr>
      <w:r>
        <w:t>Source: Table 82, p130 of the submission</w:t>
      </w:r>
    </w:p>
    <w:p w14:paraId="062AAD80" w14:textId="68D5762C" w:rsidR="007E0D6D" w:rsidRDefault="007E0D6D" w:rsidP="007E0D6D">
      <w:pPr>
        <w:pStyle w:val="TableFooter"/>
      </w:pPr>
      <w:r w:rsidRPr="00D86709">
        <w:t xml:space="preserve">EFS = event-free survival; </w:t>
      </w:r>
      <w:r>
        <w:t>n</w:t>
      </w:r>
      <w:r w:rsidRPr="00D86709">
        <w:t xml:space="preserve">eoNIVO = neoadjuvant nivolumab; </w:t>
      </w:r>
      <w:r>
        <w:t>peri</w:t>
      </w:r>
      <w:r w:rsidRPr="00D86709">
        <w:t>NIVO = perioperative nivolumab</w:t>
      </w:r>
    </w:p>
    <w:p w14:paraId="27A7E15C" w14:textId="5514EB0E" w:rsidR="00746E04" w:rsidRDefault="007E0D6D" w:rsidP="00B15EA5">
      <w:pPr>
        <w:pStyle w:val="TableFooter"/>
      </w:pPr>
      <w:r w:rsidRPr="00BA41EA">
        <w:t>Note: Cells in bold indicate &gt;5% difference in events between trials</w:t>
      </w:r>
      <w:r w:rsidR="0089130B">
        <w:t xml:space="preserve">. Cells </w:t>
      </w:r>
      <w:r w:rsidR="0089130B" w:rsidRPr="0089130B">
        <w:t>shaded in blue reflect information previously considered by the PBAC.</w:t>
      </w:r>
    </w:p>
    <w:p w14:paraId="35E15DCB" w14:textId="2D6749B9" w:rsidR="00DB2075" w:rsidRPr="000C37F0" w:rsidRDefault="00316358" w:rsidP="000C37F0">
      <w:pPr>
        <w:pStyle w:val="3-BodyText"/>
        <w:rPr>
          <w:iCs/>
        </w:rPr>
      </w:pPr>
      <w:r w:rsidRPr="00300F14">
        <w:rPr>
          <w:iCs/>
        </w:rPr>
        <w:t>Noting the limitations of the methodology used to compare AEs in the submission and a likely high risk of bias and uncertainty, the clinical evidence showed a higher proportion of patients treated with periNIVO in CM77T experienced any AEs (all-causality) compared with patients treated with neoNIVO in CM816 (50% versus 43%, respectively). Moreover, the proportion of patients that experienced any AEs resulting in treatment discontinuation (all-causality) in the periNIVO arm in CM77T was more than double that of the neoNIVO arm in CM816 (25% versus 10%; RR=2.3 [95%CI 1.1, 2.9: p&lt;0.001]), and there appeared to be a high incidence of hypothyroidism/thyroiditis in patients treated with periNIVO in CM77T than patients treated with neoNIVO in CM816. Overall, the</w:t>
      </w:r>
      <w:r w:rsidR="000C37F0">
        <w:rPr>
          <w:iCs/>
        </w:rPr>
        <w:t xml:space="preserve"> </w:t>
      </w:r>
      <w:r w:rsidR="000C37F0" w:rsidRPr="00B96B42">
        <w:t>evaluation considered that the</w:t>
      </w:r>
      <w:r w:rsidRPr="00B96B42">
        <w:t xml:space="preserve"> </w:t>
      </w:r>
      <w:r w:rsidRPr="00300F14">
        <w:rPr>
          <w:iCs/>
        </w:rPr>
        <w:t xml:space="preserve">presented data did not support the </w:t>
      </w:r>
      <w:r w:rsidR="0005337B">
        <w:rPr>
          <w:iCs/>
        </w:rPr>
        <w:t xml:space="preserve">safety </w:t>
      </w:r>
      <w:r w:rsidRPr="00300F14">
        <w:rPr>
          <w:iCs/>
        </w:rPr>
        <w:t>claim that periNIVO was noninferior to neoNIVO</w:t>
      </w:r>
      <w:r w:rsidR="00566980">
        <w:rPr>
          <w:iCs/>
        </w:rPr>
        <w:t xml:space="preserve">. </w:t>
      </w:r>
      <w:r w:rsidR="00566980" w:rsidRPr="00B96B42">
        <w:t xml:space="preserve"> </w:t>
      </w:r>
      <w:r w:rsidR="000C37F0" w:rsidRPr="00B96B42">
        <w:t>While it</w:t>
      </w:r>
      <w:r w:rsidR="00566980">
        <w:t xml:space="preserve"> was </w:t>
      </w:r>
      <w:r w:rsidR="00566980" w:rsidRPr="00C87852">
        <w:t xml:space="preserve">plausible that periNIVO, which includes more doses of </w:t>
      </w:r>
      <w:r w:rsidR="003E3D0F">
        <w:t>nivolumab</w:t>
      </w:r>
      <w:r w:rsidR="003E3D0F" w:rsidRPr="00C87852">
        <w:t xml:space="preserve"> </w:t>
      </w:r>
      <w:r w:rsidR="00566980" w:rsidRPr="00C87852">
        <w:t>compared to neoNIVO, would be associated with more AEs, a claim of inferior safety for periNIVO compared to neoNIVO was likely more appropriate.</w:t>
      </w:r>
    </w:p>
    <w:p w14:paraId="723D4A2A" w14:textId="0F35B615" w:rsidR="00C42909" w:rsidRDefault="00C42909" w:rsidP="00C42909">
      <w:pPr>
        <w:pStyle w:val="3-BodyText"/>
        <w:rPr>
          <w:iCs/>
        </w:rPr>
      </w:pPr>
      <w:r w:rsidRPr="00300F14">
        <w:rPr>
          <w:iCs/>
        </w:rPr>
        <w:t xml:space="preserve">The PBAC has previously considered that the addition of </w:t>
      </w:r>
      <w:r w:rsidR="003E3D0F">
        <w:t>nivolumab</w:t>
      </w:r>
      <w:r w:rsidR="003E3D0F" w:rsidRPr="00C87852">
        <w:t xml:space="preserve"> </w:t>
      </w:r>
      <w:r w:rsidRPr="00300F14">
        <w:rPr>
          <w:iCs/>
        </w:rPr>
        <w:t>to chemotherapy was associated with an increased risk of immune checkpoint-related AEs (paragraph 7.10, nivolumab PSD, March 2023)</w:t>
      </w:r>
      <w:r w:rsidR="002F71F4" w:rsidRPr="00300F14">
        <w:rPr>
          <w:iCs/>
        </w:rPr>
        <w:t>.</w:t>
      </w:r>
      <w:r w:rsidR="00316358" w:rsidRPr="00300F14">
        <w:rPr>
          <w:iCs/>
        </w:rPr>
        <w:t xml:space="preserve"> It therefore follows that periNIVO, which is adding further adjuvant PD-L1 treatment, would unlikely be noninferior to neoChemo.</w:t>
      </w:r>
    </w:p>
    <w:p w14:paraId="77FBCB77" w14:textId="1DA80AE3" w:rsidR="004139B2" w:rsidRPr="00B96B42" w:rsidRDefault="004139B2" w:rsidP="004139B2">
      <w:pPr>
        <w:pStyle w:val="3-BodyText"/>
        <w:rPr>
          <w:rFonts w:eastAsia="Calibri"/>
          <w:iCs/>
        </w:rPr>
      </w:pPr>
      <w:r w:rsidRPr="00B96B42">
        <w:rPr>
          <w:iCs/>
        </w:rPr>
        <w:t xml:space="preserve">The PSCR </w:t>
      </w:r>
      <w:r w:rsidRPr="00B96B42">
        <w:rPr>
          <w:rFonts w:eastAsia="Calibri"/>
          <w:iCs/>
        </w:rPr>
        <w:t>acknowledged that a higher proportion of AEs, including AEs resulting in treatment discontinuation, were reported in patients treated with periNIVO compared with neoNIVO. The</w:t>
      </w:r>
      <w:r w:rsidR="00526B0C" w:rsidRPr="00B96B42">
        <w:rPr>
          <w:rFonts w:eastAsia="Calibri"/>
          <w:iCs/>
        </w:rPr>
        <w:t xml:space="preserve"> ESC agreed with the</w:t>
      </w:r>
      <w:r w:rsidRPr="00B96B42">
        <w:rPr>
          <w:rFonts w:eastAsia="Calibri"/>
          <w:iCs/>
        </w:rPr>
        <w:t xml:space="preserve"> Response that patients in the CM77T trial had a longer treatment duration compared to CM816, and therefore the increased incidence of AEs in CM77T </w:t>
      </w:r>
      <w:r w:rsidR="00CD5DEE" w:rsidRPr="00B96B42">
        <w:rPr>
          <w:rFonts w:eastAsia="Calibri"/>
          <w:iCs/>
        </w:rPr>
        <w:t>would be</w:t>
      </w:r>
      <w:r w:rsidRPr="00B96B42">
        <w:rPr>
          <w:rFonts w:eastAsia="Calibri"/>
          <w:iCs/>
        </w:rPr>
        <w:t xml:space="preserve"> expected. </w:t>
      </w:r>
      <w:r w:rsidR="00526B0C" w:rsidRPr="00B96B42">
        <w:rPr>
          <w:rFonts w:eastAsia="Calibri"/>
          <w:iCs/>
        </w:rPr>
        <w:t xml:space="preserve">However, </w:t>
      </w:r>
      <w:r w:rsidR="00691D75" w:rsidRPr="00B96B42">
        <w:rPr>
          <w:rFonts w:eastAsia="Calibri"/>
          <w:iCs/>
        </w:rPr>
        <w:t>the ESC noted</w:t>
      </w:r>
      <w:r w:rsidR="00526B0C" w:rsidRPr="00B96B42">
        <w:rPr>
          <w:rFonts w:eastAsia="Calibri"/>
          <w:iCs/>
        </w:rPr>
        <w:t xml:space="preserve"> </w:t>
      </w:r>
      <w:r w:rsidR="006873B1" w:rsidRPr="00B96B42">
        <w:rPr>
          <w:rFonts w:eastAsia="Calibri"/>
          <w:iCs/>
        </w:rPr>
        <w:t xml:space="preserve">that </w:t>
      </w:r>
      <w:r w:rsidR="00526B0C" w:rsidRPr="00B96B42">
        <w:rPr>
          <w:rFonts w:eastAsia="Calibri"/>
          <w:iCs/>
        </w:rPr>
        <w:t>th</w:t>
      </w:r>
      <w:r w:rsidR="00615E3C" w:rsidRPr="00B96B42">
        <w:rPr>
          <w:rFonts w:eastAsia="Calibri"/>
          <w:iCs/>
        </w:rPr>
        <w:t xml:space="preserve">is </w:t>
      </w:r>
      <w:r w:rsidR="00691D75" w:rsidRPr="00B96B42">
        <w:rPr>
          <w:rFonts w:eastAsia="Calibri"/>
          <w:iCs/>
        </w:rPr>
        <w:t xml:space="preserve">also </w:t>
      </w:r>
      <w:r w:rsidR="00615E3C" w:rsidRPr="00B96B42">
        <w:rPr>
          <w:rFonts w:eastAsia="Calibri"/>
          <w:iCs/>
        </w:rPr>
        <w:t xml:space="preserve">indicated that periNIVO </w:t>
      </w:r>
      <w:r w:rsidR="00691D75" w:rsidRPr="00B96B42">
        <w:rPr>
          <w:rFonts w:eastAsia="Calibri"/>
          <w:iCs/>
        </w:rPr>
        <w:t>was</w:t>
      </w:r>
      <w:r w:rsidR="00615E3C" w:rsidRPr="00B96B42">
        <w:rPr>
          <w:rFonts w:eastAsia="Calibri"/>
          <w:iCs/>
        </w:rPr>
        <w:t xml:space="preserve"> inferior in terms of safety compared to neoNIVO.</w:t>
      </w:r>
    </w:p>
    <w:p w14:paraId="04908C7F" w14:textId="51E2BD12" w:rsidR="007F1017" w:rsidRPr="0098262F" w:rsidRDefault="007F1017" w:rsidP="00D86231">
      <w:pPr>
        <w:pStyle w:val="4-SubsectionHeading"/>
      </w:pPr>
      <w:bookmarkStart w:id="46" w:name="_Toc22897643"/>
      <w:bookmarkStart w:id="47" w:name="_Toc177566401"/>
      <w:r w:rsidRPr="0098262F">
        <w:t>Benefits/harms</w:t>
      </w:r>
      <w:bookmarkEnd w:id="46"/>
      <w:bookmarkEnd w:id="47"/>
    </w:p>
    <w:p w14:paraId="4C0046C6" w14:textId="24C4D0D3" w:rsidR="008E71EF" w:rsidRDefault="008E71EF" w:rsidP="008E71EF">
      <w:pPr>
        <w:pStyle w:val="3-BodyText"/>
      </w:pPr>
      <w:r>
        <w:t>A benefits and harms table is not presented for the</w:t>
      </w:r>
      <w:r w:rsidR="002A0FDE">
        <w:t xml:space="preserve"> </w:t>
      </w:r>
      <w:r w:rsidR="002A0FDE" w:rsidRPr="00B96B42">
        <w:rPr>
          <w:iCs/>
        </w:rPr>
        <w:t>main</w:t>
      </w:r>
      <w:r>
        <w:t xml:space="preserve"> comparison of periNIVO with neoNIVO as the submission made a claim of noninferiority.</w:t>
      </w:r>
    </w:p>
    <w:p w14:paraId="1CB772FF" w14:textId="738D7769" w:rsidR="00E723BA" w:rsidRPr="00B11A77" w:rsidRDefault="00EC00C9" w:rsidP="00B11A77">
      <w:pPr>
        <w:pStyle w:val="3-BodyText"/>
        <w:rPr>
          <w:rStyle w:val="CommentReference"/>
          <w:rFonts w:asciiTheme="minorHAnsi" w:hAnsiTheme="minorHAnsi"/>
          <w:b w:val="0"/>
          <w:sz w:val="24"/>
          <w:szCs w:val="22"/>
        </w:rPr>
      </w:pPr>
      <w:r w:rsidRPr="00B11A77">
        <w:lastRenderedPageBreak/>
        <w:t xml:space="preserve">A summary of the comparative benefits and harms for </w:t>
      </w:r>
      <w:r w:rsidR="009B1862" w:rsidRPr="00B11A77">
        <w:t xml:space="preserve">periNIVO </w:t>
      </w:r>
      <w:r w:rsidRPr="00B11A77">
        <w:t xml:space="preserve">versus </w:t>
      </w:r>
      <w:r w:rsidR="009B1862" w:rsidRPr="00B11A77">
        <w:t>neoChemo</w:t>
      </w:r>
      <w:r w:rsidRPr="00B11A77">
        <w:t xml:space="preserve"> is presented in</w:t>
      </w:r>
      <w:r w:rsidR="00E16AD8" w:rsidRPr="00B11A77">
        <w:t xml:space="preserve"> </w:t>
      </w:r>
      <w:r w:rsidR="00B03DA9">
        <w:fldChar w:fldCharType="begin"/>
      </w:r>
      <w:r w:rsidR="00B03DA9">
        <w:instrText xml:space="preserve"> REF _Ref104805037 \h </w:instrText>
      </w:r>
      <w:r w:rsidR="00B03DA9">
        <w:fldChar w:fldCharType="separate"/>
      </w:r>
      <w:r w:rsidR="009C09C9" w:rsidRPr="0098262F">
        <w:t xml:space="preserve">Table </w:t>
      </w:r>
      <w:r w:rsidR="009C09C9">
        <w:rPr>
          <w:noProof/>
        </w:rPr>
        <w:t>9</w:t>
      </w:r>
      <w:r w:rsidR="00B03DA9">
        <w:fldChar w:fldCharType="end"/>
      </w:r>
      <w:r w:rsidRPr="00B11A77">
        <w:t>.</w:t>
      </w:r>
    </w:p>
    <w:p w14:paraId="04AC1B54" w14:textId="2B4615AB" w:rsidR="00B62715" w:rsidRPr="0098262F" w:rsidRDefault="00D6076E" w:rsidP="00D6076E">
      <w:pPr>
        <w:pStyle w:val="Caption"/>
        <w:rPr>
          <w:rStyle w:val="CommentReference"/>
          <w:b/>
          <w:szCs w:val="24"/>
        </w:rPr>
      </w:pPr>
      <w:bookmarkStart w:id="48" w:name="_Ref104805037"/>
      <w:r w:rsidRPr="0098262F">
        <w:t xml:space="preserve">Table </w:t>
      </w:r>
      <w:r w:rsidR="00311318">
        <w:fldChar w:fldCharType="begin"/>
      </w:r>
      <w:r w:rsidR="00311318">
        <w:instrText xml:space="preserve"> SEQ Table \* ARABIC </w:instrText>
      </w:r>
      <w:r w:rsidR="00311318">
        <w:fldChar w:fldCharType="separate"/>
      </w:r>
      <w:r w:rsidR="009C09C9">
        <w:rPr>
          <w:noProof/>
        </w:rPr>
        <w:t>9</w:t>
      </w:r>
      <w:r w:rsidR="00311318">
        <w:rPr>
          <w:noProof/>
        </w:rPr>
        <w:fldChar w:fldCharType="end"/>
      </w:r>
      <w:bookmarkEnd w:id="48"/>
      <w:r w:rsidRPr="0098262F">
        <w:t xml:space="preserve">: </w:t>
      </w:r>
      <w:r w:rsidR="00B62715" w:rsidRPr="0098262F">
        <w:rPr>
          <w:rStyle w:val="CommentReference"/>
          <w:b/>
          <w:szCs w:val="24"/>
        </w:rPr>
        <w:t xml:space="preserve">Summary of comparative benefits and harms for </w:t>
      </w:r>
      <w:r w:rsidR="001449E9">
        <w:rPr>
          <w:rStyle w:val="CommentReference"/>
          <w:b/>
          <w:szCs w:val="24"/>
        </w:rPr>
        <w:t>periNIVO</w:t>
      </w:r>
      <w:r w:rsidR="00B62715" w:rsidRPr="0098262F">
        <w:rPr>
          <w:rStyle w:val="CommentReference"/>
          <w:b/>
          <w:szCs w:val="24"/>
        </w:rPr>
        <w:t xml:space="preserve"> and </w:t>
      </w:r>
      <w:r w:rsidR="001449E9">
        <w:rPr>
          <w:rStyle w:val="CommentReference"/>
          <w:b/>
          <w:szCs w:val="24"/>
        </w:rPr>
        <w:t>neoChemo</w:t>
      </w:r>
    </w:p>
    <w:tbl>
      <w:tblPr>
        <w:tblStyle w:val="TableGrid"/>
        <w:tblW w:w="5002" w:type="pct"/>
        <w:tblCellMar>
          <w:left w:w="28" w:type="dxa"/>
          <w:right w:w="28" w:type="dxa"/>
        </w:tblCellMar>
        <w:tblLook w:val="04A0" w:firstRow="1" w:lastRow="0" w:firstColumn="1" w:lastColumn="0" w:noHBand="0" w:noVBand="1"/>
        <w:tblCaption w:val="Table 9: Summary of comparative benefits and harms for periNIVO and neoChemo"/>
        <w:tblDescription w:val="Table 9: Summary of comparative benefits and harms for periNIVO and neoChemo"/>
      </w:tblPr>
      <w:tblGrid>
        <w:gridCol w:w="1015"/>
        <w:gridCol w:w="1108"/>
        <w:gridCol w:w="2407"/>
        <w:gridCol w:w="1175"/>
        <w:gridCol w:w="1274"/>
        <w:gridCol w:w="2042"/>
      </w:tblGrid>
      <w:tr w:rsidR="009B1862" w:rsidRPr="009B1862" w14:paraId="36378E29" w14:textId="77777777">
        <w:trPr>
          <w:trHeight w:val="20"/>
        </w:trPr>
        <w:tc>
          <w:tcPr>
            <w:tcW w:w="5000" w:type="pct"/>
            <w:gridSpan w:val="6"/>
            <w:shd w:val="clear" w:color="auto" w:fill="auto"/>
          </w:tcPr>
          <w:p w14:paraId="41535D85" w14:textId="77777777" w:rsidR="009B1862" w:rsidRPr="009B1862" w:rsidRDefault="009B1862" w:rsidP="009B1862">
            <w:pPr>
              <w:pStyle w:val="TableText0"/>
              <w:rPr>
                <w:b/>
                <w:bCs w:val="0"/>
                <w:snapToGrid w:val="0"/>
              </w:rPr>
            </w:pPr>
            <w:r w:rsidRPr="009B1862">
              <w:rPr>
                <w:b/>
                <w:bCs w:val="0"/>
                <w:snapToGrid w:val="0"/>
              </w:rPr>
              <w:t>Benefits</w:t>
            </w:r>
          </w:p>
        </w:tc>
      </w:tr>
      <w:tr w:rsidR="009B1862" w:rsidRPr="009B1862" w14:paraId="477781A7" w14:textId="77777777">
        <w:trPr>
          <w:trHeight w:val="20"/>
        </w:trPr>
        <w:tc>
          <w:tcPr>
            <w:tcW w:w="5000" w:type="pct"/>
            <w:gridSpan w:val="6"/>
            <w:shd w:val="clear" w:color="auto" w:fill="auto"/>
          </w:tcPr>
          <w:p w14:paraId="0C558261" w14:textId="731930C9" w:rsidR="009B1862" w:rsidRPr="009B1862" w:rsidRDefault="009B1862" w:rsidP="009B1862">
            <w:pPr>
              <w:pStyle w:val="TableText0"/>
              <w:rPr>
                <w:b/>
                <w:bCs w:val="0"/>
                <w:snapToGrid w:val="0"/>
              </w:rPr>
            </w:pPr>
            <w:r w:rsidRPr="009B1862">
              <w:rPr>
                <w:b/>
                <w:bCs w:val="0"/>
                <w:snapToGrid w:val="0"/>
              </w:rPr>
              <w:t>Event-free survival</w:t>
            </w:r>
            <w:r w:rsidR="00C018EE">
              <w:rPr>
                <w:b/>
                <w:bCs w:val="0"/>
                <w:snapToGrid w:val="0"/>
                <w:vertAlign w:val="superscript"/>
              </w:rPr>
              <w:t>a</w:t>
            </w:r>
            <w:r w:rsidR="00C018EE">
              <w:rPr>
                <w:b/>
                <w:bCs w:val="0"/>
                <w:snapToGrid w:val="0"/>
              </w:rPr>
              <w:t xml:space="preserve"> </w:t>
            </w:r>
            <w:r w:rsidRPr="009B1862">
              <w:rPr>
                <w:b/>
                <w:bCs w:val="0"/>
                <w:snapToGrid w:val="0"/>
              </w:rPr>
              <w:t>by (median duration of follow up 25.4 months)</w:t>
            </w:r>
          </w:p>
        </w:tc>
      </w:tr>
      <w:tr w:rsidR="009B1862" w:rsidRPr="009B1862" w14:paraId="33D768C4" w14:textId="77777777" w:rsidTr="00BB7610">
        <w:trPr>
          <w:trHeight w:val="20"/>
        </w:trPr>
        <w:tc>
          <w:tcPr>
            <w:tcW w:w="1177" w:type="pct"/>
            <w:gridSpan w:val="2"/>
            <w:tcBorders>
              <w:bottom w:val="single" w:sz="4" w:space="0" w:color="auto"/>
            </w:tcBorders>
            <w:shd w:val="clear" w:color="auto" w:fill="auto"/>
          </w:tcPr>
          <w:p w14:paraId="4EB5C945" w14:textId="77777777" w:rsidR="009B1862" w:rsidRPr="001449E9" w:rsidRDefault="009B1862" w:rsidP="009B1862">
            <w:pPr>
              <w:pStyle w:val="TableText0"/>
              <w:rPr>
                <w:b/>
                <w:bCs w:val="0"/>
                <w:snapToGrid w:val="0"/>
              </w:rPr>
            </w:pPr>
            <w:r w:rsidRPr="001449E9">
              <w:rPr>
                <w:b/>
                <w:bCs w:val="0"/>
                <w:snapToGrid w:val="0"/>
              </w:rPr>
              <w:t>Event</w:t>
            </w:r>
          </w:p>
        </w:tc>
        <w:tc>
          <w:tcPr>
            <w:tcW w:w="1334" w:type="pct"/>
            <w:tcBorders>
              <w:bottom w:val="single" w:sz="4" w:space="0" w:color="auto"/>
            </w:tcBorders>
            <w:shd w:val="clear" w:color="auto" w:fill="auto"/>
            <w:vAlign w:val="center"/>
          </w:tcPr>
          <w:p w14:paraId="2EF74198" w14:textId="785D40E6" w:rsidR="009B1862" w:rsidRPr="001449E9" w:rsidRDefault="009B1862" w:rsidP="001449E9">
            <w:pPr>
              <w:pStyle w:val="TableText0"/>
              <w:jc w:val="center"/>
              <w:rPr>
                <w:b/>
                <w:bCs w:val="0"/>
                <w:snapToGrid w:val="0"/>
              </w:rPr>
            </w:pPr>
            <w:r w:rsidRPr="001449E9">
              <w:rPr>
                <w:b/>
                <w:bCs w:val="0"/>
                <w:snapToGrid w:val="0"/>
              </w:rPr>
              <w:t>periNIV</w:t>
            </w:r>
            <w:r w:rsidR="005E4D21">
              <w:rPr>
                <w:b/>
                <w:bCs w:val="0"/>
                <w:snapToGrid w:val="0"/>
              </w:rPr>
              <w:t>O</w:t>
            </w:r>
          </w:p>
        </w:tc>
        <w:tc>
          <w:tcPr>
            <w:tcW w:w="1357" w:type="pct"/>
            <w:gridSpan w:val="2"/>
            <w:tcBorders>
              <w:bottom w:val="single" w:sz="4" w:space="0" w:color="auto"/>
            </w:tcBorders>
            <w:shd w:val="clear" w:color="auto" w:fill="auto"/>
            <w:vAlign w:val="center"/>
          </w:tcPr>
          <w:p w14:paraId="5E9C42C7" w14:textId="491FDFE8" w:rsidR="009B1862" w:rsidRPr="001449E9" w:rsidRDefault="009B1862" w:rsidP="001449E9">
            <w:pPr>
              <w:pStyle w:val="TableText0"/>
              <w:jc w:val="center"/>
              <w:rPr>
                <w:b/>
                <w:bCs w:val="0"/>
                <w:snapToGrid w:val="0"/>
              </w:rPr>
            </w:pPr>
            <w:r w:rsidRPr="001449E9">
              <w:rPr>
                <w:b/>
                <w:bCs w:val="0"/>
                <w:snapToGrid w:val="0"/>
              </w:rPr>
              <w:t>neoChemo</w:t>
            </w:r>
          </w:p>
        </w:tc>
        <w:tc>
          <w:tcPr>
            <w:tcW w:w="1132" w:type="pct"/>
            <w:tcBorders>
              <w:bottom w:val="single" w:sz="4" w:space="0" w:color="auto"/>
            </w:tcBorders>
            <w:shd w:val="clear" w:color="auto" w:fill="auto"/>
            <w:vAlign w:val="center"/>
          </w:tcPr>
          <w:p w14:paraId="2BBAAEFA" w14:textId="77777777" w:rsidR="009B1862" w:rsidRPr="001449E9" w:rsidRDefault="009B1862" w:rsidP="001449E9">
            <w:pPr>
              <w:pStyle w:val="TableText0"/>
              <w:jc w:val="center"/>
              <w:rPr>
                <w:b/>
                <w:bCs w:val="0"/>
                <w:snapToGrid w:val="0"/>
              </w:rPr>
            </w:pPr>
            <w:r w:rsidRPr="001449E9">
              <w:rPr>
                <w:b/>
                <w:bCs w:val="0"/>
                <w:snapToGrid w:val="0"/>
              </w:rPr>
              <w:t>HR (95% CI)</w:t>
            </w:r>
          </w:p>
        </w:tc>
      </w:tr>
      <w:tr w:rsidR="009B1862" w:rsidRPr="009B1862" w14:paraId="3B4373CB" w14:textId="77777777" w:rsidTr="00BB7610">
        <w:trPr>
          <w:trHeight w:val="20"/>
        </w:trPr>
        <w:tc>
          <w:tcPr>
            <w:tcW w:w="1177" w:type="pct"/>
            <w:gridSpan w:val="2"/>
            <w:tcBorders>
              <w:bottom w:val="single" w:sz="4" w:space="0" w:color="auto"/>
              <w:right w:val="single" w:sz="4" w:space="0" w:color="auto"/>
            </w:tcBorders>
            <w:shd w:val="clear" w:color="auto" w:fill="auto"/>
          </w:tcPr>
          <w:p w14:paraId="69DAE6AA" w14:textId="77777777" w:rsidR="009B1862" w:rsidRPr="009B1862" w:rsidRDefault="009B1862" w:rsidP="009B1862">
            <w:pPr>
              <w:pStyle w:val="TableText0"/>
              <w:rPr>
                <w:snapToGrid w:val="0"/>
              </w:rPr>
            </w:pPr>
            <w:r w:rsidRPr="009B1862">
              <w:rPr>
                <w:snapToGrid w:val="0"/>
              </w:rPr>
              <w:t xml:space="preserve">Events, n/N (%) </w:t>
            </w:r>
          </w:p>
        </w:tc>
        <w:tc>
          <w:tcPr>
            <w:tcW w:w="1334" w:type="pct"/>
            <w:tcBorders>
              <w:left w:val="single" w:sz="4" w:space="0" w:color="auto"/>
              <w:bottom w:val="single" w:sz="4" w:space="0" w:color="auto"/>
              <w:right w:val="single" w:sz="4" w:space="0" w:color="auto"/>
            </w:tcBorders>
            <w:shd w:val="clear" w:color="auto" w:fill="auto"/>
          </w:tcPr>
          <w:p w14:paraId="0DD00232" w14:textId="5E9A2FC7" w:rsidR="009B1862" w:rsidRPr="009B1862" w:rsidRDefault="001449E9" w:rsidP="001449E9">
            <w:pPr>
              <w:pStyle w:val="TableText0"/>
              <w:jc w:val="center"/>
              <w:rPr>
                <w:snapToGrid w:val="0"/>
              </w:rPr>
            </w:pPr>
            <w:r w:rsidRPr="001449E9">
              <w:rPr>
                <w:snapToGrid w:val="0"/>
              </w:rPr>
              <w:t>76/229 (33.2)</w:t>
            </w:r>
          </w:p>
        </w:tc>
        <w:tc>
          <w:tcPr>
            <w:tcW w:w="1357" w:type="pct"/>
            <w:gridSpan w:val="2"/>
            <w:tcBorders>
              <w:left w:val="single" w:sz="4" w:space="0" w:color="auto"/>
              <w:bottom w:val="single" w:sz="4" w:space="0" w:color="auto"/>
              <w:right w:val="single" w:sz="4" w:space="0" w:color="auto"/>
            </w:tcBorders>
            <w:shd w:val="clear" w:color="auto" w:fill="auto"/>
          </w:tcPr>
          <w:p w14:paraId="7FF0E3FE" w14:textId="0222E804" w:rsidR="009B1862" w:rsidRPr="009B1862" w:rsidRDefault="001449E9" w:rsidP="001449E9">
            <w:pPr>
              <w:pStyle w:val="TableText0"/>
              <w:jc w:val="center"/>
              <w:rPr>
                <w:snapToGrid w:val="0"/>
              </w:rPr>
            </w:pPr>
            <w:r w:rsidRPr="001449E9">
              <w:rPr>
                <w:snapToGrid w:val="0"/>
              </w:rPr>
              <w:t>113/232 (48.7)</w:t>
            </w:r>
          </w:p>
        </w:tc>
        <w:tc>
          <w:tcPr>
            <w:tcW w:w="1132" w:type="pct"/>
            <w:tcBorders>
              <w:left w:val="single" w:sz="4" w:space="0" w:color="auto"/>
              <w:bottom w:val="single" w:sz="4" w:space="0" w:color="auto"/>
            </w:tcBorders>
            <w:shd w:val="clear" w:color="auto" w:fill="auto"/>
          </w:tcPr>
          <w:p w14:paraId="57679171" w14:textId="3E953755" w:rsidR="009B1862" w:rsidRPr="009B1862" w:rsidRDefault="001449E9" w:rsidP="001449E9">
            <w:pPr>
              <w:pStyle w:val="TableText0"/>
              <w:jc w:val="center"/>
              <w:rPr>
                <w:snapToGrid w:val="0"/>
              </w:rPr>
            </w:pPr>
            <w:r w:rsidRPr="001449E9">
              <w:rPr>
                <w:snapToGrid w:val="0"/>
              </w:rPr>
              <w:t>0.58 (0.43, 0.78)</w:t>
            </w:r>
          </w:p>
        </w:tc>
      </w:tr>
      <w:tr w:rsidR="001449E9" w:rsidRPr="009B1862" w14:paraId="2AA73A92" w14:textId="77777777" w:rsidTr="00162A3F">
        <w:trPr>
          <w:trHeight w:val="20"/>
        </w:trPr>
        <w:tc>
          <w:tcPr>
            <w:tcW w:w="1177" w:type="pct"/>
            <w:gridSpan w:val="2"/>
            <w:tcBorders>
              <w:bottom w:val="single" w:sz="4" w:space="0" w:color="auto"/>
              <w:right w:val="single" w:sz="4" w:space="0" w:color="auto"/>
            </w:tcBorders>
            <w:shd w:val="clear" w:color="auto" w:fill="auto"/>
          </w:tcPr>
          <w:p w14:paraId="20F249AB" w14:textId="23DB420D" w:rsidR="001449E9" w:rsidRPr="009B1862" w:rsidRDefault="001449E9" w:rsidP="009B1862">
            <w:pPr>
              <w:pStyle w:val="TableText0"/>
              <w:rPr>
                <w:snapToGrid w:val="0"/>
              </w:rPr>
            </w:pPr>
            <w:r>
              <w:rPr>
                <w:snapToGrid w:val="0"/>
              </w:rPr>
              <w:t>Median EFS duration, months (95% CI)</w:t>
            </w:r>
          </w:p>
        </w:tc>
        <w:tc>
          <w:tcPr>
            <w:tcW w:w="1334" w:type="pct"/>
            <w:tcBorders>
              <w:left w:val="single" w:sz="4" w:space="0" w:color="auto"/>
              <w:bottom w:val="single" w:sz="4" w:space="0" w:color="auto"/>
              <w:right w:val="single" w:sz="4" w:space="0" w:color="auto"/>
            </w:tcBorders>
            <w:shd w:val="clear" w:color="auto" w:fill="auto"/>
            <w:vAlign w:val="center"/>
          </w:tcPr>
          <w:p w14:paraId="0A00E2F1" w14:textId="343F18DB" w:rsidR="001449E9" w:rsidRPr="001449E9" w:rsidRDefault="001449E9" w:rsidP="001449E9">
            <w:pPr>
              <w:pStyle w:val="TableText0"/>
              <w:jc w:val="center"/>
              <w:rPr>
                <w:snapToGrid w:val="0"/>
              </w:rPr>
            </w:pPr>
            <w:r>
              <w:rPr>
                <w:snapToGrid w:val="0"/>
              </w:rPr>
              <w:t>Not Reached (28.94, NA)</w:t>
            </w:r>
          </w:p>
        </w:tc>
        <w:tc>
          <w:tcPr>
            <w:tcW w:w="1357" w:type="pct"/>
            <w:gridSpan w:val="2"/>
            <w:tcBorders>
              <w:left w:val="single" w:sz="4" w:space="0" w:color="auto"/>
              <w:bottom w:val="single" w:sz="4" w:space="0" w:color="auto"/>
              <w:right w:val="single" w:sz="4" w:space="0" w:color="auto"/>
            </w:tcBorders>
            <w:shd w:val="clear" w:color="auto" w:fill="auto"/>
            <w:vAlign w:val="center"/>
          </w:tcPr>
          <w:p w14:paraId="5F0EE568" w14:textId="5A1DDC29" w:rsidR="001449E9" w:rsidRPr="001449E9" w:rsidRDefault="001449E9" w:rsidP="001449E9">
            <w:pPr>
              <w:pStyle w:val="TableText0"/>
              <w:jc w:val="center"/>
              <w:rPr>
                <w:snapToGrid w:val="0"/>
              </w:rPr>
            </w:pPr>
            <w:r>
              <w:rPr>
                <w:snapToGrid w:val="0"/>
              </w:rPr>
              <w:t>18.43 (13.63, 28.06)</w:t>
            </w:r>
          </w:p>
        </w:tc>
        <w:tc>
          <w:tcPr>
            <w:tcW w:w="1132" w:type="pct"/>
            <w:tcBorders>
              <w:left w:val="single" w:sz="4" w:space="0" w:color="auto"/>
              <w:bottom w:val="single" w:sz="4" w:space="0" w:color="auto"/>
            </w:tcBorders>
            <w:shd w:val="clear" w:color="auto" w:fill="auto"/>
            <w:vAlign w:val="center"/>
          </w:tcPr>
          <w:p w14:paraId="5983A6EA" w14:textId="31F228B5" w:rsidR="001449E9" w:rsidRPr="001449E9" w:rsidRDefault="00162A3F" w:rsidP="00162A3F">
            <w:pPr>
              <w:pStyle w:val="TableText0"/>
              <w:jc w:val="center"/>
              <w:rPr>
                <w:snapToGrid w:val="0"/>
              </w:rPr>
            </w:pPr>
            <w:r>
              <w:rPr>
                <w:snapToGrid w:val="0"/>
              </w:rPr>
              <w:t>-</w:t>
            </w:r>
          </w:p>
        </w:tc>
      </w:tr>
      <w:tr w:rsidR="00757387" w:rsidRPr="009B1862" w14:paraId="053DDBF4" w14:textId="77777777" w:rsidTr="00757387">
        <w:trPr>
          <w:trHeight w:val="20"/>
        </w:trPr>
        <w:tc>
          <w:tcPr>
            <w:tcW w:w="3868" w:type="pct"/>
            <w:gridSpan w:val="5"/>
            <w:tcBorders>
              <w:bottom w:val="single" w:sz="4" w:space="0" w:color="auto"/>
            </w:tcBorders>
            <w:shd w:val="clear" w:color="auto" w:fill="auto"/>
            <w:vAlign w:val="center"/>
          </w:tcPr>
          <w:p w14:paraId="1D949757" w14:textId="2D645C2E" w:rsidR="00757387" w:rsidRPr="009B1862" w:rsidRDefault="00757387" w:rsidP="00162A3F">
            <w:pPr>
              <w:pStyle w:val="TableText0"/>
              <w:rPr>
                <w:b/>
                <w:bCs w:val="0"/>
                <w:snapToGrid w:val="0"/>
              </w:rPr>
            </w:pPr>
            <w:r w:rsidRPr="009B1862">
              <w:rPr>
                <w:b/>
                <w:bCs w:val="0"/>
                <w:snapToGrid w:val="0"/>
              </w:rPr>
              <w:t>Landmark survival estimates, probability (95% CI)</w:t>
            </w:r>
          </w:p>
        </w:tc>
        <w:tc>
          <w:tcPr>
            <w:tcW w:w="1132" w:type="pct"/>
            <w:tcBorders>
              <w:bottom w:val="single" w:sz="4" w:space="0" w:color="auto"/>
            </w:tcBorders>
            <w:shd w:val="clear" w:color="auto" w:fill="auto"/>
            <w:vAlign w:val="center"/>
          </w:tcPr>
          <w:p w14:paraId="25BE011F" w14:textId="527D43DC" w:rsidR="00757387" w:rsidRPr="009B1862" w:rsidRDefault="00757387" w:rsidP="00757387">
            <w:pPr>
              <w:pStyle w:val="TableText0"/>
              <w:jc w:val="center"/>
              <w:rPr>
                <w:b/>
                <w:bCs w:val="0"/>
                <w:snapToGrid w:val="0"/>
              </w:rPr>
            </w:pPr>
            <w:r>
              <w:rPr>
                <w:b/>
                <w:bCs w:val="0"/>
                <w:snapToGrid w:val="0"/>
              </w:rPr>
              <w:t>RD</w:t>
            </w:r>
          </w:p>
        </w:tc>
      </w:tr>
      <w:tr w:rsidR="009B1862" w:rsidRPr="009B1862" w14:paraId="48290B01" w14:textId="77777777" w:rsidTr="00162A3F">
        <w:trPr>
          <w:trHeight w:val="20"/>
        </w:trPr>
        <w:tc>
          <w:tcPr>
            <w:tcW w:w="1177" w:type="pct"/>
            <w:gridSpan w:val="2"/>
            <w:shd w:val="clear" w:color="auto" w:fill="auto"/>
            <w:vAlign w:val="center"/>
          </w:tcPr>
          <w:p w14:paraId="312BE361" w14:textId="77777777" w:rsidR="009B1862" w:rsidRPr="009B1862" w:rsidRDefault="009B1862" w:rsidP="009B1862">
            <w:pPr>
              <w:pStyle w:val="TableText0"/>
              <w:rPr>
                <w:snapToGrid w:val="0"/>
              </w:rPr>
            </w:pPr>
            <w:r w:rsidRPr="009B1862">
              <w:rPr>
                <w:snapToGrid w:val="0"/>
              </w:rPr>
              <w:t>6 months</w:t>
            </w:r>
          </w:p>
        </w:tc>
        <w:tc>
          <w:tcPr>
            <w:tcW w:w="1334" w:type="pct"/>
            <w:shd w:val="clear" w:color="auto" w:fill="auto"/>
            <w:vAlign w:val="center"/>
          </w:tcPr>
          <w:p w14:paraId="7BBEBB81" w14:textId="292F804A" w:rsidR="009B1862" w:rsidRPr="009B1862" w:rsidRDefault="001449E9" w:rsidP="001449E9">
            <w:pPr>
              <w:pStyle w:val="TableText0"/>
              <w:jc w:val="center"/>
              <w:rPr>
                <w:snapToGrid w:val="0"/>
              </w:rPr>
            </w:pPr>
            <w:r>
              <w:rPr>
                <w:snapToGrid w:val="0"/>
              </w:rPr>
              <w:t>84.6 (79.1, 88.8)</w:t>
            </w:r>
          </w:p>
        </w:tc>
        <w:tc>
          <w:tcPr>
            <w:tcW w:w="1357" w:type="pct"/>
            <w:gridSpan w:val="2"/>
            <w:shd w:val="clear" w:color="auto" w:fill="auto"/>
            <w:vAlign w:val="center"/>
          </w:tcPr>
          <w:p w14:paraId="5F2C37B3" w14:textId="5B213155" w:rsidR="009B1862" w:rsidRPr="009B1862" w:rsidRDefault="001449E9" w:rsidP="001449E9">
            <w:pPr>
              <w:pStyle w:val="TableText0"/>
              <w:jc w:val="center"/>
              <w:rPr>
                <w:snapToGrid w:val="0"/>
              </w:rPr>
            </w:pPr>
            <w:r>
              <w:rPr>
                <w:snapToGrid w:val="0"/>
              </w:rPr>
              <w:t>79.9 (73.8, 84.7)</w:t>
            </w:r>
          </w:p>
        </w:tc>
        <w:tc>
          <w:tcPr>
            <w:tcW w:w="1132" w:type="pct"/>
            <w:tcBorders>
              <w:left w:val="single" w:sz="4" w:space="0" w:color="auto"/>
              <w:bottom w:val="single" w:sz="4" w:space="0" w:color="auto"/>
            </w:tcBorders>
            <w:shd w:val="clear" w:color="auto" w:fill="auto"/>
            <w:vAlign w:val="center"/>
          </w:tcPr>
          <w:p w14:paraId="3E61C756" w14:textId="368B21A7" w:rsidR="009B1862" w:rsidRPr="009B1862" w:rsidRDefault="0089210F" w:rsidP="00162A3F">
            <w:pPr>
              <w:pStyle w:val="TableText0"/>
              <w:jc w:val="center"/>
              <w:rPr>
                <w:snapToGrid w:val="0"/>
              </w:rPr>
            </w:pPr>
            <w:r>
              <w:rPr>
                <w:snapToGrid w:val="0"/>
              </w:rPr>
              <w:t>4.7</w:t>
            </w:r>
          </w:p>
        </w:tc>
      </w:tr>
      <w:tr w:rsidR="009B1862" w:rsidRPr="009B1862" w14:paraId="28220DF3" w14:textId="77777777" w:rsidTr="00162A3F">
        <w:trPr>
          <w:trHeight w:val="20"/>
        </w:trPr>
        <w:tc>
          <w:tcPr>
            <w:tcW w:w="1177" w:type="pct"/>
            <w:gridSpan w:val="2"/>
            <w:shd w:val="clear" w:color="auto" w:fill="auto"/>
            <w:vAlign w:val="center"/>
          </w:tcPr>
          <w:p w14:paraId="6997FA41" w14:textId="77777777" w:rsidR="009B1862" w:rsidRPr="009B1862" w:rsidRDefault="009B1862" w:rsidP="009B1862">
            <w:pPr>
              <w:pStyle w:val="TableText0"/>
              <w:rPr>
                <w:snapToGrid w:val="0"/>
              </w:rPr>
            </w:pPr>
            <w:r w:rsidRPr="009B1862">
              <w:rPr>
                <w:snapToGrid w:val="0"/>
              </w:rPr>
              <w:t>12 months</w:t>
            </w:r>
          </w:p>
        </w:tc>
        <w:tc>
          <w:tcPr>
            <w:tcW w:w="1334" w:type="pct"/>
            <w:shd w:val="clear" w:color="auto" w:fill="auto"/>
            <w:vAlign w:val="center"/>
          </w:tcPr>
          <w:p w14:paraId="0668881A" w14:textId="236E6512" w:rsidR="009B1862" w:rsidRPr="009B1862" w:rsidRDefault="001449E9" w:rsidP="001449E9">
            <w:pPr>
              <w:pStyle w:val="TableText0"/>
              <w:jc w:val="center"/>
              <w:rPr>
                <w:snapToGrid w:val="0"/>
              </w:rPr>
            </w:pPr>
            <w:r w:rsidRPr="001449E9">
              <w:rPr>
                <w:snapToGrid w:val="0"/>
              </w:rPr>
              <w:t>73.4 (66.8, 78.9)</w:t>
            </w:r>
          </w:p>
        </w:tc>
        <w:tc>
          <w:tcPr>
            <w:tcW w:w="1357" w:type="pct"/>
            <w:gridSpan w:val="2"/>
            <w:shd w:val="clear" w:color="auto" w:fill="auto"/>
            <w:vAlign w:val="center"/>
          </w:tcPr>
          <w:p w14:paraId="733A03EA" w14:textId="665B225F" w:rsidR="009B1862" w:rsidRPr="009B1862" w:rsidRDefault="001449E9" w:rsidP="001449E9">
            <w:pPr>
              <w:pStyle w:val="TableText0"/>
              <w:jc w:val="center"/>
              <w:rPr>
                <w:snapToGrid w:val="0"/>
              </w:rPr>
            </w:pPr>
            <w:r w:rsidRPr="001449E9">
              <w:rPr>
                <w:snapToGrid w:val="0"/>
              </w:rPr>
              <w:t>59.2 (52.2, 65.6)</w:t>
            </w:r>
          </w:p>
        </w:tc>
        <w:tc>
          <w:tcPr>
            <w:tcW w:w="1132" w:type="pct"/>
            <w:tcBorders>
              <w:left w:val="single" w:sz="4" w:space="0" w:color="auto"/>
              <w:bottom w:val="single" w:sz="4" w:space="0" w:color="auto"/>
            </w:tcBorders>
            <w:shd w:val="clear" w:color="auto" w:fill="auto"/>
            <w:vAlign w:val="center"/>
          </w:tcPr>
          <w:p w14:paraId="13B52A3C" w14:textId="1110D1E1" w:rsidR="009B1862" w:rsidRPr="009B1862" w:rsidRDefault="0089210F" w:rsidP="00162A3F">
            <w:pPr>
              <w:pStyle w:val="TableText0"/>
              <w:jc w:val="center"/>
              <w:rPr>
                <w:snapToGrid w:val="0"/>
              </w:rPr>
            </w:pPr>
            <w:r>
              <w:rPr>
                <w:snapToGrid w:val="0"/>
              </w:rPr>
              <w:t>14.2</w:t>
            </w:r>
          </w:p>
        </w:tc>
      </w:tr>
      <w:tr w:rsidR="009B1862" w:rsidRPr="009B1862" w14:paraId="413A9F81" w14:textId="77777777" w:rsidTr="00162A3F">
        <w:trPr>
          <w:trHeight w:val="20"/>
        </w:trPr>
        <w:tc>
          <w:tcPr>
            <w:tcW w:w="1177" w:type="pct"/>
            <w:gridSpan w:val="2"/>
            <w:shd w:val="clear" w:color="auto" w:fill="auto"/>
            <w:vAlign w:val="center"/>
          </w:tcPr>
          <w:p w14:paraId="3D7DE810" w14:textId="77777777" w:rsidR="009B1862" w:rsidRPr="009B1862" w:rsidRDefault="009B1862" w:rsidP="009B1862">
            <w:pPr>
              <w:pStyle w:val="TableText0"/>
              <w:rPr>
                <w:snapToGrid w:val="0"/>
              </w:rPr>
            </w:pPr>
            <w:r w:rsidRPr="009B1862">
              <w:rPr>
                <w:snapToGrid w:val="0"/>
              </w:rPr>
              <w:t>18 months</w:t>
            </w:r>
          </w:p>
        </w:tc>
        <w:tc>
          <w:tcPr>
            <w:tcW w:w="1334" w:type="pct"/>
            <w:shd w:val="clear" w:color="auto" w:fill="auto"/>
            <w:vAlign w:val="center"/>
          </w:tcPr>
          <w:p w14:paraId="223C7DEA" w14:textId="5D281930" w:rsidR="009B1862" w:rsidRPr="009B1862" w:rsidRDefault="001449E9" w:rsidP="001449E9">
            <w:pPr>
              <w:pStyle w:val="TableText0"/>
              <w:jc w:val="center"/>
              <w:rPr>
                <w:snapToGrid w:val="0"/>
              </w:rPr>
            </w:pPr>
            <w:r w:rsidRPr="001449E9">
              <w:rPr>
                <w:snapToGrid w:val="0"/>
              </w:rPr>
              <w:t>70.2 (63.4, 76.0)</w:t>
            </w:r>
          </w:p>
        </w:tc>
        <w:tc>
          <w:tcPr>
            <w:tcW w:w="1357" w:type="pct"/>
            <w:gridSpan w:val="2"/>
            <w:shd w:val="clear" w:color="auto" w:fill="auto"/>
            <w:vAlign w:val="center"/>
          </w:tcPr>
          <w:p w14:paraId="05B73428" w14:textId="514291D8" w:rsidR="009B1862" w:rsidRPr="009B1862" w:rsidRDefault="001449E9" w:rsidP="001449E9">
            <w:pPr>
              <w:pStyle w:val="TableText0"/>
              <w:jc w:val="center"/>
              <w:rPr>
                <w:snapToGrid w:val="0"/>
              </w:rPr>
            </w:pPr>
            <w:r w:rsidRPr="001449E9">
              <w:rPr>
                <w:snapToGrid w:val="0"/>
              </w:rPr>
              <w:t>50.0 (42.9, 56.7)</w:t>
            </w:r>
          </w:p>
        </w:tc>
        <w:tc>
          <w:tcPr>
            <w:tcW w:w="1132" w:type="pct"/>
            <w:tcBorders>
              <w:left w:val="single" w:sz="4" w:space="0" w:color="auto"/>
              <w:bottom w:val="single" w:sz="4" w:space="0" w:color="auto"/>
            </w:tcBorders>
            <w:shd w:val="clear" w:color="auto" w:fill="auto"/>
            <w:vAlign w:val="center"/>
          </w:tcPr>
          <w:p w14:paraId="60589435" w14:textId="1FFEAF73" w:rsidR="009B1862" w:rsidRPr="009B1862" w:rsidRDefault="0089210F" w:rsidP="00162A3F">
            <w:pPr>
              <w:pStyle w:val="TableText0"/>
              <w:jc w:val="center"/>
              <w:rPr>
                <w:snapToGrid w:val="0"/>
              </w:rPr>
            </w:pPr>
            <w:r>
              <w:rPr>
                <w:snapToGrid w:val="0"/>
              </w:rPr>
              <w:t>20.2</w:t>
            </w:r>
          </w:p>
        </w:tc>
      </w:tr>
      <w:tr w:rsidR="009B1862" w:rsidRPr="009B1862" w14:paraId="4D024727" w14:textId="77777777">
        <w:trPr>
          <w:trHeight w:val="20"/>
        </w:trPr>
        <w:tc>
          <w:tcPr>
            <w:tcW w:w="5000" w:type="pct"/>
            <w:gridSpan w:val="6"/>
            <w:tcBorders>
              <w:top w:val="double" w:sz="4" w:space="0" w:color="auto"/>
              <w:right w:val="single" w:sz="4" w:space="0" w:color="auto"/>
            </w:tcBorders>
            <w:shd w:val="clear" w:color="auto" w:fill="auto"/>
            <w:vAlign w:val="center"/>
          </w:tcPr>
          <w:p w14:paraId="5AF6E6D4" w14:textId="77777777" w:rsidR="009B1862" w:rsidRPr="009B1862" w:rsidRDefault="009B1862" w:rsidP="009B1862">
            <w:pPr>
              <w:pStyle w:val="TableText0"/>
              <w:rPr>
                <w:b/>
                <w:bCs w:val="0"/>
                <w:snapToGrid w:val="0"/>
              </w:rPr>
            </w:pPr>
            <w:r w:rsidRPr="009B1862">
              <w:rPr>
                <w:b/>
                <w:bCs w:val="0"/>
                <w:snapToGrid w:val="0"/>
              </w:rPr>
              <w:t>Harms</w:t>
            </w:r>
          </w:p>
        </w:tc>
      </w:tr>
      <w:tr w:rsidR="009B1862" w:rsidRPr="009B1862" w14:paraId="08B5CFDA" w14:textId="77777777" w:rsidTr="00BB7610">
        <w:trPr>
          <w:trHeight w:val="179"/>
        </w:trPr>
        <w:tc>
          <w:tcPr>
            <w:tcW w:w="563" w:type="pct"/>
            <w:vMerge w:val="restart"/>
            <w:shd w:val="clear" w:color="auto" w:fill="auto"/>
            <w:vAlign w:val="center"/>
          </w:tcPr>
          <w:p w14:paraId="6B7091D6" w14:textId="6D8E31B0" w:rsidR="009B1862" w:rsidRPr="001449E9" w:rsidRDefault="009B1862" w:rsidP="009B1862">
            <w:pPr>
              <w:pStyle w:val="TableText0"/>
              <w:jc w:val="center"/>
              <w:rPr>
                <w:b/>
                <w:bCs w:val="0"/>
                <w:snapToGrid w:val="0"/>
              </w:rPr>
            </w:pPr>
            <w:r w:rsidRPr="001449E9">
              <w:rPr>
                <w:b/>
                <w:bCs w:val="0"/>
                <w:snapToGrid w:val="0"/>
              </w:rPr>
              <w:t>periNIVO, n/N</w:t>
            </w:r>
          </w:p>
        </w:tc>
        <w:tc>
          <w:tcPr>
            <w:tcW w:w="614" w:type="pct"/>
            <w:vMerge w:val="restart"/>
            <w:shd w:val="clear" w:color="auto" w:fill="auto"/>
            <w:vAlign w:val="center"/>
          </w:tcPr>
          <w:p w14:paraId="5897A372" w14:textId="758C1044" w:rsidR="009B1862" w:rsidRPr="001449E9" w:rsidRDefault="009B1862" w:rsidP="009B1862">
            <w:pPr>
              <w:pStyle w:val="TableText0"/>
              <w:jc w:val="center"/>
              <w:rPr>
                <w:b/>
                <w:bCs w:val="0"/>
                <w:snapToGrid w:val="0"/>
              </w:rPr>
            </w:pPr>
            <w:r w:rsidRPr="001449E9">
              <w:rPr>
                <w:b/>
                <w:bCs w:val="0"/>
                <w:snapToGrid w:val="0"/>
              </w:rPr>
              <w:t>neoChemo, n/N</w:t>
            </w:r>
          </w:p>
        </w:tc>
        <w:tc>
          <w:tcPr>
            <w:tcW w:w="1334" w:type="pct"/>
            <w:vMerge w:val="restart"/>
            <w:shd w:val="clear" w:color="auto" w:fill="auto"/>
            <w:vAlign w:val="center"/>
          </w:tcPr>
          <w:p w14:paraId="4C662B0C" w14:textId="77777777" w:rsidR="009B1862" w:rsidRPr="001449E9" w:rsidRDefault="009B1862" w:rsidP="009B1862">
            <w:pPr>
              <w:pStyle w:val="TableText0"/>
              <w:jc w:val="center"/>
              <w:rPr>
                <w:b/>
                <w:bCs w:val="0"/>
                <w:snapToGrid w:val="0"/>
              </w:rPr>
            </w:pPr>
            <w:r w:rsidRPr="001449E9">
              <w:rPr>
                <w:b/>
                <w:bCs w:val="0"/>
                <w:snapToGrid w:val="0"/>
              </w:rPr>
              <w:t>RR (95% CI)</w:t>
            </w:r>
          </w:p>
        </w:tc>
        <w:tc>
          <w:tcPr>
            <w:tcW w:w="1357" w:type="pct"/>
            <w:gridSpan w:val="2"/>
            <w:shd w:val="clear" w:color="auto" w:fill="auto"/>
            <w:vAlign w:val="center"/>
          </w:tcPr>
          <w:p w14:paraId="068E5503" w14:textId="77777777" w:rsidR="009B1862" w:rsidRPr="001449E9" w:rsidRDefault="009B1862" w:rsidP="009B1862">
            <w:pPr>
              <w:pStyle w:val="TableText0"/>
              <w:jc w:val="center"/>
              <w:rPr>
                <w:b/>
                <w:bCs w:val="0"/>
                <w:snapToGrid w:val="0"/>
              </w:rPr>
            </w:pPr>
            <w:r w:rsidRPr="001449E9">
              <w:rPr>
                <w:b/>
                <w:bCs w:val="0"/>
                <w:snapToGrid w:val="0"/>
              </w:rPr>
              <w:t>Event rate/100 patients</w:t>
            </w:r>
          </w:p>
        </w:tc>
        <w:tc>
          <w:tcPr>
            <w:tcW w:w="1132" w:type="pct"/>
            <w:vMerge w:val="restart"/>
            <w:tcBorders>
              <w:top w:val="single" w:sz="4" w:space="0" w:color="auto"/>
              <w:left w:val="single" w:sz="4" w:space="0" w:color="auto"/>
              <w:right w:val="single" w:sz="4" w:space="0" w:color="auto"/>
            </w:tcBorders>
            <w:shd w:val="clear" w:color="auto" w:fill="auto"/>
            <w:vAlign w:val="center"/>
          </w:tcPr>
          <w:p w14:paraId="1D600BEA" w14:textId="77777777" w:rsidR="009B1862" w:rsidRPr="001449E9" w:rsidRDefault="009B1862" w:rsidP="009B1862">
            <w:pPr>
              <w:pStyle w:val="TableText0"/>
              <w:jc w:val="center"/>
              <w:rPr>
                <w:b/>
                <w:bCs w:val="0"/>
                <w:snapToGrid w:val="0"/>
              </w:rPr>
            </w:pPr>
            <w:r w:rsidRPr="001449E9">
              <w:rPr>
                <w:b/>
                <w:bCs w:val="0"/>
                <w:snapToGrid w:val="0"/>
              </w:rPr>
              <w:t>RD (95% CI)</w:t>
            </w:r>
          </w:p>
        </w:tc>
      </w:tr>
      <w:tr w:rsidR="009B1862" w:rsidRPr="009B1862" w14:paraId="2349CED6" w14:textId="77777777" w:rsidTr="00BB7610">
        <w:trPr>
          <w:trHeight w:val="178"/>
        </w:trPr>
        <w:tc>
          <w:tcPr>
            <w:tcW w:w="563" w:type="pct"/>
            <w:vMerge/>
            <w:shd w:val="clear" w:color="auto" w:fill="auto"/>
            <w:vAlign w:val="center"/>
          </w:tcPr>
          <w:p w14:paraId="41F38861" w14:textId="77777777" w:rsidR="009B1862" w:rsidRPr="009B1862" w:rsidRDefault="009B1862" w:rsidP="009B1862">
            <w:pPr>
              <w:pStyle w:val="TableText0"/>
              <w:rPr>
                <w:snapToGrid w:val="0"/>
              </w:rPr>
            </w:pPr>
          </w:p>
        </w:tc>
        <w:tc>
          <w:tcPr>
            <w:tcW w:w="614" w:type="pct"/>
            <w:vMerge/>
            <w:shd w:val="clear" w:color="auto" w:fill="auto"/>
            <w:vAlign w:val="center"/>
          </w:tcPr>
          <w:p w14:paraId="36C3D532" w14:textId="77777777" w:rsidR="009B1862" w:rsidRPr="009B1862" w:rsidRDefault="009B1862" w:rsidP="009B1862">
            <w:pPr>
              <w:pStyle w:val="TableText0"/>
              <w:rPr>
                <w:snapToGrid w:val="0"/>
              </w:rPr>
            </w:pPr>
          </w:p>
        </w:tc>
        <w:tc>
          <w:tcPr>
            <w:tcW w:w="1334" w:type="pct"/>
            <w:vMerge/>
            <w:shd w:val="clear" w:color="auto" w:fill="auto"/>
            <w:vAlign w:val="center"/>
          </w:tcPr>
          <w:p w14:paraId="11D69E7B" w14:textId="77777777" w:rsidR="009B1862" w:rsidRPr="009B1862" w:rsidRDefault="009B1862" w:rsidP="009B1862">
            <w:pPr>
              <w:pStyle w:val="TableText0"/>
              <w:rPr>
                <w:snapToGrid w:val="0"/>
              </w:rPr>
            </w:pPr>
          </w:p>
        </w:tc>
        <w:tc>
          <w:tcPr>
            <w:tcW w:w="651" w:type="pct"/>
            <w:shd w:val="clear" w:color="auto" w:fill="auto"/>
            <w:vAlign w:val="center"/>
          </w:tcPr>
          <w:p w14:paraId="718A9AD0" w14:textId="5A574B61" w:rsidR="009B1862" w:rsidRPr="001449E9" w:rsidRDefault="009B1862" w:rsidP="009B1862">
            <w:pPr>
              <w:pStyle w:val="TableText0"/>
              <w:jc w:val="center"/>
              <w:rPr>
                <w:b/>
                <w:bCs w:val="0"/>
                <w:snapToGrid w:val="0"/>
              </w:rPr>
            </w:pPr>
            <w:r w:rsidRPr="001449E9">
              <w:rPr>
                <w:b/>
                <w:bCs w:val="0"/>
                <w:snapToGrid w:val="0"/>
              </w:rPr>
              <w:t>periNIVO</w:t>
            </w:r>
          </w:p>
        </w:tc>
        <w:tc>
          <w:tcPr>
            <w:tcW w:w="706" w:type="pct"/>
            <w:shd w:val="clear" w:color="auto" w:fill="auto"/>
            <w:vAlign w:val="center"/>
          </w:tcPr>
          <w:p w14:paraId="6D621E5D" w14:textId="657BB5D0" w:rsidR="009B1862" w:rsidRPr="001449E9" w:rsidRDefault="009B1862" w:rsidP="009B1862">
            <w:pPr>
              <w:pStyle w:val="TableText0"/>
              <w:jc w:val="center"/>
              <w:rPr>
                <w:b/>
                <w:bCs w:val="0"/>
                <w:snapToGrid w:val="0"/>
              </w:rPr>
            </w:pPr>
            <w:r w:rsidRPr="001449E9">
              <w:rPr>
                <w:b/>
                <w:bCs w:val="0"/>
                <w:snapToGrid w:val="0"/>
              </w:rPr>
              <w:t>neoChemo</w:t>
            </w:r>
          </w:p>
        </w:tc>
        <w:tc>
          <w:tcPr>
            <w:tcW w:w="1132" w:type="pct"/>
            <w:vMerge/>
            <w:tcBorders>
              <w:left w:val="single" w:sz="4" w:space="0" w:color="auto"/>
              <w:right w:val="single" w:sz="4" w:space="0" w:color="auto"/>
            </w:tcBorders>
            <w:shd w:val="clear" w:color="auto" w:fill="auto"/>
          </w:tcPr>
          <w:p w14:paraId="6833B8EA" w14:textId="77777777" w:rsidR="009B1862" w:rsidRPr="009B1862" w:rsidRDefault="009B1862" w:rsidP="009B1862">
            <w:pPr>
              <w:pStyle w:val="TableText0"/>
              <w:rPr>
                <w:snapToGrid w:val="0"/>
              </w:rPr>
            </w:pPr>
          </w:p>
        </w:tc>
      </w:tr>
      <w:tr w:rsidR="009A0595" w:rsidRPr="009B1862" w14:paraId="0C713224" w14:textId="77777777" w:rsidTr="009A0595">
        <w:trPr>
          <w:trHeight w:val="178"/>
        </w:trPr>
        <w:tc>
          <w:tcPr>
            <w:tcW w:w="5000" w:type="pct"/>
            <w:gridSpan w:val="6"/>
            <w:tcBorders>
              <w:right w:val="single" w:sz="4" w:space="0" w:color="auto"/>
            </w:tcBorders>
            <w:shd w:val="clear" w:color="auto" w:fill="auto"/>
            <w:vAlign w:val="center"/>
          </w:tcPr>
          <w:p w14:paraId="40E42BCD" w14:textId="7E8D1530" w:rsidR="009A0595" w:rsidRPr="009A0595" w:rsidRDefault="009A0595" w:rsidP="009B1862">
            <w:pPr>
              <w:pStyle w:val="TableText0"/>
              <w:rPr>
                <w:b/>
                <w:bCs w:val="0"/>
                <w:snapToGrid w:val="0"/>
              </w:rPr>
            </w:pPr>
            <w:r w:rsidRPr="009A0595">
              <w:rPr>
                <w:b/>
                <w:bCs w:val="0"/>
                <w:snapToGrid w:val="0"/>
              </w:rPr>
              <w:t>Any SAEs (all-causality)</w:t>
            </w:r>
          </w:p>
        </w:tc>
      </w:tr>
      <w:tr w:rsidR="009A0595" w:rsidRPr="00C87852" w14:paraId="1CC46C68" w14:textId="77777777" w:rsidTr="00BB7610">
        <w:trPr>
          <w:trHeight w:val="178"/>
        </w:trPr>
        <w:tc>
          <w:tcPr>
            <w:tcW w:w="563" w:type="pct"/>
            <w:shd w:val="clear" w:color="auto" w:fill="auto"/>
            <w:vAlign w:val="center"/>
          </w:tcPr>
          <w:p w14:paraId="7F203711" w14:textId="72F51ADB" w:rsidR="009A0595" w:rsidRPr="00C87852" w:rsidRDefault="009A0595" w:rsidP="009A0595">
            <w:pPr>
              <w:pStyle w:val="TableText0"/>
              <w:jc w:val="center"/>
              <w:rPr>
                <w:iCs/>
                <w:snapToGrid w:val="0"/>
              </w:rPr>
            </w:pPr>
            <w:r w:rsidRPr="00C87852">
              <w:rPr>
                <w:iCs/>
                <w:snapToGrid w:val="0"/>
              </w:rPr>
              <w:t>96/228</w:t>
            </w:r>
          </w:p>
        </w:tc>
        <w:tc>
          <w:tcPr>
            <w:tcW w:w="614" w:type="pct"/>
            <w:shd w:val="clear" w:color="auto" w:fill="auto"/>
            <w:vAlign w:val="center"/>
          </w:tcPr>
          <w:p w14:paraId="11ED7147" w14:textId="21F950D5" w:rsidR="009A0595" w:rsidRPr="00C87852" w:rsidRDefault="009A0595" w:rsidP="009A0595">
            <w:pPr>
              <w:pStyle w:val="TableText0"/>
              <w:jc w:val="center"/>
              <w:rPr>
                <w:iCs/>
                <w:snapToGrid w:val="0"/>
              </w:rPr>
            </w:pPr>
            <w:r w:rsidRPr="00C87852">
              <w:rPr>
                <w:iCs/>
                <w:snapToGrid w:val="0"/>
              </w:rPr>
              <w:t>71/230</w:t>
            </w:r>
          </w:p>
        </w:tc>
        <w:tc>
          <w:tcPr>
            <w:tcW w:w="1334" w:type="pct"/>
            <w:shd w:val="clear" w:color="auto" w:fill="auto"/>
            <w:vAlign w:val="center"/>
          </w:tcPr>
          <w:p w14:paraId="5D1F6C0F" w14:textId="7470AE86" w:rsidR="009A0595" w:rsidRPr="00C87852" w:rsidRDefault="009A0595" w:rsidP="009A0595">
            <w:pPr>
              <w:pStyle w:val="TableText0"/>
              <w:jc w:val="center"/>
              <w:rPr>
                <w:iCs/>
                <w:snapToGrid w:val="0"/>
              </w:rPr>
            </w:pPr>
            <w:r w:rsidRPr="00C87852">
              <w:rPr>
                <w:iCs/>
                <w:snapToGrid w:val="0"/>
              </w:rPr>
              <w:t>1.36 (1.07, 1.74)</w:t>
            </w:r>
          </w:p>
        </w:tc>
        <w:tc>
          <w:tcPr>
            <w:tcW w:w="651" w:type="pct"/>
            <w:shd w:val="clear" w:color="auto" w:fill="auto"/>
            <w:vAlign w:val="center"/>
          </w:tcPr>
          <w:p w14:paraId="19816F4B" w14:textId="5A6F055B" w:rsidR="009A0595" w:rsidRPr="00C87852" w:rsidRDefault="00BB7610" w:rsidP="00704380">
            <w:pPr>
              <w:pStyle w:val="TableText0"/>
              <w:jc w:val="center"/>
              <w:rPr>
                <w:iCs/>
                <w:snapToGrid w:val="0"/>
              </w:rPr>
            </w:pPr>
            <w:r w:rsidRPr="00C87852">
              <w:rPr>
                <w:iCs/>
                <w:snapToGrid w:val="0"/>
              </w:rPr>
              <w:t>42.1</w:t>
            </w:r>
          </w:p>
        </w:tc>
        <w:tc>
          <w:tcPr>
            <w:tcW w:w="706" w:type="pct"/>
            <w:shd w:val="clear" w:color="auto" w:fill="auto"/>
            <w:vAlign w:val="center"/>
          </w:tcPr>
          <w:p w14:paraId="15973CAE" w14:textId="259363AD" w:rsidR="009A0595" w:rsidRPr="00C87852" w:rsidRDefault="00BB7610" w:rsidP="00704380">
            <w:pPr>
              <w:pStyle w:val="TableText0"/>
              <w:jc w:val="center"/>
              <w:rPr>
                <w:iCs/>
                <w:snapToGrid w:val="0"/>
              </w:rPr>
            </w:pPr>
            <w:r w:rsidRPr="00C87852">
              <w:rPr>
                <w:iCs/>
                <w:snapToGrid w:val="0"/>
              </w:rPr>
              <w:t>30.9</w:t>
            </w:r>
          </w:p>
        </w:tc>
        <w:tc>
          <w:tcPr>
            <w:tcW w:w="1132" w:type="pct"/>
            <w:tcBorders>
              <w:left w:val="single" w:sz="4" w:space="0" w:color="auto"/>
              <w:right w:val="single" w:sz="4" w:space="0" w:color="auto"/>
            </w:tcBorders>
            <w:shd w:val="clear" w:color="auto" w:fill="auto"/>
          </w:tcPr>
          <w:p w14:paraId="65FFAE09" w14:textId="5DFF7D4B" w:rsidR="009A0595" w:rsidRPr="00C87852" w:rsidRDefault="009A0595" w:rsidP="002965CF">
            <w:pPr>
              <w:pStyle w:val="TableText0"/>
              <w:jc w:val="center"/>
              <w:rPr>
                <w:iCs/>
                <w:snapToGrid w:val="0"/>
              </w:rPr>
            </w:pPr>
            <w:r w:rsidRPr="00C87852">
              <w:rPr>
                <w:iCs/>
                <w:snapToGrid w:val="0"/>
              </w:rPr>
              <w:t>11.2 (2.5, 20.0)</w:t>
            </w:r>
          </w:p>
        </w:tc>
      </w:tr>
      <w:tr w:rsidR="001449E9" w:rsidRPr="009B1862" w14:paraId="60B9647E" w14:textId="77777777" w:rsidTr="001449E9">
        <w:trPr>
          <w:trHeight w:val="178"/>
        </w:trPr>
        <w:tc>
          <w:tcPr>
            <w:tcW w:w="5000" w:type="pct"/>
            <w:gridSpan w:val="6"/>
            <w:tcBorders>
              <w:right w:val="single" w:sz="4" w:space="0" w:color="auto"/>
            </w:tcBorders>
            <w:shd w:val="clear" w:color="auto" w:fill="auto"/>
            <w:vAlign w:val="center"/>
          </w:tcPr>
          <w:p w14:paraId="47F01744" w14:textId="5EE0A2A5" w:rsidR="001449E9" w:rsidRPr="009A0595" w:rsidRDefault="009A0595" w:rsidP="009B1862">
            <w:pPr>
              <w:pStyle w:val="TableText0"/>
              <w:rPr>
                <w:b/>
                <w:bCs w:val="0"/>
                <w:snapToGrid w:val="0"/>
              </w:rPr>
            </w:pPr>
            <w:r w:rsidRPr="009A0595">
              <w:rPr>
                <w:b/>
                <w:bCs w:val="0"/>
                <w:snapToGrid w:val="0"/>
              </w:rPr>
              <w:t>Adverse events resulting in treatment discontinuation (all-causality)</w:t>
            </w:r>
          </w:p>
        </w:tc>
      </w:tr>
      <w:tr w:rsidR="001449E9" w:rsidRPr="00C87852" w14:paraId="6D617E0D" w14:textId="77777777" w:rsidTr="00BB7610">
        <w:trPr>
          <w:trHeight w:val="178"/>
        </w:trPr>
        <w:tc>
          <w:tcPr>
            <w:tcW w:w="563" w:type="pct"/>
            <w:shd w:val="clear" w:color="auto" w:fill="auto"/>
            <w:vAlign w:val="center"/>
          </w:tcPr>
          <w:p w14:paraId="0702614F" w14:textId="1A7C2C4C" w:rsidR="001449E9" w:rsidRPr="00C87852" w:rsidRDefault="009A0595" w:rsidP="009A0595">
            <w:pPr>
              <w:pStyle w:val="TableText0"/>
              <w:jc w:val="center"/>
              <w:rPr>
                <w:snapToGrid w:val="0"/>
              </w:rPr>
            </w:pPr>
            <w:r w:rsidRPr="00C87852">
              <w:rPr>
                <w:snapToGrid w:val="0"/>
              </w:rPr>
              <w:t>56/228</w:t>
            </w:r>
          </w:p>
        </w:tc>
        <w:tc>
          <w:tcPr>
            <w:tcW w:w="614" w:type="pct"/>
            <w:shd w:val="clear" w:color="auto" w:fill="auto"/>
            <w:vAlign w:val="center"/>
          </w:tcPr>
          <w:p w14:paraId="015BB712" w14:textId="603A5305" w:rsidR="001449E9" w:rsidRPr="00C87852" w:rsidRDefault="009A0595" w:rsidP="009A0595">
            <w:pPr>
              <w:pStyle w:val="TableText0"/>
              <w:jc w:val="center"/>
              <w:rPr>
                <w:snapToGrid w:val="0"/>
              </w:rPr>
            </w:pPr>
            <w:r w:rsidRPr="00C87852">
              <w:rPr>
                <w:snapToGrid w:val="0"/>
              </w:rPr>
              <w:t>25/230</w:t>
            </w:r>
          </w:p>
        </w:tc>
        <w:tc>
          <w:tcPr>
            <w:tcW w:w="1334" w:type="pct"/>
            <w:shd w:val="clear" w:color="auto" w:fill="auto"/>
            <w:vAlign w:val="center"/>
          </w:tcPr>
          <w:p w14:paraId="368AD6D3" w14:textId="57C85E48" w:rsidR="001449E9" w:rsidRPr="00C87852" w:rsidRDefault="009A0595" w:rsidP="009A0595">
            <w:pPr>
              <w:pStyle w:val="TableText0"/>
              <w:jc w:val="center"/>
              <w:rPr>
                <w:snapToGrid w:val="0"/>
              </w:rPr>
            </w:pPr>
            <w:r w:rsidRPr="00C87852">
              <w:rPr>
                <w:snapToGrid w:val="0"/>
              </w:rPr>
              <w:t>2.26 (1.46, 3.49)</w:t>
            </w:r>
          </w:p>
        </w:tc>
        <w:tc>
          <w:tcPr>
            <w:tcW w:w="651" w:type="pct"/>
            <w:shd w:val="clear" w:color="auto" w:fill="auto"/>
            <w:vAlign w:val="center"/>
          </w:tcPr>
          <w:p w14:paraId="076039B8" w14:textId="113D09E2" w:rsidR="001449E9" w:rsidRPr="00C87852" w:rsidRDefault="00BB7610" w:rsidP="00704380">
            <w:pPr>
              <w:pStyle w:val="TableText0"/>
              <w:jc w:val="center"/>
              <w:rPr>
                <w:iCs/>
                <w:snapToGrid w:val="0"/>
              </w:rPr>
            </w:pPr>
            <w:r w:rsidRPr="00C87852">
              <w:rPr>
                <w:iCs/>
                <w:snapToGrid w:val="0"/>
              </w:rPr>
              <w:t>24.6</w:t>
            </w:r>
          </w:p>
        </w:tc>
        <w:tc>
          <w:tcPr>
            <w:tcW w:w="706" w:type="pct"/>
            <w:shd w:val="clear" w:color="auto" w:fill="auto"/>
            <w:vAlign w:val="center"/>
          </w:tcPr>
          <w:p w14:paraId="1192F75A" w14:textId="08785574" w:rsidR="001449E9" w:rsidRPr="00C87852" w:rsidRDefault="00BB7610" w:rsidP="00704380">
            <w:pPr>
              <w:pStyle w:val="TableText0"/>
              <w:jc w:val="center"/>
              <w:rPr>
                <w:iCs/>
                <w:snapToGrid w:val="0"/>
              </w:rPr>
            </w:pPr>
            <w:r w:rsidRPr="00C87852">
              <w:rPr>
                <w:iCs/>
                <w:snapToGrid w:val="0"/>
              </w:rPr>
              <w:t>10.9</w:t>
            </w:r>
          </w:p>
        </w:tc>
        <w:tc>
          <w:tcPr>
            <w:tcW w:w="1132" w:type="pct"/>
            <w:tcBorders>
              <w:left w:val="single" w:sz="4" w:space="0" w:color="auto"/>
              <w:right w:val="single" w:sz="4" w:space="0" w:color="auto"/>
            </w:tcBorders>
            <w:shd w:val="clear" w:color="auto" w:fill="auto"/>
          </w:tcPr>
          <w:p w14:paraId="4E27F151" w14:textId="713927D4" w:rsidR="001449E9" w:rsidRPr="00C87852" w:rsidRDefault="009A0595" w:rsidP="002965CF">
            <w:pPr>
              <w:pStyle w:val="TableText0"/>
              <w:jc w:val="center"/>
              <w:rPr>
                <w:snapToGrid w:val="0"/>
              </w:rPr>
            </w:pPr>
            <w:r w:rsidRPr="00C87852">
              <w:rPr>
                <w:snapToGrid w:val="0"/>
              </w:rPr>
              <w:t>13.7 (6.8, 20.6)</w:t>
            </w:r>
          </w:p>
        </w:tc>
      </w:tr>
      <w:tr w:rsidR="00704380" w:rsidRPr="009B1862" w14:paraId="1618B735" w14:textId="77777777" w:rsidTr="00704380">
        <w:trPr>
          <w:trHeight w:val="178"/>
        </w:trPr>
        <w:tc>
          <w:tcPr>
            <w:tcW w:w="5000" w:type="pct"/>
            <w:gridSpan w:val="6"/>
            <w:tcBorders>
              <w:right w:val="single" w:sz="4" w:space="0" w:color="auto"/>
            </w:tcBorders>
            <w:shd w:val="clear" w:color="auto" w:fill="auto"/>
            <w:vAlign w:val="center"/>
          </w:tcPr>
          <w:p w14:paraId="4DDF99B6" w14:textId="2D7CF918" w:rsidR="00704380" w:rsidRPr="00704380" w:rsidRDefault="00704380" w:rsidP="009B1862">
            <w:pPr>
              <w:pStyle w:val="TableText0"/>
              <w:rPr>
                <w:b/>
                <w:bCs w:val="0"/>
                <w:snapToGrid w:val="0"/>
              </w:rPr>
            </w:pPr>
            <w:r w:rsidRPr="00704380">
              <w:rPr>
                <w:b/>
                <w:bCs w:val="0"/>
                <w:snapToGrid w:val="0"/>
              </w:rPr>
              <w:t>Pneumonitis (any grade)</w:t>
            </w:r>
          </w:p>
        </w:tc>
      </w:tr>
      <w:tr w:rsidR="009A0595" w:rsidRPr="00C87852" w14:paraId="59A9D066" w14:textId="77777777" w:rsidTr="00BB7610">
        <w:trPr>
          <w:trHeight w:val="178"/>
        </w:trPr>
        <w:tc>
          <w:tcPr>
            <w:tcW w:w="563" w:type="pct"/>
            <w:shd w:val="clear" w:color="auto" w:fill="auto"/>
            <w:vAlign w:val="center"/>
          </w:tcPr>
          <w:p w14:paraId="4D24E432" w14:textId="1672191A" w:rsidR="009A0595" w:rsidRPr="00C87852" w:rsidRDefault="00704380" w:rsidP="00704380">
            <w:pPr>
              <w:pStyle w:val="TableText0"/>
              <w:jc w:val="center"/>
              <w:rPr>
                <w:snapToGrid w:val="0"/>
              </w:rPr>
            </w:pPr>
            <w:r w:rsidRPr="00C87852">
              <w:rPr>
                <w:snapToGrid w:val="0"/>
              </w:rPr>
              <w:t>12/228</w:t>
            </w:r>
          </w:p>
        </w:tc>
        <w:tc>
          <w:tcPr>
            <w:tcW w:w="614" w:type="pct"/>
            <w:shd w:val="clear" w:color="auto" w:fill="auto"/>
            <w:vAlign w:val="center"/>
          </w:tcPr>
          <w:p w14:paraId="1B533872" w14:textId="6B700846" w:rsidR="009A0595" w:rsidRPr="00C87852" w:rsidRDefault="00704380" w:rsidP="00704380">
            <w:pPr>
              <w:pStyle w:val="TableText0"/>
              <w:jc w:val="center"/>
              <w:rPr>
                <w:snapToGrid w:val="0"/>
              </w:rPr>
            </w:pPr>
            <w:r w:rsidRPr="00C87852">
              <w:rPr>
                <w:snapToGrid w:val="0"/>
              </w:rPr>
              <w:t>3/230</w:t>
            </w:r>
          </w:p>
        </w:tc>
        <w:tc>
          <w:tcPr>
            <w:tcW w:w="1334" w:type="pct"/>
            <w:shd w:val="clear" w:color="auto" w:fill="auto"/>
            <w:vAlign w:val="center"/>
          </w:tcPr>
          <w:p w14:paraId="62A91E91" w14:textId="1C7B6C90" w:rsidR="009A0595" w:rsidRPr="00C87852" w:rsidRDefault="00704380" w:rsidP="00704380">
            <w:pPr>
              <w:pStyle w:val="TableText0"/>
              <w:jc w:val="center"/>
              <w:rPr>
                <w:iCs/>
                <w:snapToGrid w:val="0"/>
              </w:rPr>
            </w:pPr>
            <w:r w:rsidRPr="00C87852">
              <w:rPr>
                <w:iCs/>
                <w:snapToGrid w:val="0"/>
              </w:rPr>
              <w:t>4.04 (1.15, 14.11)</w:t>
            </w:r>
          </w:p>
        </w:tc>
        <w:tc>
          <w:tcPr>
            <w:tcW w:w="651" w:type="pct"/>
            <w:shd w:val="clear" w:color="auto" w:fill="auto"/>
            <w:vAlign w:val="center"/>
          </w:tcPr>
          <w:p w14:paraId="0D068083" w14:textId="61AEC5A5" w:rsidR="009A0595" w:rsidRPr="00C87852" w:rsidRDefault="00BB7610" w:rsidP="00704380">
            <w:pPr>
              <w:pStyle w:val="TableText0"/>
              <w:jc w:val="center"/>
              <w:rPr>
                <w:iCs/>
                <w:snapToGrid w:val="0"/>
              </w:rPr>
            </w:pPr>
            <w:r w:rsidRPr="00C87852">
              <w:rPr>
                <w:iCs/>
                <w:snapToGrid w:val="0"/>
              </w:rPr>
              <w:t>5.3</w:t>
            </w:r>
          </w:p>
        </w:tc>
        <w:tc>
          <w:tcPr>
            <w:tcW w:w="706" w:type="pct"/>
            <w:shd w:val="clear" w:color="auto" w:fill="auto"/>
            <w:vAlign w:val="center"/>
          </w:tcPr>
          <w:p w14:paraId="4D7CE147" w14:textId="02937661" w:rsidR="009A0595" w:rsidRPr="00C87852" w:rsidRDefault="00BB7610" w:rsidP="00704380">
            <w:pPr>
              <w:pStyle w:val="TableText0"/>
              <w:jc w:val="center"/>
              <w:rPr>
                <w:iCs/>
                <w:snapToGrid w:val="0"/>
              </w:rPr>
            </w:pPr>
            <w:r w:rsidRPr="00C87852">
              <w:rPr>
                <w:iCs/>
                <w:snapToGrid w:val="0"/>
              </w:rPr>
              <w:t>1.2</w:t>
            </w:r>
          </w:p>
        </w:tc>
        <w:tc>
          <w:tcPr>
            <w:tcW w:w="1132" w:type="pct"/>
            <w:tcBorders>
              <w:left w:val="single" w:sz="4" w:space="0" w:color="auto"/>
              <w:right w:val="single" w:sz="4" w:space="0" w:color="auto"/>
            </w:tcBorders>
            <w:shd w:val="clear" w:color="auto" w:fill="auto"/>
          </w:tcPr>
          <w:p w14:paraId="4ADB49C4" w14:textId="30DF96C5" w:rsidR="009A0595" w:rsidRPr="00C87852" w:rsidRDefault="00704380" w:rsidP="00704380">
            <w:pPr>
              <w:pStyle w:val="TableText0"/>
              <w:jc w:val="center"/>
              <w:rPr>
                <w:iCs/>
                <w:snapToGrid w:val="0"/>
              </w:rPr>
            </w:pPr>
            <w:r w:rsidRPr="00C87852">
              <w:rPr>
                <w:iCs/>
                <w:snapToGrid w:val="0"/>
              </w:rPr>
              <w:t>4.0 (0.7, 7.2)</w:t>
            </w:r>
          </w:p>
        </w:tc>
      </w:tr>
      <w:tr w:rsidR="00704380" w:rsidRPr="009B1862" w14:paraId="75E80481" w14:textId="77777777" w:rsidTr="00704380">
        <w:trPr>
          <w:trHeight w:val="178"/>
        </w:trPr>
        <w:tc>
          <w:tcPr>
            <w:tcW w:w="5000" w:type="pct"/>
            <w:gridSpan w:val="6"/>
            <w:tcBorders>
              <w:right w:val="single" w:sz="4" w:space="0" w:color="auto"/>
            </w:tcBorders>
            <w:shd w:val="clear" w:color="auto" w:fill="auto"/>
            <w:vAlign w:val="center"/>
          </w:tcPr>
          <w:p w14:paraId="215FDE83" w14:textId="5DC41611" w:rsidR="00704380" w:rsidRPr="00704380" w:rsidRDefault="00704380" w:rsidP="009B1862">
            <w:pPr>
              <w:pStyle w:val="TableText0"/>
              <w:rPr>
                <w:b/>
                <w:bCs w:val="0"/>
                <w:snapToGrid w:val="0"/>
              </w:rPr>
            </w:pPr>
            <w:r w:rsidRPr="00704380">
              <w:rPr>
                <w:b/>
                <w:bCs w:val="0"/>
                <w:snapToGrid w:val="0"/>
              </w:rPr>
              <w:t>Rash (any grade)</w:t>
            </w:r>
          </w:p>
        </w:tc>
      </w:tr>
      <w:tr w:rsidR="009A0595" w:rsidRPr="00C87852" w14:paraId="48AA0471" w14:textId="77777777" w:rsidTr="00BB7610">
        <w:trPr>
          <w:trHeight w:val="178"/>
        </w:trPr>
        <w:tc>
          <w:tcPr>
            <w:tcW w:w="563" w:type="pct"/>
            <w:shd w:val="clear" w:color="auto" w:fill="auto"/>
            <w:vAlign w:val="center"/>
          </w:tcPr>
          <w:p w14:paraId="38751FC4" w14:textId="69D2AC98" w:rsidR="009A0595" w:rsidRPr="00C87852" w:rsidRDefault="00704380" w:rsidP="00704380">
            <w:pPr>
              <w:pStyle w:val="TableText0"/>
              <w:jc w:val="center"/>
              <w:rPr>
                <w:snapToGrid w:val="0"/>
              </w:rPr>
            </w:pPr>
            <w:r w:rsidRPr="00C87852">
              <w:rPr>
                <w:snapToGrid w:val="0"/>
              </w:rPr>
              <w:t>11/228</w:t>
            </w:r>
          </w:p>
        </w:tc>
        <w:tc>
          <w:tcPr>
            <w:tcW w:w="614" w:type="pct"/>
            <w:shd w:val="clear" w:color="auto" w:fill="auto"/>
            <w:vAlign w:val="center"/>
          </w:tcPr>
          <w:p w14:paraId="00507A40" w14:textId="365287D6" w:rsidR="009A0595" w:rsidRPr="00C87852" w:rsidRDefault="00704380" w:rsidP="00704380">
            <w:pPr>
              <w:pStyle w:val="TableText0"/>
              <w:jc w:val="center"/>
              <w:rPr>
                <w:snapToGrid w:val="0"/>
              </w:rPr>
            </w:pPr>
            <w:r w:rsidRPr="00C87852">
              <w:rPr>
                <w:snapToGrid w:val="0"/>
              </w:rPr>
              <w:t>2/230</w:t>
            </w:r>
          </w:p>
        </w:tc>
        <w:tc>
          <w:tcPr>
            <w:tcW w:w="1334" w:type="pct"/>
            <w:shd w:val="clear" w:color="auto" w:fill="auto"/>
            <w:vAlign w:val="center"/>
          </w:tcPr>
          <w:p w14:paraId="2A6E86C6" w14:textId="1A5ADE0E" w:rsidR="009A0595" w:rsidRPr="00C87852" w:rsidRDefault="00704380" w:rsidP="00704380">
            <w:pPr>
              <w:pStyle w:val="TableText0"/>
              <w:jc w:val="center"/>
              <w:rPr>
                <w:iCs/>
                <w:snapToGrid w:val="0"/>
              </w:rPr>
            </w:pPr>
            <w:r w:rsidRPr="00C87852">
              <w:rPr>
                <w:iCs/>
                <w:snapToGrid w:val="0"/>
              </w:rPr>
              <w:t>5.55 (1.24, 24.75)</w:t>
            </w:r>
          </w:p>
        </w:tc>
        <w:tc>
          <w:tcPr>
            <w:tcW w:w="651" w:type="pct"/>
            <w:shd w:val="clear" w:color="auto" w:fill="auto"/>
            <w:vAlign w:val="center"/>
          </w:tcPr>
          <w:p w14:paraId="6D352322" w14:textId="51B25DDB" w:rsidR="009A0595" w:rsidRPr="00C87852" w:rsidRDefault="00BB7610" w:rsidP="00704380">
            <w:pPr>
              <w:pStyle w:val="TableText0"/>
              <w:jc w:val="center"/>
              <w:rPr>
                <w:iCs/>
                <w:snapToGrid w:val="0"/>
              </w:rPr>
            </w:pPr>
            <w:r w:rsidRPr="00C87852">
              <w:rPr>
                <w:iCs/>
                <w:snapToGrid w:val="0"/>
              </w:rPr>
              <w:t>4.8</w:t>
            </w:r>
          </w:p>
        </w:tc>
        <w:tc>
          <w:tcPr>
            <w:tcW w:w="706" w:type="pct"/>
            <w:shd w:val="clear" w:color="auto" w:fill="auto"/>
            <w:vAlign w:val="center"/>
          </w:tcPr>
          <w:p w14:paraId="2A91C956" w14:textId="7EAD30F6" w:rsidR="009A0595" w:rsidRPr="00C87852" w:rsidRDefault="00BB7610" w:rsidP="00704380">
            <w:pPr>
              <w:pStyle w:val="TableText0"/>
              <w:jc w:val="center"/>
              <w:rPr>
                <w:iCs/>
                <w:snapToGrid w:val="0"/>
              </w:rPr>
            </w:pPr>
            <w:r w:rsidRPr="00C87852">
              <w:rPr>
                <w:iCs/>
                <w:snapToGrid w:val="0"/>
              </w:rPr>
              <w:t>0.9</w:t>
            </w:r>
          </w:p>
        </w:tc>
        <w:tc>
          <w:tcPr>
            <w:tcW w:w="1132" w:type="pct"/>
            <w:tcBorders>
              <w:left w:val="single" w:sz="4" w:space="0" w:color="auto"/>
              <w:right w:val="single" w:sz="4" w:space="0" w:color="auto"/>
            </w:tcBorders>
            <w:shd w:val="clear" w:color="auto" w:fill="auto"/>
          </w:tcPr>
          <w:p w14:paraId="35E5B6FE" w14:textId="4A75E733" w:rsidR="009A0595" w:rsidRPr="00C87852" w:rsidRDefault="00704380" w:rsidP="00704380">
            <w:pPr>
              <w:pStyle w:val="TableText0"/>
              <w:jc w:val="center"/>
              <w:rPr>
                <w:iCs/>
                <w:snapToGrid w:val="0"/>
              </w:rPr>
            </w:pPr>
            <w:r w:rsidRPr="00C87852">
              <w:rPr>
                <w:iCs/>
                <w:snapToGrid w:val="0"/>
              </w:rPr>
              <w:t>4.0 (0.9, 7.0)</w:t>
            </w:r>
          </w:p>
        </w:tc>
      </w:tr>
      <w:tr w:rsidR="00704380" w:rsidRPr="009B1862" w14:paraId="4D8B2C4D" w14:textId="77777777" w:rsidTr="00704380">
        <w:trPr>
          <w:trHeight w:val="178"/>
        </w:trPr>
        <w:tc>
          <w:tcPr>
            <w:tcW w:w="5000" w:type="pct"/>
            <w:gridSpan w:val="6"/>
            <w:tcBorders>
              <w:right w:val="single" w:sz="4" w:space="0" w:color="auto"/>
            </w:tcBorders>
            <w:shd w:val="clear" w:color="auto" w:fill="auto"/>
            <w:vAlign w:val="center"/>
          </w:tcPr>
          <w:p w14:paraId="30ABE55F" w14:textId="3E65B9EC" w:rsidR="00704380" w:rsidRPr="00704380" w:rsidRDefault="00704380" w:rsidP="009B1862">
            <w:pPr>
              <w:pStyle w:val="TableText0"/>
              <w:rPr>
                <w:b/>
                <w:bCs w:val="0"/>
                <w:snapToGrid w:val="0"/>
              </w:rPr>
            </w:pPr>
            <w:r w:rsidRPr="00704380">
              <w:rPr>
                <w:b/>
                <w:bCs w:val="0"/>
                <w:snapToGrid w:val="0"/>
              </w:rPr>
              <w:t>Thyroiditis (any grade)</w:t>
            </w:r>
          </w:p>
        </w:tc>
      </w:tr>
      <w:tr w:rsidR="00704380" w:rsidRPr="00C87852" w14:paraId="3246C097" w14:textId="77777777" w:rsidTr="00BB7610">
        <w:trPr>
          <w:trHeight w:val="178"/>
        </w:trPr>
        <w:tc>
          <w:tcPr>
            <w:tcW w:w="563" w:type="pct"/>
            <w:shd w:val="clear" w:color="auto" w:fill="auto"/>
            <w:vAlign w:val="center"/>
          </w:tcPr>
          <w:p w14:paraId="6F46F48C" w14:textId="0F41A0A3" w:rsidR="00704380" w:rsidRPr="00C87852" w:rsidRDefault="00704380" w:rsidP="00704380">
            <w:pPr>
              <w:pStyle w:val="TableText0"/>
              <w:jc w:val="center"/>
              <w:rPr>
                <w:snapToGrid w:val="0"/>
              </w:rPr>
            </w:pPr>
            <w:r w:rsidRPr="00C87852">
              <w:rPr>
                <w:snapToGrid w:val="0"/>
              </w:rPr>
              <w:t>25/228</w:t>
            </w:r>
          </w:p>
        </w:tc>
        <w:tc>
          <w:tcPr>
            <w:tcW w:w="614" w:type="pct"/>
            <w:shd w:val="clear" w:color="auto" w:fill="auto"/>
            <w:vAlign w:val="center"/>
          </w:tcPr>
          <w:p w14:paraId="10208703" w14:textId="2E2B46FD" w:rsidR="00704380" w:rsidRPr="00C87852" w:rsidRDefault="00704380" w:rsidP="00704380">
            <w:pPr>
              <w:pStyle w:val="TableText0"/>
              <w:jc w:val="center"/>
              <w:rPr>
                <w:snapToGrid w:val="0"/>
              </w:rPr>
            </w:pPr>
            <w:r w:rsidRPr="00C87852">
              <w:rPr>
                <w:snapToGrid w:val="0"/>
              </w:rPr>
              <w:t>4/230</w:t>
            </w:r>
          </w:p>
        </w:tc>
        <w:tc>
          <w:tcPr>
            <w:tcW w:w="1334" w:type="pct"/>
            <w:shd w:val="clear" w:color="auto" w:fill="auto"/>
            <w:vAlign w:val="center"/>
          </w:tcPr>
          <w:p w14:paraId="4AE84426" w14:textId="4DF82419" w:rsidR="00704380" w:rsidRPr="00C87852" w:rsidRDefault="00704380" w:rsidP="00704380">
            <w:pPr>
              <w:pStyle w:val="TableText0"/>
              <w:jc w:val="center"/>
              <w:rPr>
                <w:iCs/>
                <w:snapToGrid w:val="0"/>
              </w:rPr>
            </w:pPr>
            <w:r w:rsidRPr="00C87852">
              <w:rPr>
                <w:iCs/>
                <w:snapToGrid w:val="0"/>
              </w:rPr>
              <w:t>6.30 (2.23, 17.83)</w:t>
            </w:r>
          </w:p>
        </w:tc>
        <w:tc>
          <w:tcPr>
            <w:tcW w:w="651" w:type="pct"/>
            <w:shd w:val="clear" w:color="auto" w:fill="auto"/>
            <w:vAlign w:val="center"/>
          </w:tcPr>
          <w:p w14:paraId="4B8B3946" w14:textId="7CD11411" w:rsidR="00704380" w:rsidRPr="00C87852" w:rsidRDefault="00BB7610" w:rsidP="00704380">
            <w:pPr>
              <w:pStyle w:val="TableText0"/>
              <w:jc w:val="center"/>
              <w:rPr>
                <w:iCs/>
                <w:snapToGrid w:val="0"/>
              </w:rPr>
            </w:pPr>
            <w:r w:rsidRPr="00C87852">
              <w:rPr>
                <w:iCs/>
                <w:snapToGrid w:val="0"/>
              </w:rPr>
              <w:t>11.0</w:t>
            </w:r>
          </w:p>
        </w:tc>
        <w:tc>
          <w:tcPr>
            <w:tcW w:w="706" w:type="pct"/>
            <w:shd w:val="clear" w:color="auto" w:fill="auto"/>
            <w:vAlign w:val="center"/>
          </w:tcPr>
          <w:p w14:paraId="3721199B" w14:textId="6AE7BA35" w:rsidR="00704380" w:rsidRPr="00C87852" w:rsidRDefault="00BB7610" w:rsidP="00704380">
            <w:pPr>
              <w:pStyle w:val="TableText0"/>
              <w:jc w:val="center"/>
              <w:rPr>
                <w:iCs/>
                <w:snapToGrid w:val="0"/>
              </w:rPr>
            </w:pPr>
            <w:r w:rsidRPr="00C87852">
              <w:rPr>
                <w:iCs/>
                <w:snapToGrid w:val="0"/>
              </w:rPr>
              <w:t>1.7</w:t>
            </w:r>
          </w:p>
        </w:tc>
        <w:tc>
          <w:tcPr>
            <w:tcW w:w="1132" w:type="pct"/>
            <w:tcBorders>
              <w:left w:val="single" w:sz="4" w:space="0" w:color="auto"/>
              <w:right w:val="single" w:sz="4" w:space="0" w:color="auto"/>
            </w:tcBorders>
            <w:shd w:val="clear" w:color="auto" w:fill="auto"/>
          </w:tcPr>
          <w:p w14:paraId="0BE02DB9" w14:textId="15E8CB18" w:rsidR="00704380" w:rsidRPr="00C87852" w:rsidRDefault="00704380" w:rsidP="00704380">
            <w:pPr>
              <w:pStyle w:val="TableText0"/>
              <w:jc w:val="center"/>
              <w:rPr>
                <w:iCs/>
                <w:snapToGrid w:val="0"/>
              </w:rPr>
            </w:pPr>
            <w:r w:rsidRPr="00C87852">
              <w:rPr>
                <w:iCs/>
                <w:snapToGrid w:val="0"/>
              </w:rPr>
              <w:t>9.2 (4.8, 13.6)</w:t>
            </w:r>
          </w:p>
        </w:tc>
      </w:tr>
    </w:tbl>
    <w:p w14:paraId="3B444882" w14:textId="77777777" w:rsidR="00A0136F" w:rsidRDefault="00620C25" w:rsidP="00D92D9D">
      <w:pPr>
        <w:pStyle w:val="FooterTableFigure"/>
        <w:keepLines/>
        <w:jc w:val="left"/>
      </w:pPr>
      <w:r w:rsidRPr="0098262F">
        <w:t xml:space="preserve">Source: </w:t>
      </w:r>
      <w:r w:rsidR="009A0595">
        <w:t xml:space="preserve">Compiled during evaluation using information sourced from Table 73, </w:t>
      </w:r>
      <w:r w:rsidR="00704380">
        <w:t xml:space="preserve">Table 75, </w:t>
      </w:r>
      <w:r w:rsidR="009A0595">
        <w:t>p120</w:t>
      </w:r>
      <w:r w:rsidR="00BB7610">
        <w:t xml:space="preserve"> and</w:t>
      </w:r>
      <w:r w:rsidR="00704380">
        <w:t xml:space="preserve"> p122</w:t>
      </w:r>
      <w:r w:rsidR="00BB7610">
        <w:t xml:space="preserve"> of the submission</w:t>
      </w:r>
      <w:r w:rsidR="00D92D9D">
        <w:br/>
      </w:r>
      <w:r w:rsidR="00BB7610">
        <w:t xml:space="preserve">Abbreviations: </w:t>
      </w:r>
      <w:r w:rsidRPr="0098262F">
        <w:t>HR = hazard ratio; PBO = placebo; RD = risk difference; RR = risk ratio</w:t>
      </w:r>
    </w:p>
    <w:p w14:paraId="48BACB96" w14:textId="77777777" w:rsidR="00A0136F" w:rsidRDefault="00C018EE" w:rsidP="00D92D9D">
      <w:pPr>
        <w:pStyle w:val="FooterTableFigure"/>
        <w:keepLines/>
        <w:jc w:val="left"/>
      </w:pPr>
      <w:r>
        <w:rPr>
          <w:vertAlign w:val="superscript"/>
        </w:rPr>
        <w:t xml:space="preserve">a </w:t>
      </w:r>
      <w:r>
        <w:t>Event-free survival was defined in the CM77T trial as the l</w:t>
      </w:r>
      <w:r w:rsidRPr="00C018EE">
        <w:t>ength of time from randomisation to disease progression or death from any cause. Disease progression included progression that precluded surgery, abandoned surgery owing to unresectability, progression or recurrence with or without surgery and death.</w:t>
      </w:r>
      <w:r>
        <w:t xml:space="preserve"> Overall survival was not reported at the time of interim analysis as data was immature.</w:t>
      </w:r>
    </w:p>
    <w:p w14:paraId="56A22B9E" w14:textId="4DE797E3" w:rsidR="002441D2" w:rsidRPr="0098262F" w:rsidRDefault="002441D2" w:rsidP="00E9094A">
      <w:pPr>
        <w:pStyle w:val="3-BodyText"/>
      </w:pPr>
      <w:proofErr w:type="gramStart"/>
      <w:r w:rsidRPr="0098262F">
        <w:t>On the basis of</w:t>
      </w:r>
      <w:proofErr w:type="gramEnd"/>
      <w:r w:rsidRPr="0098262F">
        <w:t xml:space="preserve"> direct comparison evidence presented by the submission, for every 100 patients treated with </w:t>
      </w:r>
      <w:r w:rsidR="00BF5404">
        <w:t>periNIVO</w:t>
      </w:r>
      <w:r w:rsidRPr="0098262F">
        <w:t xml:space="preserve"> in comparison </w:t>
      </w:r>
      <w:r w:rsidR="006D68FB" w:rsidRPr="0098262F">
        <w:t>with</w:t>
      </w:r>
      <w:r w:rsidRPr="0098262F">
        <w:t xml:space="preserve"> </w:t>
      </w:r>
      <w:r w:rsidR="00BF5404">
        <w:t>neoChemo</w:t>
      </w:r>
      <w:r w:rsidR="00E134A1">
        <w:t>, after a median duration of follow-up of 25.4 months</w:t>
      </w:r>
      <w:r w:rsidRPr="0098262F">
        <w:t>:</w:t>
      </w:r>
    </w:p>
    <w:p w14:paraId="7F271EAF" w14:textId="58482036" w:rsidR="00707DFC" w:rsidRDefault="00707DFC" w:rsidP="0037439C">
      <w:pPr>
        <w:pStyle w:val="ListParagraph"/>
        <w:ind w:left="1134"/>
        <w:jc w:val="both"/>
      </w:pPr>
      <w:r>
        <w:t>Approximately 14 patients would remain event free at 12 months;</w:t>
      </w:r>
    </w:p>
    <w:p w14:paraId="13613F6A" w14:textId="77777777" w:rsidR="00A0136F" w:rsidRDefault="00C018EE" w:rsidP="0037439C">
      <w:pPr>
        <w:pStyle w:val="ListParagraph"/>
        <w:ind w:left="1134"/>
        <w:jc w:val="both"/>
      </w:pPr>
      <w:r>
        <w:t xml:space="preserve">Approximately 11 </w:t>
      </w:r>
      <w:r w:rsidR="005B7A31" w:rsidRPr="0098262F">
        <w:t xml:space="preserve">additional </w:t>
      </w:r>
      <w:r>
        <w:t>patients will experience any SAE;</w:t>
      </w:r>
    </w:p>
    <w:p w14:paraId="3583F18E" w14:textId="2A9E3B9A" w:rsidR="00C018EE" w:rsidRDefault="005B7A31" w:rsidP="0037439C">
      <w:pPr>
        <w:pStyle w:val="ListParagraph"/>
        <w:ind w:left="1134"/>
        <w:jc w:val="both"/>
      </w:pPr>
      <w:r>
        <w:t xml:space="preserve">Approximately 14 </w:t>
      </w:r>
      <w:r w:rsidRPr="0098262F">
        <w:t xml:space="preserve">additional </w:t>
      </w:r>
      <w:r>
        <w:t>patients will discontinu</w:t>
      </w:r>
      <w:r w:rsidR="00A33E89">
        <w:t xml:space="preserve">e treatment </w:t>
      </w:r>
      <w:proofErr w:type="gramStart"/>
      <w:r>
        <w:t>as a result of</w:t>
      </w:r>
      <w:proofErr w:type="gramEnd"/>
      <w:r>
        <w:t xml:space="preserve"> an AE;</w:t>
      </w:r>
      <w:r w:rsidR="00455CC4">
        <w:t xml:space="preserve"> and</w:t>
      </w:r>
    </w:p>
    <w:p w14:paraId="73AE0EB6" w14:textId="1935AFF6" w:rsidR="005B7A31" w:rsidRDefault="005B7A31" w:rsidP="0037439C">
      <w:pPr>
        <w:pStyle w:val="ListParagraph"/>
        <w:ind w:left="1134"/>
        <w:jc w:val="both"/>
      </w:pPr>
      <w:r>
        <w:t xml:space="preserve">Approximately 4 </w:t>
      </w:r>
      <w:r w:rsidRPr="0098262F">
        <w:t xml:space="preserve">additional </w:t>
      </w:r>
      <w:r>
        <w:t>patients will experience any grade pneumonitis, 4 additional patients will experience any grade rash, and 9 additional patients will experience any grade thyroiditis (inflammation of the thyroid gland).</w:t>
      </w:r>
    </w:p>
    <w:p w14:paraId="44CCA33C" w14:textId="77777777" w:rsidR="00F72C31" w:rsidRDefault="00F72C31" w:rsidP="00F72C31">
      <w:pPr>
        <w:pStyle w:val="4-SubsectionHeading"/>
      </w:pPr>
      <w:bookmarkStart w:id="49" w:name="_Toc22897641"/>
      <w:bookmarkStart w:id="50" w:name="_Toc177566399"/>
      <w:bookmarkStart w:id="51" w:name="_Toc22897644"/>
      <w:bookmarkStart w:id="52" w:name="_Toc177566402"/>
      <w:r w:rsidRPr="0098262F">
        <w:lastRenderedPageBreak/>
        <w:t>Comparative effectiveness</w:t>
      </w:r>
      <w:bookmarkEnd w:id="49"/>
      <w:bookmarkEnd w:id="50"/>
    </w:p>
    <w:p w14:paraId="799F0D0F" w14:textId="61F1879A" w:rsidR="00F72C31" w:rsidRPr="00B03DA9" w:rsidRDefault="00F72C31" w:rsidP="00F72C31">
      <w:pPr>
        <w:pStyle w:val="3-BodyText"/>
      </w:pPr>
      <w:r>
        <w:t>The e</w:t>
      </w:r>
      <w:r w:rsidRPr="004C75B8">
        <w:t>vent-free survival</w:t>
      </w:r>
      <w:r>
        <w:rPr>
          <w:rStyle w:val="FootnoteReference"/>
        </w:rPr>
        <w:footnoteReference w:id="4"/>
      </w:r>
      <w:r w:rsidRPr="004C75B8">
        <w:t xml:space="preserve"> (EFS) </w:t>
      </w:r>
      <w:r w:rsidRPr="00B03DA9">
        <w:t xml:space="preserve">results from the CM77T interim analysis (median follow-up 25.4 months) are summarised in </w:t>
      </w:r>
      <w:r w:rsidRPr="00B03DA9">
        <w:fldChar w:fldCharType="begin"/>
      </w:r>
      <w:r w:rsidRPr="00B03DA9">
        <w:instrText xml:space="preserve"> REF _Ref175924844 \h </w:instrText>
      </w:r>
      <w:r>
        <w:instrText xml:space="preserve"> \* MERGEFORMAT </w:instrText>
      </w:r>
      <w:r w:rsidRPr="00B03DA9">
        <w:fldChar w:fldCharType="separate"/>
      </w:r>
      <w:r w:rsidR="009C09C9" w:rsidRPr="009C09C9">
        <w:t>Table 10</w:t>
      </w:r>
      <w:r w:rsidRPr="00B03DA9">
        <w:fldChar w:fldCharType="end"/>
      </w:r>
      <w:r w:rsidRPr="00B03DA9">
        <w:t>. The EFS Kaplan-Meier (KM) curves in CM77T are presented in Figure 1.</w:t>
      </w:r>
    </w:p>
    <w:p w14:paraId="65C4F79A" w14:textId="2953D2CF" w:rsidR="00F72C31" w:rsidRDefault="00F72C31" w:rsidP="00F72C31">
      <w:pPr>
        <w:pStyle w:val="Caption"/>
        <w:rPr>
          <w:rStyle w:val="CommentReference"/>
          <w:rFonts w:eastAsiaTheme="majorEastAsia" w:cstheme="majorBidi"/>
          <w:b/>
          <w:szCs w:val="24"/>
        </w:rPr>
      </w:pPr>
      <w:bookmarkStart w:id="53" w:name="_Ref175924844"/>
      <w:r w:rsidRPr="0098262F">
        <w:rPr>
          <w:rStyle w:val="CommentReference"/>
          <w:rFonts w:eastAsiaTheme="majorEastAsia" w:cstheme="majorBidi"/>
          <w:b/>
          <w:szCs w:val="24"/>
        </w:rPr>
        <w:t xml:space="preserve">Table </w:t>
      </w:r>
      <w:r w:rsidRPr="0098262F">
        <w:rPr>
          <w:rStyle w:val="CommentReference"/>
          <w:rFonts w:eastAsiaTheme="majorEastAsia" w:cstheme="majorBidi"/>
          <w:b/>
          <w:szCs w:val="24"/>
        </w:rPr>
        <w:fldChar w:fldCharType="begin"/>
      </w:r>
      <w:r w:rsidRPr="0098262F">
        <w:rPr>
          <w:rStyle w:val="CommentReference"/>
          <w:rFonts w:eastAsiaTheme="majorEastAsia" w:cstheme="majorBidi"/>
          <w:b/>
          <w:szCs w:val="24"/>
        </w:rPr>
        <w:instrText xml:space="preserve"> SEQ Table \* ARABIC </w:instrText>
      </w:r>
      <w:r w:rsidRPr="0098262F">
        <w:rPr>
          <w:rStyle w:val="CommentReference"/>
          <w:rFonts w:eastAsiaTheme="majorEastAsia" w:cstheme="majorBidi"/>
          <w:b/>
          <w:szCs w:val="24"/>
        </w:rPr>
        <w:fldChar w:fldCharType="separate"/>
      </w:r>
      <w:r w:rsidR="009C09C9">
        <w:rPr>
          <w:rStyle w:val="CommentReference"/>
          <w:rFonts w:eastAsiaTheme="majorEastAsia" w:cstheme="majorBidi"/>
          <w:b/>
          <w:noProof/>
          <w:szCs w:val="24"/>
        </w:rPr>
        <w:t>10</w:t>
      </w:r>
      <w:r w:rsidRPr="0098262F">
        <w:rPr>
          <w:rStyle w:val="CommentReference"/>
          <w:rFonts w:eastAsiaTheme="majorEastAsia" w:cstheme="majorBidi"/>
          <w:b/>
          <w:szCs w:val="24"/>
        </w:rPr>
        <w:fldChar w:fldCharType="end"/>
      </w:r>
      <w:bookmarkEnd w:id="53"/>
      <w:r w:rsidRPr="0098262F">
        <w:rPr>
          <w:rStyle w:val="CommentReference"/>
          <w:rFonts w:eastAsiaTheme="majorEastAsia" w:cstheme="majorBidi"/>
          <w:b/>
          <w:szCs w:val="24"/>
        </w:rPr>
        <w:t xml:space="preserve">: </w:t>
      </w:r>
      <w:r>
        <w:rPr>
          <w:rStyle w:val="CommentReference"/>
          <w:rFonts w:eastAsiaTheme="majorEastAsia" w:cstheme="majorBidi"/>
          <w:b/>
          <w:szCs w:val="24"/>
        </w:rPr>
        <w:t>Event-free survival</w:t>
      </w:r>
      <w:r w:rsidRPr="0098262F">
        <w:rPr>
          <w:rStyle w:val="CommentReference"/>
          <w:rFonts w:eastAsiaTheme="majorEastAsia" w:cstheme="majorBidi"/>
          <w:b/>
          <w:szCs w:val="24"/>
        </w:rPr>
        <w:t xml:space="preserve"> </w:t>
      </w:r>
      <w:r>
        <w:rPr>
          <w:rStyle w:val="CommentReference"/>
          <w:rFonts w:eastAsiaTheme="majorEastAsia" w:cstheme="majorBidi"/>
          <w:b/>
          <w:szCs w:val="24"/>
        </w:rPr>
        <w:t>results – CM77T: BICR</w:t>
      </w:r>
    </w:p>
    <w:tbl>
      <w:tblPr>
        <w:tblStyle w:val="TableGrid"/>
        <w:tblW w:w="5000" w:type="pct"/>
        <w:tblLook w:val="04A0" w:firstRow="1" w:lastRow="0" w:firstColumn="1" w:lastColumn="0" w:noHBand="0" w:noVBand="1"/>
        <w:tblCaption w:val="Table 10: Event-free survival results – CM77T: BICR"/>
        <w:tblDescription w:val="Table 10: Event-free survival results – CM77T: BICR"/>
      </w:tblPr>
      <w:tblGrid>
        <w:gridCol w:w="3256"/>
        <w:gridCol w:w="2835"/>
        <w:gridCol w:w="2926"/>
      </w:tblGrid>
      <w:tr w:rsidR="00F72C31" w:rsidRPr="00495689" w14:paraId="2D0F0913" w14:textId="77777777">
        <w:tc>
          <w:tcPr>
            <w:tcW w:w="3256" w:type="dxa"/>
            <w:tcBorders>
              <w:top w:val="single" w:sz="4" w:space="0" w:color="auto"/>
              <w:left w:val="single" w:sz="4" w:space="0" w:color="auto"/>
              <w:bottom w:val="single" w:sz="4" w:space="0" w:color="auto"/>
              <w:right w:val="single" w:sz="4" w:space="0" w:color="auto"/>
            </w:tcBorders>
            <w:vAlign w:val="center"/>
          </w:tcPr>
          <w:p w14:paraId="505BB23A" w14:textId="77777777" w:rsidR="00F72C31" w:rsidRPr="00495689" w:rsidRDefault="00F72C31">
            <w:pPr>
              <w:pStyle w:val="TableText0"/>
            </w:pPr>
          </w:p>
        </w:tc>
        <w:tc>
          <w:tcPr>
            <w:tcW w:w="2835" w:type="dxa"/>
            <w:tcBorders>
              <w:top w:val="single" w:sz="4" w:space="0" w:color="auto"/>
              <w:left w:val="single" w:sz="4" w:space="0" w:color="auto"/>
              <w:bottom w:val="single" w:sz="4" w:space="0" w:color="auto"/>
              <w:right w:val="single" w:sz="4" w:space="0" w:color="auto"/>
            </w:tcBorders>
            <w:vAlign w:val="center"/>
          </w:tcPr>
          <w:p w14:paraId="68D12865" w14:textId="77777777" w:rsidR="00F72C31" w:rsidRPr="00727DB2" w:rsidRDefault="00F72C31">
            <w:pPr>
              <w:pStyle w:val="TableText0"/>
              <w:jc w:val="center"/>
              <w:rPr>
                <w:b/>
                <w:bCs w:val="0"/>
              </w:rPr>
            </w:pPr>
            <w:r>
              <w:rPr>
                <w:b/>
                <w:bCs w:val="0"/>
              </w:rPr>
              <w:t>peri</w:t>
            </w:r>
            <w:r w:rsidRPr="00727DB2">
              <w:rPr>
                <w:b/>
                <w:bCs w:val="0"/>
              </w:rPr>
              <w:t>NIVO</w:t>
            </w:r>
            <w:r>
              <w:rPr>
                <w:b/>
                <w:bCs w:val="0"/>
              </w:rPr>
              <w:t xml:space="preserve"> (n=229)</w:t>
            </w:r>
          </w:p>
        </w:tc>
        <w:tc>
          <w:tcPr>
            <w:tcW w:w="2926" w:type="dxa"/>
            <w:tcBorders>
              <w:top w:val="single" w:sz="4" w:space="0" w:color="auto"/>
              <w:left w:val="single" w:sz="4" w:space="0" w:color="auto"/>
              <w:bottom w:val="single" w:sz="4" w:space="0" w:color="auto"/>
              <w:right w:val="single" w:sz="4" w:space="0" w:color="auto"/>
            </w:tcBorders>
            <w:vAlign w:val="center"/>
          </w:tcPr>
          <w:p w14:paraId="3B0795EA" w14:textId="77777777" w:rsidR="00F72C31" w:rsidRPr="00727DB2" w:rsidRDefault="00F72C31">
            <w:pPr>
              <w:pStyle w:val="TableText0"/>
              <w:jc w:val="center"/>
              <w:rPr>
                <w:b/>
                <w:bCs w:val="0"/>
              </w:rPr>
            </w:pPr>
            <w:r>
              <w:rPr>
                <w:b/>
                <w:bCs w:val="0"/>
              </w:rPr>
              <w:t>neoC</w:t>
            </w:r>
            <w:r w:rsidRPr="00727DB2">
              <w:rPr>
                <w:b/>
                <w:bCs w:val="0"/>
              </w:rPr>
              <w:t>hemo</w:t>
            </w:r>
            <w:r>
              <w:rPr>
                <w:b/>
                <w:bCs w:val="0"/>
              </w:rPr>
              <w:t xml:space="preserve"> (n=232)</w:t>
            </w:r>
          </w:p>
        </w:tc>
      </w:tr>
      <w:tr w:rsidR="00F72C31" w:rsidRPr="00495689" w14:paraId="761DC14C" w14:textId="77777777">
        <w:tc>
          <w:tcPr>
            <w:tcW w:w="9017" w:type="dxa"/>
            <w:gridSpan w:val="3"/>
            <w:tcBorders>
              <w:top w:val="single" w:sz="4" w:space="0" w:color="auto"/>
              <w:left w:val="single" w:sz="4" w:space="0" w:color="auto"/>
              <w:bottom w:val="single" w:sz="4" w:space="0" w:color="auto"/>
              <w:right w:val="single" w:sz="4" w:space="0" w:color="auto"/>
            </w:tcBorders>
            <w:vAlign w:val="center"/>
          </w:tcPr>
          <w:p w14:paraId="34DBFA4A" w14:textId="77777777" w:rsidR="00F72C31" w:rsidRPr="00727DB2" w:rsidRDefault="00F72C31">
            <w:pPr>
              <w:pStyle w:val="TableText0"/>
              <w:rPr>
                <w:b/>
                <w:bCs w:val="0"/>
              </w:rPr>
            </w:pPr>
            <w:r w:rsidRPr="00727DB2">
              <w:rPr>
                <w:b/>
                <w:bCs w:val="0"/>
              </w:rPr>
              <w:t>Interim analysis 1: median follow-up 25.4 months</w:t>
            </w:r>
          </w:p>
        </w:tc>
      </w:tr>
      <w:tr w:rsidR="00F72C31" w:rsidRPr="00495689" w14:paraId="03F2047D" w14:textId="77777777">
        <w:tc>
          <w:tcPr>
            <w:tcW w:w="3256" w:type="dxa"/>
            <w:tcBorders>
              <w:top w:val="single" w:sz="4" w:space="0" w:color="auto"/>
              <w:left w:val="single" w:sz="4" w:space="0" w:color="auto"/>
              <w:bottom w:val="single" w:sz="4" w:space="0" w:color="auto"/>
              <w:right w:val="single" w:sz="4" w:space="0" w:color="auto"/>
            </w:tcBorders>
            <w:vAlign w:val="center"/>
          </w:tcPr>
          <w:p w14:paraId="6E8D6755" w14:textId="77777777" w:rsidR="00F72C31" w:rsidRPr="00495689" w:rsidRDefault="00F72C31">
            <w:pPr>
              <w:pStyle w:val="TableText0"/>
            </w:pPr>
            <w:r w:rsidRPr="00495689">
              <w:t>n/N with event (%)</w:t>
            </w:r>
          </w:p>
        </w:tc>
        <w:tc>
          <w:tcPr>
            <w:tcW w:w="2835" w:type="dxa"/>
            <w:tcBorders>
              <w:top w:val="single" w:sz="4" w:space="0" w:color="auto"/>
              <w:left w:val="single" w:sz="4" w:space="0" w:color="auto"/>
              <w:bottom w:val="single" w:sz="4" w:space="0" w:color="auto"/>
              <w:right w:val="single" w:sz="4" w:space="0" w:color="auto"/>
            </w:tcBorders>
            <w:vAlign w:val="center"/>
          </w:tcPr>
          <w:p w14:paraId="41C22948" w14:textId="77777777" w:rsidR="00F72C31" w:rsidRPr="00495689" w:rsidRDefault="00F72C31">
            <w:pPr>
              <w:pStyle w:val="TableText0"/>
              <w:jc w:val="center"/>
            </w:pPr>
            <w:r w:rsidRPr="00495689">
              <w:t>76/229 (33.2)</w:t>
            </w:r>
          </w:p>
        </w:tc>
        <w:tc>
          <w:tcPr>
            <w:tcW w:w="2926" w:type="dxa"/>
            <w:tcBorders>
              <w:top w:val="single" w:sz="4" w:space="0" w:color="auto"/>
              <w:left w:val="single" w:sz="4" w:space="0" w:color="auto"/>
              <w:bottom w:val="single" w:sz="4" w:space="0" w:color="auto"/>
              <w:right w:val="single" w:sz="4" w:space="0" w:color="auto"/>
            </w:tcBorders>
            <w:vAlign w:val="center"/>
          </w:tcPr>
          <w:p w14:paraId="50B67D4E" w14:textId="77777777" w:rsidR="00F72C31" w:rsidRPr="00495689" w:rsidRDefault="00F72C31">
            <w:pPr>
              <w:pStyle w:val="TableText0"/>
              <w:jc w:val="center"/>
            </w:pPr>
            <w:r w:rsidRPr="00495689">
              <w:t>113/232 (48.7)</w:t>
            </w:r>
          </w:p>
        </w:tc>
      </w:tr>
      <w:tr w:rsidR="00F72C31" w:rsidRPr="00495689" w14:paraId="60F547AC" w14:textId="77777777">
        <w:tc>
          <w:tcPr>
            <w:tcW w:w="3256" w:type="dxa"/>
            <w:tcBorders>
              <w:top w:val="single" w:sz="4" w:space="0" w:color="auto"/>
              <w:left w:val="single" w:sz="4" w:space="0" w:color="auto"/>
              <w:bottom w:val="single" w:sz="4" w:space="0" w:color="auto"/>
              <w:right w:val="single" w:sz="4" w:space="0" w:color="auto"/>
            </w:tcBorders>
            <w:vAlign w:val="center"/>
          </w:tcPr>
          <w:p w14:paraId="76A2D924" w14:textId="77777777" w:rsidR="00F72C31" w:rsidRPr="00495689" w:rsidRDefault="00F72C31">
            <w:pPr>
              <w:pStyle w:val="TableText0"/>
            </w:pPr>
            <w:r w:rsidRPr="00495689">
              <w:t>Median time-to-event (95% CI)</w:t>
            </w:r>
          </w:p>
        </w:tc>
        <w:tc>
          <w:tcPr>
            <w:tcW w:w="2835" w:type="dxa"/>
            <w:tcBorders>
              <w:top w:val="single" w:sz="4" w:space="0" w:color="auto"/>
              <w:left w:val="single" w:sz="4" w:space="0" w:color="auto"/>
              <w:bottom w:val="single" w:sz="4" w:space="0" w:color="auto"/>
              <w:right w:val="single" w:sz="4" w:space="0" w:color="auto"/>
            </w:tcBorders>
            <w:vAlign w:val="center"/>
          </w:tcPr>
          <w:p w14:paraId="607140F3" w14:textId="77777777" w:rsidR="00F72C31" w:rsidRPr="00495689" w:rsidRDefault="00F72C31">
            <w:pPr>
              <w:pStyle w:val="TableText0"/>
              <w:jc w:val="center"/>
            </w:pPr>
            <w:r>
              <w:t>NR</w:t>
            </w:r>
            <w:r w:rsidRPr="00495689">
              <w:t xml:space="preserve"> (28.94, N</w:t>
            </w:r>
            <w:r>
              <w:t>R</w:t>
            </w:r>
            <w:r w:rsidRPr="00495689">
              <w:t>)</w:t>
            </w:r>
          </w:p>
        </w:tc>
        <w:tc>
          <w:tcPr>
            <w:tcW w:w="2926" w:type="dxa"/>
            <w:tcBorders>
              <w:top w:val="single" w:sz="4" w:space="0" w:color="auto"/>
              <w:left w:val="single" w:sz="4" w:space="0" w:color="auto"/>
              <w:bottom w:val="single" w:sz="4" w:space="0" w:color="auto"/>
              <w:right w:val="single" w:sz="4" w:space="0" w:color="auto"/>
            </w:tcBorders>
            <w:vAlign w:val="center"/>
          </w:tcPr>
          <w:p w14:paraId="73D58251" w14:textId="77777777" w:rsidR="00F72C31" w:rsidRPr="00495689" w:rsidRDefault="00F72C31">
            <w:pPr>
              <w:pStyle w:val="TableText0"/>
              <w:jc w:val="center"/>
            </w:pPr>
            <w:r w:rsidRPr="00495689">
              <w:t>18.43 (13.63, 28.06)</w:t>
            </w:r>
          </w:p>
        </w:tc>
      </w:tr>
      <w:tr w:rsidR="00F72C31" w:rsidRPr="00495689" w14:paraId="3A05E01E" w14:textId="77777777">
        <w:tc>
          <w:tcPr>
            <w:tcW w:w="3256" w:type="dxa"/>
            <w:tcBorders>
              <w:top w:val="single" w:sz="4" w:space="0" w:color="auto"/>
              <w:left w:val="single" w:sz="4" w:space="0" w:color="auto"/>
              <w:bottom w:val="single" w:sz="4" w:space="0" w:color="auto"/>
              <w:right w:val="single" w:sz="4" w:space="0" w:color="auto"/>
            </w:tcBorders>
            <w:vAlign w:val="center"/>
          </w:tcPr>
          <w:p w14:paraId="3CCB8134" w14:textId="77777777" w:rsidR="00F72C31" w:rsidRPr="00BE6E13" w:rsidRDefault="00F72C31">
            <w:pPr>
              <w:pStyle w:val="TableText0"/>
            </w:pPr>
            <w:r w:rsidRPr="00495689">
              <w:t>Hazard ratio (95% CI)</w:t>
            </w:r>
            <w:r>
              <w:t xml:space="preserve"> </w:t>
            </w:r>
            <w:r>
              <w:rPr>
                <w:vertAlign w:val="superscript"/>
              </w:rPr>
              <w:t>a</w:t>
            </w:r>
          </w:p>
        </w:tc>
        <w:tc>
          <w:tcPr>
            <w:tcW w:w="5761" w:type="dxa"/>
            <w:gridSpan w:val="2"/>
            <w:tcBorders>
              <w:top w:val="single" w:sz="4" w:space="0" w:color="auto"/>
              <w:left w:val="single" w:sz="4" w:space="0" w:color="auto"/>
              <w:bottom w:val="single" w:sz="4" w:space="0" w:color="auto"/>
              <w:right w:val="single" w:sz="4" w:space="0" w:color="auto"/>
            </w:tcBorders>
            <w:vAlign w:val="center"/>
          </w:tcPr>
          <w:p w14:paraId="66287B0F" w14:textId="77777777" w:rsidR="00F72C31" w:rsidRPr="00495689" w:rsidRDefault="00F72C31">
            <w:pPr>
              <w:pStyle w:val="TableText0"/>
              <w:jc w:val="center"/>
            </w:pPr>
            <w:r w:rsidRPr="00495689">
              <w:t>0.58 (0.43, 0.78)</w:t>
            </w:r>
          </w:p>
        </w:tc>
      </w:tr>
      <w:tr w:rsidR="00F72C31" w:rsidRPr="00495689" w14:paraId="228D9587" w14:textId="77777777">
        <w:tc>
          <w:tcPr>
            <w:tcW w:w="3256" w:type="dxa"/>
            <w:tcBorders>
              <w:top w:val="single" w:sz="4" w:space="0" w:color="auto"/>
              <w:left w:val="single" w:sz="4" w:space="0" w:color="auto"/>
              <w:bottom w:val="single" w:sz="4" w:space="0" w:color="auto"/>
              <w:right w:val="single" w:sz="4" w:space="0" w:color="auto"/>
            </w:tcBorders>
            <w:vAlign w:val="center"/>
          </w:tcPr>
          <w:p w14:paraId="0E73A76F" w14:textId="77777777" w:rsidR="00F72C31" w:rsidRPr="001661F9" w:rsidRDefault="00F72C31">
            <w:pPr>
              <w:pStyle w:val="TableText0"/>
              <w:rPr>
                <w:vertAlign w:val="superscript"/>
              </w:rPr>
            </w:pPr>
            <w:r w:rsidRPr="00495689">
              <w:t>Hazard ratio (</w:t>
            </w:r>
            <w:r w:rsidRPr="001B3380">
              <w:t>97.36</w:t>
            </w:r>
            <w:r w:rsidRPr="00495689">
              <w:t>% CI)</w:t>
            </w:r>
            <w:r>
              <w:t xml:space="preserve"> </w:t>
            </w:r>
            <w:r>
              <w:rPr>
                <w:vertAlign w:val="superscript"/>
              </w:rPr>
              <w:t>a</w:t>
            </w:r>
          </w:p>
        </w:tc>
        <w:tc>
          <w:tcPr>
            <w:tcW w:w="5761" w:type="dxa"/>
            <w:gridSpan w:val="2"/>
            <w:tcBorders>
              <w:top w:val="single" w:sz="4" w:space="0" w:color="auto"/>
              <w:left w:val="single" w:sz="4" w:space="0" w:color="auto"/>
              <w:bottom w:val="single" w:sz="4" w:space="0" w:color="auto"/>
              <w:right w:val="single" w:sz="4" w:space="0" w:color="auto"/>
            </w:tcBorders>
            <w:vAlign w:val="center"/>
          </w:tcPr>
          <w:p w14:paraId="05EAFA36" w14:textId="77777777" w:rsidR="00F72C31" w:rsidRPr="001661F9" w:rsidRDefault="00F72C31">
            <w:pPr>
              <w:pStyle w:val="TableText0"/>
              <w:jc w:val="center"/>
              <w:rPr>
                <w:b/>
                <w:bCs w:val="0"/>
              </w:rPr>
            </w:pPr>
            <w:r w:rsidRPr="001661F9">
              <w:rPr>
                <w:b/>
                <w:bCs w:val="0"/>
              </w:rPr>
              <w:t>0.58 (0.42, 0.81), p &lt; 0.001</w:t>
            </w:r>
          </w:p>
        </w:tc>
      </w:tr>
      <w:tr w:rsidR="00F72C31" w:rsidRPr="00495689" w14:paraId="2F1FD5C3" w14:textId="77777777">
        <w:tc>
          <w:tcPr>
            <w:tcW w:w="9017" w:type="dxa"/>
            <w:gridSpan w:val="3"/>
            <w:tcBorders>
              <w:top w:val="single" w:sz="4" w:space="0" w:color="auto"/>
              <w:left w:val="single" w:sz="4" w:space="0" w:color="auto"/>
              <w:bottom w:val="single" w:sz="4" w:space="0" w:color="auto"/>
              <w:right w:val="single" w:sz="4" w:space="0" w:color="auto"/>
            </w:tcBorders>
            <w:vAlign w:val="center"/>
          </w:tcPr>
          <w:p w14:paraId="2CAE2074" w14:textId="77777777" w:rsidR="00F72C31" w:rsidRPr="00BE6E13" w:rsidRDefault="00F72C31">
            <w:pPr>
              <w:pStyle w:val="TableText0"/>
            </w:pPr>
            <w:r>
              <w:t xml:space="preserve">EFS rates (95% CI) </w:t>
            </w:r>
            <w:r>
              <w:rPr>
                <w:vertAlign w:val="superscript"/>
              </w:rPr>
              <w:t>b</w:t>
            </w:r>
          </w:p>
        </w:tc>
      </w:tr>
      <w:tr w:rsidR="00F72C31" w:rsidRPr="00495689" w14:paraId="4998CFBB" w14:textId="77777777">
        <w:tc>
          <w:tcPr>
            <w:tcW w:w="3256" w:type="dxa"/>
            <w:tcBorders>
              <w:top w:val="single" w:sz="4" w:space="0" w:color="auto"/>
              <w:left w:val="single" w:sz="4" w:space="0" w:color="auto"/>
              <w:bottom w:val="single" w:sz="4" w:space="0" w:color="auto"/>
              <w:right w:val="single" w:sz="4" w:space="0" w:color="auto"/>
            </w:tcBorders>
            <w:vAlign w:val="center"/>
          </w:tcPr>
          <w:p w14:paraId="73586896" w14:textId="77777777" w:rsidR="00F72C31" w:rsidRPr="00495689" w:rsidRDefault="00F72C31">
            <w:pPr>
              <w:pStyle w:val="TableText0"/>
              <w:ind w:left="312"/>
            </w:pPr>
            <w:r w:rsidRPr="00495689">
              <w:t>12 months</w:t>
            </w:r>
          </w:p>
        </w:tc>
        <w:tc>
          <w:tcPr>
            <w:tcW w:w="2835" w:type="dxa"/>
            <w:tcBorders>
              <w:top w:val="single" w:sz="4" w:space="0" w:color="auto"/>
              <w:left w:val="single" w:sz="4" w:space="0" w:color="auto"/>
              <w:bottom w:val="single" w:sz="4" w:space="0" w:color="auto"/>
              <w:right w:val="single" w:sz="4" w:space="0" w:color="auto"/>
            </w:tcBorders>
            <w:vAlign w:val="center"/>
          </w:tcPr>
          <w:p w14:paraId="21B13F06" w14:textId="77777777" w:rsidR="00F72C31" w:rsidRPr="00495689" w:rsidRDefault="00F72C31">
            <w:pPr>
              <w:pStyle w:val="TableText0"/>
              <w:jc w:val="center"/>
            </w:pPr>
            <w:r w:rsidRPr="00495689">
              <w:t>73.4 (66.8, 78.9)</w:t>
            </w:r>
          </w:p>
        </w:tc>
        <w:tc>
          <w:tcPr>
            <w:tcW w:w="2926" w:type="dxa"/>
            <w:tcBorders>
              <w:top w:val="single" w:sz="4" w:space="0" w:color="auto"/>
              <w:left w:val="single" w:sz="4" w:space="0" w:color="auto"/>
              <w:bottom w:val="single" w:sz="4" w:space="0" w:color="auto"/>
              <w:right w:val="single" w:sz="4" w:space="0" w:color="auto"/>
            </w:tcBorders>
            <w:vAlign w:val="center"/>
          </w:tcPr>
          <w:p w14:paraId="27CB9ED3" w14:textId="77777777" w:rsidR="00F72C31" w:rsidRPr="00495689" w:rsidRDefault="00F72C31">
            <w:pPr>
              <w:pStyle w:val="TableText0"/>
              <w:jc w:val="center"/>
            </w:pPr>
            <w:r w:rsidRPr="00495689">
              <w:t>59.2 (52.2, 65.6)</w:t>
            </w:r>
          </w:p>
        </w:tc>
      </w:tr>
      <w:tr w:rsidR="00F72C31" w:rsidRPr="00495689" w14:paraId="7CA0E9DF" w14:textId="77777777">
        <w:tc>
          <w:tcPr>
            <w:tcW w:w="3256" w:type="dxa"/>
            <w:tcBorders>
              <w:top w:val="single" w:sz="4" w:space="0" w:color="auto"/>
              <w:left w:val="single" w:sz="4" w:space="0" w:color="auto"/>
              <w:bottom w:val="single" w:sz="4" w:space="0" w:color="auto"/>
              <w:right w:val="single" w:sz="4" w:space="0" w:color="auto"/>
            </w:tcBorders>
            <w:vAlign w:val="center"/>
          </w:tcPr>
          <w:p w14:paraId="066612ED" w14:textId="77777777" w:rsidR="00F72C31" w:rsidRPr="00495689" w:rsidRDefault="00F72C31">
            <w:pPr>
              <w:pStyle w:val="TableText0"/>
              <w:ind w:left="312"/>
            </w:pPr>
            <w:r w:rsidRPr="00495689">
              <w:t>18 months</w:t>
            </w:r>
          </w:p>
        </w:tc>
        <w:tc>
          <w:tcPr>
            <w:tcW w:w="2835" w:type="dxa"/>
            <w:tcBorders>
              <w:top w:val="single" w:sz="4" w:space="0" w:color="auto"/>
              <w:left w:val="single" w:sz="4" w:space="0" w:color="auto"/>
              <w:bottom w:val="single" w:sz="4" w:space="0" w:color="auto"/>
              <w:right w:val="single" w:sz="4" w:space="0" w:color="auto"/>
            </w:tcBorders>
            <w:vAlign w:val="center"/>
          </w:tcPr>
          <w:p w14:paraId="14F0C759" w14:textId="77777777" w:rsidR="00F72C31" w:rsidRPr="00495689" w:rsidRDefault="00F72C31">
            <w:pPr>
              <w:pStyle w:val="TableText0"/>
              <w:jc w:val="center"/>
            </w:pPr>
            <w:r w:rsidRPr="00495689">
              <w:t>70.2 (63.4, 76.0)</w:t>
            </w:r>
          </w:p>
        </w:tc>
        <w:tc>
          <w:tcPr>
            <w:tcW w:w="2926" w:type="dxa"/>
            <w:tcBorders>
              <w:top w:val="single" w:sz="4" w:space="0" w:color="auto"/>
              <w:left w:val="single" w:sz="4" w:space="0" w:color="auto"/>
              <w:bottom w:val="single" w:sz="4" w:space="0" w:color="auto"/>
              <w:right w:val="single" w:sz="4" w:space="0" w:color="auto"/>
            </w:tcBorders>
            <w:vAlign w:val="center"/>
          </w:tcPr>
          <w:p w14:paraId="741C4C1D" w14:textId="77777777" w:rsidR="00F72C31" w:rsidRPr="00495689" w:rsidRDefault="00F72C31">
            <w:pPr>
              <w:pStyle w:val="TableText0"/>
              <w:jc w:val="center"/>
            </w:pPr>
            <w:r w:rsidRPr="00495689">
              <w:t>50.0 (42.9, 56.7)</w:t>
            </w:r>
          </w:p>
        </w:tc>
      </w:tr>
    </w:tbl>
    <w:p w14:paraId="4438FB3C" w14:textId="77777777" w:rsidR="00F72C31" w:rsidRDefault="00F72C31" w:rsidP="00F72C31">
      <w:pPr>
        <w:pStyle w:val="FooterTableFigure"/>
        <w:keepNext/>
        <w:keepLines/>
      </w:pPr>
      <w:r>
        <w:t>Tables 50-51, p89 of the submission</w:t>
      </w:r>
    </w:p>
    <w:p w14:paraId="590B03F0" w14:textId="77777777" w:rsidR="00F72C31" w:rsidRDefault="00F72C31" w:rsidP="00F72C31">
      <w:pPr>
        <w:pStyle w:val="FooterTableFigure"/>
        <w:keepNext/>
        <w:keepLines/>
      </w:pPr>
      <w:r>
        <w:t xml:space="preserve">Abbreviations: </w:t>
      </w:r>
      <w:r w:rsidRPr="009470A9">
        <w:t>BICR = blinded independent central review;</w:t>
      </w:r>
      <w:r>
        <w:t xml:space="preserve"> </w:t>
      </w:r>
      <w:r w:rsidRPr="00AB3AB9">
        <w:t>CI = confidence interval; EFS = event-free survival; ITT = intention to treat; N</w:t>
      </w:r>
      <w:r>
        <w:t>R</w:t>
      </w:r>
      <w:r w:rsidRPr="00AB3AB9">
        <w:t xml:space="preserve"> = not reached; </w:t>
      </w:r>
      <w:r>
        <w:t>neoC</w:t>
      </w:r>
      <w:r w:rsidRPr="00AB3AB9">
        <w:t xml:space="preserve">hemo = neoadjuvant chemotherapy; </w:t>
      </w:r>
      <w:r>
        <w:t>peri</w:t>
      </w:r>
      <w:r w:rsidRPr="00AB3AB9">
        <w:t>NIVO = perioperative nivolumab</w:t>
      </w:r>
    </w:p>
    <w:p w14:paraId="16A2F18C" w14:textId="77777777" w:rsidR="00F72C31" w:rsidRDefault="00F72C31" w:rsidP="00F72C31">
      <w:pPr>
        <w:pStyle w:val="FooterTableFigure"/>
        <w:keepNext/>
        <w:keepLines/>
      </w:pPr>
      <w:r>
        <w:rPr>
          <w:vertAlign w:val="superscript"/>
        </w:rPr>
        <w:t xml:space="preserve">a </w:t>
      </w:r>
      <w:r w:rsidRPr="009470A9">
        <w:t>Stratified</w:t>
      </w:r>
      <w:r>
        <w:rPr>
          <w:vertAlign w:val="superscript"/>
        </w:rPr>
        <w:t xml:space="preserve"> </w:t>
      </w:r>
      <w:r w:rsidRPr="00BE6E13">
        <w:t>Cox proportional hazard model</w:t>
      </w:r>
      <w:r>
        <w:t xml:space="preserve">, the p-value threshold for statistical significance was </w:t>
      </w:r>
      <w:r w:rsidRPr="001B3380">
        <w:t>0.0264</w:t>
      </w:r>
    </w:p>
    <w:p w14:paraId="041935CB" w14:textId="77777777" w:rsidR="00F72C31" w:rsidRDefault="00F72C31" w:rsidP="00F72C31">
      <w:pPr>
        <w:pStyle w:val="FooterTableFigure"/>
        <w:keepNext/>
        <w:keepLines/>
      </w:pPr>
      <w:r>
        <w:rPr>
          <w:vertAlign w:val="superscript"/>
        </w:rPr>
        <w:t xml:space="preserve">b </w:t>
      </w:r>
      <w:r w:rsidRPr="00BE6E13">
        <w:t>Based on Kaplan-Meier estimates</w:t>
      </w:r>
    </w:p>
    <w:p w14:paraId="4E7C2526" w14:textId="77777777" w:rsidR="00A0136F" w:rsidRDefault="00F72C31" w:rsidP="00F72C31">
      <w:pPr>
        <w:pStyle w:val="FooterTableFigure"/>
        <w:keepNext/>
        <w:keepLines/>
      </w:pPr>
      <w:r>
        <w:t>Note: Bolded cells represent statistically significant results.</w:t>
      </w:r>
    </w:p>
    <w:p w14:paraId="4142057D" w14:textId="284C8C19" w:rsidR="00F72C31" w:rsidRDefault="00F72C31" w:rsidP="00F72C31">
      <w:pPr>
        <w:pStyle w:val="Caption"/>
        <w:rPr>
          <w:rFonts w:eastAsiaTheme="majorEastAsia"/>
        </w:rPr>
      </w:pPr>
      <w:bookmarkStart w:id="54" w:name="_Ref175824113"/>
      <w:bookmarkStart w:id="55" w:name="_Ref175824101"/>
      <w:r>
        <w:t xml:space="preserve">Figure </w:t>
      </w:r>
      <w:r>
        <w:fldChar w:fldCharType="begin"/>
      </w:r>
      <w:r>
        <w:instrText xml:space="preserve"> SEQ Figure \* ARABIC </w:instrText>
      </w:r>
      <w:r>
        <w:fldChar w:fldCharType="separate"/>
      </w:r>
      <w:r w:rsidR="009C09C9">
        <w:rPr>
          <w:noProof/>
        </w:rPr>
        <w:t>1</w:t>
      </w:r>
      <w:r>
        <w:rPr>
          <w:noProof/>
        </w:rPr>
        <w:fldChar w:fldCharType="end"/>
      </w:r>
      <w:bookmarkEnd w:id="54"/>
      <w:r>
        <w:t xml:space="preserve">: Kaplan-Meier curve for EFS by BICR </w:t>
      </w:r>
      <w:r w:rsidRPr="00417E46">
        <w:t>– CM77T</w:t>
      </w:r>
      <w:bookmarkEnd w:id="55"/>
    </w:p>
    <w:p w14:paraId="1CD96547" w14:textId="77777777" w:rsidR="00F72C31" w:rsidRDefault="00F72C31" w:rsidP="00F72C31">
      <w:pPr>
        <w:rPr>
          <w:rFonts w:eastAsiaTheme="majorEastAsia"/>
        </w:rPr>
      </w:pPr>
      <w:r>
        <w:rPr>
          <w:noProof/>
        </w:rPr>
        <w:drawing>
          <wp:inline distT="0" distB="0" distL="0" distR="0" wp14:anchorId="73EF2E0E" wp14:editId="4E446210">
            <wp:extent cx="5732145" cy="2157730"/>
            <wp:effectExtent l="0" t="0" r="1905" b="0"/>
            <wp:docPr id="984827570" name="Picture 984827570" descr="Figure 1: Kaplan-Meier curve for EFS by BICR – CM77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27570" name="Picture 984827570" descr="Figure 1: Kaplan-Meier curve for EFS by BICR – CM77T"/>
                    <pic:cNvPicPr/>
                  </pic:nvPicPr>
                  <pic:blipFill>
                    <a:blip r:embed="rId8"/>
                    <a:stretch>
                      <a:fillRect/>
                    </a:stretch>
                  </pic:blipFill>
                  <pic:spPr>
                    <a:xfrm>
                      <a:off x="0" y="0"/>
                      <a:ext cx="5732145" cy="2157730"/>
                    </a:xfrm>
                    <a:prstGeom prst="rect">
                      <a:avLst/>
                    </a:prstGeom>
                  </pic:spPr>
                </pic:pic>
              </a:graphicData>
            </a:graphic>
          </wp:inline>
        </w:drawing>
      </w:r>
    </w:p>
    <w:p w14:paraId="5B0F189A" w14:textId="77777777" w:rsidR="00F72C31" w:rsidRDefault="00F72C31" w:rsidP="00F72C31">
      <w:pPr>
        <w:pStyle w:val="FooterTableFigure"/>
      </w:pPr>
      <w:r>
        <w:t>Source: Figure 12, p90 of the submission</w:t>
      </w:r>
    </w:p>
    <w:p w14:paraId="6D2FB48B" w14:textId="77777777" w:rsidR="00F72C31" w:rsidRDefault="00F72C31" w:rsidP="00F72C31">
      <w:pPr>
        <w:pStyle w:val="FooterTableFigure"/>
      </w:pPr>
      <w:r>
        <w:t xml:space="preserve">Abbreviations: BICR = </w:t>
      </w:r>
      <w:r w:rsidRPr="009470A9">
        <w:t>blinded independent central review</w:t>
      </w:r>
      <w:r>
        <w:t>; CI = confidence interval; NR = not reached</w:t>
      </w:r>
    </w:p>
    <w:p w14:paraId="5A2E2837" w14:textId="77777777" w:rsidR="00F72C31" w:rsidRDefault="00F72C31" w:rsidP="00F72C31">
      <w:pPr>
        <w:pStyle w:val="3-BodyText"/>
      </w:pPr>
      <w:r>
        <w:t>The submission nominated a minimal clinically important difference (MCID) of 0.85 for EFS, such that i</w:t>
      </w:r>
      <w:r w:rsidRPr="003410B6">
        <w:t>f the EFS hazard ratio</w:t>
      </w:r>
      <w:r>
        <w:t xml:space="preserve"> (HR)</w:t>
      </w:r>
      <w:r w:rsidRPr="003410B6">
        <w:t xml:space="preserve"> for </w:t>
      </w:r>
      <w:r>
        <w:t>periNIVO</w:t>
      </w:r>
      <w:r w:rsidRPr="003410B6">
        <w:t xml:space="preserve"> compared with comparator treatments </w:t>
      </w:r>
      <w:r>
        <w:t xml:space="preserve">is </w:t>
      </w:r>
      <w:r w:rsidRPr="003410B6">
        <w:t>≤0.85</w:t>
      </w:r>
      <w:r>
        <w:t xml:space="preserve"> </w:t>
      </w:r>
      <w:r w:rsidRPr="003410B6">
        <w:t xml:space="preserve">then the improvement in disease progression/recurrence </w:t>
      </w:r>
      <w:r>
        <w:t xml:space="preserve">was </w:t>
      </w:r>
      <w:r w:rsidRPr="003410B6">
        <w:t>deemed clinically important</w:t>
      </w:r>
      <w:r>
        <w:t xml:space="preserve">. The nominated MCID was based on </w:t>
      </w:r>
      <w:r w:rsidRPr="003410B6">
        <w:t xml:space="preserve">a meta-analysis </w:t>
      </w:r>
      <w:r>
        <w:t>o</w:t>
      </w:r>
      <w:r w:rsidRPr="003410B6">
        <w:t xml:space="preserve">f 15 </w:t>
      </w:r>
      <w:r>
        <w:t>randomised controlled trial</w:t>
      </w:r>
      <w:r w:rsidRPr="003410B6">
        <w:t>s</w:t>
      </w:r>
      <w:r>
        <w:rPr>
          <w:rStyle w:val="FootnoteReference"/>
        </w:rPr>
        <w:footnoteReference w:id="5"/>
      </w:r>
      <w:r>
        <w:t xml:space="preserve"> </w:t>
      </w:r>
      <w:r w:rsidRPr="003410B6">
        <w:t>which reported a</w:t>
      </w:r>
      <w:r>
        <w:t xml:space="preserve"> </w:t>
      </w:r>
      <w:r w:rsidRPr="003410B6">
        <w:t xml:space="preserve">HR for </w:t>
      </w:r>
      <w:r w:rsidRPr="00572090">
        <w:rPr>
          <w:iCs/>
        </w:rPr>
        <w:t>recurrence free survival</w:t>
      </w:r>
      <w:r w:rsidRPr="003410B6">
        <w:t xml:space="preserve"> for the </w:t>
      </w:r>
      <w:r w:rsidRPr="003410B6">
        <w:lastRenderedPageBreak/>
        <w:t xml:space="preserve">use of neoChemo compared with surgery alone of 0.85 (95% </w:t>
      </w:r>
      <w:r>
        <w:t>confidence interval [</w:t>
      </w:r>
      <w:r w:rsidRPr="003410B6">
        <w:t>CI</w:t>
      </w:r>
      <w:r>
        <w:t>]:</w:t>
      </w:r>
      <w:r w:rsidRPr="003410B6">
        <w:t xml:space="preserve"> 0.76, 0.94, p = 0.002</w:t>
      </w:r>
      <w:r>
        <w:t xml:space="preserve">). </w:t>
      </w:r>
      <w:r w:rsidRPr="00572090">
        <w:rPr>
          <w:iCs/>
        </w:rPr>
        <w:t>It is unclear whether the submission’s nominated MCID for EFS (HR ≤0.85) is an appropriate MCID.</w:t>
      </w:r>
      <w:r w:rsidRPr="0008024C">
        <w:t xml:space="preserve"> </w:t>
      </w:r>
      <w:r w:rsidRPr="00572090">
        <w:rPr>
          <w:iCs/>
        </w:rPr>
        <w:t>No noninferiority margin was nominated in the submission.</w:t>
      </w:r>
    </w:p>
    <w:p w14:paraId="37C9993A" w14:textId="77777777" w:rsidR="00F72C31" w:rsidRDefault="00F72C31" w:rsidP="00F72C31">
      <w:pPr>
        <w:pStyle w:val="3-BodyText"/>
      </w:pPr>
      <w:r w:rsidRPr="007C02C9">
        <w:t xml:space="preserve">Based on the prespecified CM77T </w:t>
      </w:r>
      <w:r>
        <w:t>i</w:t>
      </w:r>
      <w:r w:rsidRPr="007C02C9">
        <w:t>nterim analysis 1 of EFS</w:t>
      </w:r>
      <w:r>
        <w:t>,</w:t>
      </w:r>
      <w:r w:rsidRPr="007C02C9">
        <w:t xml:space="preserve"> periNIVO was associated with a statistically significant improvement in EFS compared with neoChemo (</w:t>
      </w:r>
      <w:r>
        <w:t xml:space="preserve">EFS </w:t>
      </w:r>
      <w:r w:rsidRPr="007C02C9">
        <w:t xml:space="preserve">HR = 0.58 [97.36% CI 0.42, 0.81]: stratified log-rank test p-value &lt; 0.001). </w:t>
      </w:r>
      <w:r w:rsidRPr="00572090">
        <w:rPr>
          <w:iCs/>
        </w:rPr>
        <w:t>The median EFS should be interpreted with caution as the number of events ha</w:t>
      </w:r>
      <w:r>
        <w:rPr>
          <w:iCs/>
        </w:rPr>
        <w:t>d</w:t>
      </w:r>
      <w:r w:rsidRPr="00572090">
        <w:rPr>
          <w:iCs/>
        </w:rPr>
        <w:t xml:space="preserve"> not reached 50% in either treatment arm.</w:t>
      </w:r>
      <w:r w:rsidRPr="007C02C9">
        <w:t xml:space="preserve"> The p-value threshold for statistical significance (p=0.0264) was crossed and the observed HR was lower</w:t>
      </w:r>
      <w:r>
        <w:t xml:space="preserve"> than</w:t>
      </w:r>
      <w:r w:rsidRPr="007C02C9">
        <w:t xml:space="preserve"> the submission’s nominated MCID of ≤0.85.</w:t>
      </w:r>
    </w:p>
    <w:p w14:paraId="0F30D617" w14:textId="77777777" w:rsidR="00A0136F" w:rsidRDefault="00F72C31" w:rsidP="00F72C31">
      <w:pPr>
        <w:pStyle w:val="3-BodyText"/>
      </w:pPr>
      <w:bookmarkStart w:id="56" w:name="_Hlk176516801"/>
      <w:r>
        <w:t>There were 76/229 (33.2%) EFS events in the periNIVO arm and 113/232 (48.7%) events in the neoChemo arm. The most common type of event in the periNIVO and neoChemo arms was progression/recurrence after surgery (47.4% [36/76] and 68.1% [77/113] respectively). Deaths accounted for 22.4% (17/76) of EFS events in the periNIVO arm, and 7.1% (8/113) of events in the neoChemo arm.</w:t>
      </w:r>
    </w:p>
    <w:bookmarkEnd w:id="56"/>
    <w:p w14:paraId="6D9AAC60" w14:textId="220E070A" w:rsidR="00F72C31" w:rsidRPr="00572090" w:rsidRDefault="00F72C31" w:rsidP="00F72C31">
      <w:pPr>
        <w:pStyle w:val="3-BodyText"/>
        <w:rPr>
          <w:iCs/>
        </w:rPr>
      </w:pPr>
      <w:r w:rsidRPr="00572090">
        <w:rPr>
          <w:iCs/>
        </w:rPr>
        <w:t>The KM plot showed a similar EFS between the two treatment arms over the first three months, after which the curves begin to diverge. The percentage of patients alive and without disease progression or disease recurrence was higher in the periNIVO arm than in the neoChemo arm at 12 months (point estimates: 73.4% vs 59.2%), and at 18 months (point estimates: 70.2% vs 50.0%), representing a 14.2% and 20.2% difference in favour of patients enrolled in the periNIVO arm at 12 and 18 months, respectively.</w:t>
      </w:r>
    </w:p>
    <w:p w14:paraId="5E29FDA2" w14:textId="66681B32" w:rsidR="00A0136F" w:rsidRDefault="00F72C31" w:rsidP="00F72C31">
      <w:pPr>
        <w:pStyle w:val="3-BodyText"/>
        <w:rPr>
          <w:iCs/>
        </w:rPr>
      </w:pPr>
      <w:r w:rsidRPr="00F921ED">
        <w:t>Overall survival</w:t>
      </w:r>
      <w:r>
        <w:t>, which was</w:t>
      </w:r>
      <w:r w:rsidRPr="00F921ED">
        <w:t xml:space="preserve"> a secondary outcome of CM77T</w:t>
      </w:r>
      <w:r>
        <w:t xml:space="preserve">, </w:t>
      </w:r>
      <w:r w:rsidRPr="00F921ED">
        <w:t xml:space="preserve">was not analysed at the interim analyses as the data </w:t>
      </w:r>
      <w:r>
        <w:t>remained</w:t>
      </w:r>
      <w:r w:rsidRPr="00F921ED">
        <w:t xml:space="preserve"> immature</w:t>
      </w:r>
      <w:r>
        <w:t xml:space="preserve"> and follow up ongoing</w:t>
      </w:r>
      <w:r w:rsidRPr="00B96B42">
        <w:rPr>
          <w:iCs/>
        </w:rPr>
        <w:t xml:space="preserve">. </w:t>
      </w:r>
      <w:r>
        <w:t xml:space="preserve">Instead, </w:t>
      </w:r>
      <w:r w:rsidRPr="00213963">
        <w:t xml:space="preserve">OS data from CM816 was presented </w:t>
      </w:r>
      <w:r>
        <w:t>(</w:t>
      </w:r>
      <w:r>
        <w:fldChar w:fldCharType="begin"/>
      </w:r>
      <w:r>
        <w:instrText xml:space="preserve"> REF _Ref176451687 \h </w:instrText>
      </w:r>
      <w:r>
        <w:fldChar w:fldCharType="separate"/>
      </w:r>
      <w:r w:rsidR="009C09C9">
        <w:t xml:space="preserve">Table </w:t>
      </w:r>
      <w:r w:rsidR="009C09C9">
        <w:rPr>
          <w:noProof/>
        </w:rPr>
        <w:t>11</w:t>
      </w:r>
      <w:r>
        <w:fldChar w:fldCharType="end"/>
      </w:r>
      <w:r>
        <w:t xml:space="preserve">), with the corresponding KM curve in Figure </w:t>
      </w:r>
      <w:r>
        <w:rPr>
          <w:noProof/>
        </w:rPr>
        <w:t>2</w:t>
      </w:r>
      <w:r>
        <w:t xml:space="preserve">. </w:t>
      </w:r>
      <w:r w:rsidRPr="00572090">
        <w:rPr>
          <w:iCs/>
        </w:rPr>
        <w:t>The PBAC ha</w:t>
      </w:r>
      <w:r>
        <w:rPr>
          <w:iCs/>
        </w:rPr>
        <w:t>s</w:t>
      </w:r>
      <w:r w:rsidRPr="00572090">
        <w:rPr>
          <w:iCs/>
        </w:rPr>
        <w:t xml:space="preserve"> previously considered OS results from CM816 at the July 2023 PBAC meeting</w:t>
      </w:r>
      <w:r>
        <w:rPr>
          <w:iCs/>
        </w:rPr>
        <w:t xml:space="preserve">, for </w:t>
      </w:r>
      <w:r w:rsidRPr="00572090">
        <w:rPr>
          <w:iCs/>
        </w:rPr>
        <w:t>the 3-year update (median follow-up 41.4 months). In this submission, data from a more recent 4-year update (median follow-up 57.6 months) of CM816 was available.</w:t>
      </w:r>
    </w:p>
    <w:p w14:paraId="17333EAD" w14:textId="571F1308" w:rsidR="00F72C31" w:rsidRDefault="00F72C31" w:rsidP="00F72C31">
      <w:pPr>
        <w:pStyle w:val="3-BodyText"/>
      </w:pPr>
      <w:r w:rsidRPr="006772FD">
        <w:t xml:space="preserve">Based on the most recent CM816 4-year update of OS (data cutoff 23 February 2024, median follow-up 57.6 months) there was a trend in favour of neoNIVO arm compared to neoChemo (HR = 0.71 [95% CI 0.47, 1.07]: p=0.0451). The stopping boundary for declaring statistical significance (0.0164) was not crossed </w:t>
      </w:r>
      <w:r w:rsidRPr="00572090">
        <w:rPr>
          <w:iCs/>
        </w:rPr>
        <w:t>and therefore statistically significant differences could not be claimed. Median OS was still yet to be reached in either treatment arm of CM816.</w:t>
      </w:r>
    </w:p>
    <w:p w14:paraId="23F822A7" w14:textId="3F5D7E21" w:rsidR="00F72C31" w:rsidRDefault="00F72C31" w:rsidP="00F72C31">
      <w:pPr>
        <w:pStyle w:val="Caption"/>
        <w:keepLines w:val="0"/>
      </w:pPr>
      <w:bookmarkStart w:id="57" w:name="_Ref176451687"/>
      <w:r>
        <w:lastRenderedPageBreak/>
        <w:t xml:space="preserve">Table </w:t>
      </w:r>
      <w:r>
        <w:fldChar w:fldCharType="begin"/>
      </w:r>
      <w:r>
        <w:instrText xml:space="preserve"> SEQ Table \* ARABIC </w:instrText>
      </w:r>
      <w:r>
        <w:fldChar w:fldCharType="separate"/>
      </w:r>
      <w:r w:rsidR="009C09C9">
        <w:rPr>
          <w:noProof/>
        </w:rPr>
        <w:t>11</w:t>
      </w:r>
      <w:r>
        <w:rPr>
          <w:noProof/>
        </w:rPr>
        <w:fldChar w:fldCharType="end"/>
      </w:r>
      <w:bookmarkEnd w:id="57"/>
      <w:r>
        <w:t>: Overall survival results – CM816</w:t>
      </w:r>
    </w:p>
    <w:tbl>
      <w:tblPr>
        <w:tblStyle w:val="TableGrid"/>
        <w:tblW w:w="5000" w:type="pct"/>
        <w:tblLook w:val="04A0" w:firstRow="1" w:lastRow="0" w:firstColumn="1" w:lastColumn="0" w:noHBand="0" w:noVBand="1"/>
        <w:tblCaption w:val="Table 11: Overall survival results – CM816"/>
        <w:tblDescription w:val="Table 11: Overall survival results – CM816"/>
      </w:tblPr>
      <w:tblGrid>
        <w:gridCol w:w="3256"/>
        <w:gridCol w:w="2835"/>
        <w:gridCol w:w="2926"/>
      </w:tblGrid>
      <w:tr w:rsidR="00F72C31" w:rsidRPr="00495689" w14:paraId="4C6DCFD8" w14:textId="77777777">
        <w:tc>
          <w:tcPr>
            <w:tcW w:w="3256" w:type="dxa"/>
            <w:tcBorders>
              <w:top w:val="single" w:sz="4" w:space="0" w:color="auto"/>
              <w:left w:val="single" w:sz="4" w:space="0" w:color="auto"/>
              <w:bottom w:val="single" w:sz="4" w:space="0" w:color="auto"/>
              <w:right w:val="single" w:sz="4" w:space="0" w:color="auto"/>
            </w:tcBorders>
            <w:vAlign w:val="center"/>
          </w:tcPr>
          <w:p w14:paraId="0156362A" w14:textId="77777777" w:rsidR="00F72C31" w:rsidRPr="00495689" w:rsidRDefault="00F72C31">
            <w:pPr>
              <w:pStyle w:val="TableText0"/>
              <w:keepLines w:val="0"/>
            </w:pPr>
          </w:p>
        </w:tc>
        <w:tc>
          <w:tcPr>
            <w:tcW w:w="2835" w:type="dxa"/>
            <w:tcBorders>
              <w:top w:val="single" w:sz="4" w:space="0" w:color="auto"/>
              <w:left w:val="single" w:sz="4" w:space="0" w:color="auto"/>
              <w:bottom w:val="single" w:sz="4" w:space="0" w:color="auto"/>
              <w:right w:val="single" w:sz="4" w:space="0" w:color="auto"/>
            </w:tcBorders>
            <w:vAlign w:val="center"/>
          </w:tcPr>
          <w:p w14:paraId="6368A666" w14:textId="77777777" w:rsidR="00F72C31" w:rsidRPr="00EC3B5F" w:rsidRDefault="00F72C31">
            <w:pPr>
              <w:pStyle w:val="TableText0"/>
              <w:keepLines w:val="0"/>
              <w:jc w:val="center"/>
              <w:rPr>
                <w:b/>
                <w:bCs w:val="0"/>
              </w:rPr>
            </w:pPr>
            <w:r>
              <w:rPr>
                <w:b/>
                <w:bCs w:val="0"/>
              </w:rPr>
              <w:t>neo</w:t>
            </w:r>
            <w:r w:rsidRPr="00EC3B5F">
              <w:rPr>
                <w:b/>
                <w:bCs w:val="0"/>
              </w:rPr>
              <w:t>NIVO</w:t>
            </w:r>
          </w:p>
        </w:tc>
        <w:tc>
          <w:tcPr>
            <w:tcW w:w="2926" w:type="dxa"/>
            <w:tcBorders>
              <w:top w:val="single" w:sz="4" w:space="0" w:color="auto"/>
              <w:left w:val="single" w:sz="4" w:space="0" w:color="auto"/>
              <w:bottom w:val="single" w:sz="4" w:space="0" w:color="auto"/>
              <w:right w:val="single" w:sz="4" w:space="0" w:color="auto"/>
            </w:tcBorders>
            <w:vAlign w:val="center"/>
          </w:tcPr>
          <w:p w14:paraId="40C4794A" w14:textId="77777777" w:rsidR="00F72C31" w:rsidRPr="00EC3B5F" w:rsidRDefault="00F72C31">
            <w:pPr>
              <w:pStyle w:val="TableText0"/>
              <w:keepLines w:val="0"/>
              <w:jc w:val="center"/>
              <w:rPr>
                <w:b/>
                <w:bCs w:val="0"/>
              </w:rPr>
            </w:pPr>
            <w:r>
              <w:rPr>
                <w:b/>
                <w:bCs w:val="0"/>
              </w:rPr>
              <w:t>neoC</w:t>
            </w:r>
            <w:r w:rsidRPr="00EC3B5F">
              <w:rPr>
                <w:b/>
                <w:bCs w:val="0"/>
              </w:rPr>
              <w:t>hemo</w:t>
            </w:r>
          </w:p>
        </w:tc>
      </w:tr>
      <w:tr w:rsidR="00F72C31" w:rsidRPr="00495689" w14:paraId="346DB80E" w14:textId="77777777">
        <w:tc>
          <w:tcPr>
            <w:tcW w:w="901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CB61A5" w14:textId="77777777" w:rsidR="00F72C31" w:rsidRPr="00EC3B5F" w:rsidRDefault="00F72C31">
            <w:pPr>
              <w:pStyle w:val="TableText0"/>
              <w:keepLines w:val="0"/>
              <w:rPr>
                <w:b/>
                <w:bCs w:val="0"/>
              </w:rPr>
            </w:pPr>
            <w:r w:rsidRPr="00EC3B5F">
              <w:rPr>
                <w:b/>
                <w:bCs w:val="0"/>
              </w:rPr>
              <w:t>Interim analysis 1: median follow-up 29.5 months</w:t>
            </w:r>
          </w:p>
        </w:tc>
      </w:tr>
      <w:tr w:rsidR="00F72C31" w:rsidRPr="00495689" w14:paraId="4EA97A15" w14:textId="77777777">
        <w:tc>
          <w:tcPr>
            <w:tcW w:w="32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AC501" w14:textId="77777777" w:rsidR="00F72C31" w:rsidRPr="00074D09" w:rsidRDefault="00F72C31">
            <w:pPr>
              <w:pStyle w:val="TableText0"/>
              <w:keepLines w:val="0"/>
              <w:rPr>
                <w:vertAlign w:val="superscript"/>
              </w:rPr>
            </w:pPr>
            <w:r w:rsidRPr="00495689">
              <w:t>n/N with event (%)</w:t>
            </w:r>
            <w:r>
              <w:t xml:space="preserve"> </w:t>
            </w:r>
            <w:r>
              <w:rPr>
                <w:vertAlign w:val="superscript"/>
              </w:rPr>
              <w:t>a</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4A1FD" w14:textId="77777777" w:rsidR="00F72C31" w:rsidRPr="00495689" w:rsidRDefault="00F72C31">
            <w:pPr>
              <w:pStyle w:val="TableText0"/>
              <w:keepLines w:val="0"/>
              <w:jc w:val="center"/>
            </w:pPr>
            <w:r w:rsidRPr="00665E1C">
              <w:t>N</w:t>
            </w:r>
            <w:r>
              <w:t>A</w:t>
            </w:r>
            <w:r w:rsidRPr="00665E1C">
              <w:t>/179</w:t>
            </w:r>
          </w:p>
        </w:tc>
        <w:tc>
          <w:tcPr>
            <w:tcW w:w="29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72CAB" w14:textId="77777777" w:rsidR="00F72C31" w:rsidRPr="00495689" w:rsidRDefault="00F72C31">
            <w:pPr>
              <w:pStyle w:val="TableText0"/>
              <w:keepLines w:val="0"/>
              <w:jc w:val="center"/>
            </w:pPr>
            <w:r w:rsidRPr="00EF3F06">
              <w:t>N</w:t>
            </w:r>
            <w:r>
              <w:t>A</w:t>
            </w:r>
            <w:r w:rsidRPr="00EF3F06">
              <w:t>/179</w:t>
            </w:r>
          </w:p>
        </w:tc>
      </w:tr>
      <w:tr w:rsidR="00F72C31" w:rsidRPr="00495689" w14:paraId="3D71DBD4" w14:textId="77777777">
        <w:tc>
          <w:tcPr>
            <w:tcW w:w="32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D48ED" w14:textId="77777777" w:rsidR="00F72C31" w:rsidRPr="00495689" w:rsidRDefault="00F72C31">
            <w:pPr>
              <w:pStyle w:val="TableText0"/>
              <w:keepLines w:val="0"/>
            </w:pPr>
            <w:r w:rsidRPr="00495689">
              <w:t>Median time-to-event (95% CI)</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38902" w14:textId="77777777" w:rsidR="00F72C31" w:rsidRPr="00495689" w:rsidRDefault="00F72C31">
            <w:pPr>
              <w:pStyle w:val="TableText0"/>
              <w:keepLines w:val="0"/>
              <w:jc w:val="center"/>
            </w:pPr>
            <w:r w:rsidRPr="00EF3F06">
              <w:t>NA (NA, NA)</w:t>
            </w:r>
          </w:p>
        </w:tc>
        <w:tc>
          <w:tcPr>
            <w:tcW w:w="29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CBF48F" w14:textId="77777777" w:rsidR="00F72C31" w:rsidRPr="00495689" w:rsidRDefault="00F72C31">
            <w:pPr>
              <w:pStyle w:val="TableText0"/>
              <w:keepLines w:val="0"/>
              <w:jc w:val="center"/>
            </w:pPr>
            <w:r w:rsidRPr="00EF3F06">
              <w:t>NA (NA, NA)</w:t>
            </w:r>
          </w:p>
        </w:tc>
      </w:tr>
      <w:tr w:rsidR="00F72C31" w:rsidRPr="00495689" w14:paraId="1A9BEB5C" w14:textId="77777777">
        <w:tc>
          <w:tcPr>
            <w:tcW w:w="32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0B319A" w14:textId="77777777" w:rsidR="00F72C31" w:rsidRPr="00E839D3" w:rsidRDefault="00F72C31">
            <w:pPr>
              <w:pStyle w:val="TableText0"/>
              <w:keepLines w:val="0"/>
              <w:rPr>
                <w:vertAlign w:val="superscript"/>
              </w:rPr>
            </w:pPr>
            <w:r w:rsidRPr="00495689">
              <w:t xml:space="preserve">Hazard ratio </w:t>
            </w:r>
            <w:r>
              <w:rPr>
                <w:vertAlign w:val="superscript"/>
              </w:rPr>
              <w:t>e</w:t>
            </w:r>
          </w:p>
        </w:tc>
        <w:tc>
          <w:tcPr>
            <w:tcW w:w="57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7AB5C4" w14:textId="77777777" w:rsidR="00F72C31" w:rsidRPr="00074D09" w:rsidRDefault="00F72C31">
            <w:pPr>
              <w:pStyle w:val="TableText0"/>
              <w:keepLines w:val="0"/>
              <w:jc w:val="center"/>
              <w:rPr>
                <w:vertAlign w:val="superscript"/>
              </w:rPr>
            </w:pPr>
            <w:r w:rsidRPr="004E1427">
              <w:t>0.57 (99.67% CI: 0.30, 1.07), p = 0.008</w:t>
            </w:r>
            <w:r>
              <w:t xml:space="preserve"> </w:t>
            </w:r>
            <w:r>
              <w:rPr>
                <w:vertAlign w:val="superscript"/>
              </w:rPr>
              <w:t>b</w:t>
            </w:r>
          </w:p>
        </w:tc>
      </w:tr>
      <w:tr w:rsidR="00F72C31" w:rsidRPr="00495689" w14:paraId="3931EBF1" w14:textId="77777777">
        <w:tc>
          <w:tcPr>
            <w:tcW w:w="901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A0E303" w14:textId="77777777" w:rsidR="00F72C31" w:rsidRPr="00EC3B5F" w:rsidRDefault="00F72C31">
            <w:pPr>
              <w:pStyle w:val="TableText0"/>
              <w:keepLines w:val="0"/>
              <w:rPr>
                <w:b/>
                <w:bCs w:val="0"/>
              </w:rPr>
            </w:pPr>
            <w:r w:rsidRPr="00EC3B5F">
              <w:rPr>
                <w:b/>
                <w:bCs w:val="0"/>
              </w:rPr>
              <w:t>3</w:t>
            </w:r>
            <w:r>
              <w:rPr>
                <w:b/>
                <w:bCs w:val="0"/>
              </w:rPr>
              <w:t>-</w:t>
            </w:r>
            <w:r w:rsidRPr="00EC3B5F">
              <w:rPr>
                <w:b/>
                <w:bCs w:val="0"/>
              </w:rPr>
              <w:t>year update: median follow-up 41.4 months</w:t>
            </w:r>
          </w:p>
        </w:tc>
      </w:tr>
      <w:tr w:rsidR="00F72C31" w:rsidRPr="00495689" w14:paraId="700B450B" w14:textId="77777777">
        <w:tc>
          <w:tcPr>
            <w:tcW w:w="32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54E13" w14:textId="77777777" w:rsidR="00F72C31" w:rsidRPr="00074D09" w:rsidRDefault="00F72C31">
            <w:pPr>
              <w:pStyle w:val="TableText0"/>
              <w:keepLines w:val="0"/>
              <w:rPr>
                <w:b/>
                <w:bCs w:val="0"/>
                <w:vertAlign w:val="superscript"/>
              </w:rPr>
            </w:pPr>
            <w:r w:rsidRPr="00495689">
              <w:t>n/N with event (%)</w:t>
            </w:r>
            <w:r>
              <w:t xml:space="preserve"> </w:t>
            </w:r>
            <w:r>
              <w:rPr>
                <w:vertAlign w:val="superscript"/>
              </w:rPr>
              <w:t>a</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0FA5B" w14:textId="77777777" w:rsidR="00F72C31" w:rsidRPr="00494484" w:rsidRDefault="00F72C31">
            <w:pPr>
              <w:pStyle w:val="TableText0"/>
              <w:keepLines w:val="0"/>
              <w:jc w:val="center"/>
            </w:pPr>
            <w:r w:rsidRPr="008D28B7">
              <w:t>N</w:t>
            </w:r>
            <w:r>
              <w:t>A</w:t>
            </w:r>
            <w:r w:rsidRPr="008D28B7">
              <w:t>/179</w:t>
            </w:r>
          </w:p>
        </w:tc>
        <w:tc>
          <w:tcPr>
            <w:tcW w:w="29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14B86" w14:textId="77777777" w:rsidR="00F72C31" w:rsidRPr="00494484" w:rsidRDefault="00F72C31">
            <w:pPr>
              <w:pStyle w:val="TableText0"/>
              <w:keepLines w:val="0"/>
              <w:jc w:val="center"/>
            </w:pPr>
            <w:r w:rsidRPr="008D28B7">
              <w:t>N</w:t>
            </w:r>
            <w:r>
              <w:t>A</w:t>
            </w:r>
            <w:r w:rsidRPr="008D28B7">
              <w:t>/179</w:t>
            </w:r>
          </w:p>
        </w:tc>
      </w:tr>
      <w:tr w:rsidR="00F72C31" w:rsidRPr="00495689" w14:paraId="25300504" w14:textId="77777777">
        <w:tc>
          <w:tcPr>
            <w:tcW w:w="32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4B060" w14:textId="77777777" w:rsidR="00F72C31" w:rsidRPr="00495689" w:rsidRDefault="00F72C31">
            <w:pPr>
              <w:pStyle w:val="TableText0"/>
              <w:keepLines w:val="0"/>
            </w:pPr>
            <w:r w:rsidRPr="00495689">
              <w:t>Median time-to-event (95% CI)</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CF5CF7" w14:textId="77777777" w:rsidR="00F72C31" w:rsidRPr="00495689" w:rsidRDefault="00F72C31">
            <w:pPr>
              <w:pStyle w:val="TableText0"/>
              <w:keepLines w:val="0"/>
              <w:jc w:val="center"/>
            </w:pPr>
            <w:r w:rsidRPr="008D28B7">
              <w:t>NA (NA, NA)</w:t>
            </w:r>
          </w:p>
        </w:tc>
        <w:tc>
          <w:tcPr>
            <w:tcW w:w="29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2E66F2" w14:textId="77777777" w:rsidR="00F72C31" w:rsidRPr="00495689" w:rsidRDefault="00F72C31">
            <w:pPr>
              <w:pStyle w:val="TableText0"/>
              <w:keepLines w:val="0"/>
              <w:jc w:val="center"/>
            </w:pPr>
            <w:r>
              <w:t>NA</w:t>
            </w:r>
            <w:r w:rsidRPr="00CD07D5">
              <w:t xml:space="preserve"> (</w:t>
            </w:r>
            <w:r>
              <w:t>46.8</w:t>
            </w:r>
            <w:r w:rsidRPr="00CD07D5">
              <w:t xml:space="preserve">, </w:t>
            </w:r>
            <w:r>
              <w:t>NA</w:t>
            </w:r>
            <w:r w:rsidRPr="00CD07D5">
              <w:t>)</w:t>
            </w:r>
          </w:p>
        </w:tc>
      </w:tr>
      <w:tr w:rsidR="00F72C31" w:rsidRPr="00495689" w14:paraId="2541E58B" w14:textId="77777777">
        <w:tc>
          <w:tcPr>
            <w:tcW w:w="32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D3FA6" w14:textId="77777777" w:rsidR="00F72C31" w:rsidRPr="00E839D3" w:rsidRDefault="00F72C31">
            <w:pPr>
              <w:pStyle w:val="TableText0"/>
              <w:keepLines w:val="0"/>
              <w:rPr>
                <w:vertAlign w:val="superscript"/>
              </w:rPr>
            </w:pPr>
            <w:r w:rsidRPr="00495689">
              <w:t xml:space="preserve">Hazard ratio </w:t>
            </w:r>
            <w:r>
              <w:rPr>
                <w:vertAlign w:val="superscript"/>
              </w:rPr>
              <w:t>e</w:t>
            </w:r>
          </w:p>
        </w:tc>
        <w:tc>
          <w:tcPr>
            <w:tcW w:w="57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F8AF0" w14:textId="77777777" w:rsidR="00F72C31" w:rsidRPr="00E839D3" w:rsidRDefault="00F72C31">
            <w:pPr>
              <w:pStyle w:val="TableText0"/>
              <w:keepLines w:val="0"/>
              <w:jc w:val="center"/>
              <w:rPr>
                <w:vertAlign w:val="superscript"/>
              </w:rPr>
            </w:pPr>
            <w:r>
              <w:t xml:space="preserve">0.62 </w:t>
            </w:r>
            <w:r w:rsidRPr="004E1427">
              <w:t>(99.34% CI: 0.36, 1.05), p = 0.0124</w:t>
            </w:r>
            <w:r>
              <w:t xml:space="preserve"> </w:t>
            </w:r>
            <w:r>
              <w:rPr>
                <w:vertAlign w:val="superscript"/>
              </w:rPr>
              <w:t>c</w:t>
            </w:r>
          </w:p>
        </w:tc>
      </w:tr>
      <w:tr w:rsidR="00F72C31" w:rsidRPr="00495689" w14:paraId="32BF140D" w14:textId="77777777">
        <w:tc>
          <w:tcPr>
            <w:tcW w:w="9017" w:type="dxa"/>
            <w:gridSpan w:val="3"/>
            <w:tcBorders>
              <w:top w:val="single" w:sz="4" w:space="0" w:color="auto"/>
              <w:left w:val="single" w:sz="4" w:space="0" w:color="auto"/>
              <w:bottom w:val="single" w:sz="4" w:space="0" w:color="auto"/>
              <w:right w:val="single" w:sz="4" w:space="0" w:color="auto"/>
            </w:tcBorders>
            <w:vAlign w:val="center"/>
          </w:tcPr>
          <w:p w14:paraId="6C0FBC7E" w14:textId="77777777" w:rsidR="00F72C31" w:rsidRPr="00EC3B5F" w:rsidRDefault="00F72C31">
            <w:pPr>
              <w:keepNext/>
              <w:rPr>
                <w:rFonts w:ascii="Arial Narrow" w:eastAsiaTheme="majorEastAsia" w:hAnsi="Arial Narrow" w:cstheme="majorBidi"/>
                <w:b/>
                <w:sz w:val="20"/>
                <w:szCs w:val="20"/>
              </w:rPr>
            </w:pPr>
            <w:r w:rsidRPr="00EC3B5F">
              <w:rPr>
                <w:rFonts w:ascii="Arial Narrow" w:eastAsiaTheme="majorEastAsia" w:hAnsi="Arial Narrow" w:cstheme="majorBidi"/>
                <w:b/>
                <w:sz w:val="20"/>
                <w:szCs w:val="20"/>
              </w:rPr>
              <w:t>4</w:t>
            </w:r>
            <w:r>
              <w:rPr>
                <w:rFonts w:ascii="Arial Narrow" w:eastAsiaTheme="majorEastAsia" w:hAnsi="Arial Narrow" w:cstheme="majorBidi"/>
                <w:b/>
                <w:sz w:val="20"/>
                <w:szCs w:val="20"/>
              </w:rPr>
              <w:t>-y</w:t>
            </w:r>
            <w:r w:rsidRPr="00EC3B5F">
              <w:rPr>
                <w:rFonts w:ascii="Arial Narrow" w:eastAsiaTheme="majorEastAsia" w:hAnsi="Arial Narrow" w:cstheme="majorBidi"/>
                <w:b/>
                <w:sz w:val="20"/>
                <w:szCs w:val="20"/>
              </w:rPr>
              <w:t>ear update: median follow-up 57.6 months</w:t>
            </w:r>
          </w:p>
        </w:tc>
      </w:tr>
      <w:tr w:rsidR="00F72C31" w:rsidRPr="00495689" w14:paraId="3411A868" w14:textId="77777777">
        <w:tc>
          <w:tcPr>
            <w:tcW w:w="3256" w:type="dxa"/>
            <w:tcBorders>
              <w:top w:val="single" w:sz="4" w:space="0" w:color="auto"/>
              <w:left w:val="single" w:sz="4" w:space="0" w:color="auto"/>
              <w:bottom w:val="single" w:sz="4" w:space="0" w:color="auto"/>
              <w:right w:val="single" w:sz="4" w:space="0" w:color="auto"/>
            </w:tcBorders>
            <w:vAlign w:val="center"/>
          </w:tcPr>
          <w:p w14:paraId="67710E50" w14:textId="77777777" w:rsidR="00F72C31" w:rsidRPr="00074D09" w:rsidRDefault="00F72C31">
            <w:pPr>
              <w:pStyle w:val="TableText0"/>
              <w:keepLines w:val="0"/>
              <w:rPr>
                <w:vertAlign w:val="superscript"/>
              </w:rPr>
            </w:pPr>
            <w:r w:rsidRPr="00495689">
              <w:t>n/N with event (%)</w:t>
            </w:r>
            <w:r>
              <w:t xml:space="preserve"> </w:t>
            </w:r>
            <w:r>
              <w:rPr>
                <w:vertAlign w:val="superscript"/>
              </w:rPr>
              <w:t>a</w:t>
            </w:r>
          </w:p>
        </w:tc>
        <w:tc>
          <w:tcPr>
            <w:tcW w:w="2835" w:type="dxa"/>
            <w:tcBorders>
              <w:top w:val="single" w:sz="4" w:space="0" w:color="auto"/>
              <w:left w:val="single" w:sz="4" w:space="0" w:color="auto"/>
              <w:bottom w:val="single" w:sz="4" w:space="0" w:color="auto"/>
              <w:right w:val="single" w:sz="4" w:space="0" w:color="auto"/>
            </w:tcBorders>
            <w:vAlign w:val="center"/>
          </w:tcPr>
          <w:p w14:paraId="773EF9DC" w14:textId="77777777" w:rsidR="00F72C31" w:rsidRPr="00495689" w:rsidRDefault="00F72C31">
            <w:pPr>
              <w:pStyle w:val="TableText0"/>
              <w:keepLines w:val="0"/>
              <w:ind w:left="1024"/>
            </w:pPr>
            <w:r w:rsidRPr="008D28B7">
              <w:t>N</w:t>
            </w:r>
            <w:r>
              <w:t>A</w:t>
            </w:r>
            <w:r w:rsidRPr="008D28B7">
              <w:t>/179</w:t>
            </w:r>
          </w:p>
        </w:tc>
        <w:tc>
          <w:tcPr>
            <w:tcW w:w="2926" w:type="dxa"/>
            <w:tcBorders>
              <w:top w:val="single" w:sz="4" w:space="0" w:color="auto"/>
              <w:left w:val="single" w:sz="4" w:space="0" w:color="auto"/>
              <w:bottom w:val="single" w:sz="4" w:space="0" w:color="auto"/>
              <w:right w:val="single" w:sz="4" w:space="0" w:color="auto"/>
            </w:tcBorders>
            <w:vAlign w:val="center"/>
          </w:tcPr>
          <w:p w14:paraId="46047537" w14:textId="77777777" w:rsidR="00F72C31" w:rsidRPr="00495689" w:rsidRDefault="00F72C31">
            <w:pPr>
              <w:pStyle w:val="TableText0"/>
              <w:keepLines w:val="0"/>
              <w:ind w:left="1024"/>
            </w:pPr>
            <w:r w:rsidRPr="008D28B7">
              <w:t>N</w:t>
            </w:r>
            <w:r>
              <w:t>A</w:t>
            </w:r>
            <w:r w:rsidRPr="008D28B7">
              <w:t>/179</w:t>
            </w:r>
          </w:p>
        </w:tc>
      </w:tr>
      <w:tr w:rsidR="00F72C31" w:rsidRPr="00495689" w14:paraId="4D1D8CE5" w14:textId="77777777">
        <w:tc>
          <w:tcPr>
            <w:tcW w:w="3256" w:type="dxa"/>
            <w:tcBorders>
              <w:top w:val="single" w:sz="4" w:space="0" w:color="auto"/>
              <w:left w:val="single" w:sz="4" w:space="0" w:color="auto"/>
              <w:bottom w:val="single" w:sz="4" w:space="0" w:color="auto"/>
              <w:right w:val="single" w:sz="4" w:space="0" w:color="auto"/>
            </w:tcBorders>
            <w:vAlign w:val="center"/>
          </w:tcPr>
          <w:p w14:paraId="24766710" w14:textId="77777777" w:rsidR="00F72C31" w:rsidRPr="00495689" w:rsidRDefault="00F72C31">
            <w:pPr>
              <w:pStyle w:val="TableText0"/>
              <w:keepLines w:val="0"/>
            </w:pPr>
            <w:r w:rsidRPr="00495689">
              <w:t>Median time-to-event (95% CI)</w:t>
            </w:r>
          </w:p>
        </w:tc>
        <w:tc>
          <w:tcPr>
            <w:tcW w:w="2835" w:type="dxa"/>
            <w:tcBorders>
              <w:top w:val="single" w:sz="4" w:space="0" w:color="auto"/>
              <w:left w:val="single" w:sz="4" w:space="0" w:color="auto"/>
              <w:bottom w:val="single" w:sz="4" w:space="0" w:color="auto"/>
              <w:right w:val="single" w:sz="4" w:space="0" w:color="auto"/>
            </w:tcBorders>
            <w:vAlign w:val="center"/>
          </w:tcPr>
          <w:p w14:paraId="6D5C9D03" w14:textId="77777777" w:rsidR="00F72C31" w:rsidRPr="00495689" w:rsidRDefault="00F72C31">
            <w:pPr>
              <w:pStyle w:val="TableText0"/>
              <w:keepLines w:val="0"/>
              <w:jc w:val="center"/>
            </w:pPr>
            <w:r w:rsidRPr="008D28B7">
              <w:t>NA (NA, NA)</w:t>
            </w:r>
          </w:p>
        </w:tc>
        <w:tc>
          <w:tcPr>
            <w:tcW w:w="2926" w:type="dxa"/>
            <w:tcBorders>
              <w:top w:val="single" w:sz="4" w:space="0" w:color="auto"/>
              <w:left w:val="single" w:sz="4" w:space="0" w:color="auto"/>
              <w:bottom w:val="single" w:sz="4" w:space="0" w:color="auto"/>
              <w:right w:val="single" w:sz="4" w:space="0" w:color="auto"/>
            </w:tcBorders>
            <w:vAlign w:val="center"/>
          </w:tcPr>
          <w:p w14:paraId="150071E1" w14:textId="77777777" w:rsidR="00F72C31" w:rsidRPr="00495689" w:rsidRDefault="00F72C31">
            <w:pPr>
              <w:pStyle w:val="TableText0"/>
              <w:keepLines w:val="0"/>
              <w:jc w:val="center"/>
            </w:pPr>
            <w:r>
              <w:t>NA</w:t>
            </w:r>
            <w:r w:rsidRPr="00CD07D5">
              <w:t xml:space="preserve"> (</w:t>
            </w:r>
            <w:r>
              <w:t>50.4</w:t>
            </w:r>
            <w:r w:rsidRPr="00CD07D5">
              <w:t xml:space="preserve">, </w:t>
            </w:r>
            <w:r>
              <w:t>NA</w:t>
            </w:r>
            <w:r w:rsidRPr="00CD07D5">
              <w:t>)</w:t>
            </w:r>
          </w:p>
        </w:tc>
      </w:tr>
      <w:tr w:rsidR="00F72C31" w:rsidRPr="00495689" w14:paraId="154704A5" w14:textId="77777777">
        <w:tc>
          <w:tcPr>
            <w:tcW w:w="3256" w:type="dxa"/>
            <w:tcBorders>
              <w:top w:val="single" w:sz="4" w:space="0" w:color="auto"/>
              <w:left w:val="single" w:sz="4" w:space="0" w:color="auto"/>
              <w:bottom w:val="single" w:sz="4" w:space="0" w:color="auto"/>
              <w:right w:val="single" w:sz="4" w:space="0" w:color="auto"/>
            </w:tcBorders>
            <w:vAlign w:val="center"/>
          </w:tcPr>
          <w:p w14:paraId="01B303F6" w14:textId="77777777" w:rsidR="00F72C31" w:rsidRPr="00E839D3" w:rsidRDefault="00F72C31">
            <w:pPr>
              <w:pStyle w:val="TableText0"/>
              <w:keepLines w:val="0"/>
              <w:rPr>
                <w:vertAlign w:val="superscript"/>
              </w:rPr>
            </w:pPr>
            <w:r w:rsidRPr="00495689">
              <w:t xml:space="preserve">Hazard ratio </w:t>
            </w:r>
            <w:r>
              <w:rPr>
                <w:vertAlign w:val="superscript"/>
              </w:rPr>
              <w:t>e</w:t>
            </w:r>
          </w:p>
        </w:tc>
        <w:tc>
          <w:tcPr>
            <w:tcW w:w="5761" w:type="dxa"/>
            <w:gridSpan w:val="2"/>
            <w:tcBorders>
              <w:top w:val="single" w:sz="4" w:space="0" w:color="auto"/>
              <w:left w:val="single" w:sz="4" w:space="0" w:color="auto"/>
              <w:bottom w:val="single" w:sz="4" w:space="0" w:color="auto"/>
              <w:right w:val="single" w:sz="4" w:space="0" w:color="auto"/>
            </w:tcBorders>
            <w:vAlign w:val="center"/>
          </w:tcPr>
          <w:p w14:paraId="4BABB4E1" w14:textId="77777777" w:rsidR="00F72C31" w:rsidRPr="00074D09" w:rsidRDefault="00F72C31">
            <w:pPr>
              <w:pStyle w:val="TableText0"/>
              <w:keepLines w:val="0"/>
              <w:jc w:val="center"/>
              <w:rPr>
                <w:vertAlign w:val="superscript"/>
              </w:rPr>
            </w:pPr>
            <w:r w:rsidRPr="004E1427">
              <w:t>0.71 (98.36% CI: 0.47, 1.07), p = 0.0451</w:t>
            </w:r>
            <w:r>
              <w:t xml:space="preserve"> </w:t>
            </w:r>
            <w:r>
              <w:rPr>
                <w:vertAlign w:val="superscript"/>
              </w:rPr>
              <w:t>d</w:t>
            </w:r>
          </w:p>
        </w:tc>
      </w:tr>
    </w:tbl>
    <w:p w14:paraId="6089DD72" w14:textId="77777777" w:rsidR="00F72C31" w:rsidRDefault="00F72C31" w:rsidP="00F72C31">
      <w:pPr>
        <w:pStyle w:val="FooterTableFigure"/>
        <w:keepNext/>
      </w:pPr>
      <w:r>
        <w:t xml:space="preserve">Tables 66, p110 of the submission, </w:t>
      </w:r>
      <w:r w:rsidRPr="004C55A1">
        <w:t>Slide 6 of Spicer</w:t>
      </w:r>
      <w:r>
        <w:t xml:space="preserve"> </w:t>
      </w:r>
      <w:r w:rsidRPr="004C55A1">
        <w:t>2024</w:t>
      </w:r>
      <w:r>
        <w:t xml:space="preserve"> ASCO presentation</w:t>
      </w:r>
    </w:p>
    <w:p w14:paraId="24013E66" w14:textId="77777777" w:rsidR="00F72C31" w:rsidRDefault="00F72C31" w:rsidP="00F72C31">
      <w:pPr>
        <w:pStyle w:val="FooterTableFigure"/>
        <w:keepNext/>
      </w:pPr>
      <w:r w:rsidRPr="00BB1333">
        <w:t xml:space="preserve">Abbreviations: CI = confidence interval; ITT = intention to treat; </w:t>
      </w:r>
      <w:r>
        <w:t>neo</w:t>
      </w:r>
      <w:r w:rsidRPr="00BB1333">
        <w:t xml:space="preserve">NIVO= neoadjuvant nivolumab plus chemotherapy; NA = not available/not reached; </w:t>
      </w:r>
      <w:r>
        <w:t>neoChemo</w:t>
      </w:r>
      <w:r w:rsidRPr="00BB1333">
        <w:t xml:space="preserve"> = neoadjuvant chemotherapy; NR = not reported</w:t>
      </w:r>
    </w:p>
    <w:p w14:paraId="0BF53358" w14:textId="77777777" w:rsidR="00A0136F" w:rsidRDefault="00F72C31" w:rsidP="00F72C31">
      <w:pPr>
        <w:pStyle w:val="FooterTableFigure"/>
        <w:keepNext/>
      </w:pPr>
      <w:proofErr w:type="gramStart"/>
      <w:r>
        <w:rPr>
          <w:vertAlign w:val="superscript"/>
        </w:rPr>
        <w:t xml:space="preserve">a </w:t>
      </w:r>
      <w:r>
        <w:t>Number of</w:t>
      </w:r>
      <w:proofErr w:type="gramEnd"/>
      <w:r>
        <w:t xml:space="preserve"> events were not reported</w:t>
      </w:r>
    </w:p>
    <w:p w14:paraId="115E9FF2" w14:textId="0132911A" w:rsidR="00F72C31" w:rsidRPr="0070653C" w:rsidRDefault="00F72C31" w:rsidP="00F72C31">
      <w:pPr>
        <w:pStyle w:val="FooterTableFigure"/>
        <w:keepNext/>
      </w:pPr>
      <w:r w:rsidRPr="0070653C">
        <w:rPr>
          <w:vertAlign w:val="superscript"/>
        </w:rPr>
        <w:t xml:space="preserve">b </w:t>
      </w:r>
      <w:r w:rsidRPr="0070653C">
        <w:t>The stopping boundary for statistical significance (0.0033) was not crossed at this first interim analysis</w:t>
      </w:r>
    </w:p>
    <w:p w14:paraId="762ACD7E" w14:textId="77777777" w:rsidR="00F72C31" w:rsidRPr="0070653C" w:rsidRDefault="00F72C31" w:rsidP="00F72C31">
      <w:pPr>
        <w:pStyle w:val="FooterTableFigure"/>
        <w:keepNext/>
      </w:pPr>
      <w:r w:rsidRPr="0070653C">
        <w:rPr>
          <w:vertAlign w:val="superscript"/>
        </w:rPr>
        <w:t xml:space="preserve">c </w:t>
      </w:r>
      <w:r w:rsidRPr="0070653C">
        <w:t>The stopping boundary for statistical significance (not reported) was not crossed at this second interim analysis</w:t>
      </w:r>
    </w:p>
    <w:p w14:paraId="631A5F05" w14:textId="77777777" w:rsidR="00F72C31" w:rsidRPr="0070653C" w:rsidRDefault="00F72C31" w:rsidP="00F72C31">
      <w:pPr>
        <w:pStyle w:val="FooterTableFigure"/>
        <w:keepNext/>
      </w:pPr>
      <w:r w:rsidRPr="0070653C">
        <w:rPr>
          <w:vertAlign w:val="superscript"/>
        </w:rPr>
        <w:t xml:space="preserve">d </w:t>
      </w:r>
      <w:r w:rsidRPr="0070653C">
        <w:t>The stopping boundary for statistical significance (0.0164) was not crossed at this third interim analysis</w:t>
      </w:r>
    </w:p>
    <w:p w14:paraId="05BC3396" w14:textId="77777777" w:rsidR="00F72C31" w:rsidRPr="00E839D3" w:rsidRDefault="00F72C31" w:rsidP="00F72C31">
      <w:pPr>
        <w:pStyle w:val="FooterTableFigure"/>
        <w:keepNext/>
      </w:pPr>
      <w:r>
        <w:rPr>
          <w:vertAlign w:val="superscript"/>
        </w:rPr>
        <w:t xml:space="preserve">e </w:t>
      </w:r>
      <w:r w:rsidRPr="009470A9">
        <w:t>Stratified Cox proportional hazard model</w:t>
      </w:r>
    </w:p>
    <w:p w14:paraId="199DA303" w14:textId="77777777" w:rsidR="00A0136F" w:rsidRDefault="00F72C31" w:rsidP="00F72C31">
      <w:pPr>
        <w:pStyle w:val="FooterTableFigure"/>
      </w:pPr>
      <w:r>
        <w:t>Note: Cells shaded in blue indicate results previously considered by the PBAC.</w:t>
      </w:r>
    </w:p>
    <w:p w14:paraId="3131A753" w14:textId="6C47A97E" w:rsidR="00F72C31" w:rsidRDefault="00F72C31" w:rsidP="00F72C31">
      <w:pPr>
        <w:pStyle w:val="Caption"/>
      </w:pPr>
      <w:bookmarkStart w:id="58" w:name="_Ref176451869"/>
      <w:r>
        <w:t xml:space="preserve">Figure </w:t>
      </w:r>
      <w:r>
        <w:fldChar w:fldCharType="begin"/>
      </w:r>
      <w:r>
        <w:instrText xml:space="preserve"> SEQ Figure \* ARABIC </w:instrText>
      </w:r>
      <w:r>
        <w:fldChar w:fldCharType="separate"/>
      </w:r>
      <w:r w:rsidR="009C09C9">
        <w:rPr>
          <w:noProof/>
        </w:rPr>
        <w:t>2</w:t>
      </w:r>
      <w:r>
        <w:rPr>
          <w:noProof/>
        </w:rPr>
        <w:fldChar w:fldCharType="end"/>
      </w:r>
      <w:bookmarkEnd w:id="58"/>
      <w:r>
        <w:t>: Overall survival KM plot – CM816: 4-year update</w:t>
      </w:r>
    </w:p>
    <w:p w14:paraId="58ECE8ED" w14:textId="77777777" w:rsidR="00F72C31" w:rsidRDefault="00F72C31" w:rsidP="00F72C31">
      <w:pPr>
        <w:pStyle w:val="TableFigureHeading"/>
      </w:pPr>
      <w:r w:rsidRPr="00693D1D">
        <w:rPr>
          <w:noProof/>
          <w:sz w:val="22"/>
        </w:rPr>
        <w:drawing>
          <wp:inline distT="0" distB="0" distL="0" distR="0" wp14:anchorId="1A13E6C1" wp14:editId="7D46DC83">
            <wp:extent cx="5135880" cy="3540190"/>
            <wp:effectExtent l="0" t="0" r="7620" b="3175"/>
            <wp:docPr id="1794229440" name="Picture 1794229440" descr="Figure 2: Overall survival KM plot – CM816: 4-year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29440" name="Picture 1794229440" descr="Figure 2: Overall survival KM plot – CM816: 4-year update"/>
                    <pic:cNvPicPr/>
                  </pic:nvPicPr>
                  <pic:blipFill>
                    <a:blip r:embed="rId9"/>
                    <a:stretch>
                      <a:fillRect/>
                    </a:stretch>
                  </pic:blipFill>
                  <pic:spPr>
                    <a:xfrm>
                      <a:off x="0" y="0"/>
                      <a:ext cx="5141811" cy="3544278"/>
                    </a:xfrm>
                    <a:prstGeom prst="rect">
                      <a:avLst/>
                    </a:prstGeom>
                  </pic:spPr>
                </pic:pic>
              </a:graphicData>
            </a:graphic>
          </wp:inline>
        </w:drawing>
      </w:r>
    </w:p>
    <w:p w14:paraId="13B0BAC5" w14:textId="77777777" w:rsidR="00F72C31" w:rsidRDefault="00F72C31" w:rsidP="00F72C31">
      <w:pPr>
        <w:pStyle w:val="FooterTableFigure"/>
        <w:keepNext/>
      </w:pPr>
      <w:r>
        <w:t>Source: Figure 23, p111 of the submission</w:t>
      </w:r>
    </w:p>
    <w:p w14:paraId="7DF9D5E7" w14:textId="77777777" w:rsidR="00F72C31" w:rsidRDefault="00F72C31" w:rsidP="00F72C31">
      <w:pPr>
        <w:pStyle w:val="FooterTableFigure"/>
        <w:keepNext/>
      </w:pPr>
      <w:r>
        <w:rPr>
          <w:vertAlign w:val="superscript"/>
        </w:rPr>
        <w:t xml:space="preserve">a </w:t>
      </w:r>
      <w:r>
        <w:t>Reasons for OS events (deaths) in all treated patients in the neoNIVO vs neoChemo arms (N = 176 in each arm) were disease (23% vs 33%), study drug toxicity (0% vs 2%), unknown (3% vs 3%), and other (7% vs 5%).</w:t>
      </w:r>
    </w:p>
    <w:p w14:paraId="749003EA" w14:textId="77777777" w:rsidR="00F72C31" w:rsidRPr="00327E69" w:rsidRDefault="00F72C31" w:rsidP="00F72C31">
      <w:pPr>
        <w:pStyle w:val="FooterTableFigure"/>
        <w:keepNext/>
      </w:pPr>
      <w:r>
        <w:rPr>
          <w:vertAlign w:val="superscript"/>
        </w:rPr>
        <w:t xml:space="preserve">b </w:t>
      </w:r>
      <w:r>
        <w:t xml:space="preserve">The stopping boundary for statistical significance (0.0164) was not crossed at this third interim analysis. </w:t>
      </w:r>
      <w:r>
        <w:rPr>
          <w:vertAlign w:val="superscript"/>
        </w:rPr>
        <w:t xml:space="preserve">c-e </w:t>
      </w:r>
      <w:r>
        <w:t xml:space="preserve">95% CI: </w:t>
      </w:r>
      <w:r>
        <w:rPr>
          <w:vertAlign w:val="superscript"/>
        </w:rPr>
        <w:t xml:space="preserve">c </w:t>
      </w:r>
      <w:r>
        <w:t xml:space="preserve">50.4–NR; </w:t>
      </w:r>
      <w:r>
        <w:rPr>
          <w:vertAlign w:val="superscript"/>
        </w:rPr>
        <w:t xml:space="preserve">d </w:t>
      </w:r>
      <w:r>
        <w:t xml:space="preserve">63–77; </w:t>
      </w:r>
      <w:r>
        <w:rPr>
          <w:vertAlign w:val="superscript"/>
        </w:rPr>
        <w:t xml:space="preserve">e </w:t>
      </w:r>
      <w:r>
        <w:t>50–65</w:t>
      </w:r>
    </w:p>
    <w:p w14:paraId="53F311BB" w14:textId="77777777" w:rsidR="00F72C31" w:rsidRPr="006772FD" w:rsidRDefault="00F72C31" w:rsidP="00F72C31">
      <w:pPr>
        <w:pStyle w:val="FooterTableFigure"/>
      </w:pPr>
      <w:r>
        <w:t>Note:</w:t>
      </w:r>
      <w:r>
        <w:rPr>
          <w:vertAlign w:val="superscript"/>
        </w:rPr>
        <w:t xml:space="preserve"> </w:t>
      </w:r>
      <w:r>
        <w:t>The number of events were not reported in the submission or in the CM816 clinical study report</w:t>
      </w:r>
    </w:p>
    <w:p w14:paraId="2EFC182A" w14:textId="77777777" w:rsidR="00F72C31" w:rsidRDefault="00F72C31" w:rsidP="00F72C31">
      <w:pPr>
        <w:pStyle w:val="3-BodyText"/>
      </w:pPr>
      <w:r>
        <w:lastRenderedPageBreak/>
        <w:t>Other secondary outcomes in CM77T included pathological complete response (pCR)</w:t>
      </w:r>
      <w:r>
        <w:rPr>
          <w:rStyle w:val="FootnoteReference"/>
        </w:rPr>
        <w:footnoteReference w:id="6"/>
      </w:r>
      <w:r>
        <w:t xml:space="preserve"> rate and major pathological response (MPR</w:t>
      </w:r>
      <w:r>
        <w:rPr>
          <w:rStyle w:val="FootnoteReference"/>
        </w:rPr>
        <w:footnoteReference w:id="7"/>
      </w:r>
      <w:r>
        <w:t xml:space="preserve">). </w:t>
      </w:r>
      <w:r w:rsidRPr="00D05C6E">
        <w:t>The submission claimed that pCR has been demonstrated to correlate with survival after neoChemo and surgical resection of tumour (Mouillet 2012), and that MPR has been proposed as an alternate surrogate marker for OS (Hellmann 2014)</w:t>
      </w:r>
      <w:r>
        <w:t xml:space="preserve">, but emphasised that </w:t>
      </w:r>
      <w:r w:rsidRPr="00F04514">
        <w:t xml:space="preserve">no claim was being made </w:t>
      </w:r>
      <w:proofErr w:type="gramStart"/>
      <w:r w:rsidRPr="00F04514">
        <w:t>on the basis of</w:t>
      </w:r>
      <w:proofErr w:type="gramEnd"/>
      <w:r w:rsidRPr="00F04514">
        <w:t xml:space="preserve"> pCR as a surrogate for OS</w:t>
      </w:r>
      <w:r>
        <w:t xml:space="preserve"> and instead argued that EFS was a more patient relevant outcome. </w:t>
      </w:r>
      <w:r w:rsidRPr="00572090">
        <w:rPr>
          <w:iCs/>
        </w:rPr>
        <w:t xml:space="preserve">While the PBAC has previously considered the outcome of EFS in its consideration of neoNIVO in NSCLC at the March 2023 and July 2023 PBAC meetings, it was unclear if it </w:t>
      </w:r>
      <w:proofErr w:type="gramStart"/>
      <w:r w:rsidRPr="00572090">
        <w:rPr>
          <w:iCs/>
        </w:rPr>
        <w:t>was considered to be</w:t>
      </w:r>
      <w:proofErr w:type="gramEnd"/>
      <w:r w:rsidRPr="00572090">
        <w:rPr>
          <w:iCs/>
        </w:rPr>
        <w:t xml:space="preserve"> the more patient relevant outcome. Instead, in the absence of mature OS data, the PBAC has previously noted that time to death or metastatic disease (TTDM) was a clinically meaningful outcome (paragraph 7.8, nivolumab PSD, March 2023 PBAC meeting).</w:t>
      </w:r>
    </w:p>
    <w:p w14:paraId="1837C5F2" w14:textId="77777777" w:rsidR="00F72C31" w:rsidRPr="00572090" w:rsidRDefault="00F72C31" w:rsidP="00F72C31">
      <w:pPr>
        <w:pStyle w:val="3-BodyText"/>
        <w:rPr>
          <w:iCs/>
        </w:rPr>
      </w:pPr>
      <w:bookmarkStart w:id="59" w:name="_Ref176448717"/>
      <w:r>
        <w:t>The percentage of patients with a pCR was 25.3% in the periNIVO arm and 4.7% in the neoChemo arm (odds ratio [OR] = 6.64; 95% CI: 3.40, 12.97). The percentage of patients with a MPR was 35.4% in the periNIVO arm and 12.1% in the neoChemo arm (OR = 4.01; 95% CI: 2.48, 6.49).</w:t>
      </w:r>
      <w:bookmarkEnd w:id="59"/>
      <w:r>
        <w:t xml:space="preserve"> </w:t>
      </w:r>
      <w:r w:rsidRPr="00572090">
        <w:rPr>
          <w:iCs/>
        </w:rPr>
        <w:t>For comparison, the magnitude of pCR benefit (OR = 13.9 ,99% CI 3.4, 55.75) and MPR benefit (OR = 5.7, 95% CI 3.2, 10.3) of neoNIVO compared to neoChemo in CM816 was numerically superior to the magnitude of pCR and MPR benefit of periNIVO compared to neoChemo in CM77T.</w:t>
      </w:r>
      <w:r w:rsidRPr="006772FD">
        <w:t xml:space="preserve"> </w:t>
      </w:r>
      <w:r w:rsidRPr="00572090">
        <w:rPr>
          <w:iCs/>
        </w:rPr>
        <w:t>However, as noted above, the evidence from CM816 remained insufficient for a claim of statistically significant improvement in OS. As such, if pCR and MPR were believed to be predictors of OS, given the lower pCR and MPR benefit for periNIVO in CM77T compared to neoNIVO in CM816, it may be inferred that it would be even less likely that the OS results in CM77T would be statistically significant.</w:t>
      </w:r>
    </w:p>
    <w:p w14:paraId="2EB1A1B8" w14:textId="77777777" w:rsidR="00F72C31" w:rsidRPr="00C76718" w:rsidRDefault="00F72C31" w:rsidP="00F72C31">
      <w:pPr>
        <w:pStyle w:val="3-BodyText"/>
      </w:pPr>
      <w:r>
        <w:t xml:space="preserve">Results for TTDM are presented in Figure </w:t>
      </w:r>
      <w:r>
        <w:rPr>
          <w:noProof/>
        </w:rPr>
        <w:t>3</w:t>
      </w:r>
      <w:r>
        <w:t>.</w:t>
      </w:r>
    </w:p>
    <w:p w14:paraId="6F95CA49" w14:textId="01534828" w:rsidR="00F72C31" w:rsidRDefault="00F72C31" w:rsidP="00F72C31">
      <w:pPr>
        <w:pStyle w:val="Caption"/>
      </w:pPr>
      <w:bookmarkStart w:id="60" w:name="_Ref175824131"/>
      <w:r>
        <w:lastRenderedPageBreak/>
        <w:t xml:space="preserve">Figure </w:t>
      </w:r>
      <w:r>
        <w:fldChar w:fldCharType="begin"/>
      </w:r>
      <w:r>
        <w:instrText xml:space="preserve"> SEQ Figure \* ARABIC </w:instrText>
      </w:r>
      <w:r>
        <w:fldChar w:fldCharType="separate"/>
      </w:r>
      <w:r w:rsidR="009C09C9">
        <w:rPr>
          <w:noProof/>
        </w:rPr>
        <w:t>3</w:t>
      </w:r>
      <w:r>
        <w:rPr>
          <w:noProof/>
        </w:rPr>
        <w:fldChar w:fldCharType="end"/>
      </w:r>
      <w:bookmarkEnd w:id="60"/>
      <w:r>
        <w:t>: Time to death or distant metastases Kaplan-Meier curve – CM77T</w:t>
      </w:r>
    </w:p>
    <w:p w14:paraId="607E466F" w14:textId="77777777" w:rsidR="00F72C31" w:rsidRDefault="00F72C31" w:rsidP="00F72C31">
      <w:pPr>
        <w:rPr>
          <w:rFonts w:eastAsiaTheme="majorEastAsia"/>
        </w:rPr>
      </w:pPr>
      <w:r>
        <w:rPr>
          <w:noProof/>
        </w:rPr>
        <w:drawing>
          <wp:inline distT="0" distB="0" distL="0" distR="0" wp14:anchorId="6DA2907F" wp14:editId="232FB641">
            <wp:extent cx="5509260" cy="3028793"/>
            <wp:effectExtent l="0" t="0" r="0" b="635"/>
            <wp:docPr id="520753196" name="Picture 520753196" descr="Figure 3: Time to death or distant metastases Kaplan-Meier curve – CM77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53196" name="Picture 520753196" descr="Figure 3: Time to death or distant metastases Kaplan-Meier curve – CM77T"/>
                    <pic:cNvPicPr/>
                  </pic:nvPicPr>
                  <pic:blipFill>
                    <a:blip r:embed="rId10"/>
                    <a:stretch>
                      <a:fillRect/>
                    </a:stretch>
                  </pic:blipFill>
                  <pic:spPr>
                    <a:xfrm>
                      <a:off x="0" y="0"/>
                      <a:ext cx="5532728" cy="3041695"/>
                    </a:xfrm>
                    <a:prstGeom prst="rect">
                      <a:avLst/>
                    </a:prstGeom>
                  </pic:spPr>
                </pic:pic>
              </a:graphicData>
            </a:graphic>
          </wp:inline>
        </w:drawing>
      </w:r>
    </w:p>
    <w:p w14:paraId="207C9927" w14:textId="77777777" w:rsidR="00A0136F" w:rsidRDefault="00F72C31" w:rsidP="00F72C31">
      <w:pPr>
        <w:pStyle w:val="FooterTableFigure"/>
      </w:pPr>
      <w:r>
        <w:t>Source: Figure 13, p 93 of the submission</w:t>
      </w:r>
    </w:p>
    <w:p w14:paraId="0947FF90" w14:textId="77777777" w:rsidR="00A0136F" w:rsidRDefault="00F72C31" w:rsidP="00F72C31">
      <w:pPr>
        <w:pStyle w:val="FooterTableFigure"/>
      </w:pPr>
      <w:r>
        <w:t>Abbreviations: HR = hazard ratio; TTDM = time to death or distant metastases; NIVO = perioperative nivolumab; PBO = placebo (neoadjuvant chemotherapy arm).</w:t>
      </w:r>
    </w:p>
    <w:p w14:paraId="152369DA" w14:textId="541D7616" w:rsidR="00F72C31" w:rsidRDefault="00F72C31" w:rsidP="00F72C31">
      <w:pPr>
        <w:pStyle w:val="FooterTableFigure"/>
      </w:pPr>
      <w:r>
        <w:rPr>
          <w:vertAlign w:val="superscript"/>
        </w:rPr>
        <w:t xml:space="preserve">a </w:t>
      </w:r>
      <w:r>
        <w:t>Time between the date of randomisation and the first date of distant metastasis or the date of death in the absence of distant metastasis per investigator assessment.</w:t>
      </w:r>
    </w:p>
    <w:p w14:paraId="0AA09E6D" w14:textId="77777777" w:rsidR="00F72C31" w:rsidRPr="004538DC" w:rsidRDefault="00F72C31" w:rsidP="00F72C31">
      <w:pPr>
        <w:pStyle w:val="FooterTableFigure"/>
      </w:pPr>
      <w:r>
        <w:rPr>
          <w:vertAlign w:val="superscript"/>
        </w:rPr>
        <w:t xml:space="preserve">b-c </w:t>
      </w:r>
      <w:r>
        <w:t xml:space="preserve">95% CI: </w:t>
      </w:r>
      <w:r>
        <w:rPr>
          <w:vertAlign w:val="superscript"/>
        </w:rPr>
        <w:t xml:space="preserve">b </w:t>
      </w:r>
      <w:r>
        <w:t xml:space="preserve">75–86; </w:t>
      </w:r>
      <w:r>
        <w:rPr>
          <w:vertAlign w:val="superscript"/>
        </w:rPr>
        <w:t xml:space="preserve">c </w:t>
      </w:r>
      <w:r>
        <w:t>65–77</w:t>
      </w:r>
    </w:p>
    <w:p w14:paraId="10FA2E90" w14:textId="77777777" w:rsidR="00A0136F" w:rsidRDefault="00F72C31" w:rsidP="00F72C31">
      <w:pPr>
        <w:pStyle w:val="FooterTableFigure"/>
      </w:pPr>
      <w:r>
        <w:t>Note: TTDM was an exploratory endpoint of CM77T and thus results should be interpreted with caution.</w:t>
      </w:r>
    </w:p>
    <w:p w14:paraId="3AEEBAE8" w14:textId="77777777" w:rsidR="00A0136F" w:rsidRDefault="00F72C31" w:rsidP="00F72C31">
      <w:pPr>
        <w:pStyle w:val="3-BodyText"/>
      </w:pPr>
      <w:r>
        <w:t xml:space="preserve">In CM77T, patients randomised to </w:t>
      </w:r>
      <w:r w:rsidRPr="00F925BC">
        <w:t xml:space="preserve">periNIVO </w:t>
      </w:r>
      <w:r>
        <w:t xml:space="preserve">reported a lower risk of </w:t>
      </w:r>
      <w:r w:rsidRPr="00F925BC">
        <w:t xml:space="preserve">distant metastases or death compared to </w:t>
      </w:r>
      <w:r>
        <w:t xml:space="preserve">patients randomised to </w:t>
      </w:r>
      <w:r w:rsidRPr="00F925BC">
        <w:t>the neoChemo arm (HR=0.62; 95% CI 0.44, 0.85).</w:t>
      </w:r>
      <w:r>
        <w:t xml:space="preserve"> </w:t>
      </w:r>
      <w:r w:rsidRPr="00572090">
        <w:rPr>
          <w:iCs/>
        </w:rPr>
        <w:t xml:space="preserve">TTDM was an exploratory endpoint of CM77T and thus results should be interpreted with caution. </w:t>
      </w:r>
      <w:r>
        <w:t xml:space="preserve">The submission noted that </w:t>
      </w:r>
      <w:r w:rsidRPr="00F925BC">
        <w:t>TTDM data was consistent with the assessment of EFS and support</w:t>
      </w:r>
      <w:r>
        <w:t>ed</w:t>
      </w:r>
      <w:r w:rsidRPr="00F925BC">
        <w:t xml:space="preserve"> a conclusion that periNIVO delays the development of distant metastases or death compared with </w:t>
      </w:r>
      <w:r>
        <w:t>neoChemo</w:t>
      </w:r>
      <w:r w:rsidRPr="00F925BC">
        <w:t>.</w:t>
      </w:r>
    </w:p>
    <w:p w14:paraId="470424FB" w14:textId="77777777" w:rsidR="00A0136F" w:rsidRDefault="00F72C31" w:rsidP="00F72C31">
      <w:pPr>
        <w:pStyle w:val="3-BodyText"/>
        <w:rPr>
          <w:iCs/>
        </w:rPr>
      </w:pPr>
      <w:r>
        <w:t xml:space="preserve">Health-related quality of life (HRQoL) was assessed using the 3-level version of the EuroQol 5 dimension (EQ-5D-3L) questionnaire. </w:t>
      </w:r>
      <w:r w:rsidRPr="0055725E">
        <w:t>Patients in both treatment arms had a slight worsening in EQ-5D-3L scores reported during the neoadjuvant treatment period followed by a worsening at the post-surgical visit with subsequent improvements during the adjuvant treatment period.</w:t>
      </w:r>
      <w:r>
        <w:t xml:space="preserve"> </w:t>
      </w:r>
      <w:r w:rsidRPr="00572090">
        <w:rPr>
          <w:iCs/>
        </w:rPr>
        <w:t>EQ-5D-3L visual analogue scores (VAS) appeared to slightly favour neoChemo over periNIVO in the neoadjuvant treatment period and post-surgical visit, however overall no significant difference in HRQoL was observed between treatment arms.</w:t>
      </w:r>
    </w:p>
    <w:p w14:paraId="0C2658DB" w14:textId="6496D38F" w:rsidR="00F72C31" w:rsidRPr="00572090" w:rsidRDefault="00F72C31" w:rsidP="00F72C31">
      <w:pPr>
        <w:pStyle w:val="3-BodyText"/>
        <w:rPr>
          <w:iCs/>
        </w:rPr>
      </w:pPr>
      <w:r w:rsidRPr="00572090">
        <w:rPr>
          <w:iCs/>
        </w:rPr>
        <w:t xml:space="preserve">Results for the exploratory subgroup analyses of EFS in CM77T are summarised in </w:t>
      </w:r>
      <w:r w:rsidRPr="00572090">
        <w:rPr>
          <w:iCs/>
        </w:rPr>
        <w:fldChar w:fldCharType="begin"/>
      </w:r>
      <w:r w:rsidRPr="00572090">
        <w:rPr>
          <w:iCs/>
        </w:rPr>
        <w:instrText xml:space="preserve"> REF _Ref176494307 \h  \* MERGEFORMAT </w:instrText>
      </w:r>
      <w:r w:rsidRPr="00572090">
        <w:rPr>
          <w:iCs/>
        </w:rPr>
      </w:r>
      <w:r w:rsidRPr="00572090">
        <w:rPr>
          <w:iCs/>
        </w:rPr>
        <w:fldChar w:fldCharType="separate"/>
      </w:r>
      <w:r w:rsidR="009C09C9" w:rsidRPr="009C09C9">
        <w:rPr>
          <w:iCs/>
        </w:rPr>
        <w:t xml:space="preserve">Table </w:t>
      </w:r>
      <w:r w:rsidR="009C09C9" w:rsidRPr="009C09C9">
        <w:rPr>
          <w:iCs/>
          <w:noProof/>
        </w:rPr>
        <w:t>12</w:t>
      </w:r>
      <w:r w:rsidRPr="00572090">
        <w:rPr>
          <w:iCs/>
        </w:rPr>
        <w:fldChar w:fldCharType="end"/>
      </w:r>
      <w:r w:rsidRPr="00572090">
        <w:rPr>
          <w:iCs/>
        </w:rPr>
        <w:t>.</w:t>
      </w:r>
    </w:p>
    <w:p w14:paraId="362B78D7" w14:textId="49DF6840" w:rsidR="00F72C31" w:rsidRPr="0098262F" w:rsidRDefault="00F72C31" w:rsidP="00F72C31">
      <w:pPr>
        <w:pStyle w:val="Caption"/>
        <w:rPr>
          <w:rStyle w:val="CommentReference"/>
          <w:b/>
          <w:szCs w:val="24"/>
        </w:rPr>
      </w:pPr>
      <w:bookmarkStart w:id="61" w:name="_Ref176494307"/>
      <w:r>
        <w:lastRenderedPageBreak/>
        <w:t xml:space="preserve">Table </w:t>
      </w:r>
      <w:r>
        <w:fldChar w:fldCharType="begin"/>
      </w:r>
      <w:r>
        <w:instrText xml:space="preserve"> SEQ Table \* ARABIC </w:instrText>
      </w:r>
      <w:r>
        <w:fldChar w:fldCharType="separate"/>
      </w:r>
      <w:r w:rsidR="009C09C9">
        <w:rPr>
          <w:noProof/>
        </w:rPr>
        <w:t>12</w:t>
      </w:r>
      <w:r>
        <w:rPr>
          <w:noProof/>
        </w:rPr>
        <w:fldChar w:fldCharType="end"/>
      </w:r>
      <w:bookmarkEnd w:id="61"/>
      <w:r w:rsidRPr="0098262F">
        <w:rPr>
          <w:rStyle w:val="CommentReference"/>
          <w:b/>
          <w:szCs w:val="24"/>
        </w:rPr>
        <w:t xml:space="preserve">: </w:t>
      </w:r>
      <w:r>
        <w:rPr>
          <w:rStyle w:val="CommentReference"/>
          <w:b/>
          <w:szCs w:val="24"/>
        </w:rPr>
        <w:t>Event-free survival: r</w:t>
      </w:r>
      <w:r w:rsidRPr="0098262F">
        <w:rPr>
          <w:rStyle w:val="CommentReference"/>
          <w:b/>
          <w:szCs w:val="24"/>
        </w:rPr>
        <w:t xml:space="preserve">esults of subgroup analysis </w:t>
      </w:r>
      <w:r>
        <w:rPr>
          <w:rStyle w:val="CommentReference"/>
          <w:b/>
          <w:szCs w:val="24"/>
        </w:rPr>
        <w:t xml:space="preserve">in CM77T </w:t>
      </w:r>
      <w:r w:rsidRPr="0098262F">
        <w:rPr>
          <w:rStyle w:val="CommentReference"/>
          <w:b/>
          <w:szCs w:val="24"/>
        </w:rPr>
        <w:t>with whole trial population results and complement results</w:t>
      </w:r>
    </w:p>
    <w:tbl>
      <w:tblPr>
        <w:tblStyle w:val="TableGrid"/>
        <w:tblW w:w="5000" w:type="pct"/>
        <w:tblLook w:val="04A0" w:firstRow="1" w:lastRow="0" w:firstColumn="1" w:lastColumn="0" w:noHBand="0" w:noVBand="1"/>
        <w:tblCaption w:val="Table 12: Event-free survival: results of subgroup analysis in CM77T with whole trial population results and complement results"/>
        <w:tblDescription w:val="Table 12: Event-free survival: results of subgroup analysis in CM77T with whole trial population results and complement results"/>
      </w:tblPr>
      <w:tblGrid>
        <w:gridCol w:w="1428"/>
        <w:gridCol w:w="830"/>
        <w:gridCol w:w="1657"/>
        <w:gridCol w:w="810"/>
        <w:gridCol w:w="1791"/>
        <w:gridCol w:w="1560"/>
        <w:gridCol w:w="941"/>
      </w:tblGrid>
      <w:tr w:rsidR="00F72C31" w:rsidRPr="00572090" w14:paraId="00CC857B" w14:textId="77777777">
        <w:tc>
          <w:tcPr>
            <w:tcW w:w="792" w:type="pct"/>
            <w:tcBorders>
              <w:top w:val="single" w:sz="4" w:space="0" w:color="auto"/>
              <w:bottom w:val="nil"/>
            </w:tcBorders>
            <w:shd w:val="clear" w:color="auto" w:fill="auto"/>
            <w:tcMar>
              <w:left w:w="57" w:type="dxa"/>
              <w:right w:w="57" w:type="dxa"/>
            </w:tcMar>
            <w:vAlign w:val="center"/>
          </w:tcPr>
          <w:p w14:paraId="3CC79B2F" w14:textId="77777777" w:rsidR="00F72C31" w:rsidRPr="00572090" w:rsidRDefault="00F72C31">
            <w:pPr>
              <w:pStyle w:val="TableText0"/>
            </w:pPr>
          </w:p>
        </w:tc>
        <w:tc>
          <w:tcPr>
            <w:tcW w:w="1379" w:type="pct"/>
            <w:gridSpan w:val="2"/>
            <w:shd w:val="clear" w:color="auto" w:fill="auto"/>
            <w:tcMar>
              <w:left w:w="57" w:type="dxa"/>
              <w:right w:w="57" w:type="dxa"/>
            </w:tcMar>
            <w:vAlign w:val="center"/>
          </w:tcPr>
          <w:p w14:paraId="50993410" w14:textId="77777777" w:rsidR="00F72C31" w:rsidRPr="00572090" w:rsidRDefault="00F72C31">
            <w:pPr>
              <w:pStyle w:val="TableText0"/>
              <w:jc w:val="center"/>
              <w:rPr>
                <w:b/>
                <w:bCs w:val="0"/>
              </w:rPr>
            </w:pPr>
            <w:r w:rsidRPr="00572090">
              <w:rPr>
                <w:b/>
                <w:bCs w:val="0"/>
              </w:rPr>
              <w:t>PeriNIVO</w:t>
            </w:r>
          </w:p>
        </w:tc>
        <w:tc>
          <w:tcPr>
            <w:tcW w:w="1442" w:type="pct"/>
            <w:gridSpan w:val="2"/>
            <w:shd w:val="clear" w:color="auto" w:fill="auto"/>
            <w:tcMar>
              <w:left w:w="57" w:type="dxa"/>
              <w:right w:w="57" w:type="dxa"/>
            </w:tcMar>
            <w:vAlign w:val="center"/>
          </w:tcPr>
          <w:p w14:paraId="206F296C" w14:textId="77777777" w:rsidR="00F72C31" w:rsidRPr="00572090" w:rsidRDefault="00F72C31">
            <w:pPr>
              <w:pStyle w:val="TableText0"/>
              <w:jc w:val="center"/>
              <w:rPr>
                <w:b/>
                <w:bCs w:val="0"/>
              </w:rPr>
            </w:pPr>
            <w:r w:rsidRPr="00572090">
              <w:rPr>
                <w:b/>
                <w:bCs w:val="0"/>
              </w:rPr>
              <w:t>Neo chemo</w:t>
            </w:r>
          </w:p>
        </w:tc>
        <w:tc>
          <w:tcPr>
            <w:tcW w:w="865" w:type="pct"/>
            <w:tcBorders>
              <w:left w:val="nil"/>
            </w:tcBorders>
            <w:shd w:val="clear" w:color="auto" w:fill="auto"/>
            <w:tcMar>
              <w:left w:w="57" w:type="dxa"/>
              <w:right w:w="57" w:type="dxa"/>
            </w:tcMar>
            <w:vAlign w:val="center"/>
          </w:tcPr>
          <w:p w14:paraId="6394E561" w14:textId="77777777" w:rsidR="00F72C31" w:rsidRPr="00572090" w:rsidRDefault="00F72C31">
            <w:pPr>
              <w:pStyle w:val="TableText0"/>
              <w:jc w:val="center"/>
              <w:rPr>
                <w:b/>
                <w:bCs w:val="0"/>
              </w:rPr>
            </w:pPr>
          </w:p>
        </w:tc>
        <w:tc>
          <w:tcPr>
            <w:tcW w:w="522" w:type="pct"/>
            <w:vMerge w:val="restart"/>
            <w:tcBorders>
              <w:left w:val="nil"/>
            </w:tcBorders>
            <w:tcMar>
              <w:left w:w="57" w:type="dxa"/>
              <w:right w:w="57" w:type="dxa"/>
            </w:tcMar>
            <w:vAlign w:val="center"/>
          </w:tcPr>
          <w:p w14:paraId="6230AF93" w14:textId="77777777" w:rsidR="00F72C31" w:rsidRPr="00572090" w:rsidRDefault="00F72C31">
            <w:pPr>
              <w:pStyle w:val="TableText0"/>
              <w:jc w:val="center"/>
              <w:rPr>
                <w:b/>
                <w:bCs w:val="0"/>
                <w:iCs/>
              </w:rPr>
            </w:pPr>
            <w:r w:rsidRPr="00572090">
              <w:rPr>
                <w:b/>
                <w:bCs w:val="0"/>
                <w:iCs/>
              </w:rPr>
              <w:t>Test for p-value</w:t>
            </w:r>
          </w:p>
        </w:tc>
      </w:tr>
      <w:tr w:rsidR="00F72C31" w:rsidRPr="00264E0F" w14:paraId="7647C146" w14:textId="77777777">
        <w:tc>
          <w:tcPr>
            <w:tcW w:w="792" w:type="pct"/>
            <w:tcBorders>
              <w:top w:val="nil"/>
            </w:tcBorders>
            <w:shd w:val="clear" w:color="auto" w:fill="auto"/>
            <w:tcMar>
              <w:left w:w="57" w:type="dxa"/>
              <w:right w:w="57" w:type="dxa"/>
            </w:tcMar>
            <w:vAlign w:val="center"/>
          </w:tcPr>
          <w:p w14:paraId="41296273" w14:textId="77777777" w:rsidR="00F72C31" w:rsidRPr="00264E0F" w:rsidRDefault="00F72C31">
            <w:pPr>
              <w:pStyle w:val="TableText0"/>
            </w:pPr>
          </w:p>
        </w:tc>
        <w:tc>
          <w:tcPr>
            <w:tcW w:w="460" w:type="pct"/>
            <w:shd w:val="clear" w:color="auto" w:fill="auto"/>
            <w:tcMar>
              <w:left w:w="57" w:type="dxa"/>
              <w:right w:w="57" w:type="dxa"/>
            </w:tcMar>
            <w:vAlign w:val="center"/>
          </w:tcPr>
          <w:p w14:paraId="6BB2BA68" w14:textId="77777777" w:rsidR="00F72C31" w:rsidRPr="00264E0F" w:rsidRDefault="00F72C31">
            <w:pPr>
              <w:pStyle w:val="TableText0"/>
              <w:jc w:val="center"/>
              <w:rPr>
                <w:b/>
                <w:bCs w:val="0"/>
              </w:rPr>
            </w:pPr>
            <w:r w:rsidRPr="00264E0F">
              <w:rPr>
                <w:b/>
                <w:bCs w:val="0"/>
              </w:rPr>
              <w:t>n/N (%)</w:t>
            </w:r>
          </w:p>
        </w:tc>
        <w:tc>
          <w:tcPr>
            <w:tcW w:w="919" w:type="pct"/>
            <w:shd w:val="clear" w:color="auto" w:fill="auto"/>
            <w:tcMar>
              <w:left w:w="57" w:type="dxa"/>
              <w:right w:w="57" w:type="dxa"/>
            </w:tcMar>
            <w:vAlign w:val="center"/>
          </w:tcPr>
          <w:p w14:paraId="42A60AE9" w14:textId="77777777" w:rsidR="00F72C31" w:rsidRPr="00264E0F" w:rsidRDefault="00F72C31">
            <w:pPr>
              <w:pStyle w:val="TableText0"/>
              <w:jc w:val="center"/>
              <w:rPr>
                <w:b/>
                <w:bCs w:val="0"/>
              </w:rPr>
            </w:pPr>
            <w:r w:rsidRPr="00264E0F">
              <w:rPr>
                <w:b/>
                <w:bCs w:val="0"/>
              </w:rPr>
              <w:t>Median time-to-event (95% CI)</w:t>
            </w:r>
          </w:p>
        </w:tc>
        <w:tc>
          <w:tcPr>
            <w:tcW w:w="449" w:type="pct"/>
            <w:shd w:val="clear" w:color="auto" w:fill="auto"/>
            <w:tcMar>
              <w:left w:w="57" w:type="dxa"/>
              <w:right w:w="57" w:type="dxa"/>
            </w:tcMar>
            <w:vAlign w:val="center"/>
          </w:tcPr>
          <w:p w14:paraId="76FD7278" w14:textId="77777777" w:rsidR="00F72C31" w:rsidRPr="00264E0F" w:rsidRDefault="00F72C31">
            <w:pPr>
              <w:pStyle w:val="TableText0"/>
              <w:jc w:val="center"/>
              <w:rPr>
                <w:b/>
                <w:bCs w:val="0"/>
              </w:rPr>
            </w:pPr>
            <w:r w:rsidRPr="00264E0F">
              <w:rPr>
                <w:b/>
                <w:bCs w:val="0"/>
              </w:rPr>
              <w:t xml:space="preserve">n/N </w:t>
            </w:r>
            <w:r>
              <w:rPr>
                <w:b/>
                <w:bCs w:val="0"/>
              </w:rPr>
              <w:t>(%)</w:t>
            </w:r>
          </w:p>
        </w:tc>
        <w:tc>
          <w:tcPr>
            <w:tcW w:w="993" w:type="pct"/>
            <w:shd w:val="clear" w:color="auto" w:fill="auto"/>
            <w:tcMar>
              <w:left w:w="57" w:type="dxa"/>
              <w:right w:w="57" w:type="dxa"/>
            </w:tcMar>
            <w:vAlign w:val="center"/>
          </w:tcPr>
          <w:p w14:paraId="741D6006" w14:textId="77777777" w:rsidR="00F72C31" w:rsidRPr="00264E0F" w:rsidRDefault="00F72C31">
            <w:pPr>
              <w:pStyle w:val="TableText0"/>
              <w:jc w:val="center"/>
              <w:rPr>
                <w:b/>
                <w:bCs w:val="0"/>
              </w:rPr>
            </w:pPr>
            <w:r w:rsidRPr="00264E0F">
              <w:rPr>
                <w:b/>
                <w:bCs w:val="0"/>
              </w:rPr>
              <w:t>Median time-to-event (95% CI)</w:t>
            </w:r>
          </w:p>
        </w:tc>
        <w:tc>
          <w:tcPr>
            <w:tcW w:w="865" w:type="pct"/>
            <w:shd w:val="clear" w:color="auto" w:fill="auto"/>
            <w:tcMar>
              <w:left w:w="57" w:type="dxa"/>
              <w:right w:w="57" w:type="dxa"/>
            </w:tcMar>
            <w:vAlign w:val="center"/>
          </w:tcPr>
          <w:p w14:paraId="4CC8AACA" w14:textId="77777777" w:rsidR="00A0136F" w:rsidRDefault="00F72C31">
            <w:pPr>
              <w:pStyle w:val="TableText0"/>
              <w:jc w:val="center"/>
              <w:rPr>
                <w:b/>
                <w:bCs w:val="0"/>
              </w:rPr>
            </w:pPr>
            <w:r w:rsidRPr="00264E0F">
              <w:rPr>
                <w:b/>
                <w:bCs w:val="0"/>
              </w:rPr>
              <w:t>Hazard ratio</w:t>
            </w:r>
          </w:p>
          <w:p w14:paraId="791CFC47" w14:textId="548D537C" w:rsidR="00F72C31" w:rsidRPr="00264E0F" w:rsidRDefault="00F72C31">
            <w:pPr>
              <w:pStyle w:val="TableText0"/>
              <w:jc w:val="center"/>
              <w:rPr>
                <w:b/>
                <w:bCs w:val="0"/>
              </w:rPr>
            </w:pPr>
            <w:r w:rsidRPr="00264E0F">
              <w:rPr>
                <w:b/>
                <w:bCs w:val="0"/>
              </w:rPr>
              <w:t>(95% CI)</w:t>
            </w:r>
          </w:p>
        </w:tc>
        <w:tc>
          <w:tcPr>
            <w:tcW w:w="522" w:type="pct"/>
            <w:vMerge/>
            <w:tcMar>
              <w:left w:w="57" w:type="dxa"/>
              <w:right w:w="57" w:type="dxa"/>
            </w:tcMar>
          </w:tcPr>
          <w:p w14:paraId="68072C9F" w14:textId="77777777" w:rsidR="00F72C31" w:rsidRPr="00264E0F" w:rsidRDefault="00F72C31">
            <w:pPr>
              <w:pStyle w:val="TableText0"/>
              <w:jc w:val="center"/>
              <w:rPr>
                <w:b/>
                <w:bCs w:val="0"/>
              </w:rPr>
            </w:pPr>
          </w:p>
        </w:tc>
      </w:tr>
      <w:tr w:rsidR="00F72C31" w:rsidRPr="00264E0F" w14:paraId="47201E63" w14:textId="77777777">
        <w:tc>
          <w:tcPr>
            <w:tcW w:w="5000" w:type="pct"/>
            <w:gridSpan w:val="7"/>
            <w:shd w:val="clear" w:color="auto" w:fill="auto"/>
            <w:tcMar>
              <w:left w:w="57" w:type="dxa"/>
              <w:right w:w="57" w:type="dxa"/>
            </w:tcMar>
            <w:vAlign w:val="center"/>
          </w:tcPr>
          <w:p w14:paraId="39CEA1C0" w14:textId="77777777" w:rsidR="00F72C31" w:rsidRPr="00A63234" w:rsidRDefault="00F72C31">
            <w:pPr>
              <w:pStyle w:val="TableText0"/>
              <w:rPr>
                <w:b/>
                <w:bCs w:val="0"/>
              </w:rPr>
            </w:pPr>
            <w:r w:rsidRPr="00A63234">
              <w:rPr>
                <w:b/>
                <w:bCs w:val="0"/>
              </w:rPr>
              <w:t>Interim analysis 1: median follow-up 25.4 months</w:t>
            </w:r>
          </w:p>
        </w:tc>
      </w:tr>
      <w:tr w:rsidR="00F72C31" w:rsidRPr="00572090" w14:paraId="3C2CA1A3" w14:textId="77777777">
        <w:tc>
          <w:tcPr>
            <w:tcW w:w="792" w:type="pct"/>
            <w:shd w:val="clear" w:color="auto" w:fill="auto"/>
            <w:tcMar>
              <w:left w:w="57" w:type="dxa"/>
              <w:right w:w="57" w:type="dxa"/>
            </w:tcMar>
            <w:vAlign w:val="center"/>
          </w:tcPr>
          <w:p w14:paraId="363A9B6D" w14:textId="77777777" w:rsidR="00F72C31" w:rsidRPr="00572090" w:rsidRDefault="00F72C31">
            <w:pPr>
              <w:pStyle w:val="TableText0"/>
            </w:pPr>
            <w:r w:rsidRPr="00572090">
              <w:t>Randomised/ITT</w:t>
            </w:r>
          </w:p>
        </w:tc>
        <w:tc>
          <w:tcPr>
            <w:tcW w:w="460" w:type="pct"/>
            <w:shd w:val="clear" w:color="auto" w:fill="auto"/>
            <w:tcMar>
              <w:left w:w="57" w:type="dxa"/>
              <w:right w:w="57" w:type="dxa"/>
            </w:tcMar>
            <w:vAlign w:val="center"/>
          </w:tcPr>
          <w:p w14:paraId="016967D0" w14:textId="77777777" w:rsidR="00F72C31" w:rsidRPr="00572090" w:rsidRDefault="00F72C31">
            <w:pPr>
              <w:pStyle w:val="TableText0"/>
              <w:jc w:val="center"/>
            </w:pPr>
            <w:r w:rsidRPr="00572090">
              <w:t>76/229 (33.2)</w:t>
            </w:r>
          </w:p>
        </w:tc>
        <w:tc>
          <w:tcPr>
            <w:tcW w:w="919" w:type="pct"/>
            <w:shd w:val="clear" w:color="auto" w:fill="auto"/>
            <w:tcMar>
              <w:left w:w="57" w:type="dxa"/>
              <w:right w:w="57" w:type="dxa"/>
            </w:tcMar>
            <w:vAlign w:val="center"/>
          </w:tcPr>
          <w:p w14:paraId="43C0476A" w14:textId="77777777" w:rsidR="00F72C31" w:rsidRPr="00572090" w:rsidRDefault="00F72C31">
            <w:pPr>
              <w:pStyle w:val="TableText0"/>
              <w:jc w:val="center"/>
            </w:pPr>
            <w:r w:rsidRPr="00572090">
              <w:t>NA (28.94, NA)</w:t>
            </w:r>
          </w:p>
        </w:tc>
        <w:tc>
          <w:tcPr>
            <w:tcW w:w="449" w:type="pct"/>
            <w:shd w:val="clear" w:color="auto" w:fill="auto"/>
            <w:tcMar>
              <w:left w:w="57" w:type="dxa"/>
              <w:right w:w="57" w:type="dxa"/>
            </w:tcMar>
            <w:vAlign w:val="center"/>
          </w:tcPr>
          <w:p w14:paraId="428097D5" w14:textId="77777777" w:rsidR="00F72C31" w:rsidRPr="00572090" w:rsidRDefault="00F72C31">
            <w:pPr>
              <w:pStyle w:val="TableText0"/>
              <w:jc w:val="center"/>
            </w:pPr>
            <w:r w:rsidRPr="00572090">
              <w:t>113/232 (48.7)</w:t>
            </w:r>
          </w:p>
        </w:tc>
        <w:tc>
          <w:tcPr>
            <w:tcW w:w="993" w:type="pct"/>
            <w:shd w:val="clear" w:color="auto" w:fill="auto"/>
            <w:tcMar>
              <w:left w:w="57" w:type="dxa"/>
              <w:right w:w="57" w:type="dxa"/>
            </w:tcMar>
            <w:vAlign w:val="center"/>
          </w:tcPr>
          <w:p w14:paraId="5A4DA204" w14:textId="77777777" w:rsidR="00F72C31" w:rsidRPr="00572090" w:rsidRDefault="00F72C31">
            <w:pPr>
              <w:pStyle w:val="TableText0"/>
              <w:jc w:val="center"/>
            </w:pPr>
            <w:r w:rsidRPr="00572090">
              <w:t>18.43 (13.63, 28.06)</w:t>
            </w:r>
          </w:p>
        </w:tc>
        <w:tc>
          <w:tcPr>
            <w:tcW w:w="865" w:type="pct"/>
            <w:shd w:val="clear" w:color="auto" w:fill="auto"/>
            <w:tcMar>
              <w:left w:w="57" w:type="dxa"/>
              <w:right w:w="57" w:type="dxa"/>
            </w:tcMar>
            <w:vAlign w:val="center"/>
          </w:tcPr>
          <w:p w14:paraId="6F4D52E9" w14:textId="77777777" w:rsidR="00F72C31" w:rsidRPr="00572090" w:rsidRDefault="00F72C31">
            <w:pPr>
              <w:pStyle w:val="TableText0"/>
              <w:jc w:val="center"/>
              <w:rPr>
                <w:b/>
                <w:bCs w:val="0"/>
              </w:rPr>
            </w:pPr>
            <w:r w:rsidRPr="00572090">
              <w:rPr>
                <w:b/>
                <w:bCs w:val="0"/>
              </w:rPr>
              <w:t>0.58 (0.43, 0.78)</w:t>
            </w:r>
          </w:p>
        </w:tc>
        <w:tc>
          <w:tcPr>
            <w:tcW w:w="522" w:type="pct"/>
            <w:tcMar>
              <w:left w:w="57" w:type="dxa"/>
              <w:right w:w="57" w:type="dxa"/>
            </w:tcMar>
            <w:vAlign w:val="center"/>
          </w:tcPr>
          <w:p w14:paraId="04729E39" w14:textId="77777777" w:rsidR="00F72C31" w:rsidRPr="00572090" w:rsidRDefault="00F72C31">
            <w:pPr>
              <w:pStyle w:val="TableText0"/>
              <w:jc w:val="center"/>
              <w:rPr>
                <w:iCs/>
              </w:rPr>
            </w:pPr>
            <w:r w:rsidRPr="00572090">
              <w:rPr>
                <w:iCs/>
              </w:rPr>
              <w:t>NA</w:t>
            </w:r>
          </w:p>
        </w:tc>
      </w:tr>
      <w:tr w:rsidR="00F72C31" w:rsidRPr="00572090" w14:paraId="79EB819F" w14:textId="77777777">
        <w:tc>
          <w:tcPr>
            <w:tcW w:w="4478" w:type="pct"/>
            <w:gridSpan w:val="6"/>
            <w:shd w:val="clear" w:color="auto" w:fill="auto"/>
            <w:tcMar>
              <w:left w:w="57" w:type="dxa"/>
              <w:right w:w="57" w:type="dxa"/>
            </w:tcMar>
            <w:vAlign w:val="center"/>
          </w:tcPr>
          <w:p w14:paraId="1741B525" w14:textId="77777777" w:rsidR="00F72C31" w:rsidRPr="00572090" w:rsidRDefault="00F72C31">
            <w:pPr>
              <w:pStyle w:val="TableText0"/>
              <w:rPr>
                <w:b/>
                <w:bCs w:val="0"/>
              </w:rPr>
            </w:pPr>
            <w:r w:rsidRPr="00572090">
              <w:rPr>
                <w:b/>
                <w:bCs w:val="0"/>
              </w:rPr>
              <w:t>Stratification parameter: disease stage at study entry</w:t>
            </w:r>
          </w:p>
        </w:tc>
        <w:tc>
          <w:tcPr>
            <w:tcW w:w="522" w:type="pct"/>
            <w:tcMar>
              <w:left w:w="57" w:type="dxa"/>
              <w:right w:w="57" w:type="dxa"/>
            </w:tcMar>
          </w:tcPr>
          <w:p w14:paraId="4ECF187E" w14:textId="77777777" w:rsidR="00F72C31" w:rsidRPr="00572090" w:rsidRDefault="00F72C31">
            <w:pPr>
              <w:pStyle w:val="TableText0"/>
              <w:rPr>
                <w:iCs/>
              </w:rPr>
            </w:pPr>
          </w:p>
        </w:tc>
      </w:tr>
      <w:tr w:rsidR="00F72C31" w:rsidRPr="00572090" w14:paraId="40336E75" w14:textId="77777777">
        <w:tc>
          <w:tcPr>
            <w:tcW w:w="792" w:type="pct"/>
            <w:shd w:val="clear" w:color="auto" w:fill="auto"/>
            <w:tcMar>
              <w:left w:w="57" w:type="dxa"/>
              <w:right w:w="57" w:type="dxa"/>
            </w:tcMar>
            <w:vAlign w:val="center"/>
          </w:tcPr>
          <w:p w14:paraId="5AD8A786" w14:textId="77777777" w:rsidR="00F72C31" w:rsidRPr="00572090" w:rsidRDefault="00F72C31">
            <w:pPr>
              <w:pStyle w:val="TableText0"/>
            </w:pPr>
            <w:r w:rsidRPr="00572090">
              <w:t>Stage II</w:t>
            </w:r>
          </w:p>
        </w:tc>
        <w:tc>
          <w:tcPr>
            <w:tcW w:w="460" w:type="pct"/>
            <w:shd w:val="clear" w:color="auto" w:fill="auto"/>
            <w:tcMar>
              <w:left w:w="57" w:type="dxa"/>
              <w:right w:w="57" w:type="dxa"/>
            </w:tcMar>
            <w:vAlign w:val="center"/>
          </w:tcPr>
          <w:p w14:paraId="449F95C6" w14:textId="77777777" w:rsidR="00F72C31" w:rsidRPr="00572090" w:rsidRDefault="00F72C31">
            <w:pPr>
              <w:pStyle w:val="TableText0"/>
              <w:jc w:val="center"/>
            </w:pPr>
            <w:r w:rsidRPr="00572090">
              <w:t>22/81</w:t>
            </w:r>
          </w:p>
        </w:tc>
        <w:tc>
          <w:tcPr>
            <w:tcW w:w="919" w:type="pct"/>
            <w:shd w:val="clear" w:color="auto" w:fill="auto"/>
            <w:tcMar>
              <w:left w:w="57" w:type="dxa"/>
              <w:right w:w="57" w:type="dxa"/>
            </w:tcMar>
            <w:vAlign w:val="center"/>
          </w:tcPr>
          <w:p w14:paraId="39419B75" w14:textId="77777777" w:rsidR="00F72C31" w:rsidRPr="00572090" w:rsidRDefault="00F72C31">
            <w:pPr>
              <w:pStyle w:val="TableText0"/>
              <w:jc w:val="center"/>
            </w:pPr>
            <w:r w:rsidRPr="00572090">
              <w:t>NA (22.60, NA)</w:t>
            </w:r>
          </w:p>
        </w:tc>
        <w:tc>
          <w:tcPr>
            <w:tcW w:w="449" w:type="pct"/>
            <w:shd w:val="clear" w:color="auto" w:fill="auto"/>
            <w:tcMar>
              <w:left w:w="57" w:type="dxa"/>
              <w:right w:w="57" w:type="dxa"/>
            </w:tcMar>
            <w:vAlign w:val="center"/>
          </w:tcPr>
          <w:p w14:paraId="24F598C5" w14:textId="77777777" w:rsidR="00F72C31" w:rsidRPr="00572090" w:rsidRDefault="00F72C31">
            <w:pPr>
              <w:pStyle w:val="TableText0"/>
              <w:jc w:val="center"/>
            </w:pPr>
            <w:r w:rsidRPr="00572090">
              <w:t>27/81</w:t>
            </w:r>
          </w:p>
        </w:tc>
        <w:tc>
          <w:tcPr>
            <w:tcW w:w="993" w:type="pct"/>
            <w:shd w:val="clear" w:color="auto" w:fill="auto"/>
            <w:tcMar>
              <w:left w:w="57" w:type="dxa"/>
              <w:right w:w="57" w:type="dxa"/>
            </w:tcMar>
            <w:vAlign w:val="center"/>
          </w:tcPr>
          <w:p w14:paraId="7CF2790E" w14:textId="77777777" w:rsidR="00F72C31" w:rsidRPr="00572090" w:rsidRDefault="00F72C31">
            <w:pPr>
              <w:pStyle w:val="TableText0"/>
              <w:jc w:val="center"/>
            </w:pPr>
            <w:r w:rsidRPr="00572090">
              <w:t>NA (24.18, NA)</w:t>
            </w:r>
          </w:p>
        </w:tc>
        <w:tc>
          <w:tcPr>
            <w:tcW w:w="865" w:type="pct"/>
            <w:shd w:val="clear" w:color="auto" w:fill="auto"/>
            <w:tcMar>
              <w:left w:w="57" w:type="dxa"/>
              <w:right w:w="57" w:type="dxa"/>
            </w:tcMar>
            <w:vAlign w:val="center"/>
          </w:tcPr>
          <w:p w14:paraId="7D1B16D4" w14:textId="77777777" w:rsidR="00F72C31" w:rsidRPr="00572090" w:rsidRDefault="00F72C31">
            <w:pPr>
              <w:pStyle w:val="TableText0"/>
              <w:jc w:val="center"/>
            </w:pPr>
            <w:r w:rsidRPr="00572090">
              <w:t>0.81 (0.46, 1.43)</w:t>
            </w:r>
          </w:p>
        </w:tc>
        <w:tc>
          <w:tcPr>
            <w:tcW w:w="522" w:type="pct"/>
            <w:vMerge w:val="restart"/>
            <w:tcMar>
              <w:left w:w="57" w:type="dxa"/>
              <w:right w:w="57" w:type="dxa"/>
            </w:tcMar>
            <w:vAlign w:val="center"/>
          </w:tcPr>
          <w:p w14:paraId="1347AFE4" w14:textId="77777777" w:rsidR="00F72C31" w:rsidRPr="00572090" w:rsidRDefault="00F72C31">
            <w:pPr>
              <w:pStyle w:val="TableText0"/>
              <w:jc w:val="center"/>
              <w:rPr>
                <w:iCs/>
              </w:rPr>
            </w:pPr>
            <w:r w:rsidRPr="00572090">
              <w:rPr>
                <w:iCs/>
              </w:rPr>
              <w:t>0.1725</w:t>
            </w:r>
          </w:p>
        </w:tc>
      </w:tr>
      <w:tr w:rsidR="00F72C31" w:rsidRPr="00572090" w14:paraId="6E52BA4F" w14:textId="77777777">
        <w:tc>
          <w:tcPr>
            <w:tcW w:w="792" w:type="pct"/>
            <w:shd w:val="clear" w:color="auto" w:fill="auto"/>
            <w:tcMar>
              <w:left w:w="57" w:type="dxa"/>
              <w:right w:w="57" w:type="dxa"/>
            </w:tcMar>
            <w:vAlign w:val="center"/>
          </w:tcPr>
          <w:p w14:paraId="102153ED" w14:textId="77777777" w:rsidR="00F72C31" w:rsidRPr="00572090" w:rsidRDefault="00F72C31">
            <w:pPr>
              <w:pStyle w:val="TableText0"/>
            </w:pPr>
            <w:r w:rsidRPr="00572090">
              <w:t>Stage III</w:t>
            </w:r>
          </w:p>
        </w:tc>
        <w:tc>
          <w:tcPr>
            <w:tcW w:w="460" w:type="pct"/>
            <w:shd w:val="clear" w:color="auto" w:fill="auto"/>
            <w:tcMar>
              <w:left w:w="57" w:type="dxa"/>
              <w:right w:w="57" w:type="dxa"/>
            </w:tcMar>
            <w:vAlign w:val="center"/>
          </w:tcPr>
          <w:p w14:paraId="699D6145" w14:textId="77777777" w:rsidR="00F72C31" w:rsidRPr="00572090" w:rsidRDefault="00F72C31">
            <w:pPr>
              <w:pStyle w:val="TableText0"/>
              <w:jc w:val="center"/>
            </w:pPr>
            <w:r w:rsidRPr="00572090">
              <w:t>54/148</w:t>
            </w:r>
          </w:p>
        </w:tc>
        <w:tc>
          <w:tcPr>
            <w:tcW w:w="919" w:type="pct"/>
            <w:shd w:val="clear" w:color="auto" w:fill="auto"/>
            <w:tcMar>
              <w:left w:w="57" w:type="dxa"/>
              <w:right w:w="57" w:type="dxa"/>
            </w:tcMar>
            <w:vAlign w:val="center"/>
          </w:tcPr>
          <w:p w14:paraId="55A97A6B" w14:textId="77777777" w:rsidR="00F72C31" w:rsidRPr="00572090" w:rsidRDefault="00F72C31">
            <w:pPr>
              <w:pStyle w:val="TableText0"/>
              <w:jc w:val="center"/>
            </w:pPr>
            <w:r w:rsidRPr="00572090">
              <w:t>30.23 (26.91, NA)</w:t>
            </w:r>
          </w:p>
        </w:tc>
        <w:tc>
          <w:tcPr>
            <w:tcW w:w="449" w:type="pct"/>
            <w:shd w:val="clear" w:color="auto" w:fill="auto"/>
            <w:tcMar>
              <w:left w:w="57" w:type="dxa"/>
              <w:right w:w="57" w:type="dxa"/>
            </w:tcMar>
            <w:vAlign w:val="center"/>
          </w:tcPr>
          <w:p w14:paraId="61CA395B" w14:textId="77777777" w:rsidR="00F72C31" w:rsidRPr="00572090" w:rsidRDefault="00F72C31">
            <w:pPr>
              <w:pStyle w:val="TableText0"/>
              <w:jc w:val="center"/>
            </w:pPr>
            <w:r w:rsidRPr="00572090">
              <w:t>86/151</w:t>
            </w:r>
          </w:p>
        </w:tc>
        <w:tc>
          <w:tcPr>
            <w:tcW w:w="993" w:type="pct"/>
            <w:shd w:val="clear" w:color="auto" w:fill="auto"/>
            <w:tcMar>
              <w:left w:w="57" w:type="dxa"/>
              <w:right w:w="57" w:type="dxa"/>
            </w:tcMar>
            <w:vAlign w:val="center"/>
          </w:tcPr>
          <w:p w14:paraId="260733C6" w14:textId="77777777" w:rsidR="00F72C31" w:rsidRPr="00572090" w:rsidRDefault="00F72C31">
            <w:pPr>
              <w:pStyle w:val="TableText0"/>
              <w:jc w:val="center"/>
            </w:pPr>
            <w:r w:rsidRPr="00572090">
              <w:t>13.40 (9.79, 17.74)</w:t>
            </w:r>
          </w:p>
        </w:tc>
        <w:tc>
          <w:tcPr>
            <w:tcW w:w="865" w:type="pct"/>
            <w:shd w:val="clear" w:color="auto" w:fill="auto"/>
            <w:tcMar>
              <w:left w:w="57" w:type="dxa"/>
              <w:right w:w="57" w:type="dxa"/>
            </w:tcMar>
            <w:vAlign w:val="center"/>
          </w:tcPr>
          <w:p w14:paraId="7D59F2FD" w14:textId="77777777" w:rsidR="00F72C31" w:rsidRPr="00572090" w:rsidRDefault="00F72C31">
            <w:pPr>
              <w:pStyle w:val="TableText0"/>
              <w:jc w:val="center"/>
            </w:pPr>
            <w:r w:rsidRPr="00572090">
              <w:t>0.51 (0.36, 0.72)</w:t>
            </w:r>
          </w:p>
        </w:tc>
        <w:tc>
          <w:tcPr>
            <w:tcW w:w="522" w:type="pct"/>
            <w:vMerge/>
            <w:tcMar>
              <w:left w:w="57" w:type="dxa"/>
              <w:right w:w="57" w:type="dxa"/>
            </w:tcMar>
          </w:tcPr>
          <w:p w14:paraId="7ECBDFB9" w14:textId="77777777" w:rsidR="00F72C31" w:rsidRPr="00572090" w:rsidRDefault="00F72C31">
            <w:pPr>
              <w:pStyle w:val="TableText0"/>
              <w:rPr>
                <w:iCs/>
              </w:rPr>
            </w:pPr>
          </w:p>
        </w:tc>
      </w:tr>
      <w:tr w:rsidR="00F72C31" w:rsidRPr="00572090" w14:paraId="697875CF" w14:textId="77777777">
        <w:tc>
          <w:tcPr>
            <w:tcW w:w="4478" w:type="pct"/>
            <w:gridSpan w:val="6"/>
            <w:shd w:val="clear" w:color="auto" w:fill="auto"/>
            <w:tcMar>
              <w:left w:w="57" w:type="dxa"/>
              <w:right w:w="57" w:type="dxa"/>
            </w:tcMar>
            <w:vAlign w:val="center"/>
          </w:tcPr>
          <w:p w14:paraId="76C25D82" w14:textId="77777777" w:rsidR="00F72C31" w:rsidRPr="00572090" w:rsidRDefault="00F72C31">
            <w:pPr>
              <w:pStyle w:val="TableText0"/>
              <w:rPr>
                <w:b/>
                <w:bCs w:val="0"/>
              </w:rPr>
            </w:pPr>
            <w:r w:rsidRPr="00572090">
              <w:rPr>
                <w:b/>
                <w:bCs w:val="0"/>
              </w:rPr>
              <w:t>Stratification parameter: PD-L1 expression</w:t>
            </w:r>
          </w:p>
        </w:tc>
        <w:tc>
          <w:tcPr>
            <w:tcW w:w="522" w:type="pct"/>
            <w:tcMar>
              <w:left w:w="57" w:type="dxa"/>
              <w:right w:w="57" w:type="dxa"/>
            </w:tcMar>
          </w:tcPr>
          <w:p w14:paraId="198A4B53" w14:textId="77777777" w:rsidR="00F72C31" w:rsidRPr="00572090" w:rsidRDefault="00F72C31">
            <w:pPr>
              <w:pStyle w:val="TableText0"/>
              <w:rPr>
                <w:iCs/>
              </w:rPr>
            </w:pPr>
          </w:p>
        </w:tc>
      </w:tr>
      <w:tr w:rsidR="00F72C31" w:rsidRPr="00572090" w14:paraId="7BD76FEB" w14:textId="77777777">
        <w:tc>
          <w:tcPr>
            <w:tcW w:w="792" w:type="pct"/>
            <w:shd w:val="clear" w:color="auto" w:fill="auto"/>
            <w:tcMar>
              <w:left w:w="57" w:type="dxa"/>
              <w:right w:w="57" w:type="dxa"/>
            </w:tcMar>
            <w:vAlign w:val="center"/>
          </w:tcPr>
          <w:p w14:paraId="4D4C6B0D" w14:textId="77777777" w:rsidR="00F72C31" w:rsidRPr="00572090" w:rsidRDefault="00F72C31">
            <w:pPr>
              <w:pStyle w:val="TableText0"/>
            </w:pPr>
            <w:r w:rsidRPr="00572090">
              <w:t>&lt;1%</w:t>
            </w:r>
          </w:p>
        </w:tc>
        <w:tc>
          <w:tcPr>
            <w:tcW w:w="460" w:type="pct"/>
            <w:shd w:val="clear" w:color="auto" w:fill="auto"/>
            <w:tcMar>
              <w:left w:w="57" w:type="dxa"/>
              <w:right w:w="57" w:type="dxa"/>
            </w:tcMar>
            <w:vAlign w:val="center"/>
          </w:tcPr>
          <w:p w14:paraId="07B3BE4C" w14:textId="77777777" w:rsidR="00F72C31" w:rsidRPr="00572090" w:rsidRDefault="00F72C31">
            <w:pPr>
              <w:pStyle w:val="TableText0"/>
              <w:jc w:val="center"/>
            </w:pPr>
            <w:r w:rsidRPr="00572090">
              <w:t>34/93</w:t>
            </w:r>
          </w:p>
        </w:tc>
        <w:tc>
          <w:tcPr>
            <w:tcW w:w="919" w:type="pct"/>
            <w:shd w:val="clear" w:color="auto" w:fill="auto"/>
            <w:tcMar>
              <w:left w:w="57" w:type="dxa"/>
              <w:right w:w="57" w:type="dxa"/>
            </w:tcMar>
            <w:vAlign w:val="center"/>
          </w:tcPr>
          <w:p w14:paraId="159824A8" w14:textId="77777777" w:rsidR="00F72C31" w:rsidRPr="00572090" w:rsidRDefault="00F72C31">
            <w:pPr>
              <w:pStyle w:val="TableText0"/>
              <w:jc w:val="center"/>
            </w:pPr>
            <w:r w:rsidRPr="00572090">
              <w:t>29.04 (21.39, NA)</w:t>
            </w:r>
          </w:p>
        </w:tc>
        <w:tc>
          <w:tcPr>
            <w:tcW w:w="449" w:type="pct"/>
            <w:shd w:val="clear" w:color="auto" w:fill="auto"/>
            <w:tcMar>
              <w:left w:w="57" w:type="dxa"/>
              <w:right w:w="57" w:type="dxa"/>
            </w:tcMar>
            <w:vAlign w:val="center"/>
          </w:tcPr>
          <w:p w14:paraId="08C2F99B" w14:textId="77777777" w:rsidR="00F72C31" w:rsidRPr="00572090" w:rsidRDefault="00F72C31">
            <w:pPr>
              <w:pStyle w:val="TableText0"/>
              <w:jc w:val="center"/>
            </w:pPr>
            <w:r w:rsidRPr="00572090">
              <w:t>44/93</w:t>
            </w:r>
          </w:p>
        </w:tc>
        <w:tc>
          <w:tcPr>
            <w:tcW w:w="993" w:type="pct"/>
            <w:shd w:val="clear" w:color="auto" w:fill="auto"/>
            <w:tcMar>
              <w:left w:w="57" w:type="dxa"/>
              <w:right w:w="57" w:type="dxa"/>
            </w:tcMar>
            <w:vAlign w:val="center"/>
          </w:tcPr>
          <w:p w14:paraId="3AEE681B" w14:textId="77777777" w:rsidR="00F72C31" w:rsidRPr="00572090" w:rsidRDefault="00F72C31">
            <w:pPr>
              <w:pStyle w:val="TableText0"/>
              <w:jc w:val="center"/>
            </w:pPr>
            <w:r w:rsidRPr="00572090">
              <w:t>19.81 (13.86, NA)</w:t>
            </w:r>
          </w:p>
        </w:tc>
        <w:tc>
          <w:tcPr>
            <w:tcW w:w="865" w:type="pct"/>
            <w:shd w:val="clear" w:color="auto" w:fill="auto"/>
            <w:tcMar>
              <w:left w:w="57" w:type="dxa"/>
              <w:right w:w="57" w:type="dxa"/>
            </w:tcMar>
            <w:vAlign w:val="center"/>
          </w:tcPr>
          <w:p w14:paraId="671CA182" w14:textId="77777777" w:rsidR="00F72C31" w:rsidRPr="00572090" w:rsidRDefault="00F72C31">
            <w:pPr>
              <w:pStyle w:val="TableText0"/>
              <w:jc w:val="center"/>
            </w:pPr>
            <w:r w:rsidRPr="00572090">
              <w:t>0.73 (0.47, 1.15)</w:t>
            </w:r>
          </w:p>
        </w:tc>
        <w:tc>
          <w:tcPr>
            <w:tcW w:w="522" w:type="pct"/>
            <w:vMerge w:val="restart"/>
            <w:tcMar>
              <w:left w:w="57" w:type="dxa"/>
              <w:right w:w="57" w:type="dxa"/>
            </w:tcMar>
            <w:vAlign w:val="center"/>
          </w:tcPr>
          <w:p w14:paraId="506CDFED" w14:textId="77777777" w:rsidR="00F72C31" w:rsidRPr="00572090" w:rsidRDefault="00F72C31">
            <w:pPr>
              <w:pStyle w:val="TableText0"/>
              <w:jc w:val="center"/>
              <w:rPr>
                <w:iCs/>
              </w:rPr>
            </w:pPr>
            <w:r w:rsidRPr="00572090">
              <w:rPr>
                <w:iCs/>
              </w:rPr>
              <w:t>0.2683</w:t>
            </w:r>
          </w:p>
        </w:tc>
      </w:tr>
      <w:tr w:rsidR="00F72C31" w:rsidRPr="00572090" w14:paraId="4C76433C" w14:textId="77777777">
        <w:tc>
          <w:tcPr>
            <w:tcW w:w="792" w:type="pct"/>
            <w:shd w:val="clear" w:color="auto" w:fill="auto"/>
            <w:tcMar>
              <w:left w:w="57" w:type="dxa"/>
              <w:right w:w="57" w:type="dxa"/>
            </w:tcMar>
            <w:vAlign w:val="center"/>
          </w:tcPr>
          <w:p w14:paraId="12ED8EFF" w14:textId="77777777" w:rsidR="00F72C31" w:rsidRPr="00572090" w:rsidRDefault="00F72C31">
            <w:pPr>
              <w:pStyle w:val="TableText0"/>
            </w:pPr>
            <w:r w:rsidRPr="00572090">
              <w:t>≥1%</w:t>
            </w:r>
          </w:p>
        </w:tc>
        <w:tc>
          <w:tcPr>
            <w:tcW w:w="460" w:type="pct"/>
            <w:shd w:val="clear" w:color="auto" w:fill="auto"/>
            <w:tcMar>
              <w:left w:w="57" w:type="dxa"/>
              <w:right w:w="57" w:type="dxa"/>
            </w:tcMar>
            <w:vAlign w:val="center"/>
          </w:tcPr>
          <w:p w14:paraId="3E939398" w14:textId="77777777" w:rsidR="00F72C31" w:rsidRPr="00572090" w:rsidRDefault="00F72C31">
            <w:pPr>
              <w:pStyle w:val="TableText0"/>
              <w:jc w:val="center"/>
            </w:pPr>
            <w:r w:rsidRPr="00572090">
              <w:t>39/128</w:t>
            </w:r>
          </w:p>
        </w:tc>
        <w:tc>
          <w:tcPr>
            <w:tcW w:w="919" w:type="pct"/>
            <w:shd w:val="clear" w:color="auto" w:fill="auto"/>
            <w:tcMar>
              <w:left w:w="57" w:type="dxa"/>
              <w:right w:w="57" w:type="dxa"/>
            </w:tcMar>
            <w:vAlign w:val="center"/>
          </w:tcPr>
          <w:p w14:paraId="3E920895" w14:textId="77777777" w:rsidR="00F72C31" w:rsidRPr="00572090" w:rsidRDefault="00F72C31">
            <w:pPr>
              <w:pStyle w:val="TableText0"/>
              <w:jc w:val="center"/>
            </w:pPr>
            <w:r w:rsidRPr="00572090">
              <w:t>NA (28.94, NA)</w:t>
            </w:r>
          </w:p>
        </w:tc>
        <w:tc>
          <w:tcPr>
            <w:tcW w:w="449" w:type="pct"/>
            <w:shd w:val="clear" w:color="auto" w:fill="auto"/>
            <w:tcMar>
              <w:left w:w="57" w:type="dxa"/>
              <w:right w:w="57" w:type="dxa"/>
            </w:tcMar>
            <w:vAlign w:val="center"/>
          </w:tcPr>
          <w:p w14:paraId="03601838" w14:textId="77777777" w:rsidR="00F72C31" w:rsidRPr="00572090" w:rsidRDefault="00F72C31">
            <w:pPr>
              <w:pStyle w:val="TableText0"/>
              <w:jc w:val="center"/>
            </w:pPr>
            <w:r w:rsidRPr="00572090">
              <w:t>63/128</w:t>
            </w:r>
          </w:p>
        </w:tc>
        <w:tc>
          <w:tcPr>
            <w:tcW w:w="993" w:type="pct"/>
            <w:shd w:val="clear" w:color="auto" w:fill="auto"/>
            <w:tcMar>
              <w:left w:w="57" w:type="dxa"/>
              <w:right w:w="57" w:type="dxa"/>
            </w:tcMar>
            <w:vAlign w:val="center"/>
          </w:tcPr>
          <w:p w14:paraId="188DD8E3" w14:textId="77777777" w:rsidR="00F72C31" w:rsidRPr="00572090" w:rsidRDefault="00F72C31">
            <w:pPr>
              <w:pStyle w:val="TableText0"/>
              <w:jc w:val="center"/>
            </w:pPr>
            <w:r w:rsidRPr="00572090">
              <w:t>15.80 (9.33, 35.06)</w:t>
            </w:r>
          </w:p>
        </w:tc>
        <w:tc>
          <w:tcPr>
            <w:tcW w:w="865" w:type="pct"/>
            <w:shd w:val="clear" w:color="auto" w:fill="auto"/>
            <w:tcMar>
              <w:left w:w="57" w:type="dxa"/>
              <w:right w:w="57" w:type="dxa"/>
            </w:tcMar>
            <w:vAlign w:val="center"/>
          </w:tcPr>
          <w:p w14:paraId="14C64D51" w14:textId="77777777" w:rsidR="00F72C31" w:rsidRPr="00572090" w:rsidRDefault="00F72C31">
            <w:pPr>
              <w:pStyle w:val="TableText0"/>
              <w:jc w:val="center"/>
            </w:pPr>
            <w:r w:rsidRPr="00572090">
              <w:t>0.52 (0.35, 0.78)</w:t>
            </w:r>
          </w:p>
        </w:tc>
        <w:tc>
          <w:tcPr>
            <w:tcW w:w="522" w:type="pct"/>
            <w:vMerge/>
            <w:tcMar>
              <w:left w:w="57" w:type="dxa"/>
              <w:right w:w="57" w:type="dxa"/>
            </w:tcMar>
          </w:tcPr>
          <w:p w14:paraId="1690CF88" w14:textId="77777777" w:rsidR="00F72C31" w:rsidRPr="00572090" w:rsidRDefault="00F72C31">
            <w:pPr>
              <w:pStyle w:val="TableText0"/>
              <w:rPr>
                <w:iCs/>
              </w:rPr>
            </w:pPr>
          </w:p>
        </w:tc>
      </w:tr>
      <w:tr w:rsidR="00F72C31" w:rsidRPr="00572090" w14:paraId="0E8D4500" w14:textId="77777777">
        <w:tc>
          <w:tcPr>
            <w:tcW w:w="792" w:type="pct"/>
            <w:shd w:val="clear" w:color="auto" w:fill="auto"/>
            <w:tcMar>
              <w:left w:w="57" w:type="dxa"/>
              <w:right w:w="57" w:type="dxa"/>
            </w:tcMar>
            <w:vAlign w:val="center"/>
          </w:tcPr>
          <w:p w14:paraId="6FFE42CA" w14:textId="77777777" w:rsidR="00F72C31" w:rsidRPr="00572090" w:rsidRDefault="00F72C31">
            <w:pPr>
              <w:pStyle w:val="TableText0"/>
            </w:pPr>
            <w:r w:rsidRPr="00572090">
              <w:t>1-49%</w:t>
            </w:r>
          </w:p>
        </w:tc>
        <w:tc>
          <w:tcPr>
            <w:tcW w:w="460" w:type="pct"/>
            <w:shd w:val="clear" w:color="auto" w:fill="auto"/>
            <w:tcMar>
              <w:left w:w="57" w:type="dxa"/>
              <w:right w:w="57" w:type="dxa"/>
            </w:tcMar>
            <w:vAlign w:val="center"/>
          </w:tcPr>
          <w:p w14:paraId="0855321A" w14:textId="77777777" w:rsidR="00F72C31" w:rsidRPr="00572090" w:rsidRDefault="00F72C31">
            <w:pPr>
              <w:pStyle w:val="TableText0"/>
              <w:jc w:val="center"/>
            </w:pPr>
            <w:r w:rsidRPr="00572090">
              <w:t>30/80</w:t>
            </w:r>
          </w:p>
        </w:tc>
        <w:tc>
          <w:tcPr>
            <w:tcW w:w="919" w:type="pct"/>
            <w:shd w:val="clear" w:color="auto" w:fill="auto"/>
            <w:tcMar>
              <w:left w:w="57" w:type="dxa"/>
              <w:right w:w="57" w:type="dxa"/>
            </w:tcMar>
            <w:vAlign w:val="center"/>
          </w:tcPr>
          <w:p w14:paraId="476FC684" w14:textId="77777777" w:rsidR="00F72C31" w:rsidRPr="00572090" w:rsidRDefault="00F72C31">
            <w:pPr>
              <w:pStyle w:val="TableText0"/>
              <w:jc w:val="center"/>
            </w:pPr>
            <w:r w:rsidRPr="00572090">
              <w:t>30.23 (20.01, NA)</w:t>
            </w:r>
          </w:p>
        </w:tc>
        <w:tc>
          <w:tcPr>
            <w:tcW w:w="449" w:type="pct"/>
            <w:shd w:val="clear" w:color="auto" w:fill="auto"/>
            <w:tcMar>
              <w:left w:w="57" w:type="dxa"/>
              <w:right w:w="57" w:type="dxa"/>
            </w:tcMar>
            <w:vAlign w:val="center"/>
          </w:tcPr>
          <w:p w14:paraId="261FA333" w14:textId="77777777" w:rsidR="00F72C31" w:rsidRPr="00572090" w:rsidRDefault="00F72C31">
            <w:pPr>
              <w:pStyle w:val="TableText0"/>
              <w:jc w:val="center"/>
            </w:pPr>
            <w:r w:rsidRPr="00572090">
              <w:t>33/76</w:t>
            </w:r>
          </w:p>
        </w:tc>
        <w:tc>
          <w:tcPr>
            <w:tcW w:w="993" w:type="pct"/>
            <w:shd w:val="clear" w:color="auto" w:fill="auto"/>
            <w:tcMar>
              <w:left w:w="57" w:type="dxa"/>
              <w:right w:w="57" w:type="dxa"/>
            </w:tcMar>
            <w:vAlign w:val="center"/>
          </w:tcPr>
          <w:p w14:paraId="26C4AEED" w14:textId="77777777" w:rsidR="00F72C31" w:rsidRPr="00572090" w:rsidRDefault="00F72C31">
            <w:pPr>
              <w:pStyle w:val="TableText0"/>
              <w:jc w:val="center"/>
            </w:pPr>
            <w:r w:rsidRPr="00572090">
              <w:t>NA</w:t>
            </w:r>
          </w:p>
        </w:tc>
        <w:tc>
          <w:tcPr>
            <w:tcW w:w="865" w:type="pct"/>
            <w:shd w:val="clear" w:color="auto" w:fill="auto"/>
            <w:tcMar>
              <w:left w:w="57" w:type="dxa"/>
              <w:right w:w="57" w:type="dxa"/>
            </w:tcMar>
            <w:vAlign w:val="center"/>
          </w:tcPr>
          <w:p w14:paraId="627773F1" w14:textId="77777777" w:rsidR="00F72C31" w:rsidRPr="00572090" w:rsidRDefault="00F72C31">
            <w:pPr>
              <w:pStyle w:val="TableText0"/>
              <w:jc w:val="center"/>
              <w:rPr>
                <w:iCs/>
              </w:rPr>
            </w:pPr>
            <w:r w:rsidRPr="00572090">
              <w:rPr>
                <w:iCs/>
              </w:rPr>
              <w:t>0.76 (0.46, 1.25)</w:t>
            </w:r>
          </w:p>
        </w:tc>
        <w:tc>
          <w:tcPr>
            <w:tcW w:w="522" w:type="pct"/>
            <w:vMerge w:val="restart"/>
            <w:tcMar>
              <w:left w:w="57" w:type="dxa"/>
              <w:right w:w="57" w:type="dxa"/>
            </w:tcMar>
            <w:vAlign w:val="center"/>
          </w:tcPr>
          <w:p w14:paraId="1BA7C716" w14:textId="77777777" w:rsidR="00F72C31" w:rsidRPr="00572090" w:rsidRDefault="00F72C31">
            <w:pPr>
              <w:pStyle w:val="TableText0"/>
              <w:jc w:val="center"/>
              <w:rPr>
                <w:iCs/>
              </w:rPr>
            </w:pPr>
            <w:r w:rsidRPr="00572090">
              <w:rPr>
                <w:iCs/>
              </w:rPr>
              <w:t>NA</w:t>
            </w:r>
          </w:p>
        </w:tc>
      </w:tr>
      <w:tr w:rsidR="00F72C31" w:rsidRPr="00572090" w14:paraId="44F652A7" w14:textId="77777777">
        <w:tc>
          <w:tcPr>
            <w:tcW w:w="792" w:type="pct"/>
            <w:shd w:val="clear" w:color="auto" w:fill="auto"/>
            <w:tcMar>
              <w:left w:w="57" w:type="dxa"/>
              <w:right w:w="57" w:type="dxa"/>
            </w:tcMar>
            <w:vAlign w:val="center"/>
          </w:tcPr>
          <w:p w14:paraId="5C9CD8B4" w14:textId="77777777" w:rsidR="00F72C31" w:rsidRPr="00572090" w:rsidRDefault="00F72C31">
            <w:pPr>
              <w:pStyle w:val="TableText0"/>
            </w:pPr>
            <w:r w:rsidRPr="00572090">
              <w:t>≥50%</w:t>
            </w:r>
          </w:p>
        </w:tc>
        <w:tc>
          <w:tcPr>
            <w:tcW w:w="460" w:type="pct"/>
            <w:shd w:val="clear" w:color="auto" w:fill="auto"/>
            <w:tcMar>
              <w:left w:w="57" w:type="dxa"/>
              <w:right w:w="57" w:type="dxa"/>
            </w:tcMar>
            <w:vAlign w:val="center"/>
          </w:tcPr>
          <w:p w14:paraId="08326B14" w14:textId="77777777" w:rsidR="00F72C31" w:rsidRPr="00572090" w:rsidRDefault="00F72C31">
            <w:pPr>
              <w:pStyle w:val="TableText0"/>
              <w:jc w:val="center"/>
            </w:pPr>
            <w:r w:rsidRPr="00572090">
              <w:t>9/45</w:t>
            </w:r>
          </w:p>
        </w:tc>
        <w:tc>
          <w:tcPr>
            <w:tcW w:w="919" w:type="pct"/>
            <w:shd w:val="clear" w:color="auto" w:fill="auto"/>
            <w:tcMar>
              <w:left w:w="57" w:type="dxa"/>
              <w:right w:w="57" w:type="dxa"/>
            </w:tcMar>
            <w:vAlign w:val="center"/>
          </w:tcPr>
          <w:p w14:paraId="11429125" w14:textId="77777777" w:rsidR="00F72C31" w:rsidRPr="00572090" w:rsidRDefault="00F72C31">
            <w:pPr>
              <w:pStyle w:val="TableText0"/>
              <w:jc w:val="center"/>
            </w:pPr>
            <w:r w:rsidRPr="00572090">
              <w:t>28.06 (11.01, NA)</w:t>
            </w:r>
          </w:p>
        </w:tc>
        <w:tc>
          <w:tcPr>
            <w:tcW w:w="449" w:type="pct"/>
            <w:shd w:val="clear" w:color="auto" w:fill="auto"/>
            <w:tcMar>
              <w:left w:w="57" w:type="dxa"/>
              <w:right w:w="57" w:type="dxa"/>
            </w:tcMar>
            <w:vAlign w:val="center"/>
          </w:tcPr>
          <w:p w14:paraId="41C6F8BB" w14:textId="77777777" w:rsidR="00F72C31" w:rsidRPr="00572090" w:rsidRDefault="00F72C31">
            <w:pPr>
              <w:pStyle w:val="TableText0"/>
              <w:jc w:val="center"/>
            </w:pPr>
            <w:r w:rsidRPr="00572090">
              <w:t>30/52</w:t>
            </w:r>
          </w:p>
        </w:tc>
        <w:tc>
          <w:tcPr>
            <w:tcW w:w="993" w:type="pct"/>
            <w:shd w:val="clear" w:color="auto" w:fill="auto"/>
            <w:tcMar>
              <w:left w:w="57" w:type="dxa"/>
              <w:right w:w="57" w:type="dxa"/>
            </w:tcMar>
            <w:vAlign w:val="center"/>
          </w:tcPr>
          <w:p w14:paraId="0940F1EF" w14:textId="77777777" w:rsidR="00F72C31" w:rsidRPr="00572090" w:rsidRDefault="00F72C31">
            <w:pPr>
              <w:pStyle w:val="TableText0"/>
              <w:jc w:val="center"/>
            </w:pPr>
            <w:r w:rsidRPr="00572090">
              <w:t>7.98 (6.28, 23.72)</w:t>
            </w:r>
          </w:p>
        </w:tc>
        <w:tc>
          <w:tcPr>
            <w:tcW w:w="865" w:type="pct"/>
            <w:shd w:val="clear" w:color="auto" w:fill="auto"/>
            <w:tcMar>
              <w:left w:w="57" w:type="dxa"/>
              <w:right w:w="57" w:type="dxa"/>
            </w:tcMar>
            <w:vAlign w:val="center"/>
          </w:tcPr>
          <w:p w14:paraId="1B8E02B1" w14:textId="77777777" w:rsidR="00F72C31" w:rsidRPr="00572090" w:rsidRDefault="00F72C31">
            <w:pPr>
              <w:pStyle w:val="TableText0"/>
              <w:jc w:val="center"/>
              <w:rPr>
                <w:iCs/>
              </w:rPr>
            </w:pPr>
            <w:r w:rsidRPr="00572090">
              <w:rPr>
                <w:iCs/>
              </w:rPr>
              <w:t>0.26 (0.12, 0.55)</w:t>
            </w:r>
          </w:p>
        </w:tc>
        <w:tc>
          <w:tcPr>
            <w:tcW w:w="522" w:type="pct"/>
            <w:vMerge/>
            <w:tcMar>
              <w:left w:w="57" w:type="dxa"/>
              <w:right w:w="57" w:type="dxa"/>
            </w:tcMar>
          </w:tcPr>
          <w:p w14:paraId="320A01DD" w14:textId="77777777" w:rsidR="00F72C31" w:rsidRPr="00572090" w:rsidRDefault="00F72C31">
            <w:pPr>
              <w:pStyle w:val="TableText0"/>
              <w:rPr>
                <w:iCs/>
              </w:rPr>
            </w:pPr>
          </w:p>
        </w:tc>
      </w:tr>
      <w:tr w:rsidR="00F72C31" w:rsidRPr="00572090" w14:paraId="5E078E88" w14:textId="77777777">
        <w:tc>
          <w:tcPr>
            <w:tcW w:w="4478" w:type="pct"/>
            <w:gridSpan w:val="6"/>
            <w:shd w:val="clear" w:color="auto" w:fill="auto"/>
            <w:tcMar>
              <w:left w:w="57" w:type="dxa"/>
              <w:right w:w="57" w:type="dxa"/>
            </w:tcMar>
            <w:vAlign w:val="center"/>
          </w:tcPr>
          <w:p w14:paraId="38CDA291" w14:textId="77777777" w:rsidR="00F72C31" w:rsidRPr="00572090" w:rsidRDefault="00F72C31">
            <w:pPr>
              <w:pStyle w:val="TableText0"/>
              <w:rPr>
                <w:b/>
                <w:bCs w:val="0"/>
              </w:rPr>
            </w:pPr>
            <w:r w:rsidRPr="00572090">
              <w:rPr>
                <w:b/>
                <w:bCs w:val="0"/>
              </w:rPr>
              <w:t>Stratification parameter: tumour histology</w:t>
            </w:r>
          </w:p>
        </w:tc>
        <w:tc>
          <w:tcPr>
            <w:tcW w:w="522" w:type="pct"/>
            <w:tcMar>
              <w:left w:w="57" w:type="dxa"/>
              <w:right w:w="57" w:type="dxa"/>
            </w:tcMar>
          </w:tcPr>
          <w:p w14:paraId="43E25C9B" w14:textId="77777777" w:rsidR="00F72C31" w:rsidRPr="00572090" w:rsidRDefault="00F72C31">
            <w:pPr>
              <w:pStyle w:val="TableText0"/>
              <w:rPr>
                <w:iCs/>
              </w:rPr>
            </w:pPr>
          </w:p>
        </w:tc>
      </w:tr>
      <w:tr w:rsidR="00F72C31" w:rsidRPr="00572090" w14:paraId="51C7A560" w14:textId="77777777">
        <w:tc>
          <w:tcPr>
            <w:tcW w:w="792" w:type="pct"/>
            <w:shd w:val="clear" w:color="auto" w:fill="auto"/>
            <w:tcMar>
              <w:left w:w="57" w:type="dxa"/>
              <w:right w:w="57" w:type="dxa"/>
            </w:tcMar>
            <w:vAlign w:val="center"/>
          </w:tcPr>
          <w:p w14:paraId="62F3EAA5" w14:textId="77777777" w:rsidR="00F72C31" w:rsidRPr="00572090" w:rsidRDefault="00F72C31">
            <w:pPr>
              <w:pStyle w:val="TableText0"/>
            </w:pPr>
            <w:r w:rsidRPr="00572090">
              <w:t>Squamous</w:t>
            </w:r>
          </w:p>
        </w:tc>
        <w:tc>
          <w:tcPr>
            <w:tcW w:w="460" w:type="pct"/>
            <w:shd w:val="clear" w:color="auto" w:fill="auto"/>
            <w:tcMar>
              <w:left w:w="57" w:type="dxa"/>
              <w:right w:w="57" w:type="dxa"/>
            </w:tcMar>
            <w:vAlign w:val="center"/>
          </w:tcPr>
          <w:p w14:paraId="427DA3B8" w14:textId="77777777" w:rsidR="00F72C31" w:rsidRPr="00572090" w:rsidRDefault="00F72C31">
            <w:pPr>
              <w:pStyle w:val="TableText0"/>
              <w:jc w:val="center"/>
            </w:pPr>
            <w:r w:rsidRPr="00572090">
              <w:t>31/116</w:t>
            </w:r>
          </w:p>
        </w:tc>
        <w:tc>
          <w:tcPr>
            <w:tcW w:w="919" w:type="pct"/>
            <w:shd w:val="clear" w:color="auto" w:fill="auto"/>
            <w:tcMar>
              <w:left w:w="57" w:type="dxa"/>
              <w:right w:w="57" w:type="dxa"/>
            </w:tcMar>
            <w:vAlign w:val="center"/>
          </w:tcPr>
          <w:p w14:paraId="68FE9345" w14:textId="77777777" w:rsidR="00F72C31" w:rsidRPr="00572090" w:rsidRDefault="00F72C31">
            <w:pPr>
              <w:pStyle w:val="TableText0"/>
              <w:jc w:val="center"/>
            </w:pPr>
            <w:r w:rsidRPr="00572090">
              <w:t>NA</w:t>
            </w:r>
          </w:p>
        </w:tc>
        <w:tc>
          <w:tcPr>
            <w:tcW w:w="449" w:type="pct"/>
            <w:shd w:val="clear" w:color="auto" w:fill="auto"/>
            <w:tcMar>
              <w:left w:w="57" w:type="dxa"/>
              <w:right w:w="57" w:type="dxa"/>
            </w:tcMar>
            <w:vAlign w:val="center"/>
          </w:tcPr>
          <w:p w14:paraId="0964BE92" w14:textId="77777777" w:rsidR="00F72C31" w:rsidRPr="00572090" w:rsidRDefault="00F72C31">
            <w:pPr>
              <w:pStyle w:val="TableText0"/>
              <w:jc w:val="center"/>
            </w:pPr>
            <w:r w:rsidRPr="00572090">
              <w:t>56/118</w:t>
            </w:r>
          </w:p>
        </w:tc>
        <w:tc>
          <w:tcPr>
            <w:tcW w:w="993" w:type="pct"/>
            <w:shd w:val="clear" w:color="auto" w:fill="auto"/>
            <w:tcMar>
              <w:left w:w="57" w:type="dxa"/>
              <w:right w:w="57" w:type="dxa"/>
            </w:tcMar>
            <w:vAlign w:val="center"/>
          </w:tcPr>
          <w:p w14:paraId="78EFAE38" w14:textId="77777777" w:rsidR="00F72C31" w:rsidRPr="00572090" w:rsidRDefault="00F72C31">
            <w:pPr>
              <w:pStyle w:val="TableText0"/>
              <w:jc w:val="center"/>
            </w:pPr>
            <w:r w:rsidRPr="00572090">
              <w:t>16.99 (10.15, NA)</w:t>
            </w:r>
          </w:p>
        </w:tc>
        <w:tc>
          <w:tcPr>
            <w:tcW w:w="865" w:type="pct"/>
            <w:shd w:val="clear" w:color="auto" w:fill="auto"/>
            <w:tcMar>
              <w:left w:w="57" w:type="dxa"/>
              <w:right w:w="57" w:type="dxa"/>
            </w:tcMar>
            <w:vAlign w:val="center"/>
          </w:tcPr>
          <w:p w14:paraId="1DFB899D" w14:textId="77777777" w:rsidR="00F72C31" w:rsidRPr="00572090" w:rsidRDefault="00F72C31">
            <w:pPr>
              <w:pStyle w:val="TableText0"/>
              <w:jc w:val="center"/>
            </w:pPr>
            <w:r w:rsidRPr="00572090">
              <w:t>0.46 (0.30, 0.72)</w:t>
            </w:r>
          </w:p>
        </w:tc>
        <w:tc>
          <w:tcPr>
            <w:tcW w:w="522" w:type="pct"/>
            <w:vMerge w:val="restart"/>
            <w:tcMar>
              <w:left w:w="57" w:type="dxa"/>
              <w:right w:w="57" w:type="dxa"/>
            </w:tcMar>
            <w:vAlign w:val="center"/>
          </w:tcPr>
          <w:p w14:paraId="55DB1BD5" w14:textId="77777777" w:rsidR="00F72C31" w:rsidRPr="00572090" w:rsidRDefault="00F72C31">
            <w:pPr>
              <w:pStyle w:val="TableText0"/>
              <w:jc w:val="center"/>
              <w:rPr>
                <w:iCs/>
              </w:rPr>
            </w:pPr>
            <w:r w:rsidRPr="00572090">
              <w:rPr>
                <w:iCs/>
              </w:rPr>
              <w:t>0.1344</w:t>
            </w:r>
          </w:p>
        </w:tc>
      </w:tr>
      <w:tr w:rsidR="00F72C31" w:rsidRPr="00572090" w14:paraId="706EC974" w14:textId="77777777">
        <w:tc>
          <w:tcPr>
            <w:tcW w:w="792" w:type="pct"/>
            <w:shd w:val="clear" w:color="auto" w:fill="auto"/>
            <w:tcMar>
              <w:left w:w="57" w:type="dxa"/>
              <w:right w:w="57" w:type="dxa"/>
            </w:tcMar>
            <w:vAlign w:val="center"/>
          </w:tcPr>
          <w:p w14:paraId="73203C66" w14:textId="77777777" w:rsidR="00F72C31" w:rsidRPr="00572090" w:rsidRDefault="00F72C31">
            <w:pPr>
              <w:pStyle w:val="TableText0"/>
            </w:pPr>
            <w:r w:rsidRPr="00572090">
              <w:t>Non-squamous</w:t>
            </w:r>
          </w:p>
        </w:tc>
        <w:tc>
          <w:tcPr>
            <w:tcW w:w="460" w:type="pct"/>
            <w:shd w:val="clear" w:color="auto" w:fill="auto"/>
            <w:tcMar>
              <w:left w:w="57" w:type="dxa"/>
              <w:right w:w="57" w:type="dxa"/>
            </w:tcMar>
            <w:vAlign w:val="center"/>
          </w:tcPr>
          <w:p w14:paraId="36B9FDCE" w14:textId="77777777" w:rsidR="00F72C31" w:rsidRPr="00572090" w:rsidRDefault="00F72C31">
            <w:pPr>
              <w:pStyle w:val="TableText0"/>
              <w:jc w:val="center"/>
            </w:pPr>
            <w:r w:rsidRPr="00572090">
              <w:t>45/113</w:t>
            </w:r>
          </w:p>
        </w:tc>
        <w:tc>
          <w:tcPr>
            <w:tcW w:w="919" w:type="pct"/>
            <w:shd w:val="clear" w:color="auto" w:fill="auto"/>
            <w:tcMar>
              <w:left w:w="57" w:type="dxa"/>
              <w:right w:w="57" w:type="dxa"/>
            </w:tcMar>
            <w:vAlign w:val="center"/>
          </w:tcPr>
          <w:p w14:paraId="184A9F48" w14:textId="77777777" w:rsidR="00F72C31" w:rsidRPr="00572090" w:rsidRDefault="00F72C31">
            <w:pPr>
              <w:pStyle w:val="TableText0"/>
              <w:jc w:val="center"/>
            </w:pPr>
            <w:r w:rsidRPr="00572090">
              <w:t>28.94 (21.39, NA)</w:t>
            </w:r>
          </w:p>
        </w:tc>
        <w:tc>
          <w:tcPr>
            <w:tcW w:w="449" w:type="pct"/>
            <w:shd w:val="clear" w:color="auto" w:fill="auto"/>
            <w:tcMar>
              <w:left w:w="57" w:type="dxa"/>
              <w:right w:w="57" w:type="dxa"/>
            </w:tcMar>
            <w:vAlign w:val="center"/>
          </w:tcPr>
          <w:p w14:paraId="01CD3FA9" w14:textId="77777777" w:rsidR="00F72C31" w:rsidRPr="00572090" w:rsidRDefault="00F72C31">
            <w:pPr>
              <w:pStyle w:val="TableText0"/>
              <w:jc w:val="center"/>
            </w:pPr>
            <w:r w:rsidRPr="00572090">
              <w:t>57/114</w:t>
            </w:r>
          </w:p>
        </w:tc>
        <w:tc>
          <w:tcPr>
            <w:tcW w:w="993" w:type="pct"/>
            <w:shd w:val="clear" w:color="auto" w:fill="auto"/>
            <w:tcMar>
              <w:left w:w="57" w:type="dxa"/>
              <w:right w:w="57" w:type="dxa"/>
            </w:tcMar>
            <w:vAlign w:val="center"/>
          </w:tcPr>
          <w:p w14:paraId="3A0FFA35" w14:textId="77777777" w:rsidR="00F72C31" w:rsidRPr="00572090" w:rsidRDefault="00F72C31">
            <w:pPr>
              <w:pStyle w:val="TableText0"/>
              <w:jc w:val="center"/>
            </w:pPr>
            <w:r w:rsidRPr="00572090">
              <w:t>18.43 (13.60, 28.06)</w:t>
            </w:r>
          </w:p>
        </w:tc>
        <w:tc>
          <w:tcPr>
            <w:tcW w:w="865" w:type="pct"/>
            <w:shd w:val="clear" w:color="auto" w:fill="auto"/>
            <w:tcMar>
              <w:left w:w="57" w:type="dxa"/>
              <w:right w:w="57" w:type="dxa"/>
            </w:tcMar>
            <w:vAlign w:val="center"/>
          </w:tcPr>
          <w:p w14:paraId="11FE857F" w14:textId="77777777" w:rsidR="00F72C31" w:rsidRPr="00572090" w:rsidRDefault="00F72C31">
            <w:pPr>
              <w:pStyle w:val="TableText0"/>
              <w:jc w:val="center"/>
            </w:pPr>
            <w:r w:rsidRPr="00572090">
              <w:t>0.72 (0.49, 1.07)</w:t>
            </w:r>
          </w:p>
        </w:tc>
        <w:tc>
          <w:tcPr>
            <w:tcW w:w="522" w:type="pct"/>
            <w:vMerge/>
            <w:tcMar>
              <w:left w:w="57" w:type="dxa"/>
              <w:right w:w="57" w:type="dxa"/>
            </w:tcMar>
          </w:tcPr>
          <w:p w14:paraId="6C541321" w14:textId="77777777" w:rsidR="00F72C31" w:rsidRPr="00572090" w:rsidRDefault="00F72C31">
            <w:pPr>
              <w:pStyle w:val="TableText0"/>
              <w:rPr>
                <w:iCs/>
              </w:rPr>
            </w:pPr>
          </w:p>
        </w:tc>
      </w:tr>
      <w:tr w:rsidR="00F72C31" w:rsidRPr="00572090" w14:paraId="2B1840BD" w14:textId="77777777">
        <w:tc>
          <w:tcPr>
            <w:tcW w:w="4478" w:type="pct"/>
            <w:gridSpan w:val="6"/>
            <w:shd w:val="clear" w:color="auto" w:fill="auto"/>
            <w:tcMar>
              <w:left w:w="57" w:type="dxa"/>
              <w:right w:w="57" w:type="dxa"/>
            </w:tcMar>
            <w:vAlign w:val="center"/>
          </w:tcPr>
          <w:p w14:paraId="653359B4" w14:textId="77777777" w:rsidR="00F72C31" w:rsidRPr="00572090" w:rsidRDefault="00F72C31">
            <w:pPr>
              <w:pStyle w:val="TableText0"/>
              <w:rPr>
                <w:b/>
                <w:bCs w:val="0"/>
              </w:rPr>
            </w:pPr>
            <w:r w:rsidRPr="00572090">
              <w:rPr>
                <w:b/>
                <w:bCs w:val="0"/>
              </w:rPr>
              <w:t>Subgroup: ECOG PS</w:t>
            </w:r>
          </w:p>
        </w:tc>
        <w:tc>
          <w:tcPr>
            <w:tcW w:w="522" w:type="pct"/>
            <w:tcMar>
              <w:left w:w="57" w:type="dxa"/>
              <w:right w:w="57" w:type="dxa"/>
            </w:tcMar>
          </w:tcPr>
          <w:p w14:paraId="7E054440" w14:textId="77777777" w:rsidR="00F72C31" w:rsidRPr="00572090" w:rsidRDefault="00F72C31">
            <w:pPr>
              <w:pStyle w:val="TableText0"/>
              <w:rPr>
                <w:iCs/>
              </w:rPr>
            </w:pPr>
          </w:p>
        </w:tc>
      </w:tr>
      <w:tr w:rsidR="00F72C31" w:rsidRPr="00572090" w14:paraId="336BBB4A" w14:textId="77777777">
        <w:tc>
          <w:tcPr>
            <w:tcW w:w="792" w:type="pct"/>
            <w:shd w:val="clear" w:color="auto" w:fill="auto"/>
            <w:tcMar>
              <w:left w:w="57" w:type="dxa"/>
              <w:right w:w="57" w:type="dxa"/>
            </w:tcMar>
            <w:vAlign w:val="center"/>
          </w:tcPr>
          <w:p w14:paraId="5C78654E" w14:textId="77777777" w:rsidR="00F72C31" w:rsidRPr="00572090" w:rsidRDefault="00F72C31">
            <w:pPr>
              <w:pStyle w:val="TableText0"/>
            </w:pPr>
            <w:r w:rsidRPr="00572090">
              <w:t>0</w:t>
            </w:r>
          </w:p>
        </w:tc>
        <w:tc>
          <w:tcPr>
            <w:tcW w:w="460" w:type="pct"/>
            <w:shd w:val="clear" w:color="auto" w:fill="auto"/>
            <w:tcMar>
              <w:left w:w="57" w:type="dxa"/>
              <w:right w:w="57" w:type="dxa"/>
            </w:tcMar>
            <w:vAlign w:val="center"/>
          </w:tcPr>
          <w:p w14:paraId="11D34897" w14:textId="77777777" w:rsidR="00F72C31" w:rsidRPr="00572090" w:rsidRDefault="00F72C31">
            <w:pPr>
              <w:pStyle w:val="TableText0"/>
              <w:jc w:val="center"/>
            </w:pPr>
            <w:r w:rsidRPr="00572090">
              <w:t>46/147</w:t>
            </w:r>
          </w:p>
        </w:tc>
        <w:tc>
          <w:tcPr>
            <w:tcW w:w="919" w:type="pct"/>
            <w:shd w:val="clear" w:color="auto" w:fill="auto"/>
            <w:tcMar>
              <w:left w:w="57" w:type="dxa"/>
              <w:right w:w="57" w:type="dxa"/>
            </w:tcMar>
            <w:vAlign w:val="center"/>
          </w:tcPr>
          <w:p w14:paraId="719487DE" w14:textId="77777777" w:rsidR="00F72C31" w:rsidRPr="00572090" w:rsidRDefault="00F72C31">
            <w:pPr>
              <w:pStyle w:val="TableText0"/>
              <w:jc w:val="center"/>
            </w:pPr>
            <w:r w:rsidRPr="00572090">
              <w:t>NA (27.01, NA)</w:t>
            </w:r>
          </w:p>
        </w:tc>
        <w:tc>
          <w:tcPr>
            <w:tcW w:w="449" w:type="pct"/>
            <w:shd w:val="clear" w:color="auto" w:fill="auto"/>
            <w:tcMar>
              <w:left w:w="57" w:type="dxa"/>
              <w:right w:w="57" w:type="dxa"/>
            </w:tcMar>
            <w:vAlign w:val="center"/>
          </w:tcPr>
          <w:p w14:paraId="6A2D46A2" w14:textId="77777777" w:rsidR="00F72C31" w:rsidRPr="00572090" w:rsidRDefault="00F72C31">
            <w:pPr>
              <w:pStyle w:val="TableText0"/>
              <w:jc w:val="center"/>
            </w:pPr>
            <w:r w:rsidRPr="00572090">
              <w:t>68/141</w:t>
            </w:r>
          </w:p>
        </w:tc>
        <w:tc>
          <w:tcPr>
            <w:tcW w:w="993" w:type="pct"/>
            <w:shd w:val="clear" w:color="auto" w:fill="auto"/>
            <w:tcMar>
              <w:left w:w="57" w:type="dxa"/>
              <w:right w:w="57" w:type="dxa"/>
            </w:tcMar>
            <w:vAlign w:val="center"/>
          </w:tcPr>
          <w:p w14:paraId="65FB9FC6" w14:textId="77777777" w:rsidR="00F72C31" w:rsidRPr="00572090" w:rsidRDefault="00F72C31">
            <w:pPr>
              <w:pStyle w:val="TableText0"/>
              <w:jc w:val="center"/>
            </w:pPr>
            <w:r w:rsidRPr="00572090">
              <w:t>20.07 (12.58, NA)</w:t>
            </w:r>
          </w:p>
        </w:tc>
        <w:tc>
          <w:tcPr>
            <w:tcW w:w="865" w:type="pct"/>
            <w:shd w:val="clear" w:color="auto" w:fill="auto"/>
            <w:tcMar>
              <w:left w:w="57" w:type="dxa"/>
              <w:right w:w="57" w:type="dxa"/>
            </w:tcMar>
            <w:vAlign w:val="center"/>
          </w:tcPr>
          <w:p w14:paraId="012D507E" w14:textId="77777777" w:rsidR="00F72C31" w:rsidRPr="00572090" w:rsidRDefault="00F72C31">
            <w:pPr>
              <w:pStyle w:val="TableText0"/>
              <w:jc w:val="center"/>
            </w:pPr>
            <w:r w:rsidRPr="00572090">
              <w:t>0.57 (0.39, 0.83)</w:t>
            </w:r>
          </w:p>
        </w:tc>
        <w:tc>
          <w:tcPr>
            <w:tcW w:w="522" w:type="pct"/>
            <w:vMerge w:val="restart"/>
            <w:tcMar>
              <w:left w:w="57" w:type="dxa"/>
              <w:right w:w="57" w:type="dxa"/>
            </w:tcMar>
            <w:vAlign w:val="center"/>
          </w:tcPr>
          <w:p w14:paraId="427591EB" w14:textId="77777777" w:rsidR="00F72C31" w:rsidRPr="00572090" w:rsidRDefault="00F72C31">
            <w:pPr>
              <w:pStyle w:val="TableText0"/>
              <w:jc w:val="center"/>
              <w:rPr>
                <w:iCs/>
              </w:rPr>
            </w:pPr>
            <w:r w:rsidRPr="00572090">
              <w:rPr>
                <w:iCs/>
              </w:rPr>
              <w:t>0.8223</w:t>
            </w:r>
          </w:p>
        </w:tc>
      </w:tr>
      <w:tr w:rsidR="00F72C31" w:rsidRPr="00572090" w14:paraId="0B89FA3F" w14:textId="77777777">
        <w:tc>
          <w:tcPr>
            <w:tcW w:w="792" w:type="pct"/>
            <w:shd w:val="clear" w:color="auto" w:fill="auto"/>
            <w:tcMar>
              <w:left w:w="57" w:type="dxa"/>
              <w:right w:w="57" w:type="dxa"/>
            </w:tcMar>
            <w:vAlign w:val="center"/>
          </w:tcPr>
          <w:p w14:paraId="46FCDFCC" w14:textId="77777777" w:rsidR="00F72C31" w:rsidRPr="00572090" w:rsidRDefault="00F72C31">
            <w:pPr>
              <w:pStyle w:val="TableText0"/>
            </w:pPr>
            <w:r w:rsidRPr="00572090">
              <w:t>1</w:t>
            </w:r>
          </w:p>
        </w:tc>
        <w:tc>
          <w:tcPr>
            <w:tcW w:w="460" w:type="pct"/>
            <w:shd w:val="clear" w:color="auto" w:fill="auto"/>
            <w:tcMar>
              <w:left w:w="57" w:type="dxa"/>
              <w:right w:w="57" w:type="dxa"/>
            </w:tcMar>
            <w:vAlign w:val="center"/>
          </w:tcPr>
          <w:p w14:paraId="6E226DBF" w14:textId="77777777" w:rsidR="00F72C31" w:rsidRPr="00572090" w:rsidRDefault="00F72C31">
            <w:pPr>
              <w:pStyle w:val="TableText0"/>
              <w:jc w:val="center"/>
            </w:pPr>
            <w:r w:rsidRPr="00572090">
              <w:t>30/82</w:t>
            </w:r>
          </w:p>
        </w:tc>
        <w:tc>
          <w:tcPr>
            <w:tcW w:w="919" w:type="pct"/>
            <w:shd w:val="clear" w:color="auto" w:fill="auto"/>
            <w:tcMar>
              <w:left w:w="57" w:type="dxa"/>
              <w:right w:w="57" w:type="dxa"/>
            </w:tcMar>
            <w:vAlign w:val="center"/>
          </w:tcPr>
          <w:p w14:paraId="39D93405" w14:textId="77777777" w:rsidR="00F72C31" w:rsidRPr="00572090" w:rsidRDefault="00F72C31">
            <w:pPr>
              <w:pStyle w:val="TableText0"/>
              <w:jc w:val="center"/>
            </w:pPr>
            <w:r w:rsidRPr="00572090">
              <w:t>29.04 (22.60, NA)</w:t>
            </w:r>
          </w:p>
        </w:tc>
        <w:tc>
          <w:tcPr>
            <w:tcW w:w="449" w:type="pct"/>
            <w:shd w:val="clear" w:color="auto" w:fill="auto"/>
            <w:tcMar>
              <w:left w:w="57" w:type="dxa"/>
              <w:right w:w="57" w:type="dxa"/>
            </w:tcMar>
            <w:vAlign w:val="center"/>
          </w:tcPr>
          <w:p w14:paraId="5CAD7291" w14:textId="77777777" w:rsidR="00F72C31" w:rsidRPr="00572090" w:rsidRDefault="00F72C31">
            <w:pPr>
              <w:pStyle w:val="TableText0"/>
              <w:jc w:val="center"/>
            </w:pPr>
            <w:r w:rsidRPr="00572090">
              <w:t>45/91</w:t>
            </w:r>
          </w:p>
        </w:tc>
        <w:tc>
          <w:tcPr>
            <w:tcW w:w="993" w:type="pct"/>
            <w:shd w:val="clear" w:color="auto" w:fill="auto"/>
            <w:tcMar>
              <w:left w:w="57" w:type="dxa"/>
              <w:right w:w="57" w:type="dxa"/>
            </w:tcMar>
            <w:vAlign w:val="center"/>
          </w:tcPr>
          <w:p w14:paraId="0510FAD9" w14:textId="77777777" w:rsidR="00F72C31" w:rsidRPr="00572090" w:rsidRDefault="00F72C31">
            <w:pPr>
              <w:pStyle w:val="TableText0"/>
              <w:jc w:val="center"/>
            </w:pPr>
            <w:r w:rsidRPr="00572090">
              <w:t>17.28 (10.55, 35.06)</w:t>
            </w:r>
          </w:p>
        </w:tc>
        <w:tc>
          <w:tcPr>
            <w:tcW w:w="865" w:type="pct"/>
            <w:shd w:val="clear" w:color="auto" w:fill="auto"/>
            <w:tcMar>
              <w:left w:w="57" w:type="dxa"/>
              <w:right w:w="57" w:type="dxa"/>
            </w:tcMar>
            <w:vAlign w:val="center"/>
          </w:tcPr>
          <w:p w14:paraId="777405F5" w14:textId="77777777" w:rsidR="00F72C31" w:rsidRPr="00572090" w:rsidRDefault="00F72C31">
            <w:pPr>
              <w:pStyle w:val="TableText0"/>
              <w:jc w:val="center"/>
            </w:pPr>
            <w:r w:rsidRPr="00572090">
              <w:t>0.61 (0.39, 0.97)</w:t>
            </w:r>
          </w:p>
        </w:tc>
        <w:tc>
          <w:tcPr>
            <w:tcW w:w="522" w:type="pct"/>
            <w:vMerge/>
            <w:tcMar>
              <w:left w:w="57" w:type="dxa"/>
              <w:right w:w="57" w:type="dxa"/>
            </w:tcMar>
          </w:tcPr>
          <w:p w14:paraId="391591DF" w14:textId="77777777" w:rsidR="00F72C31" w:rsidRPr="00572090" w:rsidRDefault="00F72C31">
            <w:pPr>
              <w:pStyle w:val="TableText0"/>
              <w:rPr>
                <w:iCs/>
              </w:rPr>
            </w:pPr>
          </w:p>
        </w:tc>
      </w:tr>
      <w:tr w:rsidR="00F72C31" w:rsidRPr="00572090" w14:paraId="54E25B91" w14:textId="77777777">
        <w:tc>
          <w:tcPr>
            <w:tcW w:w="4478" w:type="pct"/>
            <w:gridSpan w:val="6"/>
            <w:shd w:val="clear" w:color="auto" w:fill="auto"/>
            <w:tcMar>
              <w:left w:w="57" w:type="dxa"/>
              <w:right w:w="57" w:type="dxa"/>
            </w:tcMar>
            <w:vAlign w:val="center"/>
          </w:tcPr>
          <w:p w14:paraId="4751FB62" w14:textId="77777777" w:rsidR="00F72C31" w:rsidRPr="00572090" w:rsidRDefault="00F72C31">
            <w:pPr>
              <w:pStyle w:val="TableText0"/>
              <w:rPr>
                <w:b/>
                <w:bCs w:val="0"/>
              </w:rPr>
            </w:pPr>
            <w:r w:rsidRPr="00572090">
              <w:rPr>
                <w:b/>
                <w:bCs w:val="0"/>
              </w:rPr>
              <w:t>Subgroup: Sex</w:t>
            </w:r>
          </w:p>
        </w:tc>
        <w:tc>
          <w:tcPr>
            <w:tcW w:w="522" w:type="pct"/>
            <w:tcMar>
              <w:left w:w="57" w:type="dxa"/>
              <w:right w:w="57" w:type="dxa"/>
            </w:tcMar>
          </w:tcPr>
          <w:p w14:paraId="2F25B6CB" w14:textId="77777777" w:rsidR="00F72C31" w:rsidRPr="00572090" w:rsidRDefault="00F72C31">
            <w:pPr>
              <w:pStyle w:val="TableText0"/>
              <w:rPr>
                <w:iCs/>
              </w:rPr>
            </w:pPr>
          </w:p>
        </w:tc>
      </w:tr>
      <w:tr w:rsidR="00F72C31" w:rsidRPr="00572090" w14:paraId="6EC3E964" w14:textId="77777777">
        <w:tc>
          <w:tcPr>
            <w:tcW w:w="792" w:type="pct"/>
            <w:shd w:val="clear" w:color="auto" w:fill="auto"/>
            <w:tcMar>
              <w:left w:w="57" w:type="dxa"/>
              <w:right w:w="57" w:type="dxa"/>
            </w:tcMar>
            <w:vAlign w:val="center"/>
          </w:tcPr>
          <w:p w14:paraId="0ADFB101" w14:textId="77777777" w:rsidR="00F72C31" w:rsidRPr="00572090" w:rsidRDefault="00F72C31">
            <w:pPr>
              <w:pStyle w:val="TableText0"/>
            </w:pPr>
            <w:r w:rsidRPr="00572090">
              <w:t>Male</w:t>
            </w:r>
          </w:p>
        </w:tc>
        <w:tc>
          <w:tcPr>
            <w:tcW w:w="460" w:type="pct"/>
            <w:shd w:val="clear" w:color="auto" w:fill="auto"/>
            <w:tcMar>
              <w:left w:w="57" w:type="dxa"/>
              <w:right w:w="57" w:type="dxa"/>
            </w:tcMar>
            <w:vAlign w:val="center"/>
          </w:tcPr>
          <w:p w14:paraId="42963959" w14:textId="77777777" w:rsidR="00F72C31" w:rsidRPr="00572090" w:rsidRDefault="00F72C31">
            <w:pPr>
              <w:pStyle w:val="TableText0"/>
              <w:jc w:val="center"/>
            </w:pPr>
            <w:r w:rsidRPr="00572090">
              <w:t>53/167</w:t>
            </w:r>
          </w:p>
        </w:tc>
        <w:tc>
          <w:tcPr>
            <w:tcW w:w="919" w:type="pct"/>
            <w:shd w:val="clear" w:color="auto" w:fill="auto"/>
            <w:tcMar>
              <w:left w:w="57" w:type="dxa"/>
              <w:right w:w="57" w:type="dxa"/>
            </w:tcMar>
            <w:vAlign w:val="center"/>
          </w:tcPr>
          <w:p w14:paraId="1822D7D6" w14:textId="77777777" w:rsidR="00F72C31" w:rsidRPr="00572090" w:rsidRDefault="00F72C31">
            <w:pPr>
              <w:pStyle w:val="TableText0"/>
              <w:jc w:val="center"/>
            </w:pPr>
            <w:r w:rsidRPr="00572090">
              <w:t>NA (28.94, NA)</w:t>
            </w:r>
          </w:p>
        </w:tc>
        <w:tc>
          <w:tcPr>
            <w:tcW w:w="449" w:type="pct"/>
            <w:shd w:val="clear" w:color="auto" w:fill="auto"/>
            <w:tcMar>
              <w:left w:w="57" w:type="dxa"/>
              <w:right w:w="57" w:type="dxa"/>
            </w:tcMar>
            <w:vAlign w:val="center"/>
          </w:tcPr>
          <w:p w14:paraId="0BBEF1AE" w14:textId="77777777" w:rsidR="00F72C31" w:rsidRPr="00572090" w:rsidRDefault="00F72C31">
            <w:pPr>
              <w:pStyle w:val="TableText0"/>
              <w:jc w:val="center"/>
            </w:pPr>
            <w:r w:rsidRPr="00572090">
              <w:t>78/160</w:t>
            </w:r>
          </w:p>
        </w:tc>
        <w:tc>
          <w:tcPr>
            <w:tcW w:w="993" w:type="pct"/>
            <w:shd w:val="clear" w:color="auto" w:fill="auto"/>
            <w:tcMar>
              <w:left w:w="57" w:type="dxa"/>
              <w:right w:w="57" w:type="dxa"/>
            </w:tcMar>
            <w:vAlign w:val="center"/>
          </w:tcPr>
          <w:p w14:paraId="374A57E2" w14:textId="77777777" w:rsidR="00F72C31" w:rsidRPr="00572090" w:rsidRDefault="00F72C31">
            <w:pPr>
              <w:pStyle w:val="TableText0"/>
              <w:jc w:val="center"/>
            </w:pPr>
            <w:r w:rsidRPr="00572090">
              <w:t>16.72 (10.15, NA)</w:t>
            </w:r>
          </w:p>
        </w:tc>
        <w:tc>
          <w:tcPr>
            <w:tcW w:w="865" w:type="pct"/>
            <w:shd w:val="clear" w:color="auto" w:fill="auto"/>
            <w:tcMar>
              <w:left w:w="57" w:type="dxa"/>
              <w:right w:w="57" w:type="dxa"/>
            </w:tcMar>
            <w:vAlign w:val="center"/>
          </w:tcPr>
          <w:p w14:paraId="3A1A515E" w14:textId="77777777" w:rsidR="00F72C31" w:rsidRPr="00572090" w:rsidRDefault="00F72C31">
            <w:pPr>
              <w:pStyle w:val="TableText0"/>
              <w:jc w:val="center"/>
            </w:pPr>
            <w:r w:rsidRPr="00572090">
              <w:t>0.53 (0.37, 0.75)</w:t>
            </w:r>
          </w:p>
        </w:tc>
        <w:tc>
          <w:tcPr>
            <w:tcW w:w="522" w:type="pct"/>
            <w:vMerge w:val="restart"/>
            <w:tcMar>
              <w:left w:w="57" w:type="dxa"/>
              <w:right w:w="57" w:type="dxa"/>
            </w:tcMar>
            <w:vAlign w:val="center"/>
          </w:tcPr>
          <w:p w14:paraId="1EB05BF1" w14:textId="77777777" w:rsidR="00F72C31" w:rsidRPr="00572090" w:rsidRDefault="00F72C31">
            <w:pPr>
              <w:pStyle w:val="TableText0"/>
              <w:jc w:val="center"/>
              <w:rPr>
                <w:iCs/>
              </w:rPr>
            </w:pPr>
            <w:r w:rsidRPr="00572090">
              <w:rPr>
                <w:iCs/>
              </w:rPr>
              <w:t>0.3726</w:t>
            </w:r>
          </w:p>
        </w:tc>
      </w:tr>
      <w:tr w:rsidR="00F72C31" w:rsidRPr="00264E0F" w14:paraId="4086C89E" w14:textId="77777777">
        <w:tc>
          <w:tcPr>
            <w:tcW w:w="792" w:type="pct"/>
            <w:shd w:val="clear" w:color="auto" w:fill="auto"/>
            <w:tcMar>
              <w:left w:w="57" w:type="dxa"/>
              <w:right w:w="57" w:type="dxa"/>
            </w:tcMar>
            <w:vAlign w:val="center"/>
          </w:tcPr>
          <w:p w14:paraId="6CDD8E0C" w14:textId="77777777" w:rsidR="00F72C31" w:rsidRPr="00264E0F" w:rsidRDefault="00F72C31">
            <w:pPr>
              <w:pStyle w:val="TableText0"/>
            </w:pPr>
            <w:r w:rsidRPr="00264E0F">
              <w:t>Female</w:t>
            </w:r>
          </w:p>
        </w:tc>
        <w:tc>
          <w:tcPr>
            <w:tcW w:w="460" w:type="pct"/>
            <w:shd w:val="clear" w:color="auto" w:fill="auto"/>
            <w:tcMar>
              <w:left w:w="57" w:type="dxa"/>
              <w:right w:w="57" w:type="dxa"/>
            </w:tcMar>
            <w:vAlign w:val="center"/>
          </w:tcPr>
          <w:p w14:paraId="0A9F51C8" w14:textId="77777777" w:rsidR="00F72C31" w:rsidRPr="00264E0F" w:rsidRDefault="00F72C31">
            <w:pPr>
              <w:pStyle w:val="TableText0"/>
              <w:jc w:val="center"/>
            </w:pPr>
            <w:r w:rsidRPr="00264E0F">
              <w:t>23/62</w:t>
            </w:r>
          </w:p>
        </w:tc>
        <w:tc>
          <w:tcPr>
            <w:tcW w:w="919" w:type="pct"/>
            <w:shd w:val="clear" w:color="auto" w:fill="auto"/>
            <w:tcMar>
              <w:left w:w="57" w:type="dxa"/>
              <w:right w:w="57" w:type="dxa"/>
            </w:tcMar>
            <w:vAlign w:val="center"/>
          </w:tcPr>
          <w:p w14:paraId="1D111D08" w14:textId="77777777" w:rsidR="00F72C31" w:rsidRPr="00264E0F" w:rsidRDefault="00F72C31">
            <w:pPr>
              <w:pStyle w:val="TableText0"/>
              <w:jc w:val="center"/>
            </w:pPr>
            <w:r w:rsidRPr="00264E0F">
              <w:t>30.23 (19.68, NA)</w:t>
            </w:r>
          </w:p>
        </w:tc>
        <w:tc>
          <w:tcPr>
            <w:tcW w:w="449" w:type="pct"/>
            <w:shd w:val="clear" w:color="auto" w:fill="auto"/>
            <w:tcMar>
              <w:left w:w="57" w:type="dxa"/>
              <w:right w:w="57" w:type="dxa"/>
            </w:tcMar>
            <w:vAlign w:val="center"/>
          </w:tcPr>
          <w:p w14:paraId="3493784D" w14:textId="77777777" w:rsidR="00F72C31" w:rsidRPr="00264E0F" w:rsidRDefault="00F72C31">
            <w:pPr>
              <w:pStyle w:val="TableText0"/>
              <w:jc w:val="center"/>
            </w:pPr>
            <w:r w:rsidRPr="00264E0F">
              <w:t>35/72</w:t>
            </w:r>
          </w:p>
        </w:tc>
        <w:tc>
          <w:tcPr>
            <w:tcW w:w="993" w:type="pct"/>
            <w:shd w:val="clear" w:color="auto" w:fill="auto"/>
            <w:tcMar>
              <w:left w:w="57" w:type="dxa"/>
              <w:right w:w="57" w:type="dxa"/>
            </w:tcMar>
            <w:vAlign w:val="center"/>
          </w:tcPr>
          <w:p w14:paraId="187AE4E3" w14:textId="77777777" w:rsidR="00F72C31" w:rsidRPr="00264E0F" w:rsidRDefault="00F72C31">
            <w:pPr>
              <w:pStyle w:val="TableText0"/>
              <w:jc w:val="center"/>
            </w:pPr>
            <w:r w:rsidRPr="00264E0F">
              <w:t>18.76 (14.72, 35.06)</w:t>
            </w:r>
          </w:p>
        </w:tc>
        <w:tc>
          <w:tcPr>
            <w:tcW w:w="865" w:type="pct"/>
            <w:shd w:val="clear" w:color="auto" w:fill="auto"/>
            <w:tcMar>
              <w:left w:w="57" w:type="dxa"/>
              <w:right w:w="57" w:type="dxa"/>
            </w:tcMar>
            <w:vAlign w:val="center"/>
          </w:tcPr>
          <w:p w14:paraId="3DAB93CF" w14:textId="77777777" w:rsidR="00F72C31" w:rsidRPr="00264E0F" w:rsidRDefault="00F72C31">
            <w:pPr>
              <w:pStyle w:val="TableText0"/>
              <w:jc w:val="center"/>
            </w:pPr>
            <w:r w:rsidRPr="00264E0F">
              <w:t>0.71 (0.41, 1.20)</w:t>
            </w:r>
          </w:p>
        </w:tc>
        <w:tc>
          <w:tcPr>
            <w:tcW w:w="522" w:type="pct"/>
            <w:vMerge/>
            <w:tcMar>
              <w:left w:w="57" w:type="dxa"/>
              <w:right w:w="57" w:type="dxa"/>
            </w:tcMar>
          </w:tcPr>
          <w:p w14:paraId="7A5240A4" w14:textId="77777777" w:rsidR="00F72C31" w:rsidRPr="00264E0F" w:rsidRDefault="00F72C31">
            <w:pPr>
              <w:pStyle w:val="TableText0"/>
            </w:pPr>
          </w:p>
        </w:tc>
      </w:tr>
    </w:tbl>
    <w:p w14:paraId="0DCB24C0" w14:textId="77777777" w:rsidR="00F72C31" w:rsidRDefault="00F72C31" w:rsidP="0032577B">
      <w:pPr>
        <w:pStyle w:val="TableFigureFooter"/>
      </w:pPr>
      <w:r>
        <w:t>Source: Table 52, p91 of the submission, Figure 14.2.1.6.1 CM77T CSR and compiled/calculated during the evaluation</w:t>
      </w:r>
    </w:p>
    <w:p w14:paraId="454D9AF0" w14:textId="77777777" w:rsidR="00F72C31" w:rsidRDefault="00F72C31" w:rsidP="0032577B">
      <w:pPr>
        <w:pStyle w:val="TableFigureFooter"/>
      </w:pPr>
      <w:r w:rsidRPr="00955786">
        <w:t>Abbreviations: BICR = blinded independent central review; CI = confidence interval; ECOG PS = Eastern Cooperative Oncology Group performance status; EFS = event-free survival; ITT = intention to treat; NA = not available/not reached; Neo chemo = neoadjuvant chemotherapy; PeriNIVO = perioperative nivolumab</w:t>
      </w:r>
    </w:p>
    <w:p w14:paraId="4D3DC413" w14:textId="77777777" w:rsidR="00F72C31" w:rsidRDefault="00F72C31" w:rsidP="0032577B">
      <w:pPr>
        <w:pStyle w:val="TableFigureFooter"/>
      </w:pPr>
      <w:r>
        <w:t>Note: Bolded values indicate statistically significant results.</w:t>
      </w:r>
    </w:p>
    <w:p w14:paraId="5597F367" w14:textId="77777777" w:rsidR="00F72C31" w:rsidRPr="00572090" w:rsidRDefault="00F72C31" w:rsidP="00F72C31">
      <w:pPr>
        <w:pStyle w:val="3-BodyText"/>
        <w:rPr>
          <w:iCs/>
        </w:rPr>
      </w:pPr>
      <w:r w:rsidRPr="00572090">
        <w:rPr>
          <w:iCs/>
        </w:rPr>
        <w:t xml:space="preserve">In the PD-L1 expression negative subgroup (&lt;1%), the 95% </w:t>
      </w:r>
      <w:r>
        <w:rPr>
          <w:iCs/>
        </w:rPr>
        <w:t>confidence interval (</w:t>
      </w:r>
      <w:r w:rsidRPr="00572090">
        <w:rPr>
          <w:iCs/>
        </w:rPr>
        <w:t>CI</w:t>
      </w:r>
      <w:r>
        <w:rPr>
          <w:iCs/>
        </w:rPr>
        <w:t>)</w:t>
      </w:r>
      <w:r w:rsidRPr="00572090">
        <w:rPr>
          <w:iCs/>
        </w:rPr>
        <w:t xml:space="preserve"> around the EFS HR included the null and it was unlikely that there was any statistically significant benefit associated with periNIVO over neoChemo. The EFS benefit was more marked in patients who expressed PD-L1 (PD-L1 ≥1% or </w:t>
      </w:r>
      <w:r w:rsidRPr="00572090">
        <w:rPr>
          <w:rFonts w:cstheme="minorHAnsi"/>
          <w:iCs/>
        </w:rPr>
        <w:t>≥</w:t>
      </w:r>
      <w:r w:rsidRPr="00572090">
        <w:rPr>
          <w:iCs/>
        </w:rPr>
        <w:t>50%). Acknowledging the small sample size of some of the subgroups and exploratory nature of the analyses, the data suggested the relative reduction in hazard of an EFS event associated with periNIVO over neoChemo was larger for tumours which express PD-L1, especially those with high levels of PD-L1 expression (≥50%).</w:t>
      </w:r>
    </w:p>
    <w:p w14:paraId="4161A2D7" w14:textId="77777777" w:rsidR="00F72C31" w:rsidRPr="00572090" w:rsidRDefault="00F72C31" w:rsidP="00F72C31">
      <w:pPr>
        <w:pStyle w:val="3-BodyText"/>
        <w:rPr>
          <w:iCs/>
        </w:rPr>
      </w:pPr>
      <w:r w:rsidRPr="00572090">
        <w:rPr>
          <w:iCs/>
        </w:rPr>
        <w:t>The PBAC has previously considered PD-L1 status in the March and July 2023 neoNIVO submissions. The PBAC noted that PD-L1 subgroup analyses indicated the relative reduction in hazard of an EFS event for neoNIVO appeared larger for tumours that express PD-L1 but considered that restricting access based on PD-L1 status would not be appropriate (paragraph 7.7, nivolumab PSD, March 2023 PBAC meeting).</w:t>
      </w:r>
    </w:p>
    <w:p w14:paraId="59B0E593" w14:textId="77777777" w:rsidR="00F72C31" w:rsidRPr="00572090" w:rsidRDefault="00F72C31" w:rsidP="00F72C31">
      <w:pPr>
        <w:pStyle w:val="3-BodyText"/>
        <w:rPr>
          <w:iCs/>
        </w:rPr>
      </w:pPr>
      <w:r>
        <w:t>T</w:t>
      </w:r>
      <w:r w:rsidRPr="00F4228F">
        <w:t>he magnitude of relative EFS benefit associated with periNIVO over neoChemo was more pronounced in patients with Stage IIIA disease (N=148, HR 0.51; 95% CI: 0.36, 0.72) compared to those with earlier Stage II disease (N=81, HR 0.81; 95% CI: 0.46, 1.48).</w:t>
      </w:r>
      <w:r>
        <w:t xml:space="preserve"> </w:t>
      </w:r>
      <w:r w:rsidRPr="00572090">
        <w:rPr>
          <w:iCs/>
        </w:rPr>
        <w:t>Interpretation of these results requires caution given the small sample size of the Stage IB/II disease subgroup.</w:t>
      </w:r>
    </w:p>
    <w:p w14:paraId="72641F93" w14:textId="77777777" w:rsidR="00F72C31" w:rsidRPr="00572090" w:rsidRDefault="00F72C31" w:rsidP="00F72C31">
      <w:pPr>
        <w:pStyle w:val="3-BodyText"/>
        <w:rPr>
          <w:iCs/>
        </w:rPr>
      </w:pPr>
      <w:r w:rsidRPr="00572090">
        <w:rPr>
          <w:iCs/>
        </w:rPr>
        <w:lastRenderedPageBreak/>
        <w:t>The PBAC has previously considered disease stage for the March 2023 neoNIVO submission. The PBAC noted that the magnitude of relative EFS benefit associated with neoNIVO over neoChemo appeared more pronounced in patients with Stage IIIA disease compared to those with earlier Stage IB/II disease but considered that due to a small sample size these results remain inconclusive (paragraph 7.7, nivolumab PSD, March 2023 PBAC meeting).</w:t>
      </w:r>
    </w:p>
    <w:p w14:paraId="061C4F2E" w14:textId="77777777" w:rsidR="00F72C31" w:rsidRPr="0083256B" w:rsidRDefault="00F72C31" w:rsidP="00F72C31">
      <w:pPr>
        <w:pStyle w:val="3-BodyText"/>
        <w:numPr>
          <w:ilvl w:val="0"/>
          <w:numId w:val="0"/>
        </w:numPr>
        <w:rPr>
          <w:b/>
          <w:bCs/>
        </w:rPr>
      </w:pPr>
      <w:r w:rsidRPr="0083256B">
        <w:rPr>
          <w:b/>
          <w:bCs/>
        </w:rPr>
        <w:t>Indirect treatment comparisons</w:t>
      </w:r>
    </w:p>
    <w:p w14:paraId="07164618" w14:textId="767ED667" w:rsidR="00F72C31" w:rsidRPr="00572090" w:rsidRDefault="00F72C31" w:rsidP="00F72C31">
      <w:pPr>
        <w:pStyle w:val="3-BodyText"/>
        <w:rPr>
          <w:iCs/>
        </w:rPr>
      </w:pPr>
      <w:r>
        <w:t xml:space="preserve">For the </w:t>
      </w:r>
      <w:r w:rsidRPr="00B96B42">
        <w:rPr>
          <w:iCs/>
        </w:rPr>
        <w:t>main</w:t>
      </w:r>
      <w:r>
        <w:t xml:space="preserve"> comparator </w:t>
      </w:r>
      <w:r w:rsidRPr="00B96B42">
        <w:rPr>
          <w:iCs/>
        </w:rPr>
        <w:t>proposed in the PSCR</w:t>
      </w:r>
      <w:r>
        <w:t xml:space="preserve">, neoNIVO, the evidence was based on an anchored ITC between the CM77T and CM816 trials. The results of the ITC are summarised in </w:t>
      </w:r>
      <w:r>
        <w:fldChar w:fldCharType="begin"/>
      </w:r>
      <w:r>
        <w:instrText xml:space="preserve"> REF _Ref175758110 \h </w:instrText>
      </w:r>
      <w:r w:rsidR="00FE5832">
        <w:instrText xml:space="preserve"> \* MERGEFORMAT </w:instrText>
      </w:r>
      <w:r>
        <w:fldChar w:fldCharType="separate"/>
      </w:r>
      <w:r w:rsidR="009C09C9" w:rsidRPr="009C09C9">
        <w:rPr>
          <w:rStyle w:val="TableFigureHeadingChar"/>
          <w:rFonts w:ascii="Calibri" w:hAnsi="Calibri" w:cs="Calibri"/>
          <w:b w:val="0"/>
          <w:bCs w:val="0"/>
        </w:rPr>
        <w:t>Table</w:t>
      </w:r>
      <w:r w:rsidR="009C09C9" w:rsidRPr="0032577B">
        <w:t xml:space="preserve"> </w:t>
      </w:r>
      <w:r w:rsidR="009C09C9">
        <w:rPr>
          <w:noProof/>
        </w:rPr>
        <w:t>13</w:t>
      </w:r>
      <w:r>
        <w:fldChar w:fldCharType="end"/>
      </w:r>
      <w:r>
        <w:t xml:space="preserve">. The primary ITC analysis used CM816 data from the first interim analysis (median follow-up 29.5 months) for the </w:t>
      </w:r>
      <w:r w:rsidRPr="00A93DE2">
        <w:t>most consistent duration of follow-up between trials</w:t>
      </w:r>
      <w:r>
        <w:t>. A secondary analysis using the most recent CM816 data (</w:t>
      </w:r>
      <w:r w:rsidRPr="00A93DE2">
        <w:t>median follow-up 57.6 months</w:t>
      </w:r>
      <w:r>
        <w:t>) was also presented.</w:t>
      </w:r>
    </w:p>
    <w:p w14:paraId="7C8BCAE6" w14:textId="77777777" w:rsidR="00F72C31" w:rsidRPr="00572090" w:rsidRDefault="00F72C31" w:rsidP="00F72C31">
      <w:pPr>
        <w:pStyle w:val="3-BodyText"/>
        <w:rPr>
          <w:iCs/>
        </w:rPr>
      </w:pPr>
      <w:bookmarkStart w:id="62" w:name="_Ref175909499"/>
      <w:r w:rsidRPr="00572090">
        <w:rPr>
          <w:iCs/>
        </w:rPr>
        <w:t>There were several observed differences in patient, disease and study characteristics that may introduce risk of bias for the indirect comparison between CM77T and CM816, which included:</w:t>
      </w:r>
      <w:bookmarkEnd w:id="62"/>
    </w:p>
    <w:p w14:paraId="19F3E500" w14:textId="77777777" w:rsidR="00F72C31" w:rsidRPr="00572090" w:rsidRDefault="00F72C31" w:rsidP="0032577B">
      <w:pPr>
        <w:pStyle w:val="ListParagraph"/>
        <w:numPr>
          <w:ilvl w:val="0"/>
          <w:numId w:val="9"/>
        </w:numPr>
        <w:ind w:left="1134" w:hanging="284"/>
        <w:jc w:val="both"/>
        <w:rPr>
          <w:rFonts w:eastAsiaTheme="minorHAnsi" w:cstheme="minorBidi"/>
          <w:iCs/>
          <w:snapToGrid/>
          <w:szCs w:val="22"/>
        </w:rPr>
      </w:pPr>
      <w:r w:rsidRPr="00572090">
        <w:rPr>
          <w:rFonts w:eastAsiaTheme="minorHAnsi" w:cstheme="minorBidi"/>
          <w:iCs/>
          <w:snapToGrid/>
          <w:szCs w:val="22"/>
        </w:rPr>
        <w:t>The proportion of male patients differed substantially between CM77T (71%) and CM816 (49%), and the CM77T trial enrolled approximately half as many Asian patients (25%) than in CM816 (50%);</w:t>
      </w:r>
    </w:p>
    <w:p w14:paraId="3CA4E5D3" w14:textId="77777777" w:rsidR="00F72C31" w:rsidRPr="00572090" w:rsidRDefault="00F72C31" w:rsidP="0032577B">
      <w:pPr>
        <w:pStyle w:val="ListParagraph"/>
        <w:numPr>
          <w:ilvl w:val="0"/>
          <w:numId w:val="9"/>
        </w:numPr>
        <w:ind w:left="1134" w:hanging="284"/>
        <w:jc w:val="both"/>
        <w:rPr>
          <w:rFonts w:eastAsiaTheme="minorHAnsi" w:cstheme="minorBidi"/>
          <w:iCs/>
          <w:snapToGrid/>
          <w:szCs w:val="22"/>
        </w:rPr>
      </w:pPr>
      <w:r w:rsidRPr="00572090">
        <w:rPr>
          <w:rFonts w:eastAsiaTheme="minorHAnsi" w:cstheme="minorBidi"/>
          <w:iCs/>
          <w:snapToGrid/>
          <w:szCs w:val="22"/>
        </w:rPr>
        <w:t xml:space="preserve">Most patients (86%, 396/458) enrolled in CM77T received four cycles of neoadjuvant treatment, compared with CM816 where a maximum of three neoadjuvant cycles were permitted. In addition, of the patients enrolled in the periNIVO arm of CM77T, only 62% went on to receive adjuvant </w:t>
      </w:r>
      <w:r>
        <w:rPr>
          <w:rFonts w:eastAsiaTheme="minorHAnsi" w:cstheme="minorBidi"/>
          <w:iCs/>
          <w:snapToGrid/>
          <w:szCs w:val="22"/>
        </w:rPr>
        <w:t>nivolumab</w:t>
      </w:r>
      <w:r w:rsidRPr="00572090">
        <w:rPr>
          <w:rFonts w:eastAsiaTheme="minorHAnsi" w:cstheme="minorBidi"/>
          <w:iCs/>
          <w:snapToGrid/>
          <w:szCs w:val="22"/>
        </w:rPr>
        <w:t>. It is uncertain to what extent (if any) the additional cycle of neoadjuvant treatment in the common comparator arm confound</w:t>
      </w:r>
      <w:r>
        <w:rPr>
          <w:rFonts w:eastAsiaTheme="minorHAnsi" w:cstheme="minorBidi"/>
          <w:iCs/>
          <w:snapToGrid/>
          <w:szCs w:val="22"/>
        </w:rPr>
        <w:t>ed the</w:t>
      </w:r>
      <w:r w:rsidRPr="00572090">
        <w:rPr>
          <w:rFonts w:eastAsiaTheme="minorHAnsi" w:cstheme="minorBidi"/>
          <w:iCs/>
          <w:snapToGrid/>
          <w:szCs w:val="22"/>
        </w:rPr>
        <w:t xml:space="preserve"> comparative treatment efficacy between periNIVO and neoNIVO;</w:t>
      </w:r>
    </w:p>
    <w:p w14:paraId="1D11ABAB" w14:textId="3AD3C249" w:rsidR="00F72C31" w:rsidRPr="00572090" w:rsidRDefault="00F72C31" w:rsidP="0032577B">
      <w:pPr>
        <w:pStyle w:val="ListParagraph"/>
        <w:numPr>
          <w:ilvl w:val="0"/>
          <w:numId w:val="9"/>
        </w:numPr>
        <w:ind w:left="1134" w:hanging="284"/>
        <w:jc w:val="both"/>
        <w:rPr>
          <w:iCs/>
        </w:rPr>
      </w:pPr>
      <w:r>
        <w:rPr>
          <w:iCs/>
        </w:rPr>
        <w:t>D</w:t>
      </w:r>
      <w:r w:rsidRPr="00572090">
        <w:rPr>
          <w:iCs/>
        </w:rPr>
        <w:t>ifferent staging criteria</w:t>
      </w:r>
      <w:r>
        <w:rPr>
          <w:iCs/>
        </w:rPr>
        <w:t xml:space="preserve"> were used</w:t>
      </w:r>
      <w:r w:rsidRPr="00572090">
        <w:rPr>
          <w:iCs/>
        </w:rPr>
        <w:t xml:space="preserve"> (CM816; AJCC 7th edition, CM77T; AJCC 8th edition)</w:t>
      </w:r>
      <w:r>
        <w:rPr>
          <w:iCs/>
        </w:rPr>
        <w:t>,</w:t>
      </w:r>
      <w:r w:rsidRPr="00572090">
        <w:rPr>
          <w:iCs/>
        </w:rPr>
        <w:t xml:space="preserve"> mak</w:t>
      </w:r>
      <w:r>
        <w:rPr>
          <w:iCs/>
        </w:rPr>
        <w:t>ing</w:t>
      </w:r>
      <w:r w:rsidRPr="00572090">
        <w:rPr>
          <w:iCs/>
        </w:rPr>
        <w:t xml:space="preserve"> </w:t>
      </w:r>
      <w:r>
        <w:rPr>
          <w:iCs/>
        </w:rPr>
        <w:t xml:space="preserve">a </w:t>
      </w:r>
      <w:r w:rsidRPr="00572090">
        <w:rPr>
          <w:iCs/>
        </w:rPr>
        <w:t xml:space="preserve">direct comparison of staging at baseline problematic. Notably, some patients that were categorised as Stage IIIA (T3N2 and T4N2) in CM816 would now be categorised as Stage IIIB under AJCC 8th edition. There were 43 patients (19%, 43/229) in the periNIVO arm of CM77T that had </w:t>
      </w:r>
      <w:r>
        <w:rPr>
          <w:iCs/>
        </w:rPr>
        <w:t>S</w:t>
      </w:r>
      <w:r w:rsidRPr="00572090">
        <w:rPr>
          <w:iCs/>
        </w:rPr>
        <w:t>tage IIIB disease, which were excluded as per protocol in CM816. Acknowledging the different staging criteria, patients in CM77T generally had more severe diseas</w:t>
      </w:r>
      <w:r>
        <w:rPr>
          <w:iCs/>
        </w:rPr>
        <w:t>e. G</w:t>
      </w:r>
      <w:r w:rsidRPr="00572090">
        <w:rPr>
          <w:iCs/>
        </w:rPr>
        <w:t xml:space="preserve">iven that there was some evidence in the subgroup analysis of CM77T that </w:t>
      </w:r>
      <w:r>
        <w:rPr>
          <w:iCs/>
        </w:rPr>
        <w:t xml:space="preserve">the magnitude of relative EFS benefit was more pronounced for </w:t>
      </w:r>
      <w:r w:rsidRPr="00572090">
        <w:rPr>
          <w:iCs/>
        </w:rPr>
        <w:t xml:space="preserve">patients with more progressed disease </w:t>
      </w:r>
      <w:r>
        <w:rPr>
          <w:iCs/>
        </w:rPr>
        <w:t>compared to earlier Stage II disease</w:t>
      </w:r>
      <w:r w:rsidR="00CE048E">
        <w:rPr>
          <w:iCs/>
        </w:rPr>
        <w:t xml:space="preserve"> </w:t>
      </w:r>
      <w:r w:rsidRPr="00572090">
        <w:rPr>
          <w:iCs/>
        </w:rPr>
        <w:t xml:space="preserve">(see </w:t>
      </w:r>
      <w:r w:rsidRPr="00572090">
        <w:rPr>
          <w:iCs/>
        </w:rPr>
        <w:fldChar w:fldCharType="begin"/>
      </w:r>
      <w:r w:rsidRPr="00572090">
        <w:rPr>
          <w:iCs/>
        </w:rPr>
        <w:instrText xml:space="preserve"> REF _Ref176494307 \h  \* MERGEFORMAT </w:instrText>
      </w:r>
      <w:r w:rsidRPr="00572090">
        <w:rPr>
          <w:iCs/>
        </w:rPr>
      </w:r>
      <w:r w:rsidRPr="00572090">
        <w:rPr>
          <w:iCs/>
        </w:rPr>
        <w:fldChar w:fldCharType="separate"/>
      </w:r>
      <w:r w:rsidR="009C09C9" w:rsidRPr="009C09C9">
        <w:rPr>
          <w:iCs/>
        </w:rPr>
        <w:t xml:space="preserve">Table </w:t>
      </w:r>
      <w:r w:rsidR="009C09C9" w:rsidRPr="009C09C9">
        <w:rPr>
          <w:iCs/>
          <w:noProof/>
        </w:rPr>
        <w:t>12</w:t>
      </w:r>
      <w:r w:rsidRPr="00572090">
        <w:rPr>
          <w:iCs/>
        </w:rPr>
        <w:fldChar w:fldCharType="end"/>
      </w:r>
      <w:r w:rsidRPr="00572090">
        <w:rPr>
          <w:iCs/>
        </w:rPr>
        <w:t xml:space="preserve">), </w:t>
      </w:r>
      <w:r>
        <w:rPr>
          <w:iCs/>
        </w:rPr>
        <w:t xml:space="preserve">this difference </w:t>
      </w:r>
      <w:r w:rsidRPr="00572090">
        <w:rPr>
          <w:iCs/>
        </w:rPr>
        <w:t>may favour periNIVO in the indirect comparison, though the magnitude of effect is uncertain; and</w:t>
      </w:r>
    </w:p>
    <w:p w14:paraId="49F374B2" w14:textId="77777777" w:rsidR="00F72C31" w:rsidRPr="00572090" w:rsidRDefault="00F72C31" w:rsidP="0032577B">
      <w:pPr>
        <w:pStyle w:val="ListParagraph"/>
        <w:numPr>
          <w:ilvl w:val="0"/>
          <w:numId w:val="9"/>
        </w:numPr>
        <w:ind w:left="1134" w:hanging="284"/>
        <w:jc w:val="both"/>
        <w:rPr>
          <w:rFonts w:eastAsiaTheme="minorHAnsi" w:cstheme="minorBidi"/>
          <w:iCs/>
          <w:snapToGrid/>
          <w:szCs w:val="22"/>
        </w:rPr>
      </w:pPr>
      <w:r w:rsidRPr="0013212C">
        <w:rPr>
          <w:rFonts w:eastAsiaTheme="minorHAnsi" w:cstheme="minorBidi"/>
          <w:i/>
          <w:iCs/>
          <w:snapToGrid/>
          <w:szCs w:val="22"/>
        </w:rPr>
        <w:t>EGFR</w:t>
      </w:r>
      <w:r w:rsidRPr="0037439C">
        <w:rPr>
          <w:rFonts w:eastAsiaTheme="minorHAnsi" w:cstheme="minorBidi"/>
          <w:snapToGrid/>
          <w:szCs w:val="22"/>
        </w:rPr>
        <w:t xml:space="preserve"> </w:t>
      </w:r>
      <w:r w:rsidRPr="00572090">
        <w:rPr>
          <w:rFonts w:eastAsiaTheme="minorHAnsi" w:cstheme="minorBidi"/>
          <w:iCs/>
          <w:snapToGrid/>
          <w:szCs w:val="22"/>
        </w:rPr>
        <w:t xml:space="preserve">testing was required for all non-squamous patients in CM77T, compared with CM816 where </w:t>
      </w:r>
      <w:r w:rsidRPr="0013212C">
        <w:rPr>
          <w:rFonts w:eastAsiaTheme="minorHAnsi" w:cstheme="minorBidi"/>
          <w:i/>
          <w:iCs/>
          <w:snapToGrid/>
          <w:szCs w:val="22"/>
        </w:rPr>
        <w:t>EGFR</w:t>
      </w:r>
      <w:r w:rsidRPr="00572090">
        <w:rPr>
          <w:rFonts w:eastAsiaTheme="minorHAnsi" w:cstheme="minorBidi"/>
          <w:iCs/>
          <w:snapToGrid/>
          <w:szCs w:val="22"/>
        </w:rPr>
        <w:t xml:space="preserve"> testing was not part of the screening requirement. </w:t>
      </w:r>
      <w:r w:rsidRPr="00572090">
        <w:rPr>
          <w:rFonts w:eastAsiaTheme="minorHAnsi" w:cstheme="minorBidi"/>
          <w:iCs/>
          <w:snapToGrid/>
          <w:szCs w:val="22"/>
        </w:rPr>
        <w:lastRenderedPageBreak/>
        <w:t xml:space="preserve">Therefore, it is possible that some patients with </w:t>
      </w:r>
      <w:r w:rsidRPr="0013212C">
        <w:rPr>
          <w:rFonts w:eastAsiaTheme="minorHAnsi" w:cstheme="minorBidi"/>
          <w:i/>
          <w:iCs/>
          <w:snapToGrid/>
          <w:szCs w:val="22"/>
        </w:rPr>
        <w:t>EGFR</w:t>
      </w:r>
      <w:r w:rsidRPr="00572090">
        <w:rPr>
          <w:rFonts w:eastAsiaTheme="minorHAnsi" w:cstheme="minorBidi"/>
          <w:iCs/>
          <w:snapToGrid/>
          <w:szCs w:val="22"/>
        </w:rPr>
        <w:t xml:space="preserve"> mutation may have been included in CM816. The impact of this difference was unclear.</w:t>
      </w:r>
    </w:p>
    <w:p w14:paraId="1BD0A5A3" w14:textId="45CFC9D7" w:rsidR="00F72C31" w:rsidRPr="0032577B" w:rsidRDefault="00F72C31" w:rsidP="0032577B">
      <w:pPr>
        <w:pStyle w:val="TableFigureHeading"/>
      </w:pPr>
      <w:bookmarkStart w:id="63" w:name="_Ref175758110"/>
      <w:r w:rsidRPr="0032577B">
        <w:rPr>
          <w:rStyle w:val="TableFigureHeadingChar"/>
          <w:b/>
          <w:bCs/>
        </w:rPr>
        <w:t>Table</w:t>
      </w:r>
      <w:r w:rsidRPr="0032577B">
        <w:t xml:space="preserve"> </w:t>
      </w:r>
      <w:r w:rsidRPr="0032577B">
        <w:fldChar w:fldCharType="begin"/>
      </w:r>
      <w:r w:rsidRPr="0032577B">
        <w:instrText xml:space="preserve"> SEQ Table \* ARABIC </w:instrText>
      </w:r>
      <w:r w:rsidRPr="0032577B">
        <w:fldChar w:fldCharType="separate"/>
      </w:r>
      <w:r w:rsidR="009C09C9">
        <w:rPr>
          <w:noProof/>
        </w:rPr>
        <w:t>13</w:t>
      </w:r>
      <w:r w:rsidRPr="0032577B">
        <w:fldChar w:fldCharType="end"/>
      </w:r>
      <w:bookmarkEnd w:id="63"/>
      <w:r w:rsidRPr="0032577B">
        <w:t>: Indirect treatment comparisons of EFS for periNIVO versus neoNIVO – CM77T and CM816</w:t>
      </w:r>
    </w:p>
    <w:tbl>
      <w:tblPr>
        <w:tblStyle w:val="TableGrid"/>
        <w:tblW w:w="5000" w:type="pct"/>
        <w:tblLook w:val="04A0" w:firstRow="1" w:lastRow="0" w:firstColumn="1" w:lastColumn="0" w:noHBand="0" w:noVBand="1"/>
        <w:tblCaption w:val="Table 13: Indirect treatment comparisons of EFS for periNIVO versus neoNIVO – CM77T and CM816"/>
        <w:tblDescription w:val="Table 13: Indirect treatment comparisons of EFS for periNIVO versus neoNIVO – CM77T and CM816"/>
      </w:tblPr>
      <w:tblGrid>
        <w:gridCol w:w="1176"/>
        <w:gridCol w:w="959"/>
        <w:gridCol w:w="1298"/>
        <w:gridCol w:w="1293"/>
        <w:gridCol w:w="1118"/>
        <w:gridCol w:w="1014"/>
        <w:gridCol w:w="1068"/>
        <w:gridCol w:w="1091"/>
      </w:tblGrid>
      <w:tr w:rsidR="00F72C31" w:rsidRPr="00D26C60" w14:paraId="7CC31EB1" w14:textId="77777777" w:rsidTr="0032577B">
        <w:tc>
          <w:tcPr>
            <w:tcW w:w="652" w:type="pct"/>
            <w:vAlign w:val="center"/>
          </w:tcPr>
          <w:p w14:paraId="2E6F10F1" w14:textId="77777777" w:rsidR="00F72C31" w:rsidRPr="00D26C60" w:rsidRDefault="00F72C31">
            <w:pPr>
              <w:keepNext/>
              <w:keepLines/>
              <w:jc w:val="left"/>
              <w:rPr>
                <w:rFonts w:ascii="Arial Narrow" w:hAnsi="Arial Narrow"/>
                <w:sz w:val="20"/>
                <w:szCs w:val="20"/>
              </w:rPr>
            </w:pPr>
          </w:p>
        </w:tc>
        <w:tc>
          <w:tcPr>
            <w:tcW w:w="1252" w:type="pct"/>
            <w:gridSpan w:val="2"/>
            <w:vAlign w:val="center"/>
          </w:tcPr>
          <w:p w14:paraId="75E9C643" w14:textId="77777777" w:rsidR="00F72C31" w:rsidRPr="00D26C60" w:rsidRDefault="00F72C31">
            <w:pPr>
              <w:keepNext/>
              <w:keepLines/>
              <w:jc w:val="center"/>
              <w:rPr>
                <w:rFonts w:ascii="Arial Narrow" w:hAnsi="Arial Narrow"/>
                <w:b/>
                <w:bCs/>
                <w:sz w:val="20"/>
                <w:szCs w:val="20"/>
              </w:rPr>
            </w:pPr>
            <w:r w:rsidRPr="00D26C60">
              <w:rPr>
                <w:rFonts w:ascii="Arial Narrow" w:hAnsi="Arial Narrow"/>
                <w:b/>
                <w:bCs/>
                <w:sz w:val="20"/>
                <w:szCs w:val="20"/>
              </w:rPr>
              <w:t>PeriNIVO</w:t>
            </w:r>
          </w:p>
        </w:tc>
        <w:tc>
          <w:tcPr>
            <w:tcW w:w="1337" w:type="pct"/>
            <w:gridSpan w:val="2"/>
            <w:vAlign w:val="center"/>
          </w:tcPr>
          <w:p w14:paraId="2467FAF1" w14:textId="77777777" w:rsidR="00F72C31" w:rsidRPr="00D26C60" w:rsidRDefault="00F72C31">
            <w:pPr>
              <w:keepNext/>
              <w:keepLines/>
              <w:jc w:val="center"/>
              <w:rPr>
                <w:rFonts w:ascii="Arial Narrow" w:hAnsi="Arial Narrow"/>
                <w:b/>
                <w:bCs/>
                <w:sz w:val="20"/>
                <w:szCs w:val="20"/>
              </w:rPr>
            </w:pPr>
            <w:r w:rsidRPr="00D26C60">
              <w:rPr>
                <w:rFonts w:ascii="Arial Narrow" w:hAnsi="Arial Narrow"/>
                <w:b/>
                <w:bCs/>
                <w:sz w:val="20"/>
                <w:szCs w:val="20"/>
              </w:rPr>
              <w:t>NeoChemo</w:t>
            </w:r>
          </w:p>
        </w:tc>
        <w:tc>
          <w:tcPr>
            <w:tcW w:w="1153" w:type="pct"/>
            <w:gridSpan w:val="2"/>
            <w:vAlign w:val="center"/>
          </w:tcPr>
          <w:p w14:paraId="4412BA1B" w14:textId="77777777" w:rsidR="00F72C31" w:rsidRPr="00D26C60" w:rsidRDefault="00F72C31">
            <w:pPr>
              <w:keepNext/>
              <w:keepLines/>
              <w:jc w:val="center"/>
              <w:rPr>
                <w:rFonts w:ascii="Arial Narrow" w:hAnsi="Arial Narrow"/>
                <w:b/>
                <w:bCs/>
                <w:sz w:val="20"/>
                <w:szCs w:val="20"/>
              </w:rPr>
            </w:pPr>
            <w:r w:rsidRPr="00D26C60">
              <w:rPr>
                <w:rFonts w:ascii="Arial Narrow" w:hAnsi="Arial Narrow"/>
                <w:b/>
                <w:bCs/>
                <w:sz w:val="20"/>
                <w:szCs w:val="20"/>
              </w:rPr>
              <w:t>NeoNIVO</w:t>
            </w:r>
          </w:p>
        </w:tc>
        <w:tc>
          <w:tcPr>
            <w:tcW w:w="605" w:type="pct"/>
            <w:vMerge w:val="restart"/>
            <w:vAlign w:val="center"/>
          </w:tcPr>
          <w:p w14:paraId="1D7A6D63" w14:textId="77777777" w:rsidR="00F72C31" w:rsidRPr="00D26C60" w:rsidRDefault="00F72C31">
            <w:pPr>
              <w:keepNext/>
              <w:keepLines/>
              <w:jc w:val="center"/>
              <w:rPr>
                <w:rFonts w:ascii="Arial Narrow" w:hAnsi="Arial Narrow"/>
                <w:sz w:val="20"/>
                <w:szCs w:val="20"/>
              </w:rPr>
            </w:pPr>
            <w:r>
              <w:rPr>
                <w:rFonts w:ascii="Arial Narrow" w:hAnsi="Arial Narrow"/>
                <w:b/>
                <w:sz w:val="20"/>
                <w:szCs w:val="20"/>
              </w:rPr>
              <w:t>EFS h</w:t>
            </w:r>
            <w:r w:rsidRPr="00D26C60">
              <w:rPr>
                <w:rFonts w:ascii="Arial Narrow" w:hAnsi="Arial Narrow"/>
                <w:b/>
                <w:sz w:val="20"/>
                <w:szCs w:val="20"/>
              </w:rPr>
              <w:t>azard ratio (95 % CI)</w:t>
            </w:r>
          </w:p>
        </w:tc>
      </w:tr>
      <w:tr w:rsidR="00F72C31" w:rsidRPr="00D26C60" w14:paraId="14AB08A9" w14:textId="77777777" w:rsidTr="0032577B">
        <w:tc>
          <w:tcPr>
            <w:tcW w:w="652" w:type="pct"/>
            <w:vAlign w:val="center"/>
          </w:tcPr>
          <w:p w14:paraId="647D6130" w14:textId="77777777" w:rsidR="00F72C31" w:rsidRPr="00D26C60" w:rsidRDefault="00F72C31">
            <w:pPr>
              <w:keepNext/>
              <w:keepLines/>
              <w:jc w:val="left"/>
              <w:rPr>
                <w:rFonts w:ascii="Arial Narrow" w:hAnsi="Arial Narrow"/>
                <w:b/>
                <w:bCs/>
                <w:sz w:val="20"/>
                <w:szCs w:val="20"/>
              </w:rPr>
            </w:pPr>
            <w:r w:rsidRPr="00D26C60">
              <w:rPr>
                <w:rFonts w:ascii="Arial Narrow" w:hAnsi="Arial Narrow"/>
                <w:b/>
                <w:bCs/>
                <w:sz w:val="20"/>
                <w:szCs w:val="20"/>
              </w:rPr>
              <w:t>Trial</w:t>
            </w:r>
          </w:p>
        </w:tc>
        <w:tc>
          <w:tcPr>
            <w:tcW w:w="532" w:type="pct"/>
            <w:vAlign w:val="center"/>
          </w:tcPr>
          <w:p w14:paraId="39065610" w14:textId="77777777" w:rsidR="00F72C31" w:rsidRPr="00D26C60" w:rsidRDefault="00F72C31">
            <w:pPr>
              <w:keepNext/>
              <w:keepLines/>
              <w:jc w:val="center"/>
              <w:rPr>
                <w:rFonts w:ascii="Arial Narrow" w:hAnsi="Arial Narrow"/>
                <w:sz w:val="20"/>
                <w:szCs w:val="20"/>
              </w:rPr>
            </w:pPr>
            <w:r w:rsidRPr="00D26C60">
              <w:rPr>
                <w:rFonts w:ascii="Arial Narrow" w:hAnsi="Arial Narrow"/>
                <w:b/>
                <w:sz w:val="20"/>
                <w:szCs w:val="20"/>
              </w:rPr>
              <w:t>n/N with event (%)</w:t>
            </w:r>
          </w:p>
        </w:tc>
        <w:tc>
          <w:tcPr>
            <w:tcW w:w="720" w:type="pct"/>
            <w:vAlign w:val="center"/>
          </w:tcPr>
          <w:p w14:paraId="432085AB" w14:textId="77777777" w:rsidR="00F72C31" w:rsidRPr="00D26C60" w:rsidRDefault="00F72C31">
            <w:pPr>
              <w:keepNext/>
              <w:keepLines/>
              <w:jc w:val="center"/>
              <w:rPr>
                <w:rFonts w:ascii="Arial Narrow" w:hAnsi="Arial Narrow"/>
                <w:sz w:val="20"/>
                <w:szCs w:val="20"/>
              </w:rPr>
            </w:pPr>
            <w:r w:rsidRPr="00D26C60">
              <w:rPr>
                <w:rFonts w:ascii="Arial Narrow" w:hAnsi="Arial Narrow"/>
                <w:b/>
                <w:sz w:val="20"/>
                <w:szCs w:val="20"/>
              </w:rPr>
              <w:t>Median time-to-event (95% CI)</w:t>
            </w:r>
          </w:p>
        </w:tc>
        <w:tc>
          <w:tcPr>
            <w:tcW w:w="717" w:type="pct"/>
            <w:vAlign w:val="center"/>
          </w:tcPr>
          <w:p w14:paraId="51B4D380" w14:textId="77777777" w:rsidR="00F72C31" w:rsidRPr="00D26C60" w:rsidRDefault="00F72C31">
            <w:pPr>
              <w:keepNext/>
              <w:keepLines/>
              <w:jc w:val="center"/>
              <w:rPr>
                <w:rFonts w:ascii="Arial Narrow" w:hAnsi="Arial Narrow"/>
                <w:sz w:val="20"/>
                <w:szCs w:val="20"/>
              </w:rPr>
            </w:pPr>
            <w:r w:rsidRPr="00D26C60">
              <w:rPr>
                <w:rFonts w:ascii="Arial Narrow" w:hAnsi="Arial Narrow"/>
                <w:b/>
                <w:sz w:val="20"/>
                <w:szCs w:val="20"/>
              </w:rPr>
              <w:t>Common reference n/N with event</w:t>
            </w:r>
          </w:p>
        </w:tc>
        <w:tc>
          <w:tcPr>
            <w:tcW w:w="620" w:type="pct"/>
            <w:vAlign w:val="center"/>
          </w:tcPr>
          <w:p w14:paraId="338FB9F9" w14:textId="77777777" w:rsidR="00A0136F" w:rsidRDefault="00F72C31">
            <w:pPr>
              <w:keepNext/>
              <w:keepLines/>
              <w:jc w:val="center"/>
              <w:rPr>
                <w:rFonts w:ascii="Arial Narrow" w:hAnsi="Arial Narrow"/>
                <w:b/>
                <w:sz w:val="20"/>
                <w:szCs w:val="20"/>
              </w:rPr>
            </w:pPr>
            <w:r w:rsidRPr="00D26C60">
              <w:rPr>
                <w:rFonts w:ascii="Arial Narrow" w:hAnsi="Arial Narrow"/>
                <w:b/>
                <w:sz w:val="20"/>
                <w:szCs w:val="20"/>
              </w:rPr>
              <w:t>Median time-to-event</w:t>
            </w:r>
          </w:p>
          <w:p w14:paraId="4D84AD8F" w14:textId="5175E99B" w:rsidR="00F72C31" w:rsidRPr="00D26C60" w:rsidRDefault="00F72C31">
            <w:pPr>
              <w:keepNext/>
              <w:keepLines/>
              <w:jc w:val="center"/>
              <w:rPr>
                <w:rFonts w:ascii="Arial Narrow" w:hAnsi="Arial Narrow"/>
                <w:sz w:val="20"/>
                <w:szCs w:val="20"/>
              </w:rPr>
            </w:pPr>
            <w:r w:rsidRPr="00D26C60">
              <w:rPr>
                <w:rFonts w:ascii="Arial Narrow" w:hAnsi="Arial Narrow"/>
                <w:b/>
                <w:sz w:val="20"/>
                <w:szCs w:val="20"/>
              </w:rPr>
              <w:t>(95% CI)</w:t>
            </w:r>
          </w:p>
        </w:tc>
        <w:tc>
          <w:tcPr>
            <w:tcW w:w="562" w:type="pct"/>
            <w:vAlign w:val="center"/>
          </w:tcPr>
          <w:p w14:paraId="76031984" w14:textId="77777777" w:rsidR="00F72C31" w:rsidRPr="00D26C60" w:rsidRDefault="00F72C31">
            <w:pPr>
              <w:keepNext/>
              <w:keepLines/>
              <w:jc w:val="center"/>
              <w:rPr>
                <w:rFonts w:ascii="Arial Narrow" w:hAnsi="Arial Narrow"/>
                <w:sz w:val="20"/>
                <w:szCs w:val="20"/>
              </w:rPr>
            </w:pPr>
            <w:r w:rsidRPr="00D26C60">
              <w:rPr>
                <w:rFonts w:ascii="Arial Narrow" w:hAnsi="Arial Narrow"/>
                <w:b/>
                <w:sz w:val="20"/>
                <w:szCs w:val="20"/>
              </w:rPr>
              <w:t>n/N with event (%)</w:t>
            </w:r>
          </w:p>
        </w:tc>
        <w:tc>
          <w:tcPr>
            <w:tcW w:w="591" w:type="pct"/>
            <w:vAlign w:val="center"/>
          </w:tcPr>
          <w:p w14:paraId="1CD201C8" w14:textId="77777777" w:rsidR="00A0136F" w:rsidRDefault="00F72C31">
            <w:pPr>
              <w:keepNext/>
              <w:keepLines/>
              <w:jc w:val="center"/>
              <w:rPr>
                <w:rFonts w:ascii="Arial Narrow" w:hAnsi="Arial Narrow"/>
                <w:b/>
                <w:sz w:val="20"/>
                <w:szCs w:val="20"/>
              </w:rPr>
            </w:pPr>
            <w:r w:rsidRPr="00D26C60">
              <w:rPr>
                <w:rFonts w:ascii="Arial Narrow" w:hAnsi="Arial Narrow"/>
                <w:b/>
                <w:sz w:val="20"/>
                <w:szCs w:val="20"/>
              </w:rPr>
              <w:t>Median time-to-event</w:t>
            </w:r>
          </w:p>
          <w:p w14:paraId="6D864E27" w14:textId="273AFB93" w:rsidR="00F72C31" w:rsidRPr="00D26C60" w:rsidRDefault="00F72C31">
            <w:pPr>
              <w:keepNext/>
              <w:keepLines/>
              <w:jc w:val="center"/>
              <w:rPr>
                <w:rFonts w:ascii="Arial Narrow" w:hAnsi="Arial Narrow"/>
                <w:sz w:val="20"/>
                <w:szCs w:val="20"/>
              </w:rPr>
            </w:pPr>
            <w:r w:rsidRPr="00D26C60">
              <w:rPr>
                <w:rFonts w:ascii="Arial Narrow" w:hAnsi="Arial Narrow"/>
                <w:b/>
                <w:sz w:val="20"/>
                <w:szCs w:val="20"/>
              </w:rPr>
              <w:t>(95% CI)</w:t>
            </w:r>
          </w:p>
        </w:tc>
        <w:tc>
          <w:tcPr>
            <w:tcW w:w="605" w:type="pct"/>
            <w:vMerge/>
            <w:vAlign w:val="center"/>
          </w:tcPr>
          <w:p w14:paraId="54712BD2" w14:textId="77777777" w:rsidR="00F72C31" w:rsidRPr="00D26C60" w:rsidRDefault="00F72C31">
            <w:pPr>
              <w:keepNext/>
              <w:keepLines/>
              <w:jc w:val="center"/>
              <w:rPr>
                <w:rFonts w:ascii="Arial Narrow" w:hAnsi="Arial Narrow"/>
                <w:b/>
                <w:sz w:val="20"/>
                <w:szCs w:val="20"/>
              </w:rPr>
            </w:pPr>
          </w:p>
        </w:tc>
      </w:tr>
      <w:tr w:rsidR="00F72C31" w:rsidRPr="00D26C60" w14:paraId="130E1E75" w14:textId="77777777" w:rsidTr="0032577B">
        <w:tc>
          <w:tcPr>
            <w:tcW w:w="5000" w:type="pct"/>
            <w:gridSpan w:val="8"/>
            <w:vAlign w:val="center"/>
          </w:tcPr>
          <w:p w14:paraId="0077E80E" w14:textId="77777777" w:rsidR="00F72C31" w:rsidRPr="00D26C60" w:rsidRDefault="00F72C31">
            <w:pPr>
              <w:keepNext/>
              <w:keepLines/>
              <w:jc w:val="left"/>
              <w:rPr>
                <w:rFonts w:ascii="Arial Narrow" w:hAnsi="Arial Narrow"/>
                <w:sz w:val="20"/>
                <w:szCs w:val="20"/>
              </w:rPr>
            </w:pPr>
            <w:r w:rsidRPr="00D26C60">
              <w:rPr>
                <w:rFonts w:ascii="Arial Narrow" w:hAnsi="Arial Narrow"/>
                <w:b/>
                <w:sz w:val="20"/>
                <w:szCs w:val="20"/>
              </w:rPr>
              <w:t>Primary assessment: CM77T &amp; CM816 Interim analysis 1</w:t>
            </w:r>
          </w:p>
        </w:tc>
      </w:tr>
      <w:tr w:rsidR="00F72C31" w:rsidRPr="00D26C60" w14:paraId="227A124E" w14:textId="77777777" w:rsidTr="0032577B">
        <w:tc>
          <w:tcPr>
            <w:tcW w:w="652" w:type="pct"/>
            <w:vAlign w:val="center"/>
          </w:tcPr>
          <w:p w14:paraId="1FB318EB" w14:textId="77777777" w:rsidR="00F72C31" w:rsidRPr="00D26C60" w:rsidRDefault="00F72C31">
            <w:pPr>
              <w:keepNext/>
              <w:keepLines/>
              <w:jc w:val="left"/>
              <w:rPr>
                <w:rFonts w:ascii="Arial Narrow" w:hAnsi="Arial Narrow"/>
                <w:sz w:val="20"/>
                <w:szCs w:val="20"/>
              </w:rPr>
            </w:pPr>
            <w:r w:rsidRPr="00D26C60">
              <w:rPr>
                <w:rFonts w:ascii="Arial Narrow" w:hAnsi="Arial Narrow"/>
                <w:sz w:val="20"/>
                <w:szCs w:val="20"/>
              </w:rPr>
              <w:t>CM77T</w:t>
            </w:r>
          </w:p>
        </w:tc>
        <w:tc>
          <w:tcPr>
            <w:tcW w:w="532" w:type="pct"/>
            <w:vAlign w:val="center"/>
          </w:tcPr>
          <w:p w14:paraId="34CFA702"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76/229 (33)</w:t>
            </w:r>
          </w:p>
        </w:tc>
        <w:tc>
          <w:tcPr>
            <w:tcW w:w="720" w:type="pct"/>
            <w:vAlign w:val="center"/>
          </w:tcPr>
          <w:p w14:paraId="1D46B954"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N</w:t>
            </w:r>
            <w:r>
              <w:rPr>
                <w:rFonts w:ascii="Arial Narrow" w:hAnsi="Arial Narrow"/>
                <w:sz w:val="20"/>
                <w:szCs w:val="20"/>
              </w:rPr>
              <w:t>R</w:t>
            </w:r>
            <w:r w:rsidRPr="00D26C60">
              <w:rPr>
                <w:rFonts w:ascii="Arial Narrow" w:hAnsi="Arial Narrow"/>
                <w:sz w:val="20"/>
                <w:szCs w:val="20"/>
              </w:rPr>
              <w:t xml:space="preserve"> (28.9, NA)</w:t>
            </w:r>
          </w:p>
        </w:tc>
        <w:tc>
          <w:tcPr>
            <w:tcW w:w="717" w:type="pct"/>
            <w:vAlign w:val="center"/>
          </w:tcPr>
          <w:p w14:paraId="3D40932F"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113/232 (49%)</w:t>
            </w:r>
          </w:p>
        </w:tc>
        <w:tc>
          <w:tcPr>
            <w:tcW w:w="620" w:type="pct"/>
            <w:vAlign w:val="center"/>
          </w:tcPr>
          <w:p w14:paraId="715B5517" w14:textId="77777777" w:rsidR="00F72C31" w:rsidRPr="00D26C60" w:rsidRDefault="00F72C31">
            <w:pPr>
              <w:pStyle w:val="TableText0"/>
              <w:jc w:val="center"/>
            </w:pPr>
            <w:r w:rsidRPr="00D26C60">
              <w:t>18.4</w:t>
            </w:r>
          </w:p>
          <w:p w14:paraId="57DC41CC"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(13.6, 28.1)</w:t>
            </w:r>
          </w:p>
        </w:tc>
        <w:tc>
          <w:tcPr>
            <w:tcW w:w="562" w:type="pct"/>
            <w:vAlign w:val="center"/>
          </w:tcPr>
          <w:p w14:paraId="37D5256C"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591" w:type="pct"/>
            <w:vAlign w:val="center"/>
          </w:tcPr>
          <w:p w14:paraId="070972CF"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605" w:type="pct"/>
            <w:vAlign w:val="center"/>
          </w:tcPr>
          <w:p w14:paraId="1086291F"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0.58</w:t>
            </w:r>
          </w:p>
          <w:p w14:paraId="05E44D67"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(0.43, 0.78)</w:t>
            </w:r>
          </w:p>
        </w:tc>
      </w:tr>
      <w:tr w:rsidR="00F72C31" w:rsidRPr="00D26C60" w14:paraId="5D3A29BD" w14:textId="77777777" w:rsidTr="0032577B">
        <w:tc>
          <w:tcPr>
            <w:tcW w:w="652" w:type="pct"/>
            <w:vAlign w:val="center"/>
          </w:tcPr>
          <w:p w14:paraId="401D026B" w14:textId="77777777" w:rsidR="00F72C31" w:rsidRPr="00D26C60" w:rsidRDefault="00F72C31">
            <w:pPr>
              <w:keepNext/>
              <w:keepLines/>
              <w:jc w:val="left"/>
              <w:rPr>
                <w:rFonts w:ascii="Arial Narrow" w:hAnsi="Arial Narrow"/>
                <w:sz w:val="20"/>
                <w:szCs w:val="20"/>
              </w:rPr>
            </w:pPr>
            <w:r w:rsidRPr="00D26C60">
              <w:rPr>
                <w:rFonts w:ascii="Arial Narrow" w:hAnsi="Arial Narrow"/>
                <w:sz w:val="20"/>
                <w:szCs w:val="20"/>
              </w:rPr>
              <w:t>CM816</w:t>
            </w:r>
          </w:p>
        </w:tc>
        <w:tc>
          <w:tcPr>
            <w:tcW w:w="532" w:type="pct"/>
            <w:vAlign w:val="center"/>
          </w:tcPr>
          <w:p w14:paraId="33F292AC"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720" w:type="pct"/>
            <w:vAlign w:val="center"/>
          </w:tcPr>
          <w:p w14:paraId="7BF1951E"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717" w:type="pct"/>
            <w:vAlign w:val="center"/>
          </w:tcPr>
          <w:p w14:paraId="7DF2886C"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87/179 (49%)</w:t>
            </w:r>
          </w:p>
        </w:tc>
        <w:tc>
          <w:tcPr>
            <w:tcW w:w="620" w:type="pct"/>
            <w:vAlign w:val="center"/>
          </w:tcPr>
          <w:p w14:paraId="5C68800F" w14:textId="77777777" w:rsidR="00F72C31" w:rsidRPr="00D26C60" w:rsidRDefault="00F72C31">
            <w:pPr>
              <w:pStyle w:val="TableText0"/>
              <w:jc w:val="center"/>
            </w:pPr>
            <w:r w:rsidRPr="00D26C60">
              <w:t>20.8</w:t>
            </w:r>
          </w:p>
          <w:p w14:paraId="30059DC9"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(14.0, 36.7)</w:t>
            </w:r>
          </w:p>
        </w:tc>
        <w:tc>
          <w:tcPr>
            <w:tcW w:w="562" w:type="pct"/>
            <w:vAlign w:val="center"/>
          </w:tcPr>
          <w:p w14:paraId="6282F5CB"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64/179 (36)</w:t>
            </w:r>
          </w:p>
        </w:tc>
        <w:tc>
          <w:tcPr>
            <w:tcW w:w="591" w:type="pct"/>
            <w:vAlign w:val="center"/>
          </w:tcPr>
          <w:p w14:paraId="551C5B6A" w14:textId="77777777" w:rsidR="00F72C31" w:rsidRPr="00D26C60" w:rsidRDefault="00F72C31">
            <w:pPr>
              <w:pStyle w:val="TableText0"/>
              <w:jc w:val="center"/>
            </w:pPr>
            <w:r w:rsidRPr="00D26C60">
              <w:t>31.6</w:t>
            </w:r>
          </w:p>
          <w:p w14:paraId="3BEBD636" w14:textId="77777777" w:rsidR="00F72C31" w:rsidRPr="00D26C60" w:rsidRDefault="00F72C31">
            <w:pPr>
              <w:pStyle w:val="TableText0"/>
              <w:jc w:val="center"/>
            </w:pPr>
            <w:r w:rsidRPr="00D26C60">
              <w:t>(30.2, NA)</w:t>
            </w:r>
          </w:p>
        </w:tc>
        <w:tc>
          <w:tcPr>
            <w:tcW w:w="605" w:type="pct"/>
            <w:vAlign w:val="center"/>
          </w:tcPr>
          <w:p w14:paraId="6185B440"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0.63</w:t>
            </w:r>
          </w:p>
          <w:p w14:paraId="6160E4E6"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(0.45, 0.87)</w:t>
            </w:r>
          </w:p>
        </w:tc>
      </w:tr>
      <w:tr w:rsidR="00F72C31" w:rsidRPr="00D26C60" w14:paraId="7969448E" w14:textId="77777777" w:rsidTr="0032577B">
        <w:tc>
          <w:tcPr>
            <w:tcW w:w="4395" w:type="pct"/>
            <w:gridSpan w:val="7"/>
            <w:vAlign w:val="center"/>
          </w:tcPr>
          <w:p w14:paraId="1B601DDD" w14:textId="77777777" w:rsidR="00F72C31" w:rsidRPr="00D26C60" w:rsidRDefault="00F72C31">
            <w:pPr>
              <w:keepNext/>
              <w:keepLines/>
              <w:jc w:val="left"/>
              <w:rPr>
                <w:rFonts w:ascii="Arial Narrow" w:hAnsi="Arial Narrow"/>
                <w:sz w:val="20"/>
                <w:szCs w:val="20"/>
              </w:rPr>
            </w:pPr>
            <w:r w:rsidRPr="00D26C60">
              <w:rPr>
                <w:rFonts w:ascii="Arial Narrow" w:hAnsi="Arial Narrow"/>
                <w:sz w:val="20"/>
                <w:szCs w:val="20"/>
              </w:rPr>
              <w:t>Indirect estimate of effect of periNIVO vs neoNIVO using neoChemo as the common reference</w:t>
            </w:r>
          </w:p>
        </w:tc>
        <w:tc>
          <w:tcPr>
            <w:tcW w:w="605" w:type="pct"/>
            <w:vAlign w:val="center"/>
          </w:tcPr>
          <w:p w14:paraId="23DA251A" w14:textId="77777777" w:rsidR="00A0136F" w:rsidRDefault="00F72C31">
            <w:pPr>
              <w:keepNext/>
              <w:keepLines/>
              <w:jc w:val="center"/>
              <w:rPr>
                <w:rFonts w:ascii="Arial Narrow" w:hAnsi="Arial Narrow"/>
                <w:sz w:val="20"/>
                <w:szCs w:val="20"/>
              </w:rPr>
            </w:pPr>
            <w:r w:rsidRPr="00D26C60">
              <w:rPr>
                <w:rFonts w:ascii="Arial Narrow" w:hAnsi="Arial Narrow"/>
                <w:sz w:val="20"/>
                <w:szCs w:val="20"/>
              </w:rPr>
              <w:t>0.92</w:t>
            </w:r>
          </w:p>
          <w:p w14:paraId="63100A55" w14:textId="518985AD"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(0.59, 1.44)</w:t>
            </w:r>
          </w:p>
        </w:tc>
      </w:tr>
      <w:tr w:rsidR="00F72C31" w:rsidRPr="00D26C60" w14:paraId="510F4811" w14:textId="77777777" w:rsidTr="0032577B">
        <w:tc>
          <w:tcPr>
            <w:tcW w:w="5000" w:type="pct"/>
            <w:gridSpan w:val="8"/>
            <w:vAlign w:val="center"/>
          </w:tcPr>
          <w:p w14:paraId="5677E815" w14:textId="77777777" w:rsidR="00F72C31" w:rsidRPr="00D26C60" w:rsidRDefault="00F72C31">
            <w:pPr>
              <w:keepNext/>
              <w:keepLines/>
              <w:jc w:val="left"/>
              <w:rPr>
                <w:rFonts w:ascii="Arial Narrow" w:hAnsi="Arial Narrow"/>
                <w:sz w:val="20"/>
                <w:szCs w:val="20"/>
              </w:rPr>
            </w:pPr>
            <w:r w:rsidRPr="00D26C60">
              <w:rPr>
                <w:rFonts w:ascii="Arial Narrow" w:hAnsi="Arial Narrow"/>
                <w:b/>
                <w:sz w:val="20"/>
                <w:szCs w:val="20"/>
              </w:rPr>
              <w:t>Secondary assessment: CM77T Interim analysis 1; CM816 4-year update</w:t>
            </w:r>
          </w:p>
        </w:tc>
      </w:tr>
      <w:tr w:rsidR="00F72C31" w:rsidRPr="00D26C60" w14:paraId="5C9DEE3B" w14:textId="77777777" w:rsidTr="0032577B">
        <w:tc>
          <w:tcPr>
            <w:tcW w:w="652" w:type="pct"/>
            <w:vAlign w:val="center"/>
          </w:tcPr>
          <w:p w14:paraId="524C973B" w14:textId="77777777" w:rsidR="00F72C31" w:rsidRPr="00D26C60" w:rsidRDefault="00F72C31">
            <w:pPr>
              <w:keepNext/>
              <w:keepLines/>
              <w:jc w:val="left"/>
              <w:rPr>
                <w:rFonts w:ascii="Arial Narrow" w:hAnsi="Arial Narrow"/>
                <w:sz w:val="20"/>
                <w:szCs w:val="20"/>
              </w:rPr>
            </w:pPr>
            <w:r w:rsidRPr="00D26C60">
              <w:rPr>
                <w:rFonts w:ascii="Arial Narrow" w:hAnsi="Arial Narrow"/>
                <w:sz w:val="20"/>
                <w:szCs w:val="20"/>
              </w:rPr>
              <w:t>CM77T</w:t>
            </w:r>
          </w:p>
        </w:tc>
        <w:tc>
          <w:tcPr>
            <w:tcW w:w="532" w:type="pct"/>
            <w:vAlign w:val="center"/>
          </w:tcPr>
          <w:p w14:paraId="5F529137"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76/229 (33)</w:t>
            </w:r>
          </w:p>
        </w:tc>
        <w:tc>
          <w:tcPr>
            <w:tcW w:w="720" w:type="pct"/>
            <w:vAlign w:val="center"/>
          </w:tcPr>
          <w:p w14:paraId="7D99E290"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N</w:t>
            </w:r>
            <w:r>
              <w:rPr>
                <w:rFonts w:ascii="Arial Narrow" w:hAnsi="Arial Narrow"/>
                <w:sz w:val="20"/>
                <w:szCs w:val="20"/>
              </w:rPr>
              <w:t>R</w:t>
            </w:r>
            <w:r w:rsidRPr="00D26C60">
              <w:rPr>
                <w:rFonts w:ascii="Arial Narrow" w:hAnsi="Arial Narrow"/>
                <w:sz w:val="20"/>
                <w:szCs w:val="20"/>
              </w:rPr>
              <w:t xml:space="preserve"> (28.9, NA)</w:t>
            </w:r>
          </w:p>
        </w:tc>
        <w:tc>
          <w:tcPr>
            <w:tcW w:w="717" w:type="pct"/>
            <w:vAlign w:val="center"/>
          </w:tcPr>
          <w:p w14:paraId="1395AA9F"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113/232 (49%)</w:t>
            </w:r>
          </w:p>
        </w:tc>
        <w:tc>
          <w:tcPr>
            <w:tcW w:w="620" w:type="pct"/>
            <w:vAlign w:val="center"/>
          </w:tcPr>
          <w:p w14:paraId="6FBF566C" w14:textId="77777777" w:rsidR="00F72C31" w:rsidRPr="00D26C60" w:rsidRDefault="00F72C31">
            <w:pPr>
              <w:pStyle w:val="TableText0"/>
              <w:jc w:val="center"/>
            </w:pPr>
            <w:r w:rsidRPr="00D26C60">
              <w:t>18.4</w:t>
            </w:r>
          </w:p>
          <w:p w14:paraId="1A636413"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(13.6, 28.1)</w:t>
            </w:r>
          </w:p>
        </w:tc>
        <w:tc>
          <w:tcPr>
            <w:tcW w:w="562" w:type="pct"/>
            <w:vAlign w:val="center"/>
          </w:tcPr>
          <w:p w14:paraId="7202E3AC"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591" w:type="pct"/>
            <w:vAlign w:val="center"/>
          </w:tcPr>
          <w:p w14:paraId="73E53538"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605" w:type="pct"/>
            <w:vAlign w:val="center"/>
          </w:tcPr>
          <w:p w14:paraId="3B378960"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0.58 (0.43, 0.78)</w:t>
            </w:r>
          </w:p>
        </w:tc>
      </w:tr>
      <w:tr w:rsidR="00F72C31" w:rsidRPr="00D26C60" w14:paraId="5F87B4D2" w14:textId="77777777" w:rsidTr="0032577B">
        <w:tc>
          <w:tcPr>
            <w:tcW w:w="652" w:type="pct"/>
            <w:vAlign w:val="center"/>
          </w:tcPr>
          <w:p w14:paraId="31C93CC7" w14:textId="77777777" w:rsidR="00F72C31" w:rsidRPr="00D26C60" w:rsidRDefault="00F72C31">
            <w:pPr>
              <w:keepNext/>
              <w:keepLines/>
              <w:jc w:val="left"/>
              <w:rPr>
                <w:rFonts w:ascii="Arial Narrow" w:hAnsi="Arial Narrow"/>
                <w:sz w:val="20"/>
                <w:szCs w:val="20"/>
              </w:rPr>
            </w:pPr>
            <w:r w:rsidRPr="00D26C60">
              <w:rPr>
                <w:rFonts w:ascii="Arial Narrow" w:hAnsi="Arial Narrow"/>
                <w:sz w:val="20"/>
                <w:szCs w:val="20"/>
              </w:rPr>
              <w:t>CM816</w:t>
            </w:r>
          </w:p>
        </w:tc>
        <w:tc>
          <w:tcPr>
            <w:tcW w:w="532" w:type="pct"/>
            <w:vAlign w:val="center"/>
          </w:tcPr>
          <w:p w14:paraId="102D74FD"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720" w:type="pct"/>
            <w:vAlign w:val="center"/>
          </w:tcPr>
          <w:p w14:paraId="3AEDC775"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w:t>
            </w:r>
          </w:p>
        </w:tc>
        <w:tc>
          <w:tcPr>
            <w:tcW w:w="717" w:type="pct"/>
            <w:vAlign w:val="center"/>
          </w:tcPr>
          <w:p w14:paraId="4F099A29"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NA/179</w:t>
            </w:r>
          </w:p>
        </w:tc>
        <w:tc>
          <w:tcPr>
            <w:tcW w:w="620" w:type="pct"/>
            <w:vAlign w:val="center"/>
          </w:tcPr>
          <w:p w14:paraId="3E6BFBC0" w14:textId="77777777" w:rsidR="00F72C31" w:rsidRPr="00D26C60" w:rsidRDefault="00F72C31">
            <w:pPr>
              <w:pStyle w:val="TableText0"/>
              <w:jc w:val="center"/>
            </w:pPr>
            <w:r w:rsidRPr="00D26C60">
              <w:t>18.4</w:t>
            </w:r>
          </w:p>
          <w:p w14:paraId="4FA5BAF5"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(14.0, 26.7)</w:t>
            </w:r>
          </w:p>
        </w:tc>
        <w:tc>
          <w:tcPr>
            <w:tcW w:w="562" w:type="pct"/>
            <w:vAlign w:val="center"/>
          </w:tcPr>
          <w:p w14:paraId="24022A6A"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NA/179</w:t>
            </w:r>
          </w:p>
        </w:tc>
        <w:tc>
          <w:tcPr>
            <w:tcW w:w="591" w:type="pct"/>
            <w:vAlign w:val="center"/>
          </w:tcPr>
          <w:p w14:paraId="0221DD15" w14:textId="77777777" w:rsidR="00F72C31" w:rsidRDefault="00F72C31">
            <w:pPr>
              <w:keepNext/>
              <w:keepLines/>
              <w:jc w:val="center"/>
              <w:rPr>
                <w:rFonts w:ascii="Arial Narrow" w:hAnsi="Arial Narrow"/>
                <w:sz w:val="20"/>
                <w:szCs w:val="20"/>
              </w:rPr>
            </w:pPr>
            <w:r w:rsidRPr="00D26C60">
              <w:rPr>
                <w:rFonts w:ascii="Arial Narrow" w:hAnsi="Arial Narrow"/>
                <w:sz w:val="20"/>
                <w:szCs w:val="20"/>
              </w:rPr>
              <w:t>43.8</w:t>
            </w:r>
          </w:p>
          <w:p w14:paraId="682B276C" w14:textId="7777777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(31.6, NA)</w:t>
            </w:r>
          </w:p>
        </w:tc>
        <w:tc>
          <w:tcPr>
            <w:tcW w:w="605" w:type="pct"/>
            <w:vAlign w:val="center"/>
          </w:tcPr>
          <w:p w14:paraId="15602371" w14:textId="77777777" w:rsidR="00A0136F" w:rsidRDefault="00F72C31">
            <w:pPr>
              <w:keepNext/>
              <w:keepLines/>
              <w:jc w:val="center"/>
              <w:rPr>
                <w:rFonts w:ascii="Arial Narrow" w:hAnsi="Arial Narrow"/>
                <w:sz w:val="20"/>
                <w:szCs w:val="20"/>
              </w:rPr>
            </w:pPr>
            <w:r w:rsidRPr="00D26C60">
              <w:rPr>
                <w:rFonts w:ascii="Arial Narrow" w:hAnsi="Arial Narrow"/>
                <w:sz w:val="20"/>
                <w:szCs w:val="20"/>
              </w:rPr>
              <w:t>0.66</w:t>
            </w:r>
          </w:p>
          <w:p w14:paraId="068CB851" w14:textId="005D4657"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(0.49, 0.90)</w:t>
            </w:r>
          </w:p>
        </w:tc>
      </w:tr>
      <w:tr w:rsidR="00F72C31" w:rsidRPr="00D26C60" w14:paraId="397B8070" w14:textId="77777777" w:rsidTr="0032577B">
        <w:tc>
          <w:tcPr>
            <w:tcW w:w="4395" w:type="pct"/>
            <w:gridSpan w:val="7"/>
            <w:vAlign w:val="center"/>
          </w:tcPr>
          <w:p w14:paraId="7430BB5F" w14:textId="77777777" w:rsidR="00F72C31" w:rsidRPr="00D26C60" w:rsidRDefault="00F72C31">
            <w:pPr>
              <w:keepNext/>
              <w:keepLines/>
              <w:jc w:val="left"/>
              <w:rPr>
                <w:rFonts w:ascii="Arial Narrow" w:hAnsi="Arial Narrow"/>
                <w:sz w:val="20"/>
                <w:szCs w:val="20"/>
              </w:rPr>
            </w:pPr>
            <w:r w:rsidRPr="00D26C60">
              <w:rPr>
                <w:rFonts w:ascii="Arial Narrow" w:hAnsi="Arial Narrow"/>
                <w:sz w:val="20"/>
                <w:szCs w:val="20"/>
              </w:rPr>
              <w:t>Indirect estimate of effect of periNIVO vs neoNIVO using neoChemo as the common reference</w:t>
            </w:r>
          </w:p>
        </w:tc>
        <w:tc>
          <w:tcPr>
            <w:tcW w:w="605" w:type="pct"/>
            <w:vAlign w:val="center"/>
          </w:tcPr>
          <w:p w14:paraId="1F75A6B6" w14:textId="77777777" w:rsidR="00A0136F" w:rsidRDefault="00F72C31">
            <w:pPr>
              <w:keepNext/>
              <w:keepLines/>
              <w:jc w:val="center"/>
              <w:rPr>
                <w:rFonts w:ascii="Arial Narrow" w:hAnsi="Arial Narrow"/>
                <w:sz w:val="20"/>
                <w:szCs w:val="20"/>
              </w:rPr>
            </w:pPr>
            <w:r w:rsidRPr="00D26C60">
              <w:rPr>
                <w:rFonts w:ascii="Arial Narrow" w:hAnsi="Arial Narrow"/>
                <w:sz w:val="20"/>
                <w:szCs w:val="20"/>
              </w:rPr>
              <w:t>0.88</w:t>
            </w:r>
          </w:p>
          <w:p w14:paraId="3569DE22" w14:textId="12C4B58D" w:rsidR="00F72C31" w:rsidRPr="00D26C60" w:rsidRDefault="00F72C31">
            <w:pPr>
              <w:keepNext/>
              <w:keepLines/>
              <w:jc w:val="center"/>
              <w:rPr>
                <w:rFonts w:ascii="Arial Narrow" w:hAnsi="Arial Narrow"/>
                <w:sz w:val="20"/>
                <w:szCs w:val="20"/>
              </w:rPr>
            </w:pPr>
            <w:r w:rsidRPr="00D26C60">
              <w:rPr>
                <w:rFonts w:ascii="Arial Narrow" w:hAnsi="Arial Narrow"/>
                <w:sz w:val="20"/>
                <w:szCs w:val="20"/>
              </w:rPr>
              <w:t>(0.57, 1.35)</w:t>
            </w:r>
          </w:p>
        </w:tc>
      </w:tr>
    </w:tbl>
    <w:p w14:paraId="51FB2A78" w14:textId="77777777" w:rsidR="00F72C31" w:rsidRDefault="00F72C31" w:rsidP="0032577B">
      <w:pPr>
        <w:pStyle w:val="TableFigureFooter"/>
      </w:pPr>
      <w:r w:rsidRPr="00E80E9A">
        <w:t>Source</w:t>
      </w:r>
      <w:r>
        <w:t>: Table 70, p116 of the submission</w:t>
      </w:r>
    </w:p>
    <w:p w14:paraId="2B991902" w14:textId="77777777" w:rsidR="00F72C31" w:rsidRDefault="00F72C31" w:rsidP="0032577B">
      <w:pPr>
        <w:pStyle w:val="TableFigureFooter"/>
      </w:pPr>
      <w:r w:rsidRPr="00485885">
        <w:t xml:space="preserve">Abbreviations: CI = confidence interval; EFS = event-free survival; NA = not assessable; </w:t>
      </w:r>
      <w:r>
        <w:t>neoC</w:t>
      </w:r>
      <w:r w:rsidRPr="00485885">
        <w:t xml:space="preserve">hemo = neoadjuvant chemotherapy; NR = not </w:t>
      </w:r>
      <w:r>
        <w:t>reached</w:t>
      </w:r>
      <w:r w:rsidRPr="00485885">
        <w:t xml:space="preserve">; </w:t>
      </w:r>
      <w:r>
        <w:t>peri</w:t>
      </w:r>
      <w:r w:rsidRPr="00485885">
        <w:t>NIVO = perioperative nivolumab</w:t>
      </w:r>
    </w:p>
    <w:p w14:paraId="2B612C48" w14:textId="77777777" w:rsidR="00F72C31" w:rsidRPr="00572090" w:rsidRDefault="00F72C31" w:rsidP="00F72C31">
      <w:pPr>
        <w:pStyle w:val="3-BodyText"/>
        <w:rPr>
          <w:iCs/>
        </w:rPr>
      </w:pPr>
      <w:r w:rsidRPr="00D71CD7">
        <w:t xml:space="preserve">The EFS hazard ratio reported for the primary ITC of periNIVO versus neoNIVO was 0.92 (95% CI: 0.59, 1.44) which was not lower than the nominated MCID threshold of ≤0.85. </w:t>
      </w:r>
      <w:r w:rsidRPr="00572090">
        <w:rPr>
          <w:iCs/>
        </w:rPr>
        <w:t>However, noninferiority should not be assessed based on the point estimate, and no noninferiority margin was proposed to allow a formal test for noninferiority. The reported EFS hazard ratio also had a wide confidence interval, indicating a high level of uncertainty around the estimated effect size. There was also a small difference in the median EFS in the common comparator (18.4 months in CM77T and 20.8 months in CM816). It was unclear if this difference was significant, but may potentially bias the results against neoNIVO.</w:t>
      </w:r>
    </w:p>
    <w:p w14:paraId="49EC95BB" w14:textId="77777777" w:rsidR="00F72C31" w:rsidRPr="00572090" w:rsidRDefault="00F72C31" w:rsidP="00F72C31">
      <w:pPr>
        <w:pStyle w:val="3-BodyText"/>
        <w:rPr>
          <w:iCs/>
        </w:rPr>
      </w:pPr>
      <w:proofErr w:type="gramStart"/>
      <w:r w:rsidRPr="00572090">
        <w:rPr>
          <w:iCs/>
        </w:rPr>
        <w:t>Similar to</w:t>
      </w:r>
      <w:proofErr w:type="gramEnd"/>
      <w:r w:rsidRPr="00572090">
        <w:rPr>
          <w:iCs/>
        </w:rPr>
        <w:t xml:space="preserve"> the primary analysis, the reported secondary analysis EFS hazard ratio was associated with a high level of uncertainty. The median EFS in the common comparator was more comparable in the secondary ITC compared to the primary ITC. However, noting that the EFS HR point estimate was less favourable for neoNIVO at the 4-year update than in the interim analysis, it was possible that the results may be biased in favour of periNIVO in the secondary ITC and it was plausible that at a similar follow-up, CM77T may also report a less favourable EFS HR than at the interim analysis.</w:t>
      </w:r>
    </w:p>
    <w:p w14:paraId="570D8398" w14:textId="72F8CBA9" w:rsidR="00A0136F" w:rsidRDefault="00F72C31" w:rsidP="00F72C31">
      <w:pPr>
        <w:pStyle w:val="3-BodyText"/>
      </w:pPr>
      <w:r>
        <w:t xml:space="preserve">A comparison of surgical outcomes from CM77T and CM816 is presented in </w:t>
      </w:r>
      <w:r>
        <w:fldChar w:fldCharType="begin"/>
      </w:r>
      <w:r>
        <w:instrText xml:space="preserve"> REF _Ref175758087 \h </w:instrText>
      </w:r>
      <w:r>
        <w:fldChar w:fldCharType="separate"/>
      </w:r>
      <w:r w:rsidR="009C09C9">
        <w:t xml:space="preserve">Table </w:t>
      </w:r>
      <w:r w:rsidR="009C09C9">
        <w:rPr>
          <w:noProof/>
        </w:rPr>
        <w:t>14</w:t>
      </w:r>
      <w:r>
        <w:fldChar w:fldCharType="end"/>
      </w:r>
      <w:r>
        <w:t>.</w:t>
      </w:r>
    </w:p>
    <w:p w14:paraId="694FC411" w14:textId="6016E7A0" w:rsidR="00F72C31" w:rsidRDefault="00F72C31" w:rsidP="00F72C31">
      <w:pPr>
        <w:pStyle w:val="Caption"/>
      </w:pPr>
      <w:bookmarkStart w:id="64" w:name="_Ref175758087"/>
      <w:r>
        <w:lastRenderedPageBreak/>
        <w:t xml:space="preserve">Table </w:t>
      </w:r>
      <w:r>
        <w:fldChar w:fldCharType="begin"/>
      </w:r>
      <w:r>
        <w:instrText xml:space="preserve"> SEQ Table \* ARABIC </w:instrText>
      </w:r>
      <w:r>
        <w:fldChar w:fldCharType="separate"/>
      </w:r>
      <w:r w:rsidR="009C09C9">
        <w:rPr>
          <w:noProof/>
        </w:rPr>
        <w:t>14</w:t>
      </w:r>
      <w:r>
        <w:rPr>
          <w:noProof/>
        </w:rPr>
        <w:fldChar w:fldCharType="end"/>
      </w:r>
      <w:bookmarkEnd w:id="64"/>
      <w:r>
        <w:t xml:space="preserve">: </w:t>
      </w:r>
      <w:r w:rsidRPr="00815ACD">
        <w:t>Summary of surgical outcomes: CM77T and CM816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Summary of surgical outcomes: CM77T and CM816"/>
        <w:tblDescription w:val="Table 14: Summary of surgical outcomes: CM77T and CM816"/>
      </w:tblPr>
      <w:tblGrid>
        <w:gridCol w:w="3256"/>
        <w:gridCol w:w="1559"/>
        <w:gridCol w:w="1417"/>
        <w:gridCol w:w="1418"/>
        <w:gridCol w:w="1367"/>
      </w:tblGrid>
      <w:tr w:rsidR="00F72C31" w:rsidRPr="0037439C" w14:paraId="1B4E02FD" w14:textId="77777777">
        <w:trPr>
          <w:cantSplit/>
          <w:trHeight w:val="70"/>
        </w:trPr>
        <w:tc>
          <w:tcPr>
            <w:tcW w:w="3256" w:type="dxa"/>
            <w:tcBorders>
              <w:top w:val="single" w:sz="4" w:space="0" w:color="auto"/>
              <w:left w:val="single" w:sz="4" w:space="0" w:color="auto"/>
              <w:bottom w:val="nil"/>
              <w:right w:val="single" w:sz="4" w:space="0" w:color="auto"/>
            </w:tcBorders>
            <w:shd w:val="clear" w:color="auto" w:fill="auto"/>
          </w:tcPr>
          <w:p w14:paraId="3421A7CD" w14:textId="77777777" w:rsidR="00F72C31" w:rsidRPr="0037439C" w:rsidRDefault="00F72C31">
            <w:pPr>
              <w:keepNext/>
              <w:rPr>
                <w:rFonts w:ascii="Arial Narrow" w:hAnsi="Arial Narrow"/>
                <w:sz w:val="20"/>
                <w:szCs w:val="20"/>
              </w:rPr>
            </w:pP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0A2F4555" w14:textId="77777777" w:rsidR="00F72C31" w:rsidRPr="0037439C" w:rsidRDefault="00F72C31">
            <w:pPr>
              <w:pStyle w:val="TableText0"/>
              <w:jc w:val="center"/>
              <w:rPr>
                <w:b/>
                <w:bCs w:val="0"/>
              </w:rPr>
            </w:pPr>
            <w:r w:rsidRPr="0037439C">
              <w:rPr>
                <w:b/>
                <w:bCs w:val="0"/>
              </w:rPr>
              <w:t>CM77T</w:t>
            </w:r>
          </w:p>
        </w:tc>
        <w:tc>
          <w:tcPr>
            <w:tcW w:w="2785" w:type="dxa"/>
            <w:gridSpan w:val="2"/>
            <w:tcBorders>
              <w:top w:val="single" w:sz="4" w:space="0" w:color="auto"/>
              <w:left w:val="single" w:sz="4" w:space="0" w:color="auto"/>
              <w:bottom w:val="single" w:sz="4" w:space="0" w:color="auto"/>
              <w:right w:val="single" w:sz="4" w:space="0" w:color="auto"/>
            </w:tcBorders>
            <w:shd w:val="clear" w:color="auto" w:fill="auto"/>
          </w:tcPr>
          <w:p w14:paraId="528389E5" w14:textId="77777777" w:rsidR="00F72C31" w:rsidRPr="0037439C" w:rsidRDefault="00F72C31">
            <w:pPr>
              <w:pStyle w:val="TableText0"/>
              <w:jc w:val="center"/>
              <w:rPr>
                <w:b/>
                <w:bCs w:val="0"/>
              </w:rPr>
            </w:pPr>
            <w:r w:rsidRPr="0037439C">
              <w:rPr>
                <w:b/>
                <w:bCs w:val="0"/>
              </w:rPr>
              <w:t>CM816</w:t>
            </w:r>
          </w:p>
        </w:tc>
      </w:tr>
      <w:tr w:rsidR="00F72C31" w:rsidRPr="0037439C" w14:paraId="611FE01A" w14:textId="77777777">
        <w:trPr>
          <w:cantSplit/>
        </w:trPr>
        <w:tc>
          <w:tcPr>
            <w:tcW w:w="3256" w:type="dxa"/>
            <w:tcBorders>
              <w:top w:val="nil"/>
              <w:left w:val="single" w:sz="4" w:space="0" w:color="auto"/>
              <w:bottom w:val="single" w:sz="4" w:space="0" w:color="auto"/>
              <w:right w:val="single" w:sz="4" w:space="0" w:color="auto"/>
            </w:tcBorders>
            <w:shd w:val="clear" w:color="auto" w:fill="auto"/>
          </w:tcPr>
          <w:p w14:paraId="1AD573DC" w14:textId="77777777" w:rsidR="00F72C31" w:rsidRPr="0037439C" w:rsidRDefault="00F72C31">
            <w:pPr>
              <w:pStyle w:val="TableText0"/>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CA917F" w14:textId="77777777" w:rsidR="00F72C31" w:rsidRPr="0037439C" w:rsidRDefault="00F72C31">
            <w:pPr>
              <w:pStyle w:val="TableText0"/>
              <w:jc w:val="center"/>
              <w:rPr>
                <w:b/>
                <w:bCs w:val="0"/>
                <w:vertAlign w:val="superscript"/>
              </w:rPr>
            </w:pPr>
            <w:r w:rsidRPr="0037439C">
              <w:rPr>
                <w:rFonts w:eastAsia="Times New Roman"/>
                <w:b/>
                <w:bCs w:val="0"/>
              </w:rPr>
              <w:t>periNIVO (N=229)</w:t>
            </w:r>
            <w:r w:rsidRPr="0037439C">
              <w:rPr>
                <w:rFonts w:eastAsia="Times New Roman"/>
                <w:b/>
                <w:bCs w:val="0"/>
                <w:vertAlign w:val="superscript"/>
              </w:rPr>
              <w:t>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3C6F0F" w14:textId="77777777" w:rsidR="00F72C31" w:rsidRPr="0037439C" w:rsidRDefault="00F72C31">
            <w:pPr>
              <w:pStyle w:val="TableText0"/>
              <w:jc w:val="center"/>
              <w:rPr>
                <w:b/>
                <w:bCs w:val="0"/>
              </w:rPr>
            </w:pPr>
            <w:r w:rsidRPr="0037439C">
              <w:rPr>
                <w:rFonts w:eastAsia="Times New Roman"/>
                <w:b/>
                <w:bCs w:val="0"/>
              </w:rPr>
              <w:t>neoChemo (N=232)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87D5596" w14:textId="77777777" w:rsidR="00F72C31" w:rsidRPr="0037439C" w:rsidRDefault="00F72C31">
            <w:pPr>
              <w:pStyle w:val="TableText0"/>
              <w:jc w:val="center"/>
              <w:rPr>
                <w:b/>
                <w:bCs w:val="0"/>
              </w:rPr>
            </w:pPr>
            <w:r w:rsidRPr="0037439C">
              <w:rPr>
                <w:b/>
                <w:bCs w:val="0"/>
              </w:rPr>
              <w:t>neoNIVO (N=179)</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1B492BBE" w14:textId="77777777" w:rsidR="00F72C31" w:rsidRPr="0037439C" w:rsidRDefault="00F72C31">
            <w:pPr>
              <w:pStyle w:val="TableText0"/>
              <w:jc w:val="center"/>
              <w:rPr>
                <w:b/>
                <w:bCs w:val="0"/>
              </w:rPr>
            </w:pPr>
            <w:r w:rsidRPr="0037439C">
              <w:rPr>
                <w:b/>
                <w:bCs w:val="0"/>
              </w:rPr>
              <w:t>neoChemo (N=179)</w:t>
            </w:r>
          </w:p>
        </w:tc>
      </w:tr>
      <w:tr w:rsidR="00F72C31" w:rsidRPr="0037439C" w14:paraId="6E105238"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1EE53B9C" w14:textId="77777777" w:rsidR="00F72C31" w:rsidRPr="0037439C" w:rsidRDefault="00F72C31">
            <w:pPr>
              <w:pStyle w:val="TableText0"/>
            </w:pPr>
            <w:r w:rsidRPr="0037439C">
              <w:t>Patients with definitive surgery, 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2C944E" w14:textId="77777777" w:rsidR="00F72C31" w:rsidRPr="0037439C" w:rsidRDefault="00F72C31">
            <w:pPr>
              <w:pStyle w:val="TableText0"/>
              <w:jc w:val="center"/>
            </w:pPr>
            <w:r w:rsidRPr="0037439C">
              <w:t>178 (78%)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25CDC" w14:textId="77777777" w:rsidR="00F72C31" w:rsidRPr="0037439C" w:rsidRDefault="00F72C31">
            <w:pPr>
              <w:pStyle w:val="TableText0"/>
              <w:jc w:val="center"/>
            </w:pPr>
            <w:r w:rsidRPr="0037439C">
              <w:t>178 (77%)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14CAD" w14:textId="77777777" w:rsidR="00F72C31" w:rsidRPr="0037439C" w:rsidRDefault="00F72C31">
            <w:pPr>
              <w:pStyle w:val="TableText0"/>
              <w:jc w:val="center"/>
            </w:pPr>
            <w:r w:rsidRPr="0037439C">
              <w:t>149 (83%)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739C7" w14:textId="77777777" w:rsidR="00F72C31" w:rsidRPr="0037439C" w:rsidRDefault="00F72C31">
            <w:pPr>
              <w:pStyle w:val="TableText0"/>
              <w:jc w:val="center"/>
            </w:pPr>
            <w:r w:rsidRPr="0037439C">
              <w:t>135 (75%)</w:t>
            </w:r>
          </w:p>
        </w:tc>
      </w:tr>
      <w:tr w:rsidR="00F72C31" w:rsidRPr="0037439C" w14:paraId="60F299A1"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032F20C3" w14:textId="77777777" w:rsidR="00F72C31" w:rsidRPr="0037439C" w:rsidRDefault="00F72C31">
            <w:pPr>
              <w:pStyle w:val="TableText0"/>
            </w:pPr>
            <w:r w:rsidRPr="0037439C">
              <w:t>Patients with cancelled definitive surgery, 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089A67" w14:textId="77777777" w:rsidR="00F72C31" w:rsidRPr="0037439C" w:rsidRDefault="00F72C31">
            <w:pPr>
              <w:pStyle w:val="TableText0"/>
              <w:jc w:val="center"/>
            </w:pPr>
            <w:r w:rsidRPr="0037439C">
              <w:t>46 (20%)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1838C9" w14:textId="77777777" w:rsidR="00F72C31" w:rsidRPr="0037439C" w:rsidRDefault="00F72C31">
            <w:pPr>
              <w:pStyle w:val="TableText0"/>
              <w:jc w:val="center"/>
            </w:pPr>
            <w:r w:rsidRPr="0037439C">
              <w:t>50 (22%)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5FEB" w14:textId="77777777" w:rsidR="00F72C31" w:rsidRPr="0037439C" w:rsidRDefault="00F72C31">
            <w:pPr>
              <w:pStyle w:val="TableText0"/>
              <w:jc w:val="center"/>
            </w:pPr>
            <w:r w:rsidRPr="0037439C">
              <w:t>28 (16%)</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79F9A" w14:textId="77777777" w:rsidR="00F72C31" w:rsidRPr="0037439C" w:rsidRDefault="00F72C31">
            <w:pPr>
              <w:pStyle w:val="TableText0"/>
              <w:jc w:val="center"/>
            </w:pPr>
            <w:r w:rsidRPr="0037439C">
              <w:t>37 (21%)</w:t>
            </w:r>
          </w:p>
        </w:tc>
      </w:tr>
      <w:tr w:rsidR="00F72C31" w:rsidRPr="0037439C" w14:paraId="47906BE3"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55FCA8A7" w14:textId="77777777" w:rsidR="00F72C31" w:rsidRPr="0037439C" w:rsidRDefault="00F72C31">
            <w:pPr>
              <w:pStyle w:val="TableText0"/>
              <w:ind w:left="312"/>
            </w:pPr>
            <w:r w:rsidRPr="0037439C">
              <w:t>Disease progression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DEEF79" w14:textId="77777777" w:rsidR="00F72C31" w:rsidRPr="0037439C" w:rsidRDefault="00F72C31">
            <w:pPr>
              <w:pStyle w:val="TableText0"/>
              <w:jc w:val="center"/>
            </w:pPr>
            <w:r w:rsidRPr="0037439C">
              <w:t>13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B95E8DE" w14:textId="77777777" w:rsidR="00F72C31" w:rsidRPr="0037439C" w:rsidRDefault="00F72C31">
            <w:pPr>
              <w:pStyle w:val="TableText0"/>
              <w:jc w:val="center"/>
            </w:pPr>
            <w:r w:rsidRPr="0037439C">
              <w:t>22 (10%)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138CC7" w14:textId="77777777" w:rsidR="00F72C31" w:rsidRPr="0037439C" w:rsidRDefault="00F72C31">
            <w:pPr>
              <w:pStyle w:val="TableText0"/>
              <w:jc w:val="center"/>
            </w:pPr>
            <w:r w:rsidRPr="0037439C">
              <w:t>12 (7%)</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260C7926" w14:textId="77777777" w:rsidR="00F72C31" w:rsidRPr="0037439C" w:rsidRDefault="00F72C31">
            <w:pPr>
              <w:pStyle w:val="TableText0"/>
              <w:jc w:val="center"/>
            </w:pPr>
            <w:r w:rsidRPr="0037439C">
              <w:t>17 (10%)</w:t>
            </w:r>
          </w:p>
        </w:tc>
      </w:tr>
      <w:tr w:rsidR="00F72C31" w:rsidRPr="0037439C" w14:paraId="35BABD93"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A87CF71" w14:textId="77777777" w:rsidR="00F72C31" w:rsidRPr="0037439C" w:rsidRDefault="00F72C31">
            <w:pPr>
              <w:pStyle w:val="TableText0"/>
              <w:ind w:left="312"/>
            </w:pPr>
            <w:r w:rsidRPr="0037439C">
              <w:t>Patient refusal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2DCBB7" w14:textId="77777777" w:rsidR="00F72C31" w:rsidRPr="0037439C" w:rsidRDefault="00F72C31">
            <w:pPr>
              <w:pStyle w:val="TableText0"/>
              <w:jc w:val="center"/>
            </w:pPr>
            <w:r w:rsidRPr="0037439C">
              <w:t>11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2ECDEA8" w14:textId="77777777" w:rsidR="00F72C31" w:rsidRPr="0037439C" w:rsidRDefault="00F72C31">
            <w:pPr>
              <w:pStyle w:val="TableText0"/>
              <w:jc w:val="center"/>
            </w:pPr>
            <w:r w:rsidRPr="0037439C">
              <w:t>8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26AF31" w14:textId="77777777" w:rsidR="00F72C31" w:rsidRPr="0037439C" w:rsidRDefault="00F72C31">
            <w:pPr>
              <w:pStyle w:val="TableText0"/>
              <w:jc w:val="center"/>
            </w:pPr>
            <w:r w:rsidRPr="0037439C">
              <w:t>-</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B1BD4AD" w14:textId="77777777" w:rsidR="00F72C31" w:rsidRPr="0037439C" w:rsidRDefault="00F72C31">
            <w:pPr>
              <w:pStyle w:val="TableText0"/>
              <w:jc w:val="center"/>
            </w:pPr>
            <w:r w:rsidRPr="0037439C">
              <w:t>-</w:t>
            </w:r>
          </w:p>
        </w:tc>
      </w:tr>
      <w:tr w:rsidR="00F72C31" w:rsidRPr="0037439C" w14:paraId="1A007868"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58078A3D" w14:textId="77777777" w:rsidR="00F72C31" w:rsidRPr="0037439C" w:rsidRDefault="00F72C31">
            <w:pPr>
              <w:pStyle w:val="TableText0"/>
              <w:ind w:left="312"/>
            </w:pPr>
            <w:r w:rsidRPr="0037439C">
              <w:t>Surgeon decision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4F3E32" w14:textId="77777777" w:rsidR="00F72C31" w:rsidRPr="0037439C" w:rsidRDefault="00F72C31">
            <w:pPr>
              <w:pStyle w:val="TableText0"/>
              <w:jc w:val="center"/>
            </w:pPr>
            <w:r w:rsidRPr="0037439C">
              <w:t>8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11DD8D" w14:textId="77777777" w:rsidR="00F72C31" w:rsidRPr="0037439C" w:rsidRDefault="00F72C31">
            <w:pPr>
              <w:pStyle w:val="TableText0"/>
              <w:jc w:val="center"/>
            </w:pPr>
            <w:r w:rsidRPr="0037439C">
              <w:t>6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6D5ED0" w14:textId="77777777" w:rsidR="00F72C31" w:rsidRPr="0037439C" w:rsidRDefault="00F72C31">
            <w:pPr>
              <w:pStyle w:val="TableText0"/>
              <w:jc w:val="center"/>
            </w:pPr>
            <w:r w:rsidRPr="0037439C">
              <w:t>-</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DDB1D51" w14:textId="77777777" w:rsidR="00F72C31" w:rsidRPr="0037439C" w:rsidRDefault="00F72C31">
            <w:pPr>
              <w:pStyle w:val="TableText0"/>
              <w:jc w:val="center"/>
            </w:pPr>
            <w:r w:rsidRPr="0037439C">
              <w:t>-</w:t>
            </w:r>
          </w:p>
        </w:tc>
      </w:tr>
      <w:tr w:rsidR="00F72C31" w:rsidRPr="0037439C" w14:paraId="1092F235"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1F17E84D" w14:textId="77777777" w:rsidR="00F72C31" w:rsidRPr="0037439C" w:rsidRDefault="00F72C31">
            <w:pPr>
              <w:pStyle w:val="TableText0"/>
              <w:ind w:left="312"/>
            </w:pPr>
            <w:r w:rsidRPr="0037439C">
              <w:t>Adverse event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37A67D" w14:textId="77777777" w:rsidR="00F72C31" w:rsidRPr="0037439C" w:rsidRDefault="00F72C31">
            <w:pPr>
              <w:pStyle w:val="TableText0"/>
              <w:jc w:val="center"/>
            </w:pPr>
            <w:r w:rsidRPr="0037439C">
              <w:t>7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FB056B" w14:textId="77777777" w:rsidR="00F72C31" w:rsidRPr="0037439C" w:rsidRDefault="00F72C31">
            <w:pPr>
              <w:pStyle w:val="TableText0"/>
              <w:jc w:val="center"/>
            </w:pPr>
            <w:r w:rsidRPr="0037439C">
              <w:t>4 (2%)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0BA507" w14:textId="77777777" w:rsidR="00F72C31" w:rsidRPr="0037439C" w:rsidRDefault="00F72C31">
            <w:pPr>
              <w:pStyle w:val="TableText0"/>
              <w:jc w:val="center"/>
            </w:pPr>
            <w:r w:rsidRPr="0037439C">
              <w:t>2 (1%)</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06C6B824" w14:textId="77777777" w:rsidR="00F72C31" w:rsidRPr="0037439C" w:rsidRDefault="00F72C31">
            <w:pPr>
              <w:pStyle w:val="TableText0"/>
              <w:jc w:val="center"/>
            </w:pPr>
            <w:r w:rsidRPr="0037439C">
              <w:t>1 (0.6%)</w:t>
            </w:r>
          </w:p>
        </w:tc>
      </w:tr>
      <w:tr w:rsidR="00F72C31" w:rsidRPr="0037439C" w14:paraId="667AB9B6"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70628669" w14:textId="77777777" w:rsidR="00F72C31" w:rsidRPr="0037439C" w:rsidRDefault="00F72C31">
            <w:pPr>
              <w:pStyle w:val="TableText0"/>
              <w:ind w:left="312"/>
            </w:pPr>
            <w:r w:rsidRPr="0037439C">
              <w:t>Other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CB5BF7" w14:textId="77777777" w:rsidR="00F72C31" w:rsidRPr="0037439C" w:rsidRDefault="00F72C31">
            <w:pPr>
              <w:pStyle w:val="TableText0"/>
              <w:jc w:val="center"/>
            </w:pPr>
            <w:r w:rsidRPr="0037439C">
              <w:t>7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93C2E9" w14:textId="77777777" w:rsidR="00F72C31" w:rsidRPr="0037439C" w:rsidRDefault="00F72C31">
            <w:pPr>
              <w:pStyle w:val="TableText0"/>
              <w:jc w:val="center"/>
            </w:pPr>
            <w:r w:rsidRPr="0037439C">
              <w:t>10 (4%)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A9369F" w14:textId="77777777" w:rsidR="00F72C31" w:rsidRPr="0037439C" w:rsidRDefault="00F72C31">
            <w:pPr>
              <w:pStyle w:val="TableText0"/>
              <w:jc w:val="center"/>
              <w:rPr>
                <w:vertAlign w:val="superscript"/>
              </w:rPr>
            </w:pPr>
            <w:r w:rsidRPr="0037439C">
              <w:t xml:space="preserve">14 (8%) </w:t>
            </w:r>
            <w:r w:rsidRPr="0037439C">
              <w:rPr>
                <w:vertAlign w:val="superscript"/>
              </w:rPr>
              <w:t>b</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53A11A4C" w14:textId="77777777" w:rsidR="00F72C31" w:rsidRPr="0037439C" w:rsidRDefault="00F72C31">
            <w:pPr>
              <w:pStyle w:val="TableText0"/>
              <w:jc w:val="center"/>
              <w:rPr>
                <w:vertAlign w:val="superscript"/>
              </w:rPr>
            </w:pPr>
            <w:r w:rsidRPr="0037439C">
              <w:t xml:space="preserve">19 (11%) </w:t>
            </w:r>
            <w:r w:rsidRPr="0037439C">
              <w:rPr>
                <w:vertAlign w:val="superscript"/>
              </w:rPr>
              <w:t>b</w:t>
            </w:r>
          </w:p>
        </w:tc>
      </w:tr>
      <w:tr w:rsidR="00F72C31" w:rsidRPr="0037439C" w14:paraId="4A536C52"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0D337A33" w14:textId="77777777" w:rsidR="00F72C31" w:rsidRPr="0037439C" w:rsidRDefault="00F72C31">
            <w:pPr>
              <w:pStyle w:val="TableText0"/>
            </w:pPr>
            <w:r w:rsidRPr="0037439C">
              <w:t>Disease progression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E3AC68" w14:textId="77777777" w:rsidR="00F72C31" w:rsidRPr="0037439C" w:rsidRDefault="00F72C31">
            <w:pPr>
              <w:pStyle w:val="TableText0"/>
              <w:jc w:val="center"/>
            </w:pPr>
            <w:r w:rsidRPr="0037439C">
              <w:t>13 (6%)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59B5E5" w14:textId="77777777" w:rsidR="00F72C31" w:rsidRPr="0037439C" w:rsidRDefault="00F72C31">
            <w:pPr>
              <w:pStyle w:val="TableText0"/>
              <w:jc w:val="center"/>
            </w:pPr>
            <w:r w:rsidRPr="0037439C">
              <w:t>22 (10%)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012A" w14:textId="77777777" w:rsidR="00F72C31" w:rsidRPr="0037439C" w:rsidRDefault="00F72C31">
            <w:pPr>
              <w:pStyle w:val="TableText0"/>
              <w:jc w:val="center"/>
            </w:pPr>
            <w:r w:rsidRPr="0037439C">
              <w:t>12 (7%)</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D5C1B" w14:textId="77777777" w:rsidR="00F72C31" w:rsidRPr="0037439C" w:rsidRDefault="00F72C31">
            <w:pPr>
              <w:pStyle w:val="TableText0"/>
              <w:jc w:val="center"/>
            </w:pPr>
            <w:r w:rsidRPr="0037439C">
              <w:t>17 (10%)</w:t>
            </w:r>
          </w:p>
        </w:tc>
      </w:tr>
      <w:tr w:rsidR="00F72C31" w:rsidRPr="0037439C" w14:paraId="4B6ABB7F"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7D6F7102" w14:textId="77777777" w:rsidR="00F72C31" w:rsidRPr="0037439C" w:rsidRDefault="00F72C31">
            <w:pPr>
              <w:pStyle w:val="TableText0"/>
            </w:pPr>
            <w:r w:rsidRPr="0037439C">
              <w:t>Patients with delayed surgery, 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4F5728" w14:textId="77777777" w:rsidR="00F72C31" w:rsidRPr="0037439C" w:rsidRDefault="00F72C31">
            <w:pPr>
              <w:pStyle w:val="TableText0"/>
              <w:jc w:val="center"/>
            </w:pPr>
            <w:r w:rsidRPr="0037439C">
              <w:t>36 (16%)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CF7611" w14:textId="77777777" w:rsidR="00F72C31" w:rsidRPr="0037439C" w:rsidRDefault="00F72C31">
            <w:pPr>
              <w:pStyle w:val="TableText0"/>
              <w:jc w:val="center"/>
            </w:pPr>
            <w:r w:rsidRPr="0037439C">
              <w:t>33 (14%)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15088" w14:textId="77777777" w:rsidR="00F72C31" w:rsidRPr="0037439C" w:rsidRDefault="00F72C31">
            <w:pPr>
              <w:pStyle w:val="TableText0"/>
              <w:jc w:val="center"/>
            </w:pPr>
            <w:r w:rsidRPr="0037439C">
              <w:t>31 (21%)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B29AE" w14:textId="77777777" w:rsidR="00F72C31" w:rsidRPr="0037439C" w:rsidRDefault="00F72C31">
            <w:pPr>
              <w:pStyle w:val="TableText0"/>
              <w:jc w:val="center"/>
            </w:pPr>
            <w:r w:rsidRPr="0037439C">
              <w:t>24 (18%)</w:t>
            </w:r>
          </w:p>
        </w:tc>
      </w:tr>
      <w:tr w:rsidR="00F72C31" w:rsidRPr="0037439C" w14:paraId="19472D07"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58A7D552" w14:textId="77777777" w:rsidR="00F72C31" w:rsidRPr="0037439C" w:rsidRDefault="00F72C31">
            <w:pPr>
              <w:pStyle w:val="TableText0"/>
              <w:ind w:left="310"/>
            </w:pPr>
            <w:r w:rsidRPr="0037439C">
              <w:t>Adverse event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F90FE" w14:textId="77777777" w:rsidR="00F72C31" w:rsidRPr="0037439C" w:rsidRDefault="00F72C31">
            <w:pPr>
              <w:pStyle w:val="TableText0"/>
              <w:jc w:val="center"/>
            </w:pPr>
            <w:r w:rsidRPr="0037439C">
              <w:t>8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A30D3" w14:textId="77777777" w:rsidR="00F72C31" w:rsidRPr="0037439C" w:rsidRDefault="00F72C31">
            <w:pPr>
              <w:pStyle w:val="TableText0"/>
              <w:jc w:val="center"/>
            </w:pPr>
            <w:r w:rsidRPr="0037439C">
              <w:t>7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0FCC3E" w14:textId="77777777" w:rsidR="00F72C31" w:rsidRPr="0037439C" w:rsidRDefault="00F72C31">
            <w:pPr>
              <w:pStyle w:val="TableText0"/>
              <w:jc w:val="center"/>
            </w:pPr>
            <w:r w:rsidRPr="0037439C">
              <w:t>6 (4%)</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31B4C34" w14:textId="77777777" w:rsidR="00F72C31" w:rsidRPr="0037439C" w:rsidRDefault="00F72C31">
            <w:pPr>
              <w:pStyle w:val="TableText0"/>
              <w:jc w:val="center"/>
            </w:pPr>
            <w:r w:rsidRPr="0037439C">
              <w:t>9 (7%)</w:t>
            </w:r>
          </w:p>
        </w:tc>
      </w:tr>
      <w:tr w:rsidR="00F72C31" w:rsidRPr="0037439C" w14:paraId="2EAAA814"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5A97199E" w14:textId="77777777" w:rsidR="00F72C31" w:rsidRPr="0037439C" w:rsidRDefault="00F72C31">
            <w:pPr>
              <w:pStyle w:val="TableText0"/>
            </w:pPr>
            <w:r w:rsidRPr="0037439C">
              <w:t>Duration of surgery, minutes: Median (IQR)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E7B61B" w14:textId="77777777" w:rsidR="00A0136F" w:rsidRDefault="00F72C31">
            <w:pPr>
              <w:pStyle w:val="TableText0"/>
              <w:jc w:val="center"/>
            </w:pPr>
            <w:r w:rsidRPr="0037439C">
              <w:t>216.5</w:t>
            </w:r>
          </w:p>
          <w:p w14:paraId="39DE31ED" w14:textId="4B2E07A2" w:rsidR="00F72C31" w:rsidRPr="0037439C" w:rsidRDefault="00F72C31">
            <w:pPr>
              <w:pStyle w:val="TableText0"/>
              <w:jc w:val="center"/>
            </w:pPr>
            <w:r w:rsidRPr="0037439C">
              <w:t>(164.0–300.0)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80A192" w14:textId="77777777" w:rsidR="00A0136F" w:rsidRDefault="00F72C31">
            <w:pPr>
              <w:pStyle w:val="TableText0"/>
              <w:jc w:val="center"/>
            </w:pPr>
            <w:r w:rsidRPr="0037439C">
              <w:t>223.0</w:t>
            </w:r>
          </w:p>
          <w:p w14:paraId="30EA599B" w14:textId="2D286A3E" w:rsidR="00F72C31" w:rsidRPr="0037439C" w:rsidRDefault="00F72C31">
            <w:pPr>
              <w:pStyle w:val="TableText0"/>
              <w:jc w:val="center"/>
            </w:pPr>
            <w:r w:rsidRPr="0037439C">
              <w:t>(150.0–299.0)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BA82C4D" w14:textId="77777777" w:rsidR="00A0136F" w:rsidRDefault="00F72C31">
            <w:pPr>
              <w:pStyle w:val="TableText0"/>
              <w:jc w:val="center"/>
            </w:pPr>
            <w:r w:rsidRPr="0037439C">
              <w:t>185.0</w:t>
            </w:r>
          </w:p>
          <w:p w14:paraId="2073DB2D" w14:textId="0C3C2D72" w:rsidR="00F72C31" w:rsidRPr="0037439C" w:rsidRDefault="00F72C31">
            <w:pPr>
              <w:pStyle w:val="TableText0"/>
              <w:jc w:val="center"/>
            </w:pPr>
            <w:r w:rsidRPr="0037439C">
              <w:t>(133.0–260.0)</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5058EFE4" w14:textId="77777777" w:rsidR="00A0136F" w:rsidRDefault="00F72C31">
            <w:pPr>
              <w:pStyle w:val="TableText0"/>
              <w:jc w:val="center"/>
            </w:pPr>
            <w:r w:rsidRPr="0037439C">
              <w:t>213.5</w:t>
            </w:r>
          </w:p>
          <w:p w14:paraId="3D3829DC" w14:textId="044E7130" w:rsidR="00F72C31" w:rsidRPr="0037439C" w:rsidRDefault="00F72C31">
            <w:pPr>
              <w:pStyle w:val="TableText0"/>
              <w:jc w:val="center"/>
            </w:pPr>
            <w:r w:rsidRPr="0037439C">
              <w:t>(150.0–283.0)</w:t>
            </w:r>
          </w:p>
        </w:tc>
      </w:tr>
      <w:tr w:rsidR="00F72C31" w:rsidRPr="0037439C" w14:paraId="0A693305"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63FEC1DC" w14:textId="77777777" w:rsidR="00F72C31" w:rsidRPr="0037439C" w:rsidRDefault="00F72C31">
            <w:pPr>
              <w:pStyle w:val="TableText0"/>
            </w:pPr>
            <w:r w:rsidRPr="0037439C">
              <w:t>Length of delay in surgery, weeks: Median (IQR)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5FF069" w14:textId="77777777" w:rsidR="00F72C31" w:rsidRPr="0037439C" w:rsidRDefault="00F72C31">
            <w:pPr>
              <w:pStyle w:val="TableText0"/>
              <w:jc w:val="center"/>
            </w:pPr>
            <w:r w:rsidRPr="0037439C">
              <w:t>1.7 (0.6–3.0)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96BDAA" w14:textId="77777777" w:rsidR="00F72C31" w:rsidRPr="0037439C" w:rsidRDefault="00F72C31">
            <w:pPr>
              <w:pStyle w:val="TableText0"/>
              <w:jc w:val="center"/>
            </w:pPr>
            <w:r w:rsidRPr="0037439C">
              <w:t>1.1 (0.4–2.9)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F71493" w14:textId="77777777" w:rsidR="00F72C31" w:rsidRPr="0037439C" w:rsidRDefault="00F72C31">
            <w:pPr>
              <w:pStyle w:val="TableText0"/>
              <w:jc w:val="center"/>
            </w:pPr>
            <w:r w:rsidRPr="0037439C">
              <w:t>2.0 (0.6–3.0)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CDD21DF" w14:textId="77777777" w:rsidR="00F72C31" w:rsidRPr="0037439C" w:rsidRDefault="00F72C31">
            <w:pPr>
              <w:pStyle w:val="TableText0"/>
              <w:jc w:val="center"/>
            </w:pPr>
            <w:r w:rsidRPr="0037439C">
              <w:t>2.4 (1.0–3.7)</w:t>
            </w:r>
          </w:p>
        </w:tc>
      </w:tr>
      <w:tr w:rsidR="00F72C31" w:rsidRPr="0037439C" w14:paraId="59E6414C"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00D6F37A" w14:textId="77777777" w:rsidR="00F72C31" w:rsidRPr="0037439C" w:rsidRDefault="00F72C31">
            <w:pPr>
              <w:pStyle w:val="TableText0"/>
            </w:pPr>
            <w:r w:rsidRPr="0037439C">
              <w:t>Type of surgery, 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474CB0" w14:textId="77777777" w:rsidR="00F72C31" w:rsidRPr="0037439C" w:rsidRDefault="00F72C31">
            <w:pPr>
              <w:pStyle w:val="TableText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55CCB6" w14:textId="77777777" w:rsidR="00F72C31" w:rsidRPr="0037439C" w:rsidRDefault="00F72C31">
            <w:pPr>
              <w:pStyle w:val="TableText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9B4013" w14:textId="77777777" w:rsidR="00F72C31" w:rsidRPr="0037439C" w:rsidRDefault="00F72C31">
            <w:pPr>
              <w:pStyle w:val="TableText0"/>
              <w:jc w:val="cente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BF6108F" w14:textId="77777777" w:rsidR="00F72C31" w:rsidRPr="0037439C" w:rsidRDefault="00F72C31">
            <w:pPr>
              <w:pStyle w:val="TableText0"/>
              <w:jc w:val="center"/>
            </w:pPr>
          </w:p>
        </w:tc>
      </w:tr>
      <w:tr w:rsidR="00F72C31" w:rsidRPr="0037439C" w14:paraId="5DE55330"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7163EA7B" w14:textId="77777777" w:rsidR="00F72C31" w:rsidRPr="0037439C" w:rsidRDefault="00F72C31">
            <w:pPr>
              <w:pStyle w:val="TableText0"/>
              <w:ind w:left="312"/>
            </w:pPr>
            <w:r w:rsidRPr="0037439C">
              <w:t>Lobectomy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763C7" w14:textId="77777777" w:rsidR="00F72C31" w:rsidRPr="0037439C" w:rsidRDefault="00F72C31">
            <w:pPr>
              <w:pStyle w:val="TableText0"/>
              <w:jc w:val="center"/>
            </w:pPr>
            <w:r w:rsidRPr="0037439C">
              <w:t>142 (80%)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B7CC4" w14:textId="77777777" w:rsidR="00F72C31" w:rsidRPr="0037439C" w:rsidRDefault="00F72C31">
            <w:pPr>
              <w:pStyle w:val="TableText0"/>
              <w:jc w:val="center"/>
            </w:pPr>
            <w:r w:rsidRPr="0037439C">
              <w:t>128 (72%)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633D" w14:textId="77777777" w:rsidR="00F72C31" w:rsidRPr="0037439C" w:rsidRDefault="00F72C31">
            <w:pPr>
              <w:pStyle w:val="TableText0"/>
              <w:jc w:val="center"/>
            </w:pPr>
            <w:r w:rsidRPr="0037439C">
              <w:t>115 (77%)</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1F4B3" w14:textId="77777777" w:rsidR="00F72C31" w:rsidRPr="0037439C" w:rsidRDefault="00F72C31">
            <w:pPr>
              <w:pStyle w:val="TableText0"/>
              <w:jc w:val="center"/>
            </w:pPr>
            <w:r w:rsidRPr="0037439C">
              <w:t>82 (61%)</w:t>
            </w:r>
          </w:p>
        </w:tc>
      </w:tr>
      <w:tr w:rsidR="00F72C31" w:rsidRPr="0037439C" w14:paraId="7BC592B6"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41B54250" w14:textId="77777777" w:rsidR="00F72C31" w:rsidRPr="0037439C" w:rsidRDefault="00F72C31">
            <w:pPr>
              <w:pStyle w:val="TableText0"/>
              <w:ind w:left="312"/>
            </w:pPr>
            <w:r w:rsidRPr="0037439C">
              <w:t>Bilobectomy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BDC3CA" w14:textId="77777777" w:rsidR="00F72C31" w:rsidRPr="0037439C" w:rsidRDefault="00F72C31">
            <w:pPr>
              <w:pStyle w:val="TableText0"/>
              <w:jc w:val="center"/>
            </w:pPr>
            <w:r w:rsidRPr="0037439C">
              <w:t>14 (8%)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0CF639" w14:textId="77777777" w:rsidR="00F72C31" w:rsidRPr="0037439C" w:rsidRDefault="00F72C31">
            <w:pPr>
              <w:pStyle w:val="TableText0"/>
              <w:jc w:val="center"/>
            </w:pPr>
            <w:r w:rsidRPr="0037439C">
              <w:t>23 (13%)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BA61" w14:textId="77777777" w:rsidR="00F72C31" w:rsidRPr="0037439C" w:rsidRDefault="00F72C31">
            <w:pPr>
              <w:pStyle w:val="TableText0"/>
              <w:jc w:val="center"/>
            </w:pPr>
            <w:r w:rsidRPr="0037439C">
              <w:t>3 (2%)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0F4A1" w14:textId="77777777" w:rsidR="00F72C31" w:rsidRPr="0037439C" w:rsidRDefault="00F72C31">
            <w:pPr>
              <w:pStyle w:val="TableText0"/>
              <w:jc w:val="center"/>
            </w:pPr>
            <w:r w:rsidRPr="0037439C">
              <w:t>4 (3%)</w:t>
            </w:r>
          </w:p>
        </w:tc>
      </w:tr>
      <w:tr w:rsidR="00F72C31" w:rsidRPr="0037439C" w14:paraId="05783DE1"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659A423B" w14:textId="77777777" w:rsidR="00F72C31" w:rsidRPr="0037439C" w:rsidRDefault="00F72C31">
            <w:pPr>
              <w:pStyle w:val="TableText0"/>
              <w:ind w:left="312"/>
            </w:pPr>
            <w:r w:rsidRPr="0037439C">
              <w:t>Pneumonectomy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EBC3D9" w14:textId="77777777" w:rsidR="00F72C31" w:rsidRPr="0037439C" w:rsidRDefault="00F72C31">
            <w:pPr>
              <w:pStyle w:val="TableText0"/>
              <w:jc w:val="center"/>
            </w:pPr>
            <w:r w:rsidRPr="0037439C">
              <w:t>16 (9%)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C543B0" w14:textId="77777777" w:rsidR="00F72C31" w:rsidRPr="0037439C" w:rsidRDefault="00F72C31">
            <w:pPr>
              <w:pStyle w:val="TableText0"/>
              <w:jc w:val="center"/>
            </w:pPr>
            <w:r w:rsidRPr="0037439C">
              <w:t>24 (14%)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C260F8" w14:textId="77777777" w:rsidR="00F72C31" w:rsidRPr="0037439C" w:rsidRDefault="00F72C31">
            <w:pPr>
              <w:pStyle w:val="TableText0"/>
              <w:jc w:val="center"/>
            </w:pPr>
            <w:r w:rsidRPr="0037439C">
              <w:t>25 (17%)</w:t>
            </w:r>
          </w:p>
        </w:tc>
        <w:tc>
          <w:tcPr>
            <w:tcW w:w="1367" w:type="dxa"/>
            <w:tcBorders>
              <w:top w:val="single" w:sz="4" w:space="0" w:color="auto"/>
              <w:left w:val="single" w:sz="4" w:space="0" w:color="auto"/>
              <w:bottom w:val="single" w:sz="4" w:space="0" w:color="auto"/>
              <w:right w:val="single" w:sz="4" w:space="0" w:color="auto"/>
            </w:tcBorders>
            <w:shd w:val="clear" w:color="auto" w:fill="auto"/>
          </w:tcPr>
          <w:p w14:paraId="320F067A" w14:textId="77777777" w:rsidR="00F72C31" w:rsidRPr="0037439C" w:rsidRDefault="00F72C31">
            <w:pPr>
              <w:pStyle w:val="TableText0"/>
              <w:jc w:val="center"/>
            </w:pPr>
            <w:r w:rsidRPr="0037439C">
              <w:t>34 (25%)</w:t>
            </w:r>
          </w:p>
        </w:tc>
      </w:tr>
      <w:tr w:rsidR="00F72C31" w:rsidRPr="0037439C" w14:paraId="68CCC0A7"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70EAA61F" w14:textId="77777777" w:rsidR="00F72C31" w:rsidRPr="0037439C" w:rsidRDefault="00F72C31">
            <w:pPr>
              <w:pStyle w:val="TableText0"/>
            </w:pPr>
            <w:r w:rsidRPr="0037439C">
              <w:t>Completeness of resection, n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F3D4BE" w14:textId="77777777" w:rsidR="00F72C31" w:rsidRPr="0037439C" w:rsidRDefault="00F72C31">
            <w:pPr>
              <w:pStyle w:val="TableText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356300" w14:textId="77777777" w:rsidR="00F72C31" w:rsidRPr="0037439C" w:rsidRDefault="00F72C31">
            <w:pPr>
              <w:pStyle w:val="TableText0"/>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23D915" w14:textId="77777777" w:rsidR="00F72C31" w:rsidRPr="0037439C" w:rsidRDefault="00F72C31">
            <w:pPr>
              <w:pStyle w:val="TableText0"/>
              <w:jc w:val="cente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A4BCB8E" w14:textId="77777777" w:rsidR="00F72C31" w:rsidRPr="0037439C" w:rsidRDefault="00F72C31">
            <w:pPr>
              <w:pStyle w:val="TableText0"/>
              <w:jc w:val="center"/>
            </w:pPr>
          </w:p>
        </w:tc>
      </w:tr>
      <w:tr w:rsidR="00F72C31" w:rsidRPr="0037439C" w14:paraId="78704166"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1207BE1B" w14:textId="77777777" w:rsidR="00F72C31" w:rsidRPr="0037439C" w:rsidRDefault="00F72C31">
            <w:pPr>
              <w:pStyle w:val="TableText0"/>
              <w:ind w:left="453" w:hanging="141"/>
            </w:pPr>
            <w:r w:rsidRPr="0037439C">
              <w:t>R0 (no residual tumour)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14D9D0" w14:textId="77777777" w:rsidR="00F72C31" w:rsidRPr="0037439C" w:rsidRDefault="00F72C31">
            <w:pPr>
              <w:pStyle w:val="TableText0"/>
              <w:jc w:val="center"/>
            </w:pPr>
            <w:r w:rsidRPr="0037439C">
              <w:t>159 (89%)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4EFC2" w14:textId="77777777" w:rsidR="00F72C31" w:rsidRPr="0037439C" w:rsidRDefault="00F72C31">
            <w:pPr>
              <w:pStyle w:val="TableText0"/>
              <w:jc w:val="center"/>
            </w:pPr>
            <w:r w:rsidRPr="0037439C">
              <w:t>161 (90%)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EAE3C" w14:textId="77777777" w:rsidR="00F72C31" w:rsidRPr="0037439C" w:rsidRDefault="00F72C31">
            <w:pPr>
              <w:pStyle w:val="TableText0"/>
              <w:jc w:val="center"/>
            </w:pPr>
            <w:r w:rsidRPr="0037439C">
              <w:t>124 (83%)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EF596" w14:textId="77777777" w:rsidR="00F72C31" w:rsidRPr="0037439C" w:rsidRDefault="00F72C31">
            <w:pPr>
              <w:pStyle w:val="TableText0"/>
              <w:jc w:val="center"/>
            </w:pPr>
            <w:r w:rsidRPr="0037439C">
              <w:t>105 (78%)</w:t>
            </w:r>
          </w:p>
        </w:tc>
      </w:tr>
      <w:tr w:rsidR="00F72C31" w:rsidRPr="0037439C" w14:paraId="61B9C476"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0589D1F5" w14:textId="77777777" w:rsidR="00F72C31" w:rsidRPr="0037439C" w:rsidRDefault="00F72C31">
            <w:pPr>
              <w:pStyle w:val="TableText0"/>
              <w:ind w:left="312"/>
            </w:pPr>
            <w:r w:rsidRPr="0037439C">
              <w:t>R1 (microscopic residual tumour)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4846B3" w14:textId="77777777" w:rsidR="00F72C31" w:rsidRPr="0037439C" w:rsidRDefault="00F72C31">
            <w:pPr>
              <w:pStyle w:val="TableText0"/>
              <w:jc w:val="center"/>
            </w:pPr>
            <w:r w:rsidRPr="0037439C">
              <w:t>17 (10%)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CCF853" w14:textId="77777777" w:rsidR="00F72C31" w:rsidRPr="0037439C" w:rsidRDefault="00F72C31">
            <w:pPr>
              <w:pStyle w:val="TableText0"/>
              <w:jc w:val="center"/>
            </w:pPr>
            <w:r w:rsidRPr="0037439C">
              <w:t>11 (6%)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F63F1" w14:textId="77777777" w:rsidR="00F72C31" w:rsidRPr="0037439C" w:rsidRDefault="00F72C31">
            <w:pPr>
              <w:pStyle w:val="TableText0"/>
              <w:jc w:val="center"/>
            </w:pPr>
            <w:r w:rsidRPr="0037439C">
              <w:t>16 (11%)</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9DB95" w14:textId="77777777" w:rsidR="00F72C31" w:rsidRPr="0037439C" w:rsidRDefault="00F72C31">
            <w:pPr>
              <w:pStyle w:val="TableText0"/>
              <w:jc w:val="center"/>
            </w:pPr>
            <w:r w:rsidRPr="0037439C">
              <w:t>21 (16%)</w:t>
            </w:r>
          </w:p>
        </w:tc>
      </w:tr>
      <w:tr w:rsidR="00F72C31" w:rsidRPr="0037439C" w14:paraId="01730BEA"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2EB2BAD6" w14:textId="77777777" w:rsidR="00F72C31" w:rsidRPr="0037439C" w:rsidRDefault="00F72C31">
            <w:pPr>
              <w:pStyle w:val="TableText0"/>
              <w:ind w:left="312"/>
            </w:pPr>
            <w:r w:rsidRPr="0037439C">
              <w:t>R2 (macroscopic residual tumour)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660A9" w14:textId="77777777" w:rsidR="00F72C31" w:rsidRPr="0037439C" w:rsidRDefault="00F72C31">
            <w:pPr>
              <w:pStyle w:val="TableText0"/>
              <w:jc w:val="center"/>
            </w:pPr>
            <w:r w:rsidRPr="0037439C">
              <w:t>2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700B9" w14:textId="77777777" w:rsidR="00F72C31" w:rsidRPr="0037439C" w:rsidRDefault="00F72C31">
            <w:pPr>
              <w:pStyle w:val="TableText0"/>
              <w:jc w:val="center"/>
            </w:pPr>
            <w:r w:rsidRPr="0037439C">
              <w:t>6 (3%)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37E12" w14:textId="77777777" w:rsidR="00F72C31" w:rsidRPr="0037439C" w:rsidRDefault="00F72C31">
            <w:pPr>
              <w:pStyle w:val="TableText0"/>
              <w:jc w:val="center"/>
            </w:pPr>
            <w:r w:rsidRPr="0037439C">
              <w:t>5 (3%)</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8293D" w14:textId="77777777" w:rsidR="00F72C31" w:rsidRPr="0037439C" w:rsidRDefault="00F72C31">
            <w:pPr>
              <w:pStyle w:val="TableText0"/>
              <w:jc w:val="center"/>
            </w:pPr>
            <w:r w:rsidRPr="0037439C">
              <w:t>4 (3%)</w:t>
            </w:r>
          </w:p>
        </w:tc>
      </w:tr>
      <w:tr w:rsidR="00F72C31" w:rsidRPr="0037439C" w14:paraId="5ABF3982" w14:textId="77777777">
        <w:trPr>
          <w:cantSplit/>
        </w:trPr>
        <w:tc>
          <w:tcPr>
            <w:tcW w:w="3256" w:type="dxa"/>
            <w:tcBorders>
              <w:top w:val="single" w:sz="4" w:space="0" w:color="auto"/>
              <w:left w:val="single" w:sz="4" w:space="0" w:color="auto"/>
              <w:bottom w:val="single" w:sz="4" w:space="0" w:color="auto"/>
              <w:right w:val="single" w:sz="4" w:space="0" w:color="auto"/>
            </w:tcBorders>
            <w:shd w:val="clear" w:color="auto" w:fill="auto"/>
            <w:hideMark/>
          </w:tcPr>
          <w:p w14:paraId="359CC223" w14:textId="77777777" w:rsidR="00F72C31" w:rsidRPr="0037439C" w:rsidRDefault="00F72C31">
            <w:pPr>
              <w:pStyle w:val="TableText0"/>
            </w:pPr>
            <w:r w:rsidRPr="0037439C">
              <w:t>Median length of hospital stay — days (IQR)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D0800C" w14:textId="77777777" w:rsidR="00F72C31" w:rsidRPr="0037439C" w:rsidRDefault="00F72C31">
            <w:pPr>
              <w:pStyle w:val="TableText0"/>
              <w:jc w:val="center"/>
            </w:pPr>
            <w:r w:rsidRPr="0037439C">
              <w:t>9.0 (6.0–13.0)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CD2EAB" w14:textId="77777777" w:rsidR="00F72C31" w:rsidRPr="0037439C" w:rsidRDefault="00F72C31">
            <w:pPr>
              <w:pStyle w:val="TableText0"/>
              <w:jc w:val="center"/>
            </w:pPr>
            <w:r w:rsidRPr="0037439C">
              <w:t>9.0 (6.0–12.0)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41597" w14:textId="77777777" w:rsidR="00F72C31" w:rsidRPr="0037439C" w:rsidRDefault="00F72C31">
            <w:pPr>
              <w:pStyle w:val="TableText0"/>
              <w:jc w:val="center"/>
            </w:pPr>
            <w:r w:rsidRPr="0037439C">
              <w:t>10.0 (7.0–14.0)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CEF90" w14:textId="77777777" w:rsidR="00F72C31" w:rsidRPr="0037439C" w:rsidRDefault="00F72C31">
            <w:pPr>
              <w:pStyle w:val="TableText0"/>
              <w:jc w:val="center"/>
            </w:pPr>
            <w:r w:rsidRPr="0037439C">
              <w:t>10.0 (7.0–15.0)</w:t>
            </w:r>
          </w:p>
        </w:tc>
      </w:tr>
    </w:tbl>
    <w:p w14:paraId="750E1407" w14:textId="77777777" w:rsidR="00F72C31" w:rsidRDefault="00F72C31" w:rsidP="00F72C31">
      <w:pPr>
        <w:pStyle w:val="TableFigureFooter"/>
      </w:pPr>
      <w:r w:rsidRPr="00BA2BCF">
        <w:t xml:space="preserve">Source: </w:t>
      </w:r>
      <w:r>
        <w:t>Table 78, p125 of the submission and pp36-37 of Supplement to Forde et al., 2022</w:t>
      </w:r>
    </w:p>
    <w:p w14:paraId="7195FD83" w14:textId="77777777" w:rsidR="00A0136F" w:rsidRDefault="00F72C31" w:rsidP="00F72C31">
      <w:pPr>
        <w:pStyle w:val="TableFigureFooter"/>
      </w:pPr>
      <w:r w:rsidRPr="00BA2BCF">
        <w:t xml:space="preserve">Abbreviations: </w:t>
      </w:r>
      <w:r>
        <w:t>neoC</w:t>
      </w:r>
      <w:r w:rsidRPr="00BA2BCF">
        <w:t xml:space="preserve">hemo = neoadjuvant chemotherapy; </w:t>
      </w:r>
      <w:r>
        <w:t>neo</w:t>
      </w:r>
      <w:r w:rsidRPr="00BA2BCF">
        <w:t xml:space="preserve">NIVO = neoadjuvant nivolumab; </w:t>
      </w:r>
      <w:r>
        <w:t>peri</w:t>
      </w:r>
      <w:r w:rsidRPr="00BA2BCF">
        <w:t>NIVO = perioperative nivolumab</w:t>
      </w:r>
    </w:p>
    <w:p w14:paraId="5FB90BC0" w14:textId="77777777" w:rsidR="00A0136F" w:rsidRDefault="00F72C31" w:rsidP="00F72C31">
      <w:pPr>
        <w:pStyle w:val="TableFigureFooter"/>
      </w:pPr>
      <w:r w:rsidRPr="00607F70">
        <w:rPr>
          <w:vertAlign w:val="superscript"/>
        </w:rPr>
        <w:t>a</w:t>
      </w:r>
      <w:r w:rsidRPr="00BA2BCF">
        <w:t>: Surgery status not reported for 2 patients (0.9%)</w:t>
      </w:r>
    </w:p>
    <w:p w14:paraId="194DAB8C" w14:textId="75808D48" w:rsidR="00F72C31" w:rsidRPr="00BA2BCF" w:rsidRDefault="00F72C31" w:rsidP="00F72C31">
      <w:pPr>
        <w:pStyle w:val="TableFigureFooter"/>
      </w:pPr>
      <w:r w:rsidRPr="00607F70">
        <w:rPr>
          <w:vertAlign w:val="superscript"/>
        </w:rPr>
        <w:t>b</w:t>
      </w:r>
      <w:r>
        <w:t xml:space="preserve"> Includes </w:t>
      </w:r>
      <w:r w:rsidRPr="00607F70">
        <w:t>patient refusal, unresectability, and poor lung function</w:t>
      </w:r>
    </w:p>
    <w:p w14:paraId="53BAD580" w14:textId="77777777" w:rsidR="00F72C31" w:rsidRDefault="00F72C31" w:rsidP="00F72C31">
      <w:pPr>
        <w:pStyle w:val="3-BodyText"/>
      </w:pPr>
      <w:r w:rsidRPr="00572090">
        <w:rPr>
          <w:iCs/>
        </w:rPr>
        <w:t xml:space="preserve">The proportion of patients receiving a </w:t>
      </w:r>
      <w:r>
        <w:rPr>
          <w:iCs/>
        </w:rPr>
        <w:t>nivolumab</w:t>
      </w:r>
      <w:r w:rsidRPr="00572090">
        <w:rPr>
          <w:iCs/>
        </w:rPr>
        <w:t xml:space="preserve"> regimen that received definitive surgery was higher in CM816 (83%) compared with CM77T (77%).</w:t>
      </w:r>
      <w:r w:rsidRPr="00B64763">
        <w:t xml:space="preserve"> The submission noted that in CM77T where four cycles </w:t>
      </w:r>
      <w:r>
        <w:t xml:space="preserve">of </w:t>
      </w:r>
      <w:r w:rsidRPr="00B64763">
        <w:t>neoadjuvant treatment were given, a higher percentage of patients achieved more complete resection of tumour (R0, no residual tumour) compared with CM861 where th</w:t>
      </w:r>
      <w:r>
        <w:t>ree</w:t>
      </w:r>
      <w:r w:rsidRPr="00B64763">
        <w:t xml:space="preserve"> cycles of neoadjuvant treatment were given.</w:t>
      </w:r>
      <w:r>
        <w:t xml:space="preserve"> </w:t>
      </w:r>
      <w:r w:rsidRPr="00572090">
        <w:rPr>
          <w:iCs/>
        </w:rPr>
        <w:t>However</w:t>
      </w:r>
      <w:r>
        <w:rPr>
          <w:iCs/>
        </w:rPr>
        <w:t>,</w:t>
      </w:r>
      <w:r w:rsidRPr="00572090">
        <w:rPr>
          <w:iCs/>
        </w:rPr>
        <w:t xml:space="preserve"> it was unclear if the differences were statistically significant or clinically meaningful.</w:t>
      </w:r>
    </w:p>
    <w:p w14:paraId="419D7FD1" w14:textId="77777777" w:rsidR="00F72C31" w:rsidRPr="006B7C0F" w:rsidRDefault="00F72C31" w:rsidP="00F72C31">
      <w:pPr>
        <w:pStyle w:val="3-BodyText"/>
        <w:rPr>
          <w:iCs/>
        </w:rPr>
      </w:pPr>
      <w:r w:rsidRPr="00572090">
        <w:rPr>
          <w:iCs/>
        </w:rPr>
        <w:t>Overall</w:t>
      </w:r>
      <w:r w:rsidRPr="00B96B42">
        <w:t xml:space="preserve">, the evaluation considered that </w:t>
      </w:r>
      <w:r w:rsidRPr="00572090">
        <w:rPr>
          <w:iCs/>
        </w:rPr>
        <w:t xml:space="preserve">it was difficult to draw a reliable conclusion based on the ITC between CM77T and CM816 as there were several transitivity issues, the point estimates did not meet the proposed MCID for EFS, and </w:t>
      </w:r>
      <w:r>
        <w:rPr>
          <w:iCs/>
        </w:rPr>
        <w:t>a</w:t>
      </w:r>
      <w:r w:rsidRPr="00572090">
        <w:rPr>
          <w:iCs/>
        </w:rPr>
        <w:t xml:space="preserve"> noninferiority margin was </w:t>
      </w:r>
      <w:r>
        <w:rPr>
          <w:iCs/>
        </w:rPr>
        <w:t>not available</w:t>
      </w:r>
      <w:r w:rsidRPr="00572090">
        <w:rPr>
          <w:iCs/>
        </w:rPr>
        <w:t xml:space="preserve"> to allow a</w:t>
      </w:r>
      <w:r>
        <w:rPr>
          <w:iCs/>
        </w:rPr>
        <w:t xml:space="preserve"> for formal</w:t>
      </w:r>
      <w:r w:rsidRPr="00572090">
        <w:rPr>
          <w:iCs/>
        </w:rPr>
        <w:t xml:space="preserve"> assessment of noninferiority. Nonetheless,</w:t>
      </w:r>
      <w:r w:rsidRPr="006B7C0F">
        <w:rPr>
          <w:iCs/>
        </w:rPr>
        <w:t xml:space="preserve"> </w:t>
      </w:r>
      <w:r w:rsidRPr="00B96B42">
        <w:t>the evaluation considered</w:t>
      </w:r>
      <w:r>
        <w:rPr>
          <w:iCs/>
        </w:rPr>
        <w:t xml:space="preserve"> </w:t>
      </w:r>
      <w:r w:rsidRPr="006B7C0F">
        <w:rPr>
          <w:iCs/>
        </w:rPr>
        <w:t>results from the ITC of periNIVO versus neoNIVO indicated periNIVO was likely no different to neoNIVO in terms of EFS.</w:t>
      </w:r>
    </w:p>
    <w:p w14:paraId="523D597B" w14:textId="1177D2E0" w:rsidR="00F72C31" w:rsidRPr="00B96B42" w:rsidRDefault="00F72C31" w:rsidP="00F72C31">
      <w:pPr>
        <w:pStyle w:val="3-BodyText"/>
      </w:pPr>
      <w:bookmarkStart w:id="65" w:name="_Ref179990637"/>
      <w:r w:rsidRPr="00B96B42">
        <w:rPr>
          <w:iCs/>
        </w:rPr>
        <w:t xml:space="preserve">The PSCR acknowledged that there was transitivity issues associated with the ITC between CM77T and CM816 presented in the submission. However, the PSCR considered strategies implemented by the submission mitigated their impact and </w:t>
      </w:r>
      <w:r w:rsidRPr="00B96B42">
        <w:rPr>
          <w:iCs/>
        </w:rPr>
        <w:lastRenderedPageBreak/>
        <w:t>overall considered the transitivity issues did not inherently preclude the validity of conducting the ITC. The Sponsor also noted that a Propensity Score Matching Indirect Comparison (PSM ITC) of periNIVO versus neoNIVO using patient-level data from CM77T and CM816 was recently presented at the World Conference on Lung Cancer (WCLC) (Forde 2024</w:t>
      </w:r>
      <w:r w:rsidRPr="00B96B42">
        <w:rPr>
          <w:iCs/>
          <w:vertAlign w:val="superscript"/>
        </w:rPr>
        <w:footnoteReference w:id="8"/>
      </w:r>
      <w:r w:rsidRPr="00B96B42">
        <w:rPr>
          <w:iCs/>
        </w:rPr>
        <w:t xml:space="preserve">). The PSCR noted that the propensity score weighting analyses (average treatment effect for the treated [ATT] and average treatment effect [ATE]) were performed and adjusted for baseline demographics and disease characterises between study populations and reduced the confounding effects of these factors. Adjustments were made for: sex, race, clinical stage, tumour histology, PD-L1 expression, age, Eastern Cooperative Oncology Group performance status (ECOG PS) and smoking status. </w:t>
      </w:r>
      <w:r w:rsidRPr="00334F0C">
        <w:rPr>
          <w:iCs/>
        </w:rPr>
        <w:t xml:space="preserve">Results for these analyses are shown in </w:t>
      </w:r>
      <w:r w:rsidRPr="00334F0C">
        <w:rPr>
          <w:iCs/>
        </w:rPr>
        <w:fldChar w:fldCharType="begin"/>
      </w:r>
      <w:r w:rsidRPr="00334F0C">
        <w:rPr>
          <w:iCs/>
        </w:rPr>
        <w:instrText xml:space="preserve"> REF _Ref179989917 \h  \* MERGEFORMAT </w:instrText>
      </w:r>
      <w:r w:rsidRPr="00334F0C">
        <w:rPr>
          <w:iCs/>
        </w:rPr>
      </w:r>
      <w:r w:rsidRPr="00334F0C">
        <w:rPr>
          <w:iCs/>
        </w:rPr>
        <w:fldChar w:fldCharType="separate"/>
      </w:r>
      <w:r w:rsidR="009C09C9" w:rsidRPr="009C09C9">
        <w:rPr>
          <w:iCs/>
        </w:rPr>
        <w:t xml:space="preserve">Figure </w:t>
      </w:r>
      <w:r w:rsidR="009C09C9" w:rsidRPr="009C09C9">
        <w:rPr>
          <w:iCs/>
          <w:noProof/>
        </w:rPr>
        <w:t>4</w:t>
      </w:r>
      <w:r w:rsidRPr="00334F0C">
        <w:rPr>
          <w:iCs/>
        </w:rPr>
        <w:fldChar w:fldCharType="end"/>
      </w:r>
      <w:r w:rsidRPr="00334F0C">
        <w:rPr>
          <w:iCs/>
        </w:rPr>
        <w:t xml:space="preserve"> and </w:t>
      </w:r>
      <w:r w:rsidRPr="00334F0C">
        <w:rPr>
          <w:iCs/>
        </w:rPr>
        <w:fldChar w:fldCharType="begin"/>
      </w:r>
      <w:r w:rsidRPr="00334F0C">
        <w:rPr>
          <w:iCs/>
        </w:rPr>
        <w:instrText xml:space="preserve"> REF _Ref179989941 \h  \* MERGEFORMAT </w:instrText>
      </w:r>
      <w:r w:rsidRPr="00334F0C">
        <w:rPr>
          <w:iCs/>
        </w:rPr>
      </w:r>
      <w:r w:rsidRPr="00334F0C">
        <w:rPr>
          <w:iCs/>
        </w:rPr>
        <w:fldChar w:fldCharType="separate"/>
      </w:r>
      <w:r w:rsidR="009C09C9" w:rsidRPr="00B96B42">
        <w:rPr>
          <w:iCs/>
        </w:rPr>
        <w:t xml:space="preserve">Table </w:t>
      </w:r>
      <w:r w:rsidR="009C09C9">
        <w:rPr>
          <w:iCs/>
          <w:noProof/>
        </w:rPr>
        <w:t>15</w:t>
      </w:r>
      <w:r w:rsidRPr="00334F0C">
        <w:rPr>
          <w:iCs/>
        </w:rPr>
        <w:fldChar w:fldCharType="end"/>
      </w:r>
      <w:r w:rsidRPr="00334F0C">
        <w:rPr>
          <w:iCs/>
        </w:rPr>
        <w:t>. For both analyses,</w:t>
      </w:r>
      <w:r>
        <w:t xml:space="preserve"> </w:t>
      </w:r>
      <w:r w:rsidRPr="00B96B42">
        <w:t xml:space="preserve">approximately 40% reduction in risk of disease recurrence or death after surgery was observed in patients who received ≥ 1 dose of adjuvant NIVO following neoNIVO + chemo treatment and surgery compared with those who did not receive adjuvant NIVO. </w:t>
      </w:r>
      <w:bookmarkEnd w:id="65"/>
      <w:r w:rsidRPr="00334F0C">
        <w:rPr>
          <w:rFonts w:eastAsia="Calibri"/>
        </w:rPr>
        <w:t xml:space="preserve">The ESC considered the results from Forde 2024 were unlikely to be a reliable basis to support a claim of superiority in terms of EFS, as proposed in the PSCR (paragraph </w:t>
      </w:r>
      <w:r w:rsidRPr="00334F0C">
        <w:rPr>
          <w:rFonts w:eastAsia="Calibri"/>
        </w:rPr>
        <w:fldChar w:fldCharType="begin"/>
      </w:r>
      <w:r w:rsidRPr="00334F0C">
        <w:rPr>
          <w:rFonts w:eastAsia="Calibri"/>
        </w:rPr>
        <w:instrText xml:space="preserve"> REF _Ref185408168 \r \h </w:instrText>
      </w:r>
      <w:r w:rsidRPr="00334F0C">
        <w:rPr>
          <w:rFonts w:eastAsia="Calibri"/>
        </w:rPr>
      </w:r>
      <w:r w:rsidRPr="00334F0C">
        <w:rPr>
          <w:rFonts w:eastAsia="Calibri"/>
        </w:rPr>
        <w:fldChar w:fldCharType="separate"/>
      </w:r>
      <w:r w:rsidR="009C09C9">
        <w:rPr>
          <w:rFonts w:eastAsia="Calibri"/>
        </w:rPr>
        <w:t>6.54</w:t>
      </w:r>
      <w:r w:rsidRPr="00334F0C">
        <w:rPr>
          <w:rFonts w:eastAsia="Calibri"/>
        </w:rPr>
        <w:fldChar w:fldCharType="end"/>
      </w:r>
      <w:r w:rsidRPr="00334F0C">
        <w:rPr>
          <w:rFonts w:eastAsia="Calibri"/>
        </w:rPr>
        <w:t>).</w:t>
      </w:r>
    </w:p>
    <w:p w14:paraId="169E9462" w14:textId="0E71B157" w:rsidR="00F72C31" w:rsidRPr="00262839" w:rsidRDefault="00F72C31" w:rsidP="0032577B">
      <w:pPr>
        <w:pStyle w:val="TableFigureHeading"/>
      </w:pPr>
      <w:bookmarkStart w:id="66" w:name="_Ref179989917"/>
      <w:r>
        <w:t xml:space="preserve">Figure </w:t>
      </w:r>
      <w:r>
        <w:fldChar w:fldCharType="begin"/>
      </w:r>
      <w:r>
        <w:instrText xml:space="preserve"> SEQ Figure \* ARABIC </w:instrText>
      </w:r>
      <w:r>
        <w:fldChar w:fldCharType="separate"/>
      </w:r>
      <w:r w:rsidR="009C09C9">
        <w:rPr>
          <w:noProof/>
        </w:rPr>
        <w:t>4</w:t>
      </w:r>
      <w:r>
        <w:rPr>
          <w:noProof/>
        </w:rPr>
        <w:fldChar w:fldCharType="end"/>
      </w:r>
      <w:bookmarkEnd w:id="66"/>
      <w:r>
        <w:t>: Event-free survival from definitive surgery (BICR)</w:t>
      </w:r>
    </w:p>
    <w:p w14:paraId="5CAF3F21" w14:textId="77777777" w:rsidR="00F72C31" w:rsidRPr="00B96B42" w:rsidRDefault="00F72C31" w:rsidP="00F72C31">
      <w:pPr>
        <w:pStyle w:val="3-BodyText"/>
        <w:numPr>
          <w:ilvl w:val="0"/>
          <w:numId w:val="0"/>
        </w:numPr>
      </w:pPr>
      <w:r w:rsidRPr="00D13837">
        <w:rPr>
          <w:bCs/>
          <w:noProof/>
          <w:sz w:val="22"/>
        </w:rPr>
        <w:drawing>
          <wp:inline distT="0" distB="0" distL="0" distR="0" wp14:anchorId="3D369214" wp14:editId="6E84F31E">
            <wp:extent cx="5732145" cy="1968956"/>
            <wp:effectExtent l="0" t="0" r="1905" b="0"/>
            <wp:docPr id="1088065799" name="Picture 1" descr="A graph of patients with cancer&#10;&#10;Figure 4: Event-free survival from definitive surgery (BI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065799" name="Picture 1" descr="A graph of patients with cancer&#10;&#10;Figure 4: Event-free survival from definitive surgery (BICR)"/>
                    <pic:cNvPicPr/>
                  </pic:nvPicPr>
                  <pic:blipFill>
                    <a:blip r:embed="rId11"/>
                    <a:stretch>
                      <a:fillRect/>
                    </a:stretch>
                  </pic:blipFill>
                  <pic:spPr>
                    <a:xfrm>
                      <a:off x="0" y="0"/>
                      <a:ext cx="5732145" cy="1968956"/>
                    </a:xfrm>
                    <a:prstGeom prst="rect">
                      <a:avLst/>
                    </a:prstGeom>
                  </pic:spPr>
                </pic:pic>
              </a:graphicData>
            </a:graphic>
          </wp:inline>
        </w:drawing>
      </w:r>
    </w:p>
    <w:p w14:paraId="4A15B26C" w14:textId="77777777" w:rsidR="00F72C31" w:rsidRPr="00B96B42" w:rsidRDefault="00F72C31" w:rsidP="00F72C31">
      <w:pPr>
        <w:pStyle w:val="FooterTableFigure"/>
        <w:rPr>
          <w:iCs/>
        </w:rPr>
      </w:pPr>
      <w:r w:rsidRPr="00B96B42">
        <w:rPr>
          <w:iCs/>
        </w:rPr>
        <w:t>Source: PSCR (p4); Forde et al 2024</w:t>
      </w:r>
    </w:p>
    <w:p w14:paraId="3D6AC67B" w14:textId="77777777" w:rsidR="00F72C31" w:rsidRPr="00B96B42" w:rsidRDefault="00F72C31" w:rsidP="00F72C31">
      <w:pPr>
        <w:pStyle w:val="FooterTableFigure"/>
        <w:rPr>
          <w:iCs/>
        </w:rPr>
      </w:pPr>
      <w:r w:rsidRPr="00B96B42">
        <w:rPr>
          <w:iCs/>
        </w:rPr>
        <w:t>Abbreviations: ATE = average treatment effect; BICR = blinded independent central review; CI = confidence interval; EFS = event-free survival; HR = hazard ratio</w:t>
      </w:r>
    </w:p>
    <w:p w14:paraId="59E49A56" w14:textId="77777777" w:rsidR="00A0136F" w:rsidRDefault="00F72C31" w:rsidP="00F72C31">
      <w:pPr>
        <w:pStyle w:val="FooterTableFigure"/>
        <w:rPr>
          <w:iCs/>
        </w:rPr>
      </w:pPr>
      <w:r w:rsidRPr="00B96B42">
        <w:rPr>
          <w:iCs/>
          <w:vertAlign w:val="superscript"/>
        </w:rPr>
        <w:t>a</w:t>
      </w:r>
      <w:r w:rsidRPr="00B96B42">
        <w:rPr>
          <w:iCs/>
        </w:rPr>
        <w:t>Includes only patients who received ≥ 1 dose of adjuvant NIVO.</w:t>
      </w:r>
    </w:p>
    <w:p w14:paraId="603A4F79" w14:textId="33E7AD00" w:rsidR="00F72C31" w:rsidRPr="00B96B42" w:rsidRDefault="00F72C31" w:rsidP="00F72C31">
      <w:pPr>
        <w:pStyle w:val="FooterTableFigure"/>
        <w:rPr>
          <w:iCs/>
        </w:rPr>
      </w:pPr>
      <w:r w:rsidRPr="00B96B42">
        <w:rPr>
          <w:iCs/>
          <w:vertAlign w:val="superscript"/>
        </w:rPr>
        <w:t>b</w:t>
      </w:r>
      <w:r w:rsidRPr="00B96B42">
        <w:rPr>
          <w:iCs/>
        </w:rPr>
        <w:t>ATE: varying weights were applied to all patients in both neoadjuvant.</w:t>
      </w:r>
    </w:p>
    <w:p w14:paraId="7EEBB78F" w14:textId="77777777" w:rsidR="00A0136F" w:rsidRDefault="00F72C31" w:rsidP="00F72C31">
      <w:pPr>
        <w:pStyle w:val="FooterTableFigure"/>
        <w:rPr>
          <w:iCs/>
        </w:rPr>
      </w:pPr>
      <w:r w:rsidRPr="00B96B42">
        <w:rPr>
          <w:iCs/>
        </w:rPr>
        <w:t>NIVO + chemo arm (CheckMate 816) and perioperative NIVO (CheckMate 77T) to make them comparable to one another.</w:t>
      </w:r>
    </w:p>
    <w:p w14:paraId="1B170AC8" w14:textId="08173F80" w:rsidR="00F72C31" w:rsidRPr="00B96B42" w:rsidRDefault="00F72C31" w:rsidP="00F72C31">
      <w:pPr>
        <w:pStyle w:val="FooterTableFigure"/>
        <w:rPr>
          <w:iCs/>
        </w:rPr>
      </w:pPr>
      <w:r w:rsidRPr="00B96B42">
        <w:rPr>
          <w:iCs/>
          <w:vertAlign w:val="superscript"/>
        </w:rPr>
        <w:t>c</w:t>
      </w:r>
      <w:r w:rsidRPr="00B96B42">
        <w:rPr>
          <w:iCs/>
        </w:rPr>
        <w:t>N values fractional due to weighting. dATT: varying weights were applied to patients in the neoadjuvant NIVO + chemo arm (CheckMate 816) to make them comparable to those in the perioperative NIVO arm (CheckMate 77T).</w:t>
      </w:r>
    </w:p>
    <w:p w14:paraId="5E05625C" w14:textId="77777777" w:rsidR="00F72C31" w:rsidRPr="00B96B42" w:rsidRDefault="00F72C31" w:rsidP="00F72C31">
      <w:pPr>
        <w:pStyle w:val="FooterTableFigure"/>
        <w:rPr>
          <w:iCs/>
        </w:rPr>
      </w:pPr>
      <w:r w:rsidRPr="00B96B42">
        <w:rPr>
          <w:iCs/>
        </w:rPr>
        <w:t>Notes: In the unweighted analysis population, 89 patients (64%) completed adjuvant therapy, and median number of doses (range) was 13.0 (1–13). Unweighted landmark EFS from surgery among all patients who had surgery (regardless of whether they received adjuvant NIVO in CheckMate 77T) for periop NIVO vs neoadj NIVO + chemo: HR = 0.82 (95% CI, 0.55–1.21).</w:t>
      </w:r>
    </w:p>
    <w:p w14:paraId="3D641901" w14:textId="77777777" w:rsidR="009737E0" w:rsidRDefault="009737E0">
      <w:pPr>
        <w:jc w:val="left"/>
        <w:rPr>
          <w:rFonts w:ascii="Arial Narrow" w:eastAsiaTheme="majorEastAsia" w:hAnsi="Arial Narrow" w:cstheme="majorBidi"/>
          <w:b/>
          <w:bCs/>
          <w:iCs/>
          <w:sz w:val="20"/>
        </w:rPr>
      </w:pPr>
      <w:bookmarkStart w:id="67" w:name="_Ref179989941"/>
      <w:r>
        <w:rPr>
          <w:iCs/>
        </w:rPr>
        <w:br w:type="page"/>
      </w:r>
    </w:p>
    <w:p w14:paraId="0F9B5D1C" w14:textId="4135860B" w:rsidR="00F72C31" w:rsidRPr="00B96B42" w:rsidRDefault="00F72C31" w:rsidP="00F72C31">
      <w:pPr>
        <w:pStyle w:val="TableFigureHeading"/>
        <w:rPr>
          <w:rStyle w:val="CommentReference"/>
          <w:b/>
          <w:bCs w:val="0"/>
          <w:iCs/>
          <w:szCs w:val="24"/>
        </w:rPr>
      </w:pPr>
      <w:r w:rsidRPr="00B96B42">
        <w:rPr>
          <w:iCs/>
        </w:rPr>
        <w:lastRenderedPageBreak/>
        <w:t xml:space="preserve">Table </w:t>
      </w:r>
      <w:r w:rsidRPr="00B96B42">
        <w:rPr>
          <w:iCs/>
        </w:rPr>
        <w:fldChar w:fldCharType="begin"/>
      </w:r>
      <w:r w:rsidRPr="00B96B42">
        <w:rPr>
          <w:iCs/>
        </w:rPr>
        <w:instrText xml:space="preserve"> SEQ Table \* ARABIC </w:instrText>
      </w:r>
      <w:r w:rsidRPr="00B96B42">
        <w:rPr>
          <w:iCs/>
        </w:rPr>
        <w:fldChar w:fldCharType="separate"/>
      </w:r>
      <w:r w:rsidR="009C09C9">
        <w:rPr>
          <w:iCs/>
          <w:noProof/>
        </w:rPr>
        <w:t>15</w:t>
      </w:r>
      <w:r w:rsidRPr="00B96B42">
        <w:rPr>
          <w:iCs/>
          <w:noProof/>
        </w:rPr>
        <w:fldChar w:fldCharType="end"/>
      </w:r>
      <w:bookmarkEnd w:id="67"/>
      <w:r w:rsidRPr="00B96B42">
        <w:rPr>
          <w:rStyle w:val="CommentReference"/>
          <w:b/>
          <w:bCs w:val="0"/>
          <w:iCs/>
          <w:szCs w:val="24"/>
        </w:rPr>
        <w:t>: Summary of indirect treatment comparisons for periNIVO versus neoNIVO</w:t>
      </w:r>
    </w:p>
    <w:tbl>
      <w:tblPr>
        <w:tblStyle w:val="TableGrid"/>
        <w:tblW w:w="0" w:type="auto"/>
        <w:tblLook w:val="04A0" w:firstRow="1" w:lastRow="0" w:firstColumn="1" w:lastColumn="0" w:noHBand="0" w:noVBand="1"/>
        <w:tblCaption w:val="Table 15: Summary of indirect treatment comparisons for periNIVO versus neoNIVO"/>
        <w:tblDescription w:val="Table 15: Summary of indirect treatment comparisons for periNIVO versus neoNIVO"/>
      </w:tblPr>
      <w:tblGrid>
        <w:gridCol w:w="5371"/>
        <w:gridCol w:w="3646"/>
      </w:tblGrid>
      <w:tr w:rsidR="00F72C31" w:rsidRPr="00B96B42" w14:paraId="07FBEC17" w14:textId="77777777">
        <w:tc>
          <w:tcPr>
            <w:tcW w:w="6658" w:type="dxa"/>
            <w:shd w:val="clear" w:color="auto" w:fill="auto"/>
          </w:tcPr>
          <w:p w14:paraId="564FAE0C" w14:textId="77777777" w:rsidR="00F72C31" w:rsidRPr="00B96B42" w:rsidRDefault="00F72C31">
            <w:pPr>
              <w:pStyle w:val="Tabletext"/>
              <w:rPr>
                <w:b/>
                <w:bCs/>
                <w:iCs/>
              </w:rPr>
            </w:pPr>
            <w:r w:rsidRPr="00B96B42">
              <w:rPr>
                <w:b/>
                <w:bCs/>
                <w:iCs/>
              </w:rPr>
              <w:t>ITC method</w:t>
            </w:r>
          </w:p>
        </w:tc>
        <w:tc>
          <w:tcPr>
            <w:tcW w:w="4552" w:type="dxa"/>
            <w:shd w:val="clear" w:color="auto" w:fill="auto"/>
          </w:tcPr>
          <w:p w14:paraId="49D4E903" w14:textId="77777777" w:rsidR="00F72C31" w:rsidRPr="00B96B42" w:rsidRDefault="00F72C31">
            <w:pPr>
              <w:pStyle w:val="Tabletext"/>
              <w:jc w:val="center"/>
              <w:rPr>
                <w:b/>
                <w:bCs/>
                <w:iCs/>
              </w:rPr>
            </w:pPr>
            <w:r w:rsidRPr="00B96B42">
              <w:rPr>
                <w:b/>
                <w:bCs/>
                <w:iCs/>
              </w:rPr>
              <w:t>EFS HR (95% CI)</w:t>
            </w:r>
          </w:p>
        </w:tc>
      </w:tr>
      <w:tr w:rsidR="00F72C31" w:rsidRPr="00B96B42" w14:paraId="0319F53A" w14:textId="77777777">
        <w:tc>
          <w:tcPr>
            <w:tcW w:w="6658" w:type="dxa"/>
          </w:tcPr>
          <w:p w14:paraId="732087A3" w14:textId="77777777" w:rsidR="00A0136F" w:rsidRDefault="00F72C31">
            <w:pPr>
              <w:pStyle w:val="TableText0"/>
              <w:rPr>
                <w:iCs/>
              </w:rPr>
            </w:pPr>
            <w:r w:rsidRPr="00B96B42">
              <w:rPr>
                <w:iCs/>
              </w:rPr>
              <w:t>Bucher using neoChemo as common comparator</w:t>
            </w:r>
          </w:p>
          <w:p w14:paraId="295FF345" w14:textId="4660300F" w:rsidR="00F72C31" w:rsidRPr="00B96B42" w:rsidRDefault="00F72C31">
            <w:pPr>
              <w:pStyle w:val="TableText0"/>
              <w:rPr>
                <w:iCs/>
              </w:rPr>
            </w:pPr>
            <w:r w:rsidRPr="00B96B42">
              <w:rPr>
                <w:iCs/>
              </w:rPr>
              <w:t>(presented in submission)</w:t>
            </w:r>
          </w:p>
        </w:tc>
        <w:tc>
          <w:tcPr>
            <w:tcW w:w="4552" w:type="dxa"/>
          </w:tcPr>
          <w:p w14:paraId="6104756E" w14:textId="77777777" w:rsidR="00F72C31" w:rsidRPr="00B96B42" w:rsidRDefault="00F72C31">
            <w:pPr>
              <w:pStyle w:val="TableText0"/>
              <w:jc w:val="center"/>
              <w:rPr>
                <w:iCs/>
              </w:rPr>
            </w:pPr>
            <w:r w:rsidRPr="00B96B42">
              <w:rPr>
                <w:iCs/>
              </w:rPr>
              <w:t>0.92 (0.59, 1.44)</w:t>
            </w:r>
          </w:p>
        </w:tc>
      </w:tr>
      <w:tr w:rsidR="00F72C31" w:rsidRPr="00B96B42" w14:paraId="777CDEED" w14:textId="77777777">
        <w:tc>
          <w:tcPr>
            <w:tcW w:w="6658" w:type="dxa"/>
          </w:tcPr>
          <w:p w14:paraId="15E153A4" w14:textId="77777777" w:rsidR="00F72C31" w:rsidRPr="00B96B42" w:rsidRDefault="00F72C31">
            <w:pPr>
              <w:pStyle w:val="TableText0"/>
              <w:rPr>
                <w:iCs/>
              </w:rPr>
            </w:pPr>
            <w:r w:rsidRPr="00B96B42">
              <w:rPr>
                <w:iCs/>
              </w:rPr>
              <w:t>Propensity score matched CM77T and CM816: ATE</w:t>
            </w:r>
          </w:p>
        </w:tc>
        <w:tc>
          <w:tcPr>
            <w:tcW w:w="4552" w:type="dxa"/>
          </w:tcPr>
          <w:p w14:paraId="00527C72" w14:textId="77777777" w:rsidR="00F72C31" w:rsidRPr="00B96B42" w:rsidRDefault="00F72C31">
            <w:pPr>
              <w:pStyle w:val="TableText0"/>
              <w:jc w:val="center"/>
              <w:rPr>
                <w:iCs/>
              </w:rPr>
            </w:pPr>
            <w:r w:rsidRPr="00B96B42">
              <w:rPr>
                <w:iCs/>
              </w:rPr>
              <w:t>0.61 (0.39, 0.97)</w:t>
            </w:r>
          </w:p>
        </w:tc>
      </w:tr>
      <w:tr w:rsidR="00F72C31" w:rsidRPr="00B96B42" w14:paraId="15F56665" w14:textId="77777777">
        <w:tc>
          <w:tcPr>
            <w:tcW w:w="6658" w:type="dxa"/>
          </w:tcPr>
          <w:p w14:paraId="0C812F2D" w14:textId="77777777" w:rsidR="00F72C31" w:rsidRPr="00B96B42" w:rsidRDefault="00F72C31">
            <w:pPr>
              <w:pStyle w:val="TableText0"/>
              <w:rPr>
                <w:iCs/>
              </w:rPr>
            </w:pPr>
            <w:r w:rsidRPr="00B96B42">
              <w:rPr>
                <w:iCs/>
              </w:rPr>
              <w:t>Propensity score matched CM77T and CM816: ATT</w:t>
            </w:r>
          </w:p>
        </w:tc>
        <w:tc>
          <w:tcPr>
            <w:tcW w:w="4552" w:type="dxa"/>
          </w:tcPr>
          <w:p w14:paraId="52FB83A0" w14:textId="77777777" w:rsidR="00F72C31" w:rsidRPr="00B96B42" w:rsidRDefault="00F72C31">
            <w:pPr>
              <w:pStyle w:val="TableText0"/>
              <w:jc w:val="center"/>
              <w:rPr>
                <w:iCs/>
              </w:rPr>
            </w:pPr>
            <w:r w:rsidRPr="00B96B42">
              <w:rPr>
                <w:iCs/>
              </w:rPr>
              <w:t>0.59 (0.38, 0.92)</w:t>
            </w:r>
          </w:p>
        </w:tc>
      </w:tr>
    </w:tbl>
    <w:p w14:paraId="0265FF4C" w14:textId="77777777" w:rsidR="00F72C31" w:rsidRPr="00B96B42" w:rsidRDefault="00F72C31" w:rsidP="00F72C31">
      <w:pPr>
        <w:pStyle w:val="FooterTableFigure"/>
        <w:rPr>
          <w:iCs/>
        </w:rPr>
      </w:pPr>
      <w:r w:rsidRPr="00B96B42">
        <w:rPr>
          <w:iCs/>
        </w:rPr>
        <w:t>Source: PSCR (p4); Forde et al 2024</w:t>
      </w:r>
    </w:p>
    <w:p w14:paraId="1DFFA87B" w14:textId="77777777" w:rsidR="00F72C31" w:rsidRDefault="00F72C31" w:rsidP="00F72C31">
      <w:pPr>
        <w:pStyle w:val="FooterTableFigure"/>
        <w:rPr>
          <w:iCs/>
        </w:rPr>
      </w:pPr>
      <w:r w:rsidRPr="00B96B42">
        <w:rPr>
          <w:iCs/>
        </w:rPr>
        <w:t>Abbreviations: ATE = average treatment effect; ATT = average treatment effect for the treated; BICR = blinded independent central review; CI = confidence interval; EFS = event-free survival; HR = hazard ratio; ITC = indirect treatment comparison</w:t>
      </w:r>
    </w:p>
    <w:p w14:paraId="289EAA5E" w14:textId="75F8BA7E" w:rsidR="007C70FF" w:rsidRPr="0088220B" w:rsidRDefault="00B60939" w:rsidP="0088220B">
      <w:pPr>
        <w:pStyle w:val="4-SubsectionHeading"/>
      </w:pPr>
      <w:r w:rsidRPr="0098262F">
        <w:t>Clinical claim</w:t>
      </w:r>
      <w:bookmarkEnd w:id="51"/>
      <w:bookmarkEnd w:id="52"/>
    </w:p>
    <w:p w14:paraId="57A92C27" w14:textId="1BFC03D4" w:rsidR="00176258" w:rsidRPr="00B96B42" w:rsidRDefault="00455CC4" w:rsidP="00176258">
      <w:pPr>
        <w:pStyle w:val="3-BodyText"/>
        <w:rPr>
          <w:iCs/>
        </w:rPr>
      </w:pPr>
      <w:r w:rsidRPr="00B96B42">
        <w:rPr>
          <w:iCs/>
        </w:rPr>
        <w:t xml:space="preserve">The </w:t>
      </w:r>
      <w:r w:rsidR="00156529" w:rsidRPr="00B96B42">
        <w:rPr>
          <w:iCs/>
        </w:rPr>
        <w:t>submission claimed that</w:t>
      </w:r>
      <w:r w:rsidR="00176258" w:rsidRPr="00B96B42">
        <w:rPr>
          <w:iCs/>
        </w:rPr>
        <w:t xml:space="preserve"> </w:t>
      </w:r>
      <w:r w:rsidRPr="00B96B42">
        <w:rPr>
          <w:iCs/>
        </w:rPr>
        <w:t xml:space="preserve">periNIVO </w:t>
      </w:r>
      <w:r w:rsidR="00176258" w:rsidRPr="00B96B42">
        <w:rPr>
          <w:iCs/>
        </w:rPr>
        <w:t>offers ‘at least noninferior, and potentially superior efficacy</w:t>
      </w:r>
      <w:r w:rsidR="00156529" w:rsidRPr="00B96B42">
        <w:rPr>
          <w:iCs/>
        </w:rPr>
        <w:t>’</w:t>
      </w:r>
      <w:r w:rsidR="00176258" w:rsidRPr="00B96B42">
        <w:rPr>
          <w:iCs/>
        </w:rPr>
        <w:t xml:space="preserve"> and noninferior safety compared with neoNIVO.</w:t>
      </w:r>
    </w:p>
    <w:p w14:paraId="47D389F9" w14:textId="44C0803C" w:rsidR="00162564" w:rsidRDefault="000C0445" w:rsidP="00162564">
      <w:pPr>
        <w:pStyle w:val="3-BodyText"/>
        <w:rPr>
          <w:rFonts w:eastAsia="Calibri"/>
          <w:iCs/>
        </w:rPr>
      </w:pPr>
      <w:r w:rsidRPr="00B96B42">
        <w:rPr>
          <w:rFonts w:eastAsia="Calibri"/>
        </w:rPr>
        <w:t xml:space="preserve">The </w:t>
      </w:r>
      <w:r w:rsidR="004139B2" w:rsidRPr="00B96B42">
        <w:rPr>
          <w:rFonts w:eastAsia="Calibri"/>
        </w:rPr>
        <w:t xml:space="preserve">ESC </w:t>
      </w:r>
      <w:r w:rsidR="004958FD" w:rsidRPr="00B96B42">
        <w:rPr>
          <w:rFonts w:eastAsia="Calibri"/>
        </w:rPr>
        <w:t>co</w:t>
      </w:r>
      <w:r w:rsidR="005958B4" w:rsidRPr="00B96B42">
        <w:rPr>
          <w:rFonts w:eastAsia="Calibri"/>
        </w:rPr>
        <w:t>nsidered that the</w:t>
      </w:r>
      <w:r w:rsidR="004139B2" w:rsidRPr="00B96B42">
        <w:rPr>
          <w:rFonts w:eastAsia="Calibri"/>
        </w:rPr>
        <w:t xml:space="preserve"> </w:t>
      </w:r>
      <w:r w:rsidRPr="00B96B42">
        <w:rPr>
          <w:rFonts w:eastAsia="Calibri"/>
        </w:rPr>
        <w:t>clinical claim of ‘</w:t>
      </w:r>
      <w:r w:rsidR="005958B4" w:rsidRPr="00B96B42">
        <w:rPr>
          <w:rFonts w:eastAsia="Calibri"/>
        </w:rPr>
        <w:t xml:space="preserve">at least </w:t>
      </w:r>
      <w:r w:rsidRPr="00B96B42">
        <w:rPr>
          <w:rFonts w:eastAsia="Calibri"/>
        </w:rPr>
        <w:t xml:space="preserve">noninferior, </w:t>
      </w:r>
      <w:r w:rsidR="005958B4" w:rsidRPr="00B96B42">
        <w:rPr>
          <w:rFonts w:eastAsia="Calibri"/>
        </w:rPr>
        <w:t xml:space="preserve">and </w:t>
      </w:r>
      <w:r w:rsidRPr="00B96B42">
        <w:rPr>
          <w:rFonts w:eastAsia="Calibri"/>
        </w:rPr>
        <w:t xml:space="preserve">potentially superior’ efficacy of periNIVO compared to neoNIVO </w:t>
      </w:r>
      <w:r w:rsidR="005958B4" w:rsidRPr="00B96B42">
        <w:rPr>
          <w:rFonts w:eastAsia="Calibri"/>
        </w:rPr>
        <w:t>was</w:t>
      </w:r>
      <w:r w:rsidR="00CD5DEE" w:rsidRPr="00B96B42">
        <w:rPr>
          <w:rFonts w:eastAsia="Calibri"/>
        </w:rPr>
        <w:t xml:space="preserve"> uncertain and likely not supported</w:t>
      </w:r>
      <w:r w:rsidRPr="00B96B42">
        <w:rPr>
          <w:rFonts w:eastAsia="Calibri"/>
        </w:rPr>
        <w:t xml:space="preserve">. </w:t>
      </w:r>
      <w:r w:rsidR="000F5DC6" w:rsidRPr="00B96B42">
        <w:rPr>
          <w:rFonts w:eastAsia="Calibri"/>
        </w:rPr>
        <w:t xml:space="preserve">The ESC noted the results from the ITC of periNIVO versus neoNIVO </w:t>
      </w:r>
      <w:r w:rsidR="00805A59">
        <w:rPr>
          <w:rFonts w:eastAsia="Calibri"/>
        </w:rPr>
        <w:t xml:space="preserve">presented in the submission </w:t>
      </w:r>
      <w:r w:rsidR="000F5DC6" w:rsidRPr="00B96B42">
        <w:t>(HR=0.92; 95% CI: 0.59, 1.44)</w:t>
      </w:r>
      <w:r w:rsidR="00805A59">
        <w:t xml:space="preserve"> was associated with wide confidence intervals, indicating </w:t>
      </w:r>
      <w:r w:rsidR="00414768">
        <w:t>a high level</w:t>
      </w:r>
      <w:r w:rsidR="00035B6B">
        <w:t xml:space="preserve"> of uncertainty around the estimated effect size.</w:t>
      </w:r>
      <w:r w:rsidR="000F5DC6" w:rsidRPr="00B96B42">
        <w:t xml:space="preserve"> </w:t>
      </w:r>
      <w:r w:rsidR="00035B6B">
        <w:rPr>
          <w:rFonts w:eastAsia="Calibri"/>
        </w:rPr>
        <w:t xml:space="preserve">The </w:t>
      </w:r>
      <w:r w:rsidR="005E7E7E" w:rsidRPr="00B96B42">
        <w:rPr>
          <w:rFonts w:eastAsia="Calibri"/>
        </w:rPr>
        <w:t xml:space="preserve">ESC </w:t>
      </w:r>
      <w:r w:rsidR="00044994" w:rsidRPr="00B96B42">
        <w:rPr>
          <w:rFonts w:eastAsia="Calibri"/>
        </w:rPr>
        <w:t>agreed with the evaluation</w:t>
      </w:r>
      <w:r w:rsidR="005E7E7E" w:rsidRPr="00B96B42">
        <w:rPr>
          <w:rFonts w:eastAsia="Calibri"/>
        </w:rPr>
        <w:t xml:space="preserve"> that it</w:t>
      </w:r>
      <w:r w:rsidRPr="00B96B42">
        <w:rPr>
          <w:rFonts w:eastAsia="Calibri"/>
        </w:rPr>
        <w:t xml:space="preserve"> was difficult to draw a reliable conclusion based on the ITC between CM77T and CM816</w:t>
      </w:r>
      <w:r w:rsidR="005D61B9" w:rsidRPr="00B96B42">
        <w:rPr>
          <w:rFonts w:eastAsia="Calibri"/>
        </w:rPr>
        <w:t xml:space="preserve"> </w:t>
      </w:r>
      <w:r w:rsidRPr="00B96B42">
        <w:rPr>
          <w:rFonts w:eastAsia="Calibri"/>
        </w:rPr>
        <w:t>as there were several transitivity issues</w:t>
      </w:r>
      <w:r w:rsidR="00CD183B">
        <w:rPr>
          <w:rFonts w:eastAsia="Calibri"/>
        </w:rPr>
        <w:t xml:space="preserve"> </w:t>
      </w:r>
      <w:r w:rsidR="00CD183B" w:rsidRPr="00CD183B">
        <w:rPr>
          <w:bCs/>
          <w:iCs/>
        </w:rPr>
        <w:t>(e.g. differences in proportion of males, number of doses of chemotherapy in the common comparator, and different NSCLC staging criteria)</w:t>
      </w:r>
      <w:r w:rsidRPr="00CD183B">
        <w:rPr>
          <w:rFonts w:eastAsia="Calibri"/>
        </w:rPr>
        <w:t>,</w:t>
      </w:r>
      <w:r w:rsidRPr="00B96B42">
        <w:rPr>
          <w:rFonts w:eastAsia="Calibri"/>
        </w:rPr>
        <w:t xml:space="preserve"> the point estimates did not meet the proposed MCID for EFS, and no nominated noninferiority margin was nominated to allow an assessment of noninferiority</w:t>
      </w:r>
      <w:r w:rsidR="00296CBE" w:rsidRPr="00B96B42">
        <w:rPr>
          <w:rFonts w:eastAsia="Calibri"/>
        </w:rPr>
        <w:t>.</w:t>
      </w:r>
      <w:bookmarkStart w:id="68" w:name="_Ref180498136"/>
    </w:p>
    <w:p w14:paraId="5B6893B4" w14:textId="47FC2E20" w:rsidR="00A0136F" w:rsidRDefault="00044994" w:rsidP="00575568">
      <w:pPr>
        <w:pStyle w:val="3-BodyText"/>
      </w:pPr>
      <w:bookmarkStart w:id="69" w:name="_Ref185408168"/>
      <w:r w:rsidRPr="00162564">
        <w:rPr>
          <w:iCs/>
        </w:rPr>
        <w:t xml:space="preserve">The ESC noted </w:t>
      </w:r>
      <w:r w:rsidR="005958B4" w:rsidRPr="00162564">
        <w:rPr>
          <w:iCs/>
        </w:rPr>
        <w:t>the PSCR referenced a</w:t>
      </w:r>
      <w:r w:rsidR="0020538D" w:rsidRPr="00162564">
        <w:rPr>
          <w:iCs/>
        </w:rPr>
        <w:t xml:space="preserve"> PSM</w:t>
      </w:r>
      <w:r w:rsidR="005958B4" w:rsidRPr="00162564">
        <w:rPr>
          <w:iCs/>
        </w:rPr>
        <w:t xml:space="preserve"> </w:t>
      </w:r>
      <w:r w:rsidR="005D61B9" w:rsidRPr="00162564">
        <w:rPr>
          <w:iCs/>
        </w:rPr>
        <w:t>ITC of periNIVO versus neoNIVO using patient-level data from CM77T and CM816 (Forde et al 2024</w:t>
      </w:r>
      <w:r w:rsidR="005D61B9" w:rsidRPr="005958B4">
        <w:rPr>
          <w:vertAlign w:val="superscript"/>
        </w:rPr>
        <w:footnoteReference w:id="9"/>
      </w:r>
      <w:r w:rsidR="005D61B9" w:rsidRPr="00162564">
        <w:rPr>
          <w:iCs/>
        </w:rPr>
        <w:t>) which adjusted for baseline demographics and disease characteris</w:t>
      </w:r>
      <w:r w:rsidR="00615474">
        <w:rPr>
          <w:iCs/>
        </w:rPr>
        <w:t>tics</w:t>
      </w:r>
      <w:r w:rsidR="005D61B9" w:rsidRPr="00162564">
        <w:rPr>
          <w:iCs/>
        </w:rPr>
        <w:t xml:space="preserve"> between study populations.</w:t>
      </w:r>
      <w:r w:rsidR="003B446D" w:rsidRPr="00162564">
        <w:rPr>
          <w:iCs/>
        </w:rPr>
        <w:t xml:space="preserve"> The ESC noted the EFS HRs for the ATE and ATT analyses were 0.61 (95% CI: 0.39</w:t>
      </w:r>
      <w:r w:rsidR="003B446D" w:rsidRPr="00162564">
        <w:rPr>
          <w:rFonts w:cstheme="minorHAnsi"/>
          <w:iCs/>
        </w:rPr>
        <w:t>−</w:t>
      </w:r>
      <w:r w:rsidR="003B446D" w:rsidRPr="00162564">
        <w:rPr>
          <w:iCs/>
        </w:rPr>
        <w:t>0.97) and 0.59 (95% CI 0.38</w:t>
      </w:r>
      <w:r w:rsidR="003B446D" w:rsidRPr="00162564">
        <w:rPr>
          <w:rFonts w:cstheme="minorHAnsi"/>
          <w:iCs/>
        </w:rPr>
        <w:t>−</w:t>
      </w:r>
      <w:r w:rsidR="003B446D" w:rsidRPr="00162564">
        <w:rPr>
          <w:iCs/>
        </w:rPr>
        <w:t>0.92) respectively, which were more optimistic that the HR presented in the submission using the Bucher approach (HR 0.92, 95% CI: 0.59</w:t>
      </w:r>
      <w:r w:rsidR="003B446D" w:rsidRPr="00162564">
        <w:rPr>
          <w:rFonts w:cstheme="minorHAnsi"/>
          <w:iCs/>
        </w:rPr>
        <w:t>−</w:t>
      </w:r>
      <w:r w:rsidR="003B446D" w:rsidRPr="00162564">
        <w:rPr>
          <w:iCs/>
        </w:rPr>
        <w:t>1.44</w:t>
      </w:r>
      <w:r w:rsidR="005958B4" w:rsidRPr="00162564">
        <w:rPr>
          <w:bCs/>
        </w:rPr>
        <w:t xml:space="preserve">; </w:t>
      </w:r>
      <w:r w:rsidR="005D61B9" w:rsidRPr="00B96B42">
        <w:t xml:space="preserve">paragraph </w:t>
      </w:r>
      <w:r w:rsidR="005D61B9" w:rsidRPr="00B96B42">
        <w:fldChar w:fldCharType="begin"/>
      </w:r>
      <w:r w:rsidR="005D61B9" w:rsidRPr="00B96B42">
        <w:instrText xml:space="preserve"> REF _Ref179990637 \r \h </w:instrText>
      </w:r>
      <w:r w:rsidR="005D61B9" w:rsidRPr="00B96B42">
        <w:fldChar w:fldCharType="separate"/>
      </w:r>
      <w:r w:rsidR="009C09C9">
        <w:t>6.51</w:t>
      </w:r>
      <w:r w:rsidR="005D61B9" w:rsidRPr="00B96B42">
        <w:fldChar w:fldCharType="end"/>
      </w:r>
      <w:r w:rsidR="005D61B9" w:rsidRPr="00B96B42">
        <w:t>).</w:t>
      </w:r>
      <w:r w:rsidR="00C83654" w:rsidRPr="00B96B42">
        <w:t xml:space="preserve"> </w:t>
      </w:r>
      <w:r w:rsidR="00F15648" w:rsidRPr="00B96B42">
        <w:t xml:space="preserve">However, </w:t>
      </w:r>
      <w:r w:rsidR="00F15648" w:rsidRPr="00162564">
        <w:rPr>
          <w:bCs/>
        </w:rPr>
        <w:t>t</w:t>
      </w:r>
      <w:r w:rsidR="00A7373C" w:rsidRPr="00162564">
        <w:rPr>
          <w:bCs/>
        </w:rPr>
        <w:t xml:space="preserve">he ESC </w:t>
      </w:r>
      <w:r w:rsidR="005958B4" w:rsidRPr="00162564">
        <w:rPr>
          <w:bCs/>
        </w:rPr>
        <w:t xml:space="preserve">noted </w:t>
      </w:r>
      <w:r w:rsidR="005958B4" w:rsidRPr="00B96B42">
        <w:t xml:space="preserve">that the </w:t>
      </w:r>
      <w:r w:rsidR="00F15648" w:rsidRPr="00B96B42">
        <w:t xml:space="preserve">PSM </w:t>
      </w:r>
      <w:r w:rsidR="005958B4" w:rsidRPr="00B96B42">
        <w:t>ITC had not undergone formal</w:t>
      </w:r>
      <w:r w:rsidR="00221EC6" w:rsidRPr="00B96B42">
        <w:t xml:space="preserve"> evaluation</w:t>
      </w:r>
      <w:r w:rsidR="00A7373C" w:rsidRPr="00B96B42">
        <w:t xml:space="preserve"> or independent review</w:t>
      </w:r>
      <w:r w:rsidR="005958B4" w:rsidRPr="00B96B42">
        <w:t xml:space="preserve">, </w:t>
      </w:r>
      <w:r w:rsidR="00A7373C" w:rsidRPr="00B96B42">
        <w:t>which raised</w:t>
      </w:r>
      <w:r w:rsidR="005958B4" w:rsidRPr="00B96B42">
        <w:t xml:space="preserve"> uncertainty of the reliability of the results.</w:t>
      </w:r>
      <w:r w:rsidR="00F15648" w:rsidRPr="00B96B42">
        <w:t xml:space="preserve"> Further, </w:t>
      </w:r>
      <w:r w:rsidR="00F15648" w:rsidRPr="00162564">
        <w:rPr>
          <w:rFonts w:eastAsia="Calibri"/>
        </w:rPr>
        <w:t>sufficient detail was not provided (i.e. the patient dataset and propensity score weights) to verify or replicate the results presented in Forde 2024.</w:t>
      </w:r>
      <w:r w:rsidR="00F15648" w:rsidRPr="00162564">
        <w:rPr>
          <w:rFonts w:eastAsia="Calibri"/>
          <w:iCs/>
        </w:rPr>
        <w:t xml:space="preserve"> </w:t>
      </w:r>
      <w:r w:rsidR="00F15648" w:rsidRPr="00162564">
        <w:rPr>
          <w:rFonts w:eastAsia="Calibri"/>
        </w:rPr>
        <w:t>It was noted tha</w:t>
      </w:r>
      <w:r w:rsidR="00EB0CB3">
        <w:rPr>
          <w:rFonts w:eastAsia="Calibri"/>
        </w:rPr>
        <w:t>t</w:t>
      </w:r>
      <w:r w:rsidR="00F15648" w:rsidRPr="00162564">
        <w:rPr>
          <w:rFonts w:eastAsia="Calibri"/>
        </w:rPr>
        <w:t xml:space="preserve"> the sample size in the periNIVO arm </w:t>
      </w:r>
      <w:r w:rsidR="00EB0CB3">
        <w:rPr>
          <w:rFonts w:eastAsia="Calibri"/>
        </w:rPr>
        <w:t xml:space="preserve">was reduced </w:t>
      </w:r>
      <w:r w:rsidR="00F15648" w:rsidRPr="00162564">
        <w:rPr>
          <w:rFonts w:eastAsia="Calibri"/>
        </w:rPr>
        <w:t xml:space="preserve">from 228 patients to 139, and in the neoNIVO arm from 176 patients to 147. The information for these excluded patients was not provided, and therefore it is unclear what impact the excluded patients had on the estimated HR. </w:t>
      </w:r>
      <w:r w:rsidR="00920308" w:rsidRPr="00162564">
        <w:rPr>
          <w:rFonts w:eastAsia="Calibri"/>
        </w:rPr>
        <w:t xml:space="preserve">The ESC also noted that in this ITC the CM77T group appeared to be limited to those who were deemed suitable for adjuvant nivolumab, while the CM816 group consisted of all participants. Given that only 62% of patients in CM77T received adjuvant nivolumab, it is conceivable that this would </w:t>
      </w:r>
      <w:r w:rsidR="00920308" w:rsidRPr="00162564">
        <w:rPr>
          <w:rFonts w:eastAsia="Calibri"/>
        </w:rPr>
        <w:lastRenderedPageBreak/>
        <w:t xml:space="preserve">bias the results in favour of CM77T, as patients in that trial who did not respond to or tolerate neoadjuvant nivolumab were excluded from the comparison. </w:t>
      </w:r>
      <w:r w:rsidR="00F15648" w:rsidRPr="00162564">
        <w:rPr>
          <w:rFonts w:eastAsia="Calibri"/>
        </w:rPr>
        <w:t>Overall, the ESC considered the results from Forde 2024 were unlikely to be a reliable basis to support a claim of superiority in terms of EFS as proposed in the PSCR.</w:t>
      </w:r>
      <w:bookmarkEnd w:id="68"/>
      <w:bookmarkEnd w:id="69"/>
      <w:r w:rsidR="00F15648" w:rsidRPr="00162564">
        <w:rPr>
          <w:rFonts w:eastAsia="Calibri"/>
        </w:rPr>
        <w:t xml:space="preserve"> </w:t>
      </w:r>
      <w:r w:rsidR="00575568" w:rsidRPr="004E190C">
        <w:t xml:space="preserve">The Pre-PBAC Response </w:t>
      </w:r>
      <w:r w:rsidR="00575568">
        <w:t xml:space="preserve">provided further detail on the patients included in the PSM ITC analyses; however, the PBAC considered the concerns regarding the analyses </w:t>
      </w:r>
      <w:r w:rsidR="00221B75">
        <w:t xml:space="preserve">raised by the ESC </w:t>
      </w:r>
      <w:r w:rsidR="00575568">
        <w:t>remained</w:t>
      </w:r>
      <w:r w:rsidR="00221B75">
        <w:t>.</w:t>
      </w:r>
    </w:p>
    <w:p w14:paraId="39B11A7A" w14:textId="77777777" w:rsidR="00A0136F" w:rsidRDefault="000C0445" w:rsidP="003B09CE">
      <w:pPr>
        <w:pStyle w:val="3-BodyText"/>
        <w:rPr>
          <w:bCs/>
          <w:iCs/>
        </w:rPr>
      </w:pPr>
      <w:r w:rsidRPr="003B09CE">
        <w:rPr>
          <w:iCs/>
        </w:rPr>
        <w:t xml:space="preserve">The </w:t>
      </w:r>
      <w:r w:rsidR="00566980" w:rsidRPr="003B09CE">
        <w:rPr>
          <w:iCs/>
        </w:rPr>
        <w:t xml:space="preserve">ESC considered that the </w:t>
      </w:r>
      <w:r w:rsidRPr="003B09CE">
        <w:rPr>
          <w:iCs/>
        </w:rPr>
        <w:t xml:space="preserve">claim of noninferior safety between periNIVO and neoNIVO </w:t>
      </w:r>
      <w:r w:rsidR="00566980" w:rsidRPr="003B09CE">
        <w:rPr>
          <w:iCs/>
        </w:rPr>
        <w:t>was not</w:t>
      </w:r>
      <w:r w:rsidRPr="003B09CE">
        <w:rPr>
          <w:iCs/>
        </w:rPr>
        <w:t xml:space="preserve"> reasonable given </w:t>
      </w:r>
      <w:r w:rsidR="00AC6F57" w:rsidRPr="003B09CE">
        <w:rPr>
          <w:iCs/>
        </w:rPr>
        <w:t>that a</w:t>
      </w:r>
      <w:r w:rsidR="00142495" w:rsidRPr="003B09CE">
        <w:rPr>
          <w:bCs/>
          <w:iCs/>
        </w:rPr>
        <w:t xml:space="preserve"> higher proportion of patients treated with periNIVO in CM77T experienced any AEs (all-causality) compared with patients treated with neoNIVO in CM816 (50% versus 43%, respectively). In addition, the proportion of patients that experienced any AEs resulting in treatment discontinuation (all-causality) in the periNIVO arm in CM77T was more than double that of the neoNIVO arm in CM816 (25% versus 10%; RR=2.3 [95%</w:t>
      </w:r>
      <w:r w:rsidR="00B34953">
        <w:rPr>
          <w:bCs/>
          <w:iCs/>
        </w:rPr>
        <w:t xml:space="preserve"> </w:t>
      </w:r>
      <w:r w:rsidR="00142495" w:rsidRPr="003B09CE">
        <w:rPr>
          <w:bCs/>
          <w:iCs/>
        </w:rPr>
        <w:t>CI 1.1, 2.9: p&lt;0.001]). However, given the longer duration of exposure to periNIVO compared to neoNIVO, it is not surprising that periNIVO would have a higher proportion of patients experiencing AEs resulting in treatment discontinuation.</w:t>
      </w:r>
      <w:r w:rsidR="00CE27AD" w:rsidRPr="00CE27AD">
        <w:rPr>
          <w:bCs/>
          <w:iCs/>
        </w:rPr>
        <w:t xml:space="preserve"> </w:t>
      </w:r>
      <w:r w:rsidR="00CE27AD">
        <w:rPr>
          <w:bCs/>
          <w:iCs/>
        </w:rPr>
        <w:t xml:space="preserve">The Pre-PBAC Response </w:t>
      </w:r>
      <w:r w:rsidR="000E717D">
        <w:rPr>
          <w:bCs/>
          <w:iCs/>
        </w:rPr>
        <w:t>stated</w:t>
      </w:r>
      <w:r w:rsidR="00CE27AD" w:rsidRPr="00CE27AD">
        <w:rPr>
          <w:bCs/>
          <w:iCs/>
        </w:rPr>
        <w:t xml:space="preserve"> that given the proportion of AEs, including AEs resulting in treatment discontinuation, were higher in patients treated with periNIVO compared to neoNIVO, a claim of inferior (but manageable) safety for neoNIVO compared to neoNIVO </w:t>
      </w:r>
      <w:r w:rsidR="00EC2945">
        <w:rPr>
          <w:bCs/>
          <w:iCs/>
        </w:rPr>
        <w:t>was</w:t>
      </w:r>
      <w:r w:rsidR="00CE27AD" w:rsidRPr="00CE27AD">
        <w:rPr>
          <w:bCs/>
          <w:iCs/>
        </w:rPr>
        <w:t xml:space="preserve"> appropriate.</w:t>
      </w:r>
    </w:p>
    <w:p w14:paraId="0D1A625E" w14:textId="77777777" w:rsidR="00A0136F" w:rsidRDefault="005B1514" w:rsidP="003B09CE">
      <w:pPr>
        <w:pStyle w:val="3-BodyText"/>
        <w:rPr>
          <w:bCs/>
          <w:iCs/>
        </w:rPr>
      </w:pPr>
      <w:r w:rsidRPr="003B09CE">
        <w:rPr>
          <w:bCs/>
          <w:iCs/>
        </w:rPr>
        <w:t>The ESC noted that, given the uncertainty regarding the clinical claim of ‘at least noninferior and possibly superior’ efficacy, the use of additional doses of nivolumab in the periNIVO regimen provided an unclear clinical benefit with an increase in toxicity.</w:t>
      </w:r>
    </w:p>
    <w:p w14:paraId="6F20A95F" w14:textId="3A48921E" w:rsidR="009812F8" w:rsidRPr="00CE42B4" w:rsidRDefault="009812F8" w:rsidP="009812F8">
      <w:pPr>
        <w:pStyle w:val="3-BodyText"/>
        <w:rPr>
          <w:snapToGrid w:val="0"/>
        </w:rPr>
      </w:pPr>
      <w:bookmarkStart w:id="70" w:name="_Hlk76376200"/>
      <w:r w:rsidRPr="00CE42B4">
        <w:rPr>
          <w:iCs/>
          <w:snapToGrid w:val="0"/>
        </w:rPr>
        <w:t>The</w:t>
      </w:r>
      <w:r w:rsidRPr="00CE42B4">
        <w:rPr>
          <w:snapToGrid w:val="0"/>
        </w:rPr>
        <w:t xml:space="preserve"> PBAC considered the claim</w:t>
      </w:r>
      <w:r w:rsidR="00A72DFA">
        <w:rPr>
          <w:snapToGrid w:val="0"/>
        </w:rPr>
        <w:t xml:space="preserve"> that periNIVO offers at least</w:t>
      </w:r>
      <w:r w:rsidRPr="00CE42B4">
        <w:rPr>
          <w:snapToGrid w:val="0"/>
        </w:rPr>
        <w:t xml:space="preserve"> non-inferior</w:t>
      </w:r>
      <w:r w:rsidR="00C50612">
        <w:rPr>
          <w:snapToGrid w:val="0"/>
        </w:rPr>
        <w:t xml:space="preserve"> and potentially </w:t>
      </w:r>
      <w:r w:rsidRPr="00CE42B4">
        <w:rPr>
          <w:snapToGrid w:val="0"/>
        </w:rPr>
        <w:t>superior comparative effectiveness</w:t>
      </w:r>
      <w:r w:rsidR="00C252E6">
        <w:rPr>
          <w:snapToGrid w:val="0"/>
        </w:rPr>
        <w:t xml:space="preserve"> compared with neoNIVO</w:t>
      </w:r>
      <w:r w:rsidRPr="00CE42B4">
        <w:rPr>
          <w:snapToGrid w:val="0"/>
        </w:rPr>
        <w:t xml:space="preserve"> was not adequately supported by the data.</w:t>
      </w:r>
    </w:p>
    <w:p w14:paraId="2F587F89" w14:textId="28B4F3FA" w:rsidR="009812F8" w:rsidRPr="00734CED" w:rsidRDefault="009812F8" w:rsidP="009812F8">
      <w:pPr>
        <w:pStyle w:val="3-BodyText"/>
        <w:rPr>
          <w:snapToGrid w:val="0"/>
        </w:rPr>
      </w:pPr>
      <w:r w:rsidRPr="00734CED">
        <w:rPr>
          <w:snapToGrid w:val="0"/>
        </w:rPr>
        <w:t xml:space="preserve">The PBAC considered the claim </w:t>
      </w:r>
      <w:r w:rsidR="00C252E6" w:rsidRPr="00734CED">
        <w:rPr>
          <w:snapToGrid w:val="0"/>
        </w:rPr>
        <w:t xml:space="preserve">that periNIVO </w:t>
      </w:r>
      <w:r w:rsidR="00553010" w:rsidRPr="00734CED">
        <w:rPr>
          <w:snapToGrid w:val="0"/>
        </w:rPr>
        <w:t xml:space="preserve">has inferior </w:t>
      </w:r>
      <w:r w:rsidRPr="00734CED">
        <w:rPr>
          <w:snapToGrid w:val="0"/>
        </w:rPr>
        <w:t xml:space="preserve">safety </w:t>
      </w:r>
      <w:r w:rsidR="00C252E6" w:rsidRPr="00734CED">
        <w:rPr>
          <w:snapToGrid w:val="0"/>
        </w:rPr>
        <w:t xml:space="preserve">compared with neoNIVO </w:t>
      </w:r>
      <w:r w:rsidRPr="00734CED">
        <w:rPr>
          <w:snapToGrid w:val="0"/>
        </w:rPr>
        <w:t>was supported by the data.</w:t>
      </w:r>
      <w:bookmarkEnd w:id="70"/>
    </w:p>
    <w:p w14:paraId="55C11E72" w14:textId="77777777" w:rsidR="00A0136F" w:rsidRDefault="00B60939" w:rsidP="00E9094A">
      <w:pPr>
        <w:pStyle w:val="4-SubsectionHeading"/>
      </w:pPr>
      <w:bookmarkStart w:id="71" w:name="_Toc22897645"/>
      <w:bookmarkStart w:id="72" w:name="_Toc177566403"/>
      <w:r w:rsidRPr="0098262F">
        <w:t>Economic analysis</w:t>
      </w:r>
      <w:bookmarkEnd w:id="71"/>
      <w:bookmarkEnd w:id="72"/>
    </w:p>
    <w:p w14:paraId="44C5E9AD" w14:textId="5AFA7757" w:rsidR="000224B1" w:rsidRPr="00B96B42" w:rsidRDefault="000224B1" w:rsidP="00E642D5">
      <w:pPr>
        <w:pStyle w:val="3-BodyText"/>
      </w:pPr>
      <w:r w:rsidRPr="00B96B42">
        <w:t xml:space="preserve">The PSCR acknowledged that due to its recent PBS listing, neoNIVO </w:t>
      </w:r>
      <w:r w:rsidR="007A6437" w:rsidRPr="00B96B42">
        <w:t>was</w:t>
      </w:r>
      <w:r w:rsidRPr="00B96B42">
        <w:t xml:space="preserve"> the most appropriate main comparator, for which a clinical claim of at least noninferiority, and potentially superior efficacy, for periNIVO versus neoNIVO was made by the submission. The PSCR presented a cost-minimisation for the comparison of periNIVO versus neoNIVO, which the PSCR </w:t>
      </w:r>
      <w:r w:rsidR="00761276">
        <w:t>stated</w:t>
      </w:r>
      <w:r w:rsidR="00761276" w:rsidRPr="00B96B42">
        <w:t xml:space="preserve"> </w:t>
      </w:r>
      <w:r w:rsidR="004B4F3F" w:rsidRPr="00B96B42">
        <w:t>was</w:t>
      </w:r>
      <w:r w:rsidRPr="00B96B42">
        <w:t xml:space="preserve"> a conservative approach given that Forde et al 2024 reported superiority for periNIVO compared to neoNIVO.</w:t>
      </w:r>
      <w:r w:rsidR="00E642D5" w:rsidRPr="00B96B42">
        <w:rPr>
          <w:iCs/>
        </w:rPr>
        <w:t xml:space="preserve"> Given a cost-minimisation approach (CMA) </w:t>
      </w:r>
      <w:r w:rsidR="00013481" w:rsidRPr="00B96B42">
        <w:rPr>
          <w:iCs/>
        </w:rPr>
        <w:t>was</w:t>
      </w:r>
      <w:r w:rsidR="00E642D5" w:rsidRPr="00B96B42">
        <w:rPr>
          <w:iCs/>
        </w:rPr>
        <w:t xml:space="preserve"> adopted, issues related to the cost-utility analysis were not addressed in the PSCR.</w:t>
      </w:r>
    </w:p>
    <w:p w14:paraId="1F868A4C" w14:textId="77777777" w:rsidR="009737E0" w:rsidRDefault="009737E0">
      <w:pPr>
        <w:jc w:val="left"/>
        <w:rPr>
          <w:rFonts w:asciiTheme="minorHAnsi" w:eastAsiaTheme="majorEastAsia" w:hAnsiTheme="minorHAnsi" w:cstheme="majorBidi"/>
          <w:b/>
          <w:color w:val="000000" w:themeColor="text1"/>
        </w:rPr>
      </w:pPr>
      <w:r>
        <w:br w:type="page"/>
      </w:r>
    </w:p>
    <w:p w14:paraId="0D80E7A4" w14:textId="4420205E" w:rsidR="00A0136F" w:rsidRDefault="00550C93" w:rsidP="0032577B">
      <w:pPr>
        <w:pStyle w:val="5-SubsectionSubheading"/>
      </w:pPr>
      <w:r w:rsidRPr="00550C93">
        <w:lastRenderedPageBreak/>
        <w:t>Cost minimisation: periNIVO versus neoNIVO</w:t>
      </w:r>
    </w:p>
    <w:p w14:paraId="7A375D06" w14:textId="77777777" w:rsidR="00A0136F" w:rsidRDefault="00E642D5" w:rsidP="00E642D5">
      <w:pPr>
        <w:pStyle w:val="3-BodyText"/>
        <w:rPr>
          <w:iCs/>
        </w:rPr>
      </w:pPr>
      <w:r w:rsidRPr="00B96B42">
        <w:rPr>
          <w:iCs/>
        </w:rPr>
        <w:t xml:space="preserve">The CMA presented in the PSCR </w:t>
      </w:r>
      <w:r w:rsidR="004B4F3F" w:rsidRPr="00B96B42">
        <w:rPr>
          <w:iCs/>
        </w:rPr>
        <w:t>wa</w:t>
      </w:r>
      <w:r w:rsidRPr="00B96B42">
        <w:rPr>
          <w:iCs/>
        </w:rPr>
        <w:t>s based on equivalent total costs for neoNIVO and periNIVO over the total duration of therapy for each treatment regimen. The total cost of therapy include</w:t>
      </w:r>
      <w:r w:rsidR="00D24D6A" w:rsidRPr="00B96B42">
        <w:rPr>
          <w:iCs/>
        </w:rPr>
        <w:t>d</w:t>
      </w:r>
      <w:r w:rsidRPr="00B96B42">
        <w:rPr>
          <w:iCs/>
        </w:rPr>
        <w:t xml:space="preserve"> drug costs for nivolumab and chemotherapy, and administration costs.</w:t>
      </w:r>
    </w:p>
    <w:p w14:paraId="768DBDF9" w14:textId="7CCDB21F" w:rsidR="00E642D5" w:rsidRPr="00B96B42" w:rsidRDefault="00E642D5" w:rsidP="00E76081">
      <w:pPr>
        <w:pStyle w:val="3-BodyText"/>
        <w:keepNext/>
        <w:rPr>
          <w:iCs/>
        </w:rPr>
      </w:pPr>
      <w:r w:rsidRPr="00B96B42">
        <w:rPr>
          <w:iCs/>
        </w:rPr>
        <w:t>The proposed equi-effective doses are:</w:t>
      </w:r>
    </w:p>
    <w:p w14:paraId="08F4AF3D" w14:textId="298626E4" w:rsidR="00E642D5" w:rsidRPr="00B96B42" w:rsidRDefault="00E642D5" w:rsidP="00B37939">
      <w:pPr>
        <w:pStyle w:val="3-BodyText"/>
        <w:numPr>
          <w:ilvl w:val="0"/>
          <w:numId w:val="11"/>
        </w:numPr>
        <w:rPr>
          <w:iCs/>
        </w:rPr>
      </w:pPr>
      <w:r w:rsidRPr="00B96B42">
        <w:rPr>
          <w:iCs/>
        </w:rPr>
        <w:t>PeriNIVO: 360 mg neoadjuvant nivolumab every 3 weeks for 3.65 cycles in combination with platinum-based chemotherapy followed by 480 mg adjuvant nivolumab every 4 weeks for 10.12 cycles</w:t>
      </w:r>
      <w:r w:rsidR="00A167EF" w:rsidRPr="00B96B42">
        <w:rPr>
          <w:iCs/>
        </w:rPr>
        <w:t>; and</w:t>
      </w:r>
    </w:p>
    <w:p w14:paraId="2E56BA37" w14:textId="27EBD0A2" w:rsidR="00E642D5" w:rsidRPr="00B96B42" w:rsidRDefault="00E642D5" w:rsidP="00B37939">
      <w:pPr>
        <w:pStyle w:val="3-BodyText"/>
        <w:numPr>
          <w:ilvl w:val="0"/>
          <w:numId w:val="11"/>
        </w:numPr>
        <w:rPr>
          <w:iCs/>
        </w:rPr>
      </w:pPr>
      <w:r w:rsidRPr="00B96B42">
        <w:rPr>
          <w:iCs/>
        </w:rPr>
        <w:t>NeoNIVO: 360 mg neoadjuvant nivolumab every 3 weeks for 2.91 cycles in combination with platinum-based chemotherapy</w:t>
      </w:r>
      <w:r w:rsidR="00A167EF" w:rsidRPr="00B96B42">
        <w:rPr>
          <w:iCs/>
        </w:rPr>
        <w:t>.</w:t>
      </w:r>
    </w:p>
    <w:p w14:paraId="00334417" w14:textId="5FCA1E55" w:rsidR="006F635E" w:rsidRPr="00B96B42" w:rsidRDefault="00E642D5" w:rsidP="00E642D5">
      <w:pPr>
        <w:pStyle w:val="3-BodyText"/>
        <w:rPr>
          <w:iCs/>
        </w:rPr>
      </w:pPr>
      <w:r w:rsidRPr="00B96B42">
        <w:rPr>
          <w:iCs/>
        </w:rPr>
        <w:t xml:space="preserve">In the CM77T and CM816 trials, patients could be treated with different combinations of platinum-based chemotherapy. For the purposes of the CMA, the chemotherapy regimens </w:t>
      </w:r>
      <w:r w:rsidR="006F635E" w:rsidRPr="00B96B42">
        <w:rPr>
          <w:iCs/>
        </w:rPr>
        <w:t xml:space="preserve">accounted for were those most frequently administered in the </w:t>
      </w:r>
      <w:r w:rsidRPr="00B96B42">
        <w:rPr>
          <w:iCs/>
        </w:rPr>
        <w:t>CM77T and CM816</w:t>
      </w:r>
      <w:r w:rsidR="006F635E" w:rsidRPr="00B96B42">
        <w:rPr>
          <w:iCs/>
        </w:rPr>
        <w:t xml:space="preserve"> trials</w:t>
      </w:r>
      <w:r w:rsidRPr="00B96B42">
        <w:rPr>
          <w:iCs/>
        </w:rPr>
        <w:t xml:space="preserve">. </w:t>
      </w:r>
      <w:r w:rsidR="00C0733D" w:rsidRPr="00B96B42">
        <w:rPr>
          <w:iCs/>
        </w:rPr>
        <w:t>These were carboplatin and paclitaxel in the CM77T trial and cisplatin and pemetrexed in the CM816 trial.</w:t>
      </w:r>
    </w:p>
    <w:p w14:paraId="18D3BF88" w14:textId="77777777" w:rsidR="00A0136F" w:rsidRDefault="00E642D5" w:rsidP="00E642D5">
      <w:pPr>
        <w:pStyle w:val="3-BodyText"/>
        <w:rPr>
          <w:iCs/>
        </w:rPr>
      </w:pPr>
      <w:r w:rsidRPr="00B96B42">
        <w:rPr>
          <w:iCs/>
        </w:rPr>
        <w:t xml:space="preserve">Administration costs for each infusion </w:t>
      </w:r>
      <w:r w:rsidR="006F635E" w:rsidRPr="00B96B42">
        <w:rPr>
          <w:iCs/>
        </w:rPr>
        <w:t>was assumed to be</w:t>
      </w:r>
      <w:r w:rsidRPr="00B96B42">
        <w:rPr>
          <w:iCs/>
        </w:rPr>
        <w:t xml:space="preserve"> $123.05 (MBS item 13950). Infusions of nivolumab and chemotherapy conducted at the same visit </w:t>
      </w:r>
      <w:r w:rsidR="0074715F" w:rsidRPr="00B96B42">
        <w:rPr>
          <w:iCs/>
        </w:rPr>
        <w:t>were</w:t>
      </w:r>
      <w:r w:rsidRPr="00B96B42">
        <w:rPr>
          <w:iCs/>
        </w:rPr>
        <w:t xml:space="preserve"> assumed to accrue the administration cost of a single infusion. </w:t>
      </w:r>
      <w:r w:rsidR="0074715F" w:rsidRPr="00B96B42">
        <w:rPr>
          <w:iCs/>
        </w:rPr>
        <w:t>The d</w:t>
      </w:r>
      <w:r w:rsidRPr="00B96B42">
        <w:rPr>
          <w:iCs/>
        </w:rPr>
        <w:t xml:space="preserve">uration of treatment for periNIVO and neoNIVO </w:t>
      </w:r>
      <w:r w:rsidR="0074715F" w:rsidRPr="00B96B42">
        <w:rPr>
          <w:iCs/>
        </w:rPr>
        <w:t>were</w:t>
      </w:r>
      <w:r w:rsidRPr="00B96B42">
        <w:rPr>
          <w:iCs/>
        </w:rPr>
        <w:t xml:space="preserve"> based on the mean doses reported in each of the pivotal trials (CM77T and CM816) for the nivolumab plus chemotherapy treatment arms.</w:t>
      </w:r>
    </w:p>
    <w:p w14:paraId="16406C48" w14:textId="5763557F" w:rsidR="00890AE7" w:rsidRPr="00B96B42" w:rsidRDefault="00890AE7" w:rsidP="00890AE7">
      <w:pPr>
        <w:pStyle w:val="3-BodyText"/>
        <w:rPr>
          <w:iCs/>
        </w:rPr>
      </w:pPr>
      <w:r w:rsidRPr="00B96B42">
        <w:rPr>
          <w:iCs/>
        </w:rPr>
        <w:t>The calculated AEMP for periNIVO</w:t>
      </w:r>
      <w:r w:rsidR="00681E17">
        <w:rPr>
          <w:iCs/>
        </w:rPr>
        <w:t xml:space="preserve"> in the PSCR</w:t>
      </w:r>
      <w:r w:rsidRPr="00B96B42">
        <w:rPr>
          <w:iCs/>
        </w:rPr>
        <w:t xml:space="preserve"> was dependent on the proportion of periNIVO patients expected to </w:t>
      </w:r>
      <w:proofErr w:type="gramStart"/>
      <w:r w:rsidRPr="00B96B42">
        <w:rPr>
          <w:iCs/>
        </w:rPr>
        <w:t>continue on</w:t>
      </w:r>
      <w:proofErr w:type="gramEnd"/>
      <w:r w:rsidRPr="00B96B42">
        <w:rPr>
          <w:iCs/>
        </w:rPr>
        <w:t xml:space="preserve"> to adjuvant treatment (assumed to be 62.28%, based on CM77T). </w:t>
      </w:r>
      <w:r w:rsidR="00BB6CAE">
        <w:rPr>
          <w:iCs/>
        </w:rPr>
        <w:t>The ESC noted that s</w:t>
      </w:r>
      <w:r w:rsidRPr="00B96B42">
        <w:rPr>
          <w:iCs/>
        </w:rPr>
        <w:t xml:space="preserve">hould the proportion of patients commencing adjuvant treatment be higher in Australian clinical practice, the calculated cost minimised AEMP would decrease, and </w:t>
      </w:r>
      <w:r w:rsidR="005A6C7E" w:rsidRPr="00B96B42">
        <w:rPr>
          <w:iCs/>
        </w:rPr>
        <w:t>vice</w:t>
      </w:r>
      <w:r w:rsidRPr="00B96B42">
        <w:rPr>
          <w:iCs/>
        </w:rPr>
        <w:t xml:space="preserve"> versa.</w:t>
      </w:r>
    </w:p>
    <w:p w14:paraId="3278F029" w14:textId="4896F919" w:rsidR="005511E5" w:rsidRPr="00B96B42" w:rsidRDefault="005511E5" w:rsidP="005511E5">
      <w:pPr>
        <w:pStyle w:val="3-BodyText"/>
        <w:rPr>
          <w:iCs/>
        </w:rPr>
      </w:pPr>
      <w:r w:rsidRPr="00B96B42">
        <w:rPr>
          <w:iCs/>
        </w:rPr>
        <w:t>The ESC noted that the increased rate of AEs in patients treated with periNIVO in comparison with neoNIVO was not considered in the CMA, with the PSCR maintaining the claim that periNIVO has non-inferior safety compared with neoNIVO. The ESC considered this was likely</w:t>
      </w:r>
      <w:r w:rsidR="004B4F3F" w:rsidRPr="00B96B42">
        <w:rPr>
          <w:iCs/>
        </w:rPr>
        <w:t xml:space="preserve"> to be</w:t>
      </w:r>
      <w:r w:rsidRPr="00B96B42">
        <w:rPr>
          <w:iCs/>
        </w:rPr>
        <w:t xml:space="preserve"> </w:t>
      </w:r>
      <w:r w:rsidR="004B4F3F" w:rsidRPr="00B96B42">
        <w:rPr>
          <w:iCs/>
        </w:rPr>
        <w:t xml:space="preserve">an </w:t>
      </w:r>
      <w:r w:rsidRPr="00B96B42">
        <w:rPr>
          <w:iCs/>
        </w:rPr>
        <w:t>unreasonable</w:t>
      </w:r>
      <w:r w:rsidR="004B4F3F" w:rsidRPr="00B96B42">
        <w:rPr>
          <w:iCs/>
        </w:rPr>
        <w:t xml:space="preserve"> approach</w:t>
      </w:r>
      <w:r w:rsidRPr="00B96B42">
        <w:rPr>
          <w:iCs/>
        </w:rPr>
        <w:t>.</w:t>
      </w:r>
    </w:p>
    <w:p w14:paraId="04A3EB2F" w14:textId="5DC45C33" w:rsidR="005511E5" w:rsidRPr="00B96B42" w:rsidRDefault="005511E5" w:rsidP="005511E5">
      <w:pPr>
        <w:pStyle w:val="3-BodyText"/>
        <w:rPr>
          <w:iCs/>
        </w:rPr>
      </w:pPr>
      <w:r w:rsidRPr="00B96B42">
        <w:rPr>
          <w:iCs/>
        </w:rPr>
        <w:t xml:space="preserve">The ESC </w:t>
      </w:r>
      <w:r w:rsidR="004B4F3F" w:rsidRPr="00B96B42">
        <w:rPr>
          <w:iCs/>
        </w:rPr>
        <w:t xml:space="preserve">also </w:t>
      </w:r>
      <w:r w:rsidRPr="00B96B42">
        <w:rPr>
          <w:iCs/>
        </w:rPr>
        <w:t xml:space="preserve">considered it was unclear whether it was reasonable for different chemotherapy regimens to be used in the neoNIVO (cisplatin and pemetrexed) and periNIVO (carboplatin and paclitaxel) cost per course calculations, as these are unlikely to differ in clinical practice given the shared patient population. </w:t>
      </w:r>
      <w:r w:rsidR="00121C27" w:rsidRPr="00B96B42">
        <w:rPr>
          <w:iCs/>
        </w:rPr>
        <w:t>The inclusion of chemotherapy</w:t>
      </w:r>
      <w:r w:rsidRPr="00B96B42">
        <w:rPr>
          <w:iCs/>
        </w:rPr>
        <w:t xml:space="preserve"> was </w:t>
      </w:r>
      <w:r w:rsidR="00121C27" w:rsidRPr="00B96B42">
        <w:rPr>
          <w:iCs/>
        </w:rPr>
        <w:t>also</w:t>
      </w:r>
      <w:r w:rsidRPr="00B96B42">
        <w:rPr>
          <w:iCs/>
        </w:rPr>
        <w:t xml:space="preserve"> inconsistent with the submission’s financial estimates, in which chemotherapy costs were not included. However, the inclusion of these costs did not significantly impact the calculated AEMP, with equal chemotherapy costs changing the AEMP for periNIVO by &lt;1%.</w:t>
      </w:r>
    </w:p>
    <w:p w14:paraId="10A4F3D5" w14:textId="77777777" w:rsidR="009737E0" w:rsidRDefault="009737E0">
      <w:pPr>
        <w:jc w:val="left"/>
        <w:rPr>
          <w:rFonts w:asciiTheme="minorHAnsi" w:eastAsiaTheme="minorHAnsi" w:hAnsiTheme="minorHAnsi" w:cstheme="minorBidi"/>
          <w:iCs/>
          <w:szCs w:val="22"/>
        </w:rPr>
      </w:pPr>
      <w:r>
        <w:rPr>
          <w:iCs/>
        </w:rPr>
        <w:br w:type="page"/>
      </w:r>
    </w:p>
    <w:p w14:paraId="34025FD4" w14:textId="0774386A" w:rsidR="00A0136F" w:rsidRDefault="005511E5" w:rsidP="005511E5">
      <w:pPr>
        <w:pStyle w:val="3-BodyText"/>
        <w:rPr>
          <w:iCs/>
        </w:rPr>
      </w:pPr>
      <w:r w:rsidRPr="00B96B42">
        <w:rPr>
          <w:iCs/>
        </w:rPr>
        <w:lastRenderedPageBreak/>
        <w:t>The two-weekly (Q2W) dosing option for adjuvant NIVO was not considered in the CMA, which was inconsistent with the financial estimates presented in the submission in which 12% of adjuvant continuing periNIVO patients were assumed to receive Q2W dosing. Inclusion of the additional administration costs for Q2W dosing would result in a lower cost minimised AEMP.</w:t>
      </w:r>
    </w:p>
    <w:p w14:paraId="65F408F3" w14:textId="77777777" w:rsidR="00A0136F" w:rsidRDefault="005511E5" w:rsidP="005511E5">
      <w:pPr>
        <w:pStyle w:val="3-BodyText"/>
        <w:rPr>
          <w:rFonts w:ascii="Times New Roman" w:eastAsia="Times New Roman" w:hAnsi="Times New Roman" w:cs="Times New Roman"/>
          <w:iCs/>
          <w:color w:val="000000"/>
          <w:sz w:val="22"/>
        </w:rPr>
      </w:pPr>
      <w:r w:rsidRPr="00B96B42">
        <w:rPr>
          <w:iCs/>
        </w:rPr>
        <w:t>Overall, the ESC considered the assumed equi-effective dosing and costs for the CMA appeared largely reasonable, however it would be appropriate to include increased AE costs and Q2W dosing for periNIVO in the cost-minimised AEMP. It should be noted that the presented CMA was unable to be evaluated in full</w:t>
      </w:r>
      <w:r w:rsidR="00340FA1" w:rsidRPr="00B96B42">
        <w:rPr>
          <w:iCs/>
        </w:rPr>
        <w:t>, and the overall appropriateness of a CMA approach is dependent upon the acceptance of non-</w:t>
      </w:r>
      <w:r w:rsidR="008B582A" w:rsidRPr="00B96B42">
        <w:rPr>
          <w:iCs/>
        </w:rPr>
        <w:t>inferiority</w:t>
      </w:r>
      <w:r w:rsidRPr="00B96B42">
        <w:rPr>
          <w:iCs/>
        </w:rPr>
        <w:t>.</w:t>
      </w:r>
    </w:p>
    <w:p w14:paraId="5D414048" w14:textId="77777777" w:rsidR="00A0136F" w:rsidRDefault="00151462" w:rsidP="005511E5">
      <w:pPr>
        <w:pStyle w:val="3-BodyText"/>
        <w:rPr>
          <w:iCs/>
        </w:rPr>
      </w:pPr>
      <w:r w:rsidRPr="009C36C4">
        <w:rPr>
          <w:iCs/>
        </w:rPr>
        <w:t xml:space="preserve">The Pre-PBAC Response </w:t>
      </w:r>
      <w:r w:rsidR="001A343D">
        <w:rPr>
          <w:iCs/>
        </w:rPr>
        <w:t>provided a revised CMA</w:t>
      </w:r>
      <w:r w:rsidR="00996D79">
        <w:rPr>
          <w:iCs/>
        </w:rPr>
        <w:t xml:space="preserve">. The revised CMA </w:t>
      </w:r>
      <w:r w:rsidR="00C76E7F" w:rsidRPr="00C76E7F">
        <w:rPr>
          <w:iCs/>
        </w:rPr>
        <w:t xml:space="preserve">incorporated </w:t>
      </w:r>
      <w:r w:rsidR="00C76E7F">
        <w:rPr>
          <w:iCs/>
        </w:rPr>
        <w:t>the cost of</w:t>
      </w:r>
      <w:r w:rsidR="00C76E7F" w:rsidRPr="00C76E7F">
        <w:rPr>
          <w:iCs/>
        </w:rPr>
        <w:t xml:space="preserve"> Grade 3/4 AEs that were reported in ≥2% of patients in either the periNIVO arm of CM77T or the neoNIVO arm of CM816.</w:t>
      </w:r>
    </w:p>
    <w:p w14:paraId="438ACE75" w14:textId="77777777" w:rsidR="00A0136F" w:rsidRDefault="00CB575C" w:rsidP="005511E5">
      <w:pPr>
        <w:pStyle w:val="3-BodyText"/>
        <w:rPr>
          <w:iCs/>
        </w:rPr>
      </w:pPr>
      <w:r w:rsidRPr="00287E7E">
        <w:rPr>
          <w:iCs/>
        </w:rPr>
        <w:t xml:space="preserve">The CMA </w:t>
      </w:r>
      <w:r w:rsidR="001A6F80">
        <w:rPr>
          <w:iCs/>
        </w:rPr>
        <w:t>was</w:t>
      </w:r>
      <w:r w:rsidRPr="00287E7E">
        <w:rPr>
          <w:iCs/>
        </w:rPr>
        <w:t xml:space="preserve"> </w:t>
      </w:r>
      <w:r w:rsidR="000F5413">
        <w:rPr>
          <w:iCs/>
        </w:rPr>
        <w:t xml:space="preserve">also </w:t>
      </w:r>
      <w:r w:rsidR="000B7FF7">
        <w:rPr>
          <w:iCs/>
        </w:rPr>
        <w:t>revised</w:t>
      </w:r>
      <w:r w:rsidRPr="00287E7E">
        <w:rPr>
          <w:iCs/>
        </w:rPr>
        <w:t xml:space="preserve"> to include Q2W (12%) and Q4W (88%) dosing.</w:t>
      </w:r>
    </w:p>
    <w:p w14:paraId="6AFC8B5B" w14:textId="307602F4" w:rsidR="00A84E82" w:rsidRPr="00AE0E54" w:rsidRDefault="00D74B43" w:rsidP="00AE0E54">
      <w:pPr>
        <w:pStyle w:val="3-BodyText"/>
        <w:rPr>
          <w:iCs/>
        </w:rPr>
      </w:pPr>
      <w:bookmarkStart w:id="73" w:name="_Ref188187077"/>
      <w:r>
        <w:rPr>
          <w:iCs/>
        </w:rPr>
        <w:t xml:space="preserve">The results of the CMA that were presented in the Pre-PBAC Response are shown in </w:t>
      </w:r>
      <w:r>
        <w:rPr>
          <w:iCs/>
        </w:rPr>
        <w:fldChar w:fldCharType="begin"/>
      </w:r>
      <w:r>
        <w:rPr>
          <w:iCs/>
        </w:rPr>
        <w:instrText xml:space="preserve"> REF _Ref185423651 \h </w:instrText>
      </w:r>
      <w:r>
        <w:rPr>
          <w:iCs/>
        </w:rPr>
      </w:r>
      <w:r>
        <w:rPr>
          <w:iCs/>
        </w:rPr>
        <w:fldChar w:fldCharType="separate"/>
      </w:r>
      <w:r w:rsidR="009C09C9" w:rsidRPr="00B96B42">
        <w:rPr>
          <w:rFonts w:eastAsiaTheme="majorEastAsia" w:cstheme="majorBidi"/>
          <w:iCs/>
          <w:szCs w:val="24"/>
        </w:rPr>
        <w:t xml:space="preserve">Table </w:t>
      </w:r>
      <w:r w:rsidR="009C09C9">
        <w:rPr>
          <w:rFonts w:eastAsiaTheme="majorEastAsia" w:cstheme="majorBidi"/>
          <w:iCs/>
          <w:noProof/>
          <w:szCs w:val="24"/>
        </w:rPr>
        <w:t>16</w:t>
      </w:r>
      <w:r>
        <w:rPr>
          <w:iCs/>
        </w:rPr>
        <w:fldChar w:fldCharType="end"/>
      </w:r>
      <w:r>
        <w:rPr>
          <w:iCs/>
        </w:rPr>
        <w:t>.</w:t>
      </w:r>
      <w:r w:rsidR="00A84E82">
        <w:rPr>
          <w:iCs/>
        </w:rPr>
        <w:t xml:space="preserve"> The total cost per patient for neoNIVO was estimated to be </w:t>
      </w:r>
      <w:r w:rsidR="00C54EA8" w:rsidRPr="00C54EA8">
        <w:rPr>
          <w:iCs/>
        </w:rPr>
        <w:t>$</w:t>
      </w:r>
      <w:r w:rsidR="003F05CA" w:rsidRPr="00DA645A">
        <w:rPr>
          <w:iCs/>
          <w:color w:val="000000"/>
          <w:w w:val="15"/>
          <w:shd w:val="solid" w:color="000000" w:fill="000000"/>
          <w:fitText w:val="-20" w:id="-739980280"/>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80"/>
          <w14:textFill>
            <w14:solidFill>
              <w14:srgbClr w14:val="000000">
                <w14:alpha w14:val="100000"/>
              </w14:srgbClr>
            </w14:solidFill>
          </w14:textFill>
        </w:rPr>
        <w:t>|</w:t>
      </w:r>
      <w:r w:rsidR="00A84E82">
        <w:rPr>
          <w:iCs/>
        </w:rPr>
        <w:t>.</w:t>
      </w:r>
      <w:r w:rsidR="00AE0E54">
        <w:rPr>
          <w:iCs/>
        </w:rPr>
        <w:t xml:space="preserve"> </w:t>
      </w:r>
      <w:r w:rsidR="00D31D4B">
        <w:rPr>
          <w:iCs/>
        </w:rPr>
        <w:t>The Response proposed that this</w:t>
      </w:r>
      <w:r w:rsidR="00AE0E54">
        <w:rPr>
          <w:iCs/>
        </w:rPr>
        <w:t xml:space="preserve"> result</w:t>
      </w:r>
      <w:r w:rsidR="0066241A">
        <w:rPr>
          <w:iCs/>
        </w:rPr>
        <w:t>ed</w:t>
      </w:r>
      <w:r w:rsidR="00AE0E54">
        <w:rPr>
          <w:iCs/>
        </w:rPr>
        <w:t xml:space="preserve"> in an AEMP of </w:t>
      </w:r>
      <w:r w:rsidR="003B30A5">
        <w:rPr>
          <w:iCs/>
        </w:rPr>
        <w:t>$</w:t>
      </w:r>
      <w:r w:rsidR="003F05CA" w:rsidRPr="00DA645A">
        <w:rPr>
          <w:iCs/>
          <w:color w:val="000000"/>
          <w:w w:val="15"/>
          <w:shd w:val="solid" w:color="000000" w:fill="000000"/>
          <w:fitText w:val="-20" w:id="-739980279"/>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79"/>
          <w14:textFill>
            <w14:solidFill>
              <w14:srgbClr w14:val="000000">
                <w14:alpha w14:val="100000"/>
              </w14:srgbClr>
            </w14:solidFill>
          </w14:textFill>
        </w:rPr>
        <w:t>|</w:t>
      </w:r>
      <w:r w:rsidR="00AE0E54">
        <w:rPr>
          <w:iCs/>
        </w:rPr>
        <w:t xml:space="preserve"> per 100 mg vial for nivolumab, increased from the </w:t>
      </w:r>
      <w:r w:rsidR="0066241A">
        <w:rPr>
          <w:iCs/>
        </w:rPr>
        <w:t xml:space="preserve">AEMP of </w:t>
      </w:r>
      <w:r w:rsidR="00AE0E54">
        <w:rPr>
          <w:iCs/>
        </w:rPr>
        <w:t>$</w:t>
      </w:r>
      <w:r w:rsidR="003F05CA" w:rsidRPr="00DA645A">
        <w:rPr>
          <w:iCs/>
          <w:color w:val="000000"/>
          <w:w w:val="15"/>
          <w:shd w:val="solid" w:color="000000" w:fill="000000"/>
          <w:fitText w:val="-20" w:id="-739980278"/>
          <w14:textFill>
            <w14:solidFill>
              <w14:srgbClr w14:val="000000">
                <w14:alpha w14:val="100000"/>
              </w14:srgbClr>
            </w14:solidFill>
          </w14:textFill>
        </w:rPr>
        <w:t xml:space="preserve">|  </w:t>
      </w:r>
      <w:r w:rsidR="003F05CA" w:rsidRPr="00DA645A">
        <w:rPr>
          <w:iCs/>
          <w:color w:val="000000"/>
          <w:spacing w:val="-69"/>
          <w:w w:val="15"/>
          <w:shd w:val="solid" w:color="000000" w:fill="000000"/>
          <w:fitText w:val="-20" w:id="-739980278"/>
          <w14:textFill>
            <w14:solidFill>
              <w14:srgbClr w14:val="000000">
                <w14:alpha w14:val="100000"/>
              </w14:srgbClr>
            </w14:solidFill>
          </w14:textFill>
        </w:rPr>
        <w:t>|</w:t>
      </w:r>
      <w:r w:rsidR="0007672E">
        <w:rPr>
          <w:iCs/>
        </w:rPr>
        <w:t xml:space="preserve"> per 100 mg vial proposed in the PSCR.</w:t>
      </w:r>
      <w:bookmarkEnd w:id="73"/>
    </w:p>
    <w:p w14:paraId="715E84BB" w14:textId="77777777" w:rsidR="00946D70" w:rsidRPr="009C36C4" w:rsidRDefault="00946D70" w:rsidP="00946D70">
      <w:pPr>
        <w:pStyle w:val="3-BodyText"/>
        <w:numPr>
          <w:ilvl w:val="0"/>
          <w:numId w:val="0"/>
        </w:numPr>
        <w:ind w:left="720"/>
        <w:rPr>
          <w:iCs/>
        </w:rPr>
      </w:pPr>
    </w:p>
    <w:p w14:paraId="6684CBA3" w14:textId="1609F9F9" w:rsidR="007F5107" w:rsidRPr="00B96B42" w:rsidRDefault="007F5107" w:rsidP="007F5107">
      <w:pPr>
        <w:pStyle w:val="Caption"/>
        <w:keepLines w:val="0"/>
        <w:jc w:val="left"/>
        <w:rPr>
          <w:rFonts w:eastAsiaTheme="majorEastAsia" w:cstheme="majorBidi"/>
          <w:iCs/>
          <w:szCs w:val="24"/>
        </w:rPr>
      </w:pPr>
      <w:bookmarkStart w:id="74" w:name="_Ref185423651"/>
      <w:r w:rsidRPr="00B96B42">
        <w:rPr>
          <w:rFonts w:eastAsiaTheme="majorEastAsia" w:cstheme="majorBidi"/>
          <w:iCs/>
          <w:szCs w:val="24"/>
        </w:rPr>
        <w:lastRenderedPageBreak/>
        <w:t xml:space="preserve">Table </w:t>
      </w:r>
      <w:r w:rsidRPr="00B96B42">
        <w:rPr>
          <w:rFonts w:eastAsiaTheme="majorEastAsia" w:cstheme="majorBidi"/>
          <w:iCs/>
          <w:szCs w:val="24"/>
        </w:rPr>
        <w:fldChar w:fldCharType="begin"/>
      </w:r>
      <w:r w:rsidRPr="00B96B42">
        <w:rPr>
          <w:rFonts w:eastAsiaTheme="majorEastAsia" w:cstheme="majorBidi"/>
          <w:iCs/>
          <w:szCs w:val="24"/>
        </w:rPr>
        <w:instrText xml:space="preserve"> SEQ Table \* ARABIC </w:instrText>
      </w:r>
      <w:r w:rsidRPr="00B96B42">
        <w:rPr>
          <w:rFonts w:eastAsiaTheme="majorEastAsia" w:cstheme="majorBidi"/>
          <w:iCs/>
          <w:szCs w:val="24"/>
        </w:rPr>
        <w:fldChar w:fldCharType="separate"/>
      </w:r>
      <w:r w:rsidR="009C09C9">
        <w:rPr>
          <w:rFonts w:eastAsiaTheme="majorEastAsia" w:cstheme="majorBidi"/>
          <w:iCs/>
          <w:noProof/>
          <w:szCs w:val="24"/>
        </w:rPr>
        <w:t>16</w:t>
      </w:r>
      <w:r w:rsidRPr="00B96B42">
        <w:rPr>
          <w:rFonts w:eastAsiaTheme="majorEastAsia" w:cstheme="majorBidi"/>
          <w:iCs/>
          <w:szCs w:val="24"/>
        </w:rPr>
        <w:fldChar w:fldCharType="end"/>
      </w:r>
      <w:bookmarkEnd w:id="74"/>
      <w:r w:rsidRPr="00B96B42">
        <w:rPr>
          <w:rFonts w:eastAsiaTheme="majorEastAsia" w:cstheme="majorBidi"/>
          <w:iCs/>
          <w:szCs w:val="24"/>
        </w:rPr>
        <w:t xml:space="preserve">: Results of the cost-minimisation approach as presented in the </w:t>
      </w:r>
      <w:r>
        <w:rPr>
          <w:rFonts w:eastAsiaTheme="majorEastAsia" w:cstheme="majorBidi"/>
          <w:iCs/>
          <w:szCs w:val="24"/>
        </w:rPr>
        <w:t>Pre-PBAC Response</w:t>
      </w:r>
    </w:p>
    <w:tbl>
      <w:tblPr>
        <w:tblStyle w:val="TableGrid"/>
        <w:tblW w:w="0" w:type="auto"/>
        <w:tblLook w:val="04A0" w:firstRow="1" w:lastRow="0" w:firstColumn="1" w:lastColumn="0" w:noHBand="0" w:noVBand="1"/>
        <w:tblCaption w:val="Table 16: Results of the cost-minimisation approach as presented in the Pre-PBAC Response"/>
        <w:tblDescription w:val="Table 16: Results of the cost-minimisation approach as presented in the Pre-PBAC Response"/>
      </w:tblPr>
      <w:tblGrid>
        <w:gridCol w:w="1879"/>
        <w:gridCol w:w="1944"/>
        <w:gridCol w:w="1714"/>
        <w:gridCol w:w="1688"/>
        <w:gridCol w:w="1792"/>
      </w:tblGrid>
      <w:tr w:rsidR="007F5107" w:rsidRPr="00B96B42" w14:paraId="5A52BC1A" w14:textId="77777777" w:rsidTr="007C460F">
        <w:trPr>
          <w:trHeight w:val="20"/>
          <w:tblHeader/>
        </w:trPr>
        <w:tc>
          <w:tcPr>
            <w:tcW w:w="0" w:type="auto"/>
            <w:vMerge w:val="restart"/>
            <w:shd w:val="clear" w:color="auto" w:fill="auto"/>
          </w:tcPr>
          <w:p w14:paraId="0F8506E2" w14:textId="77777777" w:rsidR="007F5107" w:rsidRPr="00B96B42" w:rsidRDefault="007F5107">
            <w:pPr>
              <w:pStyle w:val="Tabletext"/>
              <w:keepNext/>
              <w:rPr>
                <w:b/>
                <w:bCs/>
                <w:iCs/>
              </w:rPr>
            </w:pPr>
            <w:r w:rsidRPr="00B96B42">
              <w:rPr>
                <w:b/>
                <w:bCs/>
                <w:iCs/>
              </w:rPr>
              <w:t>Component</w:t>
            </w:r>
          </w:p>
        </w:tc>
        <w:tc>
          <w:tcPr>
            <w:tcW w:w="1944" w:type="dxa"/>
            <w:vMerge w:val="restart"/>
            <w:shd w:val="clear" w:color="auto" w:fill="auto"/>
          </w:tcPr>
          <w:p w14:paraId="7D65B755" w14:textId="7E5771F3" w:rsidR="007F5107" w:rsidRPr="00B96B42" w:rsidRDefault="00B6558E">
            <w:pPr>
              <w:pStyle w:val="Tabletext"/>
              <w:keepNext/>
              <w:jc w:val="center"/>
              <w:rPr>
                <w:b/>
                <w:bCs/>
                <w:iCs/>
              </w:rPr>
            </w:pPr>
            <w:r>
              <w:rPr>
                <w:b/>
                <w:bCs/>
                <w:iCs/>
              </w:rPr>
              <w:t xml:space="preserve">NeoNIVO </w:t>
            </w:r>
            <w:r w:rsidR="007F5107" w:rsidRPr="00B96B42">
              <w:rPr>
                <w:b/>
                <w:bCs/>
                <w:iCs/>
              </w:rPr>
              <w:t>(CM816)</w:t>
            </w:r>
          </w:p>
        </w:tc>
        <w:tc>
          <w:tcPr>
            <w:tcW w:w="5194" w:type="dxa"/>
            <w:gridSpan w:val="3"/>
            <w:shd w:val="clear" w:color="auto" w:fill="auto"/>
          </w:tcPr>
          <w:p w14:paraId="423730AA" w14:textId="2B36A84D" w:rsidR="007F5107" w:rsidRPr="00B96B42" w:rsidRDefault="00B6558E">
            <w:pPr>
              <w:pStyle w:val="Tabletext"/>
              <w:keepNext/>
              <w:jc w:val="center"/>
              <w:rPr>
                <w:b/>
                <w:bCs/>
                <w:iCs/>
              </w:rPr>
            </w:pPr>
            <w:r>
              <w:rPr>
                <w:b/>
                <w:bCs/>
                <w:iCs/>
                <w:color w:val="000000"/>
              </w:rPr>
              <w:t>periNIVO</w:t>
            </w:r>
            <w:r w:rsidR="009E2AB9">
              <w:rPr>
                <w:b/>
                <w:bCs/>
                <w:iCs/>
                <w:color w:val="000000"/>
              </w:rPr>
              <w:t xml:space="preserve"> </w:t>
            </w:r>
            <w:r w:rsidR="007F5107" w:rsidRPr="00B96B42">
              <w:rPr>
                <w:b/>
                <w:bCs/>
                <w:iCs/>
                <w:color w:val="000000"/>
              </w:rPr>
              <w:t>(CM77T)</w:t>
            </w:r>
          </w:p>
        </w:tc>
      </w:tr>
      <w:tr w:rsidR="007F5107" w:rsidRPr="00B96B42" w14:paraId="46AB4301" w14:textId="77777777" w:rsidTr="007C460F">
        <w:trPr>
          <w:trHeight w:val="20"/>
        </w:trPr>
        <w:tc>
          <w:tcPr>
            <w:tcW w:w="0" w:type="auto"/>
            <w:vMerge/>
            <w:shd w:val="clear" w:color="auto" w:fill="auto"/>
          </w:tcPr>
          <w:p w14:paraId="33072330" w14:textId="77777777" w:rsidR="007F5107" w:rsidRPr="00B96B42" w:rsidRDefault="007F5107">
            <w:pPr>
              <w:pStyle w:val="Tabletext"/>
              <w:keepNext/>
              <w:rPr>
                <w:b/>
                <w:bCs/>
                <w:iCs/>
              </w:rPr>
            </w:pPr>
          </w:p>
        </w:tc>
        <w:tc>
          <w:tcPr>
            <w:tcW w:w="1944" w:type="dxa"/>
            <w:vMerge/>
            <w:shd w:val="clear" w:color="auto" w:fill="auto"/>
          </w:tcPr>
          <w:p w14:paraId="33DDB7F0" w14:textId="77777777" w:rsidR="007F5107" w:rsidRPr="00B96B42" w:rsidRDefault="007F5107">
            <w:pPr>
              <w:pStyle w:val="Tabletext"/>
              <w:keepNext/>
              <w:jc w:val="center"/>
              <w:rPr>
                <w:b/>
                <w:bCs/>
                <w:iCs/>
              </w:rPr>
            </w:pPr>
          </w:p>
        </w:tc>
        <w:tc>
          <w:tcPr>
            <w:tcW w:w="1714" w:type="dxa"/>
            <w:vMerge w:val="restart"/>
            <w:shd w:val="clear" w:color="auto" w:fill="auto"/>
          </w:tcPr>
          <w:p w14:paraId="5BE6414F" w14:textId="3DC1D77B" w:rsidR="007F5107" w:rsidRPr="00B96B42" w:rsidRDefault="009E2AB9">
            <w:pPr>
              <w:pStyle w:val="Tabletext"/>
              <w:keepNext/>
              <w:jc w:val="center"/>
              <w:rPr>
                <w:b/>
                <w:bCs/>
                <w:iCs/>
              </w:rPr>
            </w:pPr>
            <w:r w:rsidRPr="00B96B42">
              <w:rPr>
                <w:b/>
                <w:bCs/>
                <w:iCs/>
              </w:rPr>
              <w:t>Neo</w:t>
            </w:r>
            <w:r>
              <w:rPr>
                <w:b/>
                <w:bCs/>
                <w:iCs/>
              </w:rPr>
              <w:t xml:space="preserve">adjuvant </w:t>
            </w:r>
            <w:r w:rsidR="00B6558E">
              <w:rPr>
                <w:b/>
                <w:bCs/>
                <w:iCs/>
              </w:rPr>
              <w:t xml:space="preserve">only </w:t>
            </w:r>
          </w:p>
        </w:tc>
        <w:tc>
          <w:tcPr>
            <w:tcW w:w="3480" w:type="dxa"/>
            <w:gridSpan w:val="2"/>
            <w:shd w:val="clear" w:color="auto" w:fill="auto"/>
          </w:tcPr>
          <w:p w14:paraId="2B646CB6" w14:textId="50746DA3" w:rsidR="007F5107" w:rsidRPr="00B96B42" w:rsidRDefault="00FE3FB5">
            <w:pPr>
              <w:pStyle w:val="Tabletext"/>
              <w:keepNext/>
              <w:jc w:val="center"/>
              <w:rPr>
                <w:b/>
                <w:bCs/>
                <w:iCs/>
              </w:rPr>
            </w:pPr>
            <w:r>
              <w:rPr>
                <w:b/>
                <w:bCs/>
                <w:iCs/>
              </w:rPr>
              <w:t xml:space="preserve">Neoadjuvant plus adjuvant </w:t>
            </w:r>
          </w:p>
        </w:tc>
      </w:tr>
      <w:tr w:rsidR="007F5107" w:rsidRPr="00B96B42" w14:paraId="35911FBD" w14:textId="77777777" w:rsidTr="007C460F">
        <w:trPr>
          <w:trHeight w:val="20"/>
        </w:trPr>
        <w:tc>
          <w:tcPr>
            <w:tcW w:w="0" w:type="auto"/>
            <w:vMerge/>
            <w:shd w:val="clear" w:color="auto" w:fill="auto"/>
          </w:tcPr>
          <w:p w14:paraId="333662BE" w14:textId="77777777" w:rsidR="007F5107" w:rsidRPr="00B96B42" w:rsidRDefault="007F5107">
            <w:pPr>
              <w:pStyle w:val="Tabletext"/>
              <w:keepNext/>
              <w:rPr>
                <w:b/>
                <w:bCs/>
                <w:iCs/>
              </w:rPr>
            </w:pPr>
          </w:p>
        </w:tc>
        <w:tc>
          <w:tcPr>
            <w:tcW w:w="1944" w:type="dxa"/>
            <w:vMerge/>
            <w:shd w:val="clear" w:color="auto" w:fill="auto"/>
          </w:tcPr>
          <w:p w14:paraId="4876E3A5" w14:textId="77777777" w:rsidR="007F5107" w:rsidRPr="00B96B42" w:rsidRDefault="007F5107">
            <w:pPr>
              <w:pStyle w:val="Tabletext"/>
              <w:keepNext/>
              <w:jc w:val="center"/>
              <w:rPr>
                <w:b/>
                <w:bCs/>
                <w:iCs/>
              </w:rPr>
            </w:pPr>
          </w:p>
        </w:tc>
        <w:tc>
          <w:tcPr>
            <w:tcW w:w="1714" w:type="dxa"/>
            <w:vMerge/>
            <w:shd w:val="clear" w:color="auto" w:fill="auto"/>
          </w:tcPr>
          <w:p w14:paraId="14081BDE" w14:textId="77777777" w:rsidR="007F5107" w:rsidRPr="00B96B42" w:rsidRDefault="007F5107">
            <w:pPr>
              <w:pStyle w:val="Tabletext"/>
              <w:keepNext/>
              <w:jc w:val="center"/>
              <w:rPr>
                <w:b/>
                <w:bCs/>
                <w:iCs/>
              </w:rPr>
            </w:pPr>
          </w:p>
        </w:tc>
        <w:tc>
          <w:tcPr>
            <w:tcW w:w="1688" w:type="dxa"/>
            <w:shd w:val="clear" w:color="auto" w:fill="auto"/>
          </w:tcPr>
          <w:p w14:paraId="1621CED8" w14:textId="77777777" w:rsidR="007F5107" w:rsidRPr="00B96B42" w:rsidRDefault="007F5107">
            <w:pPr>
              <w:pStyle w:val="Tabletext"/>
              <w:keepNext/>
              <w:jc w:val="center"/>
              <w:rPr>
                <w:b/>
                <w:bCs/>
                <w:iCs/>
              </w:rPr>
            </w:pPr>
            <w:r w:rsidRPr="00B96B42">
              <w:rPr>
                <w:b/>
                <w:bCs/>
                <w:iCs/>
                <w:color w:val="000000"/>
              </w:rPr>
              <w:t>Neoadjuvant</w:t>
            </w:r>
          </w:p>
        </w:tc>
        <w:tc>
          <w:tcPr>
            <w:tcW w:w="1792" w:type="dxa"/>
            <w:shd w:val="clear" w:color="auto" w:fill="auto"/>
          </w:tcPr>
          <w:p w14:paraId="2A08FAFA" w14:textId="77777777" w:rsidR="007F5107" w:rsidRPr="00B96B42" w:rsidRDefault="007F5107">
            <w:pPr>
              <w:pStyle w:val="Tabletext"/>
              <w:keepNext/>
              <w:jc w:val="center"/>
              <w:rPr>
                <w:b/>
                <w:bCs/>
                <w:iCs/>
              </w:rPr>
            </w:pPr>
            <w:r w:rsidRPr="00B96B42">
              <w:rPr>
                <w:b/>
                <w:bCs/>
                <w:iCs/>
                <w:color w:val="000000"/>
              </w:rPr>
              <w:t>Adjuvant</w:t>
            </w:r>
          </w:p>
        </w:tc>
      </w:tr>
      <w:tr w:rsidR="007F5107" w:rsidRPr="00B96B42" w14:paraId="67BC66D4" w14:textId="77777777" w:rsidTr="007C460F">
        <w:trPr>
          <w:trHeight w:val="20"/>
        </w:trPr>
        <w:tc>
          <w:tcPr>
            <w:tcW w:w="0" w:type="auto"/>
            <w:gridSpan w:val="5"/>
            <w:shd w:val="clear" w:color="auto" w:fill="auto"/>
          </w:tcPr>
          <w:p w14:paraId="1B7B641D" w14:textId="77777777" w:rsidR="007F5107" w:rsidRPr="00B96B42" w:rsidRDefault="007F5107">
            <w:pPr>
              <w:pStyle w:val="Tabletext"/>
              <w:keepNext/>
              <w:rPr>
                <w:b/>
                <w:bCs/>
                <w:iCs/>
              </w:rPr>
            </w:pPr>
            <w:r w:rsidRPr="00B96B42">
              <w:rPr>
                <w:b/>
                <w:bCs/>
                <w:iCs/>
              </w:rPr>
              <w:t>Dosing</w:t>
            </w:r>
          </w:p>
        </w:tc>
      </w:tr>
      <w:tr w:rsidR="007F5107" w:rsidRPr="00B96B42" w14:paraId="7EA6D46A" w14:textId="77777777">
        <w:trPr>
          <w:trHeight w:val="20"/>
        </w:trPr>
        <w:tc>
          <w:tcPr>
            <w:tcW w:w="0" w:type="auto"/>
            <w:shd w:val="clear" w:color="auto" w:fill="auto"/>
          </w:tcPr>
          <w:p w14:paraId="41C1B8FE" w14:textId="77777777" w:rsidR="007F5107" w:rsidRPr="00B96B42" w:rsidRDefault="007F5107">
            <w:pPr>
              <w:pStyle w:val="Tabletext"/>
              <w:keepNext/>
              <w:rPr>
                <w:iCs/>
              </w:rPr>
            </w:pPr>
            <w:r w:rsidRPr="00B96B42">
              <w:rPr>
                <w:iCs/>
              </w:rPr>
              <w:t>Proportion of patients</w:t>
            </w:r>
          </w:p>
        </w:tc>
        <w:tc>
          <w:tcPr>
            <w:tcW w:w="1944" w:type="dxa"/>
            <w:shd w:val="clear" w:color="auto" w:fill="auto"/>
          </w:tcPr>
          <w:p w14:paraId="3FE2CA48" w14:textId="77777777" w:rsidR="007F5107" w:rsidRPr="00B96B42" w:rsidRDefault="007F5107">
            <w:pPr>
              <w:pStyle w:val="Tabletext"/>
              <w:keepNext/>
              <w:jc w:val="center"/>
              <w:rPr>
                <w:iCs/>
              </w:rPr>
            </w:pPr>
            <w:r w:rsidRPr="00B96B42">
              <w:rPr>
                <w:iCs/>
              </w:rPr>
              <w:t>-</w:t>
            </w:r>
          </w:p>
        </w:tc>
        <w:tc>
          <w:tcPr>
            <w:tcW w:w="1714" w:type="dxa"/>
            <w:shd w:val="clear" w:color="auto" w:fill="auto"/>
          </w:tcPr>
          <w:p w14:paraId="7A76F61B" w14:textId="77777777" w:rsidR="007F5107" w:rsidRPr="00B96B42" w:rsidRDefault="007F5107">
            <w:pPr>
              <w:pStyle w:val="Tabletext"/>
              <w:keepNext/>
              <w:jc w:val="center"/>
              <w:rPr>
                <w:b/>
                <w:bCs/>
                <w:iCs/>
              </w:rPr>
            </w:pPr>
            <w:r w:rsidRPr="00B96B42">
              <w:rPr>
                <w:iCs/>
                <w:color w:val="000000"/>
              </w:rPr>
              <w:t>37.72%</w:t>
            </w:r>
          </w:p>
        </w:tc>
        <w:tc>
          <w:tcPr>
            <w:tcW w:w="3480" w:type="dxa"/>
            <w:gridSpan w:val="2"/>
            <w:shd w:val="clear" w:color="auto" w:fill="auto"/>
          </w:tcPr>
          <w:p w14:paraId="40CC74BA" w14:textId="77777777" w:rsidR="007F5107" w:rsidRPr="00B96B42" w:rsidRDefault="007F5107">
            <w:pPr>
              <w:pStyle w:val="Tabletext"/>
              <w:keepNext/>
              <w:jc w:val="center"/>
              <w:rPr>
                <w:b/>
                <w:bCs/>
                <w:iCs/>
              </w:rPr>
            </w:pPr>
            <w:r w:rsidRPr="00B96B42">
              <w:rPr>
                <w:iCs/>
                <w:color w:val="000000"/>
              </w:rPr>
              <w:t>62.28%</w:t>
            </w:r>
          </w:p>
        </w:tc>
      </w:tr>
      <w:tr w:rsidR="007F5107" w:rsidRPr="00B96B42" w14:paraId="2D1893B4" w14:textId="77777777">
        <w:trPr>
          <w:trHeight w:val="20"/>
        </w:trPr>
        <w:tc>
          <w:tcPr>
            <w:tcW w:w="0" w:type="auto"/>
            <w:shd w:val="clear" w:color="auto" w:fill="auto"/>
          </w:tcPr>
          <w:p w14:paraId="612FE655" w14:textId="77777777" w:rsidR="007F5107" w:rsidRPr="00B96B42" w:rsidRDefault="007F5107">
            <w:pPr>
              <w:pStyle w:val="Tabletext"/>
              <w:keepNext/>
              <w:rPr>
                <w:b/>
                <w:bCs/>
                <w:iCs/>
              </w:rPr>
            </w:pPr>
            <w:r w:rsidRPr="00B96B42">
              <w:rPr>
                <w:iCs/>
              </w:rPr>
              <w:t>Mean number of doses for Nivolumab</w:t>
            </w:r>
          </w:p>
        </w:tc>
        <w:tc>
          <w:tcPr>
            <w:tcW w:w="1944" w:type="dxa"/>
            <w:shd w:val="clear" w:color="auto" w:fill="auto"/>
            <w:vAlign w:val="center"/>
          </w:tcPr>
          <w:p w14:paraId="05A44697" w14:textId="77777777" w:rsidR="007F5107" w:rsidRPr="00B96B42" w:rsidRDefault="007F5107">
            <w:pPr>
              <w:pStyle w:val="Tabletext"/>
              <w:keepNext/>
              <w:jc w:val="center"/>
              <w:rPr>
                <w:b/>
                <w:bCs/>
                <w:iCs/>
              </w:rPr>
            </w:pPr>
            <w:r w:rsidRPr="00B96B42">
              <w:rPr>
                <w:iCs/>
              </w:rPr>
              <w:t>2.91</w:t>
            </w:r>
          </w:p>
        </w:tc>
        <w:tc>
          <w:tcPr>
            <w:tcW w:w="1714" w:type="dxa"/>
            <w:vAlign w:val="center"/>
          </w:tcPr>
          <w:p w14:paraId="0A34BE10" w14:textId="77777777" w:rsidR="007F5107" w:rsidRPr="00B96B42" w:rsidRDefault="007F5107">
            <w:pPr>
              <w:pStyle w:val="Tabletext"/>
              <w:keepNext/>
              <w:jc w:val="center"/>
              <w:rPr>
                <w:iCs/>
              </w:rPr>
            </w:pPr>
            <w:r w:rsidRPr="00B96B42">
              <w:rPr>
                <w:iCs/>
                <w:color w:val="000000"/>
              </w:rPr>
              <w:t>3.65</w:t>
            </w:r>
          </w:p>
        </w:tc>
        <w:tc>
          <w:tcPr>
            <w:tcW w:w="1688" w:type="dxa"/>
            <w:vAlign w:val="center"/>
          </w:tcPr>
          <w:p w14:paraId="246C2FED" w14:textId="77777777" w:rsidR="007F5107" w:rsidRPr="00B96B42" w:rsidRDefault="007F5107">
            <w:pPr>
              <w:pStyle w:val="Tabletext"/>
              <w:keepNext/>
              <w:jc w:val="center"/>
              <w:rPr>
                <w:iCs/>
              </w:rPr>
            </w:pPr>
            <w:r w:rsidRPr="00B96B42">
              <w:rPr>
                <w:iCs/>
                <w:color w:val="000000"/>
              </w:rPr>
              <w:t>3.65</w:t>
            </w:r>
          </w:p>
        </w:tc>
        <w:tc>
          <w:tcPr>
            <w:tcW w:w="1792" w:type="dxa"/>
            <w:vAlign w:val="center"/>
          </w:tcPr>
          <w:p w14:paraId="65774ED8" w14:textId="48EB13F0" w:rsidR="007F5107" w:rsidRPr="00C835FA" w:rsidRDefault="00EE077B">
            <w:pPr>
              <w:pStyle w:val="Tabletext"/>
              <w:keepNext/>
              <w:jc w:val="center"/>
              <w:rPr>
                <w:iCs/>
                <w:vertAlign w:val="superscript"/>
              </w:rPr>
            </w:pPr>
            <w:r>
              <w:rPr>
                <w:iCs/>
                <w:color w:val="000000"/>
              </w:rPr>
              <w:t>11.34 (weighted)</w:t>
            </w:r>
            <w:r w:rsidR="00C835FA">
              <w:rPr>
                <w:iCs/>
                <w:color w:val="000000"/>
                <w:vertAlign w:val="superscript"/>
              </w:rPr>
              <w:t>a</w:t>
            </w:r>
          </w:p>
        </w:tc>
      </w:tr>
      <w:tr w:rsidR="007F5107" w:rsidRPr="00B96B42" w14:paraId="07BA2916" w14:textId="77777777">
        <w:trPr>
          <w:trHeight w:val="20"/>
        </w:trPr>
        <w:tc>
          <w:tcPr>
            <w:tcW w:w="0" w:type="auto"/>
            <w:shd w:val="clear" w:color="auto" w:fill="auto"/>
          </w:tcPr>
          <w:p w14:paraId="22E73510" w14:textId="77777777" w:rsidR="007F5107" w:rsidRPr="00B96B42" w:rsidRDefault="007F5107">
            <w:pPr>
              <w:pStyle w:val="Tabletext"/>
              <w:keepNext/>
              <w:rPr>
                <w:iCs/>
              </w:rPr>
            </w:pPr>
            <w:r w:rsidRPr="00B96B42">
              <w:rPr>
                <w:iCs/>
              </w:rPr>
              <w:t xml:space="preserve">Nivolumab dose (mg) </w:t>
            </w:r>
          </w:p>
        </w:tc>
        <w:tc>
          <w:tcPr>
            <w:tcW w:w="1944" w:type="dxa"/>
            <w:shd w:val="clear" w:color="auto" w:fill="auto"/>
          </w:tcPr>
          <w:p w14:paraId="1AEB6408" w14:textId="5DA7EF6F" w:rsidR="007F5107" w:rsidRPr="00B96B42" w:rsidRDefault="007F5107">
            <w:pPr>
              <w:pStyle w:val="Tabletext"/>
              <w:keepNext/>
              <w:jc w:val="center"/>
              <w:rPr>
                <w:iCs/>
              </w:rPr>
            </w:pPr>
            <w:r w:rsidRPr="00B96B42">
              <w:rPr>
                <w:iCs/>
              </w:rPr>
              <w:t xml:space="preserve">360 </w:t>
            </w:r>
          </w:p>
        </w:tc>
        <w:tc>
          <w:tcPr>
            <w:tcW w:w="1714" w:type="dxa"/>
          </w:tcPr>
          <w:p w14:paraId="536949BE" w14:textId="47D7F728" w:rsidR="007F5107" w:rsidRPr="00B96B42" w:rsidRDefault="007F5107">
            <w:pPr>
              <w:pStyle w:val="Tabletext"/>
              <w:keepNext/>
              <w:jc w:val="center"/>
              <w:rPr>
                <w:iCs/>
              </w:rPr>
            </w:pPr>
            <w:r w:rsidRPr="00B96B42">
              <w:rPr>
                <w:iCs/>
                <w:color w:val="000000"/>
              </w:rPr>
              <w:t xml:space="preserve">360 </w:t>
            </w:r>
          </w:p>
        </w:tc>
        <w:tc>
          <w:tcPr>
            <w:tcW w:w="1688" w:type="dxa"/>
          </w:tcPr>
          <w:p w14:paraId="093ED8C4" w14:textId="59E178A2" w:rsidR="007F5107" w:rsidRPr="00B96B42" w:rsidRDefault="007F5107">
            <w:pPr>
              <w:pStyle w:val="Tabletext"/>
              <w:keepNext/>
              <w:jc w:val="center"/>
              <w:rPr>
                <w:iCs/>
              </w:rPr>
            </w:pPr>
            <w:r w:rsidRPr="00B96B42">
              <w:rPr>
                <w:iCs/>
                <w:color w:val="000000"/>
              </w:rPr>
              <w:t xml:space="preserve">360 </w:t>
            </w:r>
          </w:p>
        </w:tc>
        <w:tc>
          <w:tcPr>
            <w:tcW w:w="1792" w:type="dxa"/>
          </w:tcPr>
          <w:p w14:paraId="4B0E8968" w14:textId="29EFD2E2" w:rsidR="007F5107" w:rsidRPr="00B72575" w:rsidRDefault="00F571D1">
            <w:pPr>
              <w:pStyle w:val="Tabletext"/>
              <w:keepNext/>
              <w:jc w:val="center"/>
              <w:rPr>
                <w:iCs/>
                <w:vertAlign w:val="superscript"/>
              </w:rPr>
            </w:pPr>
            <w:r w:rsidRPr="00B96B42">
              <w:rPr>
                <w:iCs/>
                <w:color w:val="000000"/>
              </w:rPr>
              <w:t>4</w:t>
            </w:r>
            <w:r>
              <w:rPr>
                <w:iCs/>
                <w:color w:val="000000"/>
              </w:rPr>
              <w:t>51</w:t>
            </w:r>
            <w:r w:rsidRPr="00B96B42">
              <w:rPr>
                <w:iCs/>
                <w:color w:val="000000"/>
              </w:rPr>
              <w:t xml:space="preserve"> </w:t>
            </w:r>
            <w:r w:rsidR="00F95AE0">
              <w:rPr>
                <w:iCs/>
                <w:color w:val="000000"/>
              </w:rPr>
              <w:t>(weighted)</w:t>
            </w:r>
            <w:r w:rsidR="00B72575">
              <w:rPr>
                <w:iCs/>
                <w:color w:val="000000"/>
                <w:vertAlign w:val="superscript"/>
              </w:rPr>
              <w:t>b</w:t>
            </w:r>
          </w:p>
        </w:tc>
      </w:tr>
      <w:tr w:rsidR="007F5107" w:rsidRPr="00B96B42" w14:paraId="37E2C3FD" w14:textId="77777777">
        <w:trPr>
          <w:trHeight w:val="20"/>
        </w:trPr>
        <w:tc>
          <w:tcPr>
            <w:tcW w:w="0" w:type="auto"/>
            <w:shd w:val="clear" w:color="auto" w:fill="auto"/>
          </w:tcPr>
          <w:p w14:paraId="0BC6DD5A" w14:textId="74CC6C7A" w:rsidR="007F5107" w:rsidRPr="00B96B42" w:rsidRDefault="007F5107">
            <w:pPr>
              <w:pStyle w:val="Tabletext"/>
              <w:keepNext/>
              <w:rPr>
                <w:iCs/>
              </w:rPr>
            </w:pPr>
            <w:r w:rsidRPr="00B96B42">
              <w:rPr>
                <w:iCs/>
              </w:rPr>
              <w:t>Mean number of doses for</w:t>
            </w:r>
            <w:r w:rsidR="00596D33">
              <w:rPr>
                <w:iCs/>
              </w:rPr>
              <w:t xml:space="preserve"> </w:t>
            </w:r>
            <w:r w:rsidRPr="00B96B42">
              <w:rPr>
                <w:iCs/>
              </w:rPr>
              <w:t>chemotherapy</w:t>
            </w:r>
          </w:p>
        </w:tc>
        <w:tc>
          <w:tcPr>
            <w:tcW w:w="1944" w:type="dxa"/>
            <w:shd w:val="clear" w:color="auto" w:fill="auto"/>
            <w:vAlign w:val="center"/>
          </w:tcPr>
          <w:p w14:paraId="67268D8D" w14:textId="77777777" w:rsidR="007F5107" w:rsidRPr="00B96B42" w:rsidRDefault="007F5107">
            <w:pPr>
              <w:pStyle w:val="Tabletext"/>
              <w:keepNext/>
              <w:jc w:val="center"/>
              <w:rPr>
                <w:iCs/>
              </w:rPr>
            </w:pPr>
            <w:r w:rsidRPr="00B96B42">
              <w:rPr>
                <w:iCs/>
              </w:rPr>
              <w:t>Cisplatin: 2.77</w:t>
            </w:r>
          </w:p>
          <w:p w14:paraId="4D113B7B" w14:textId="77777777" w:rsidR="007F5107" w:rsidRPr="00B96B42" w:rsidRDefault="007F5107">
            <w:pPr>
              <w:pStyle w:val="Tabletext"/>
              <w:keepNext/>
              <w:jc w:val="center"/>
              <w:rPr>
                <w:iCs/>
              </w:rPr>
            </w:pPr>
            <w:r w:rsidRPr="00B96B42">
              <w:rPr>
                <w:iCs/>
              </w:rPr>
              <w:t>Pemetrexed: 2.93</w:t>
            </w:r>
          </w:p>
        </w:tc>
        <w:tc>
          <w:tcPr>
            <w:tcW w:w="5194" w:type="dxa"/>
            <w:gridSpan w:val="3"/>
            <w:vAlign w:val="center"/>
          </w:tcPr>
          <w:p w14:paraId="2923AEAF" w14:textId="77777777" w:rsidR="007F5107" w:rsidRPr="00B96B42" w:rsidRDefault="007F5107">
            <w:pPr>
              <w:pStyle w:val="Tabletext"/>
              <w:keepNext/>
              <w:jc w:val="center"/>
              <w:rPr>
                <w:iCs/>
                <w:color w:val="000000"/>
              </w:rPr>
            </w:pPr>
            <w:r w:rsidRPr="00B96B42">
              <w:rPr>
                <w:iCs/>
                <w:color w:val="000000"/>
              </w:rPr>
              <w:t>Carboplatin: 3.60</w:t>
            </w:r>
          </w:p>
          <w:p w14:paraId="58F1309C" w14:textId="77777777" w:rsidR="007F5107" w:rsidRPr="00B96B42" w:rsidRDefault="007F5107">
            <w:pPr>
              <w:pStyle w:val="Tabletext"/>
              <w:keepNext/>
              <w:jc w:val="center"/>
              <w:rPr>
                <w:iCs/>
                <w:color w:val="000000"/>
              </w:rPr>
            </w:pPr>
            <w:r w:rsidRPr="00B96B42">
              <w:rPr>
                <w:iCs/>
                <w:color w:val="000000"/>
              </w:rPr>
              <w:t>Paclitaxel: 3.60</w:t>
            </w:r>
          </w:p>
        </w:tc>
      </w:tr>
      <w:tr w:rsidR="007F5107" w:rsidRPr="00B96B42" w14:paraId="636FC9A7" w14:textId="77777777">
        <w:trPr>
          <w:trHeight w:val="470"/>
        </w:trPr>
        <w:tc>
          <w:tcPr>
            <w:tcW w:w="0" w:type="auto"/>
            <w:shd w:val="clear" w:color="auto" w:fill="auto"/>
          </w:tcPr>
          <w:p w14:paraId="1185894B" w14:textId="77777777" w:rsidR="007F5107" w:rsidRPr="00B96B42" w:rsidRDefault="007F5107">
            <w:pPr>
              <w:pStyle w:val="Tabletext"/>
              <w:keepNext/>
              <w:rPr>
                <w:iCs/>
              </w:rPr>
            </w:pPr>
            <w:r w:rsidRPr="00B96B42">
              <w:rPr>
                <w:iCs/>
              </w:rPr>
              <w:t>Chemotherapy dose</w:t>
            </w:r>
          </w:p>
        </w:tc>
        <w:tc>
          <w:tcPr>
            <w:tcW w:w="1944" w:type="dxa"/>
            <w:shd w:val="clear" w:color="auto" w:fill="auto"/>
          </w:tcPr>
          <w:p w14:paraId="0EC7F387" w14:textId="77777777" w:rsidR="00A0136F" w:rsidRDefault="007F5107">
            <w:pPr>
              <w:pStyle w:val="Tabletext"/>
              <w:keepNext/>
              <w:jc w:val="center"/>
              <w:rPr>
                <w:iCs/>
              </w:rPr>
            </w:pPr>
            <w:r w:rsidRPr="00B96B42">
              <w:rPr>
                <w:iCs/>
              </w:rPr>
              <w:t>Cisplatin:</w:t>
            </w:r>
          </w:p>
          <w:p w14:paraId="12246D1A" w14:textId="02F8685A" w:rsidR="007F5107" w:rsidRPr="00B96B42" w:rsidRDefault="007F5107">
            <w:pPr>
              <w:pStyle w:val="Tabletext"/>
              <w:keepNext/>
              <w:jc w:val="center"/>
              <w:rPr>
                <w:iCs/>
              </w:rPr>
            </w:pPr>
            <w:r w:rsidRPr="00B96B42">
              <w:rPr>
                <w:iCs/>
              </w:rPr>
              <w:t>136 mg (75 mg/m</w:t>
            </w:r>
            <w:r w:rsidRPr="00B96B42">
              <w:rPr>
                <w:iCs/>
                <w:vertAlign w:val="superscript"/>
              </w:rPr>
              <w:t>2</w:t>
            </w:r>
            <w:r w:rsidRPr="00B96B42">
              <w:rPr>
                <w:iCs/>
              </w:rPr>
              <w:t>)</w:t>
            </w:r>
          </w:p>
          <w:p w14:paraId="056C722E" w14:textId="77777777" w:rsidR="00A0136F" w:rsidRDefault="007F5107">
            <w:pPr>
              <w:pStyle w:val="Tabletext"/>
              <w:keepNext/>
              <w:jc w:val="center"/>
              <w:rPr>
                <w:iCs/>
              </w:rPr>
            </w:pPr>
            <w:r w:rsidRPr="00B96B42">
              <w:rPr>
                <w:iCs/>
              </w:rPr>
              <w:t>Pemetrexed:</w:t>
            </w:r>
          </w:p>
          <w:p w14:paraId="5F46E078" w14:textId="2D328030" w:rsidR="007F5107" w:rsidRPr="00B96B42" w:rsidRDefault="007F5107">
            <w:pPr>
              <w:pStyle w:val="Tabletext"/>
              <w:keepNext/>
              <w:jc w:val="center"/>
              <w:rPr>
                <w:iCs/>
              </w:rPr>
            </w:pPr>
            <w:r w:rsidRPr="00B96B42">
              <w:rPr>
                <w:iCs/>
              </w:rPr>
              <w:t>905 mg (500 mg/m</w:t>
            </w:r>
            <w:r w:rsidRPr="00B96B42">
              <w:rPr>
                <w:iCs/>
                <w:vertAlign w:val="superscript"/>
              </w:rPr>
              <w:t>2</w:t>
            </w:r>
            <w:r w:rsidRPr="00B96B42">
              <w:rPr>
                <w:iCs/>
              </w:rPr>
              <w:t>)</w:t>
            </w:r>
          </w:p>
        </w:tc>
        <w:tc>
          <w:tcPr>
            <w:tcW w:w="5194" w:type="dxa"/>
            <w:gridSpan w:val="3"/>
          </w:tcPr>
          <w:p w14:paraId="41E1C00D" w14:textId="77777777" w:rsidR="00A0136F" w:rsidRDefault="007F5107">
            <w:pPr>
              <w:pStyle w:val="Tabletext"/>
              <w:keepNext/>
              <w:jc w:val="center"/>
              <w:rPr>
                <w:iCs/>
                <w:color w:val="000000"/>
              </w:rPr>
            </w:pPr>
            <w:r w:rsidRPr="00B96B42">
              <w:rPr>
                <w:iCs/>
                <w:color w:val="000000"/>
              </w:rPr>
              <w:t>Carboplatin:</w:t>
            </w:r>
          </w:p>
          <w:p w14:paraId="4F784102" w14:textId="0CC37810" w:rsidR="007F5107" w:rsidRPr="00B96B42" w:rsidRDefault="007F5107">
            <w:pPr>
              <w:pStyle w:val="Tabletext"/>
              <w:keepNext/>
              <w:jc w:val="center"/>
              <w:rPr>
                <w:iCs/>
              </w:rPr>
            </w:pPr>
            <w:r w:rsidRPr="00B96B42">
              <w:rPr>
                <w:iCs/>
                <w:color w:val="000000"/>
              </w:rPr>
              <w:t>724 mg (400 mg/m</w:t>
            </w:r>
            <w:r w:rsidRPr="00B96B42">
              <w:rPr>
                <w:iCs/>
                <w:color w:val="000000"/>
                <w:vertAlign w:val="superscript"/>
              </w:rPr>
              <w:t>2</w:t>
            </w:r>
            <w:r w:rsidRPr="00B96B42">
              <w:rPr>
                <w:iCs/>
                <w:color w:val="000000"/>
              </w:rPr>
              <w:t>)</w:t>
            </w:r>
          </w:p>
          <w:p w14:paraId="0FF08DCF" w14:textId="77777777" w:rsidR="00A0136F" w:rsidRDefault="007F5107">
            <w:pPr>
              <w:pStyle w:val="Tabletext"/>
              <w:keepNext/>
              <w:jc w:val="center"/>
              <w:rPr>
                <w:iCs/>
                <w:color w:val="000000"/>
              </w:rPr>
            </w:pPr>
            <w:r w:rsidRPr="00B96B42">
              <w:rPr>
                <w:iCs/>
                <w:color w:val="000000"/>
              </w:rPr>
              <w:t>Paclitaxel:</w:t>
            </w:r>
          </w:p>
          <w:p w14:paraId="0DD5F049" w14:textId="13CF39FE" w:rsidR="007F5107" w:rsidRPr="00B96B42" w:rsidRDefault="007F5107">
            <w:pPr>
              <w:pStyle w:val="Tabletext"/>
              <w:keepNext/>
              <w:jc w:val="center"/>
              <w:rPr>
                <w:iCs/>
              </w:rPr>
            </w:pPr>
            <w:r w:rsidRPr="00B96B42">
              <w:rPr>
                <w:iCs/>
                <w:color w:val="000000"/>
              </w:rPr>
              <w:t>317 mg (175 mg/m</w:t>
            </w:r>
            <w:r w:rsidRPr="00B96B42">
              <w:rPr>
                <w:iCs/>
                <w:color w:val="000000"/>
                <w:vertAlign w:val="superscript"/>
              </w:rPr>
              <w:t>2</w:t>
            </w:r>
            <w:r w:rsidRPr="00B96B42">
              <w:rPr>
                <w:iCs/>
                <w:color w:val="000000"/>
              </w:rPr>
              <w:t xml:space="preserve"> or 200 mg/m</w:t>
            </w:r>
            <w:r w:rsidRPr="00B96B42">
              <w:rPr>
                <w:iCs/>
                <w:color w:val="000000"/>
                <w:vertAlign w:val="superscript"/>
              </w:rPr>
              <w:t>2</w:t>
            </w:r>
            <w:r w:rsidRPr="00B96B42">
              <w:rPr>
                <w:iCs/>
                <w:color w:val="000000"/>
              </w:rPr>
              <w:t>)</w:t>
            </w:r>
          </w:p>
        </w:tc>
      </w:tr>
      <w:tr w:rsidR="007F5107" w:rsidRPr="00B96B42" w14:paraId="2C712E2E" w14:textId="77777777" w:rsidTr="007C460F">
        <w:trPr>
          <w:trHeight w:val="20"/>
        </w:trPr>
        <w:tc>
          <w:tcPr>
            <w:tcW w:w="0" w:type="auto"/>
            <w:gridSpan w:val="5"/>
            <w:shd w:val="clear" w:color="auto" w:fill="auto"/>
          </w:tcPr>
          <w:p w14:paraId="52980128" w14:textId="77777777" w:rsidR="007F5107" w:rsidRPr="00B96B42" w:rsidRDefault="007F5107">
            <w:pPr>
              <w:pStyle w:val="Tabletext"/>
              <w:keepNext/>
              <w:rPr>
                <w:b/>
                <w:bCs/>
                <w:iCs/>
              </w:rPr>
            </w:pPr>
            <w:r w:rsidRPr="00B96B42">
              <w:rPr>
                <w:b/>
                <w:bCs/>
                <w:iCs/>
              </w:rPr>
              <w:t>Drug costs</w:t>
            </w:r>
          </w:p>
        </w:tc>
      </w:tr>
      <w:tr w:rsidR="007F5107" w:rsidRPr="00B96B42" w14:paraId="2197E1F6" w14:textId="77777777">
        <w:trPr>
          <w:trHeight w:val="20"/>
        </w:trPr>
        <w:tc>
          <w:tcPr>
            <w:tcW w:w="0" w:type="auto"/>
            <w:gridSpan w:val="5"/>
            <w:shd w:val="clear" w:color="auto" w:fill="auto"/>
          </w:tcPr>
          <w:p w14:paraId="0D055B9A" w14:textId="77777777" w:rsidR="007F5107" w:rsidRPr="00B96B42" w:rsidRDefault="007F5107">
            <w:pPr>
              <w:pStyle w:val="Tabletext"/>
              <w:keepNext/>
              <w:rPr>
                <w:b/>
                <w:bCs/>
                <w:iCs/>
              </w:rPr>
            </w:pPr>
            <w:r w:rsidRPr="00B96B42">
              <w:rPr>
                <w:iCs/>
              </w:rPr>
              <w:t>Nivolumab component</w:t>
            </w:r>
          </w:p>
        </w:tc>
      </w:tr>
      <w:tr w:rsidR="007F5107" w:rsidRPr="00B96B42" w14:paraId="52765094" w14:textId="77777777" w:rsidTr="008F721B">
        <w:trPr>
          <w:trHeight w:val="20"/>
        </w:trPr>
        <w:tc>
          <w:tcPr>
            <w:tcW w:w="0" w:type="auto"/>
            <w:shd w:val="clear" w:color="auto" w:fill="auto"/>
          </w:tcPr>
          <w:p w14:paraId="5AC46AFD" w14:textId="73CB3838" w:rsidR="007F5107" w:rsidRPr="00B96B42" w:rsidRDefault="007F5107">
            <w:pPr>
              <w:pStyle w:val="Tabletext"/>
              <w:keepNext/>
              <w:rPr>
                <w:b/>
                <w:bCs/>
                <w:iCs/>
              </w:rPr>
            </w:pPr>
            <w:r w:rsidRPr="00B96B42">
              <w:rPr>
                <w:iCs/>
              </w:rPr>
              <w:t>Effective AEMP</w:t>
            </w:r>
            <w:r w:rsidR="008F721B">
              <w:rPr>
                <w:iCs/>
              </w:rPr>
              <w:t>, 100 mg vial</w:t>
            </w:r>
          </w:p>
        </w:tc>
        <w:tc>
          <w:tcPr>
            <w:tcW w:w="1944" w:type="dxa"/>
            <w:shd w:val="clear" w:color="auto" w:fill="auto"/>
            <w:vAlign w:val="center"/>
          </w:tcPr>
          <w:p w14:paraId="64950AEF" w14:textId="1D628C7C" w:rsidR="007F5107" w:rsidRPr="00B96B42" w:rsidRDefault="007F5107" w:rsidP="008F721B">
            <w:pPr>
              <w:pStyle w:val="Tabletext"/>
              <w:keepNext/>
              <w:jc w:val="center"/>
              <w:rPr>
                <w:b/>
                <w:bCs/>
                <w:iCs/>
              </w:rPr>
            </w:pPr>
            <w:r w:rsidRPr="00B96B42">
              <w:rPr>
                <w:iCs/>
              </w:rPr>
              <w:t>$</w:t>
            </w:r>
            <w:r w:rsidR="003F05CA" w:rsidRPr="003F05CA">
              <w:rPr>
                <w:iCs/>
                <w:color w:val="000000"/>
                <w:shd w:val="solid" w:color="000000" w:fill="000000"/>
                <w14:textFill>
                  <w14:solidFill>
                    <w14:srgbClr w14:val="000000">
                      <w14:alpha w14:val="100000"/>
                    </w14:srgbClr>
                  </w14:solidFill>
                </w14:textFill>
              </w:rPr>
              <w:t>|</w:t>
            </w:r>
          </w:p>
        </w:tc>
        <w:tc>
          <w:tcPr>
            <w:tcW w:w="5194" w:type="dxa"/>
            <w:gridSpan w:val="3"/>
            <w:vAlign w:val="center"/>
          </w:tcPr>
          <w:p w14:paraId="2F510695" w14:textId="0AC8E9EC" w:rsidR="007F5107" w:rsidRPr="00B96B42" w:rsidRDefault="007F5107" w:rsidP="008F721B">
            <w:pPr>
              <w:pStyle w:val="Tabletext"/>
              <w:keepNext/>
              <w:jc w:val="center"/>
              <w:rPr>
                <w:b/>
                <w:bCs/>
                <w:iCs/>
              </w:rPr>
            </w:pPr>
            <w:r w:rsidRPr="00B96B42">
              <w:rPr>
                <w:iCs/>
              </w:rPr>
              <w:t>$</w:t>
            </w:r>
            <w:r w:rsidR="003F05CA" w:rsidRPr="003F05CA">
              <w:rPr>
                <w:iCs/>
                <w:color w:val="000000"/>
                <w:shd w:val="solid" w:color="000000" w:fill="000000"/>
                <w14:textFill>
                  <w14:solidFill>
                    <w14:srgbClr w14:val="000000">
                      <w14:alpha w14:val="100000"/>
                    </w14:srgbClr>
                  </w14:solidFill>
                </w14:textFill>
              </w:rPr>
              <w:t>|</w:t>
            </w:r>
            <w:r w:rsidRPr="00B96B42">
              <w:rPr>
                <w:iCs/>
              </w:rPr>
              <w:t xml:space="preserve"> </w:t>
            </w:r>
          </w:p>
        </w:tc>
      </w:tr>
      <w:tr w:rsidR="00895CA4" w:rsidRPr="00B96B42" w14:paraId="1E517FD2" w14:textId="77777777">
        <w:trPr>
          <w:trHeight w:val="20"/>
        </w:trPr>
        <w:tc>
          <w:tcPr>
            <w:tcW w:w="0" w:type="auto"/>
            <w:shd w:val="clear" w:color="auto" w:fill="auto"/>
          </w:tcPr>
          <w:p w14:paraId="1FFE1E6D" w14:textId="77777777" w:rsidR="00895CA4" w:rsidRPr="00B96B42" w:rsidRDefault="00895CA4" w:rsidP="00895CA4">
            <w:pPr>
              <w:pStyle w:val="Tabletext"/>
              <w:keepNext/>
              <w:rPr>
                <w:b/>
                <w:bCs/>
                <w:iCs/>
              </w:rPr>
            </w:pPr>
            <w:r w:rsidRPr="00B96B42">
              <w:rPr>
                <w:iCs/>
              </w:rPr>
              <w:t>Nivolumab cost per patient</w:t>
            </w:r>
          </w:p>
        </w:tc>
        <w:tc>
          <w:tcPr>
            <w:tcW w:w="1944" w:type="dxa"/>
            <w:shd w:val="clear" w:color="auto" w:fill="auto"/>
            <w:vAlign w:val="center"/>
          </w:tcPr>
          <w:p w14:paraId="72E1FB36" w14:textId="166CEF32" w:rsidR="00895CA4" w:rsidRPr="00B96B42" w:rsidRDefault="00895CA4" w:rsidP="00895CA4">
            <w:pPr>
              <w:pStyle w:val="Tabletext"/>
              <w:keepNext/>
              <w:jc w:val="center"/>
              <w:rPr>
                <w:b/>
                <w:bCs/>
                <w:iCs/>
              </w:rPr>
            </w:pPr>
            <w:r w:rsidRPr="00B96B42">
              <w:rPr>
                <w:iCs/>
              </w:rPr>
              <w:t>$</w:t>
            </w:r>
            <w:r w:rsidR="003F05CA" w:rsidRPr="003F05CA">
              <w:rPr>
                <w:iCs/>
                <w:color w:val="000000"/>
                <w:shd w:val="solid" w:color="000000" w:fill="000000"/>
                <w14:textFill>
                  <w14:solidFill>
                    <w14:srgbClr w14:val="000000">
                      <w14:alpha w14:val="100000"/>
                    </w14:srgbClr>
                  </w14:solidFill>
                </w14:textFill>
              </w:rPr>
              <w:t>|</w:t>
            </w:r>
          </w:p>
        </w:tc>
        <w:tc>
          <w:tcPr>
            <w:tcW w:w="1714" w:type="dxa"/>
            <w:vAlign w:val="center"/>
          </w:tcPr>
          <w:p w14:paraId="626F289F" w14:textId="4E424B57" w:rsidR="00895CA4" w:rsidRPr="00B96B42" w:rsidRDefault="00895CA4" w:rsidP="00895CA4">
            <w:pPr>
              <w:pStyle w:val="Tabletext"/>
              <w:keepNext/>
              <w:jc w:val="center"/>
              <w:rPr>
                <w:iCs/>
              </w:rPr>
            </w:pPr>
            <w:r w:rsidRPr="00CC504B">
              <w:rPr>
                <w:color w:val="000000"/>
              </w:rPr>
              <w:t>$</w:t>
            </w:r>
            <w:r w:rsidR="003F05CA" w:rsidRPr="003F05CA">
              <w:rPr>
                <w:color w:val="000000"/>
                <w:shd w:val="solid" w:color="000000" w:fill="000000"/>
                <w14:textFill>
                  <w14:solidFill>
                    <w14:srgbClr w14:val="000000">
                      <w14:alpha w14:val="100000"/>
                    </w14:srgbClr>
                  </w14:solidFill>
                </w14:textFill>
              </w:rPr>
              <w:t>|</w:t>
            </w:r>
          </w:p>
        </w:tc>
        <w:tc>
          <w:tcPr>
            <w:tcW w:w="3480" w:type="dxa"/>
            <w:gridSpan w:val="2"/>
            <w:vAlign w:val="center"/>
          </w:tcPr>
          <w:p w14:paraId="5D764C14" w14:textId="4852C447" w:rsidR="00895CA4" w:rsidRPr="00B96B42" w:rsidRDefault="00895CA4" w:rsidP="00895CA4">
            <w:pPr>
              <w:pStyle w:val="Tabletext"/>
              <w:keepNext/>
              <w:jc w:val="center"/>
              <w:rPr>
                <w:iCs/>
              </w:rPr>
            </w:pPr>
            <w:r w:rsidRPr="00CC504B">
              <w:rPr>
                <w:color w:val="000000"/>
              </w:rPr>
              <w:t>$</w:t>
            </w:r>
            <w:r w:rsidR="003F05CA" w:rsidRPr="003F05CA">
              <w:rPr>
                <w:color w:val="000000"/>
                <w:shd w:val="solid" w:color="000000" w:fill="000000"/>
                <w14:textFill>
                  <w14:solidFill>
                    <w14:srgbClr w14:val="000000">
                      <w14:alpha w14:val="100000"/>
                    </w14:srgbClr>
                  </w14:solidFill>
                </w14:textFill>
              </w:rPr>
              <w:t>|</w:t>
            </w:r>
          </w:p>
        </w:tc>
      </w:tr>
      <w:tr w:rsidR="007F5107" w:rsidRPr="00B96B42" w14:paraId="46B89470" w14:textId="77777777">
        <w:trPr>
          <w:trHeight w:val="20"/>
        </w:trPr>
        <w:tc>
          <w:tcPr>
            <w:tcW w:w="0" w:type="auto"/>
            <w:gridSpan w:val="5"/>
            <w:shd w:val="clear" w:color="auto" w:fill="auto"/>
          </w:tcPr>
          <w:p w14:paraId="37A16BFD" w14:textId="77777777" w:rsidR="007F5107" w:rsidRPr="00B96B42" w:rsidRDefault="007F5107">
            <w:pPr>
              <w:pStyle w:val="Tabletext"/>
              <w:keepNext/>
              <w:rPr>
                <w:b/>
                <w:bCs/>
                <w:iCs/>
              </w:rPr>
            </w:pPr>
            <w:r w:rsidRPr="00B96B42">
              <w:rPr>
                <w:iCs/>
              </w:rPr>
              <w:t>Chemotherapy component</w:t>
            </w:r>
          </w:p>
        </w:tc>
      </w:tr>
      <w:tr w:rsidR="007F5107" w:rsidRPr="00B96B42" w14:paraId="4A2BBAC8" w14:textId="77777777">
        <w:trPr>
          <w:trHeight w:val="930"/>
        </w:trPr>
        <w:tc>
          <w:tcPr>
            <w:tcW w:w="0" w:type="auto"/>
            <w:shd w:val="clear" w:color="auto" w:fill="auto"/>
          </w:tcPr>
          <w:p w14:paraId="32236A20" w14:textId="77777777" w:rsidR="007F5107" w:rsidRPr="00B96B42" w:rsidRDefault="007F5107">
            <w:pPr>
              <w:pStyle w:val="Tabletext"/>
              <w:keepNext/>
              <w:rPr>
                <w:iCs/>
              </w:rPr>
            </w:pPr>
            <w:r w:rsidRPr="00B96B42">
              <w:rPr>
                <w:iCs/>
              </w:rPr>
              <w:t>AEMP</w:t>
            </w:r>
          </w:p>
        </w:tc>
        <w:tc>
          <w:tcPr>
            <w:tcW w:w="1944" w:type="dxa"/>
            <w:shd w:val="clear" w:color="auto" w:fill="auto"/>
          </w:tcPr>
          <w:p w14:paraId="22C88A23" w14:textId="77777777" w:rsidR="00A0136F" w:rsidRDefault="007F5107">
            <w:pPr>
              <w:pStyle w:val="Tabletext"/>
              <w:keepNext/>
              <w:jc w:val="center"/>
              <w:rPr>
                <w:iCs/>
              </w:rPr>
            </w:pPr>
            <w:r w:rsidRPr="00B96B42">
              <w:rPr>
                <w:iCs/>
              </w:rPr>
              <w:t>Cisplatin:</w:t>
            </w:r>
          </w:p>
          <w:p w14:paraId="253E92A0" w14:textId="2939A054" w:rsidR="007F5107" w:rsidRPr="00B96B42" w:rsidRDefault="007F5107">
            <w:pPr>
              <w:pStyle w:val="Tabletext"/>
              <w:keepNext/>
              <w:jc w:val="center"/>
              <w:rPr>
                <w:iCs/>
              </w:rPr>
            </w:pPr>
            <w:r w:rsidRPr="00B96B42">
              <w:rPr>
                <w:iCs/>
              </w:rPr>
              <w:t>$10.41 per 50 mg vial</w:t>
            </w:r>
          </w:p>
          <w:p w14:paraId="52E1095E" w14:textId="77777777" w:rsidR="00A0136F" w:rsidRDefault="007F5107">
            <w:pPr>
              <w:pStyle w:val="Tabletext"/>
              <w:keepNext/>
              <w:jc w:val="center"/>
              <w:rPr>
                <w:iCs/>
              </w:rPr>
            </w:pPr>
            <w:r w:rsidRPr="00B96B42">
              <w:rPr>
                <w:iCs/>
              </w:rPr>
              <w:t>Pemetrexed:</w:t>
            </w:r>
          </w:p>
          <w:p w14:paraId="4803B5A0" w14:textId="6222248C" w:rsidR="007F5107" w:rsidRPr="00B96B42" w:rsidRDefault="007F5107">
            <w:pPr>
              <w:pStyle w:val="Tabletext"/>
              <w:keepNext/>
              <w:jc w:val="center"/>
              <w:rPr>
                <w:iCs/>
              </w:rPr>
            </w:pPr>
            <w:r w:rsidRPr="00B96B42">
              <w:rPr>
                <w:iCs/>
              </w:rPr>
              <w:t>$26.54 per 500 mg vial</w:t>
            </w:r>
          </w:p>
        </w:tc>
        <w:tc>
          <w:tcPr>
            <w:tcW w:w="5194" w:type="dxa"/>
            <w:gridSpan w:val="3"/>
            <w:vAlign w:val="center"/>
          </w:tcPr>
          <w:p w14:paraId="49611AB7" w14:textId="77777777" w:rsidR="00A0136F" w:rsidRDefault="007F5107">
            <w:pPr>
              <w:pStyle w:val="Tabletext"/>
              <w:keepNext/>
              <w:jc w:val="center"/>
              <w:rPr>
                <w:iCs/>
                <w:color w:val="000000"/>
              </w:rPr>
            </w:pPr>
            <w:r w:rsidRPr="00B96B42">
              <w:rPr>
                <w:iCs/>
                <w:color w:val="000000"/>
              </w:rPr>
              <w:t>Carboplatin:</w:t>
            </w:r>
          </w:p>
          <w:p w14:paraId="409FA2B7" w14:textId="77DF3780" w:rsidR="007F5107" w:rsidRPr="00B96B42" w:rsidRDefault="007F5107">
            <w:pPr>
              <w:pStyle w:val="Tabletext"/>
              <w:keepNext/>
              <w:jc w:val="center"/>
              <w:rPr>
                <w:iCs/>
              </w:rPr>
            </w:pPr>
            <w:r w:rsidRPr="00B96B42">
              <w:rPr>
                <w:iCs/>
                <w:color w:val="000000"/>
              </w:rPr>
              <w:t>$26.58 per 450 mg vial</w:t>
            </w:r>
          </w:p>
          <w:p w14:paraId="6692D50D" w14:textId="77777777" w:rsidR="00A0136F" w:rsidRDefault="007F5107">
            <w:pPr>
              <w:pStyle w:val="Tabletext"/>
              <w:keepNext/>
              <w:jc w:val="center"/>
              <w:rPr>
                <w:iCs/>
                <w:color w:val="000000"/>
              </w:rPr>
            </w:pPr>
            <w:r w:rsidRPr="00B96B42">
              <w:rPr>
                <w:iCs/>
                <w:color w:val="000000"/>
              </w:rPr>
              <w:t>Paclitaxel:</w:t>
            </w:r>
          </w:p>
          <w:p w14:paraId="67768DD3" w14:textId="57AB6D74" w:rsidR="007F5107" w:rsidRPr="00B96B42" w:rsidRDefault="007F5107">
            <w:pPr>
              <w:pStyle w:val="Tabletext"/>
              <w:keepNext/>
              <w:jc w:val="center"/>
              <w:rPr>
                <w:iCs/>
              </w:rPr>
            </w:pPr>
            <w:r w:rsidRPr="00B96B42">
              <w:rPr>
                <w:iCs/>
                <w:color w:val="000000"/>
              </w:rPr>
              <w:t>$36.78 per 300 mg vial</w:t>
            </w:r>
          </w:p>
        </w:tc>
      </w:tr>
      <w:tr w:rsidR="007F5107" w:rsidRPr="00B96B42" w14:paraId="37123A52" w14:textId="77777777">
        <w:trPr>
          <w:trHeight w:val="20"/>
        </w:trPr>
        <w:tc>
          <w:tcPr>
            <w:tcW w:w="0" w:type="auto"/>
            <w:shd w:val="clear" w:color="auto" w:fill="auto"/>
          </w:tcPr>
          <w:p w14:paraId="0AA9706A" w14:textId="77777777" w:rsidR="007F5107" w:rsidRPr="00B96B42" w:rsidRDefault="007F5107">
            <w:pPr>
              <w:pStyle w:val="Tabletext"/>
              <w:keepNext/>
              <w:rPr>
                <w:b/>
                <w:bCs/>
                <w:iCs/>
              </w:rPr>
            </w:pPr>
            <w:r w:rsidRPr="00B96B42">
              <w:rPr>
                <w:iCs/>
              </w:rPr>
              <w:t>Chemotherapy cost per patient</w:t>
            </w:r>
          </w:p>
        </w:tc>
        <w:tc>
          <w:tcPr>
            <w:tcW w:w="1944" w:type="dxa"/>
            <w:shd w:val="clear" w:color="auto" w:fill="auto"/>
            <w:vAlign w:val="center"/>
          </w:tcPr>
          <w:p w14:paraId="214A393F" w14:textId="77777777" w:rsidR="007F5107" w:rsidRPr="00B96B42" w:rsidRDefault="007F5107">
            <w:pPr>
              <w:pStyle w:val="Tabletext"/>
              <w:keepNext/>
              <w:jc w:val="center"/>
              <w:rPr>
                <w:b/>
                <w:bCs/>
                <w:iCs/>
              </w:rPr>
            </w:pPr>
            <w:r w:rsidRPr="00B96B42">
              <w:rPr>
                <w:iCs/>
              </w:rPr>
              <w:t>$218.99</w:t>
            </w:r>
          </w:p>
        </w:tc>
        <w:tc>
          <w:tcPr>
            <w:tcW w:w="5194" w:type="dxa"/>
            <w:gridSpan w:val="3"/>
            <w:vAlign w:val="center"/>
          </w:tcPr>
          <w:p w14:paraId="3782FC34" w14:textId="77777777" w:rsidR="007F5107" w:rsidRPr="00B96B42" w:rsidRDefault="007F5107">
            <w:pPr>
              <w:pStyle w:val="Tabletext"/>
              <w:keepNext/>
              <w:jc w:val="center"/>
              <w:rPr>
                <w:iCs/>
              </w:rPr>
            </w:pPr>
            <w:r w:rsidRPr="00B96B42">
              <w:rPr>
                <w:iCs/>
                <w:color w:val="000000"/>
              </w:rPr>
              <w:t>$293.75</w:t>
            </w:r>
          </w:p>
        </w:tc>
      </w:tr>
      <w:tr w:rsidR="00232A72" w:rsidRPr="00B96B42" w14:paraId="0237DA27" w14:textId="77777777" w:rsidTr="00232A72">
        <w:trPr>
          <w:trHeight w:val="20"/>
        </w:trPr>
        <w:tc>
          <w:tcPr>
            <w:tcW w:w="0" w:type="auto"/>
            <w:shd w:val="clear" w:color="auto" w:fill="auto"/>
          </w:tcPr>
          <w:p w14:paraId="5154370D" w14:textId="77777777" w:rsidR="00232A72" w:rsidRPr="00B96B42" w:rsidRDefault="00232A72" w:rsidP="00232A72">
            <w:pPr>
              <w:pStyle w:val="Tabletext"/>
              <w:keepNext/>
              <w:rPr>
                <w:b/>
                <w:bCs/>
                <w:iCs/>
              </w:rPr>
            </w:pPr>
            <w:r w:rsidRPr="00B96B42">
              <w:rPr>
                <w:iCs/>
              </w:rPr>
              <w:t xml:space="preserve">Total drug cost per patient </w:t>
            </w:r>
          </w:p>
        </w:tc>
        <w:tc>
          <w:tcPr>
            <w:tcW w:w="1944" w:type="dxa"/>
            <w:shd w:val="clear" w:color="auto" w:fill="auto"/>
            <w:vAlign w:val="center"/>
          </w:tcPr>
          <w:p w14:paraId="26D0D0B4" w14:textId="13DD3D6A" w:rsidR="00232A72" w:rsidRPr="00B96B42" w:rsidRDefault="00232A72" w:rsidP="00232A72">
            <w:pPr>
              <w:pStyle w:val="Tabletext"/>
              <w:keepNext/>
              <w:jc w:val="center"/>
              <w:rPr>
                <w:b/>
                <w:bCs/>
                <w:iCs/>
              </w:rPr>
            </w:pPr>
            <w:r w:rsidRPr="00B96B42">
              <w:rPr>
                <w:iCs/>
              </w:rPr>
              <w:t>$</w:t>
            </w:r>
            <w:r w:rsidR="003F05CA" w:rsidRPr="003F05CA">
              <w:rPr>
                <w:iCs/>
                <w:color w:val="000000"/>
                <w:shd w:val="solid" w:color="000000" w:fill="000000"/>
                <w14:textFill>
                  <w14:solidFill>
                    <w14:srgbClr w14:val="000000">
                      <w14:alpha w14:val="100000"/>
                    </w14:srgbClr>
                  </w14:solidFill>
                </w14:textFill>
              </w:rPr>
              <w:t>|</w:t>
            </w:r>
          </w:p>
        </w:tc>
        <w:tc>
          <w:tcPr>
            <w:tcW w:w="1714" w:type="dxa"/>
            <w:vAlign w:val="center"/>
          </w:tcPr>
          <w:p w14:paraId="33E36135" w14:textId="20184211" w:rsidR="00232A72" w:rsidRPr="00B96B42" w:rsidRDefault="00232A72" w:rsidP="00232A72">
            <w:pPr>
              <w:pStyle w:val="Tabletext"/>
              <w:keepNext/>
              <w:jc w:val="center"/>
              <w:rPr>
                <w:iCs/>
              </w:rPr>
            </w:pPr>
            <w:r w:rsidRPr="00491069">
              <w:t>$</w:t>
            </w:r>
            <w:r w:rsidR="003F05CA" w:rsidRPr="003F05CA">
              <w:rPr>
                <w:color w:val="000000"/>
                <w:shd w:val="solid" w:color="000000" w:fill="000000"/>
                <w14:textFill>
                  <w14:solidFill>
                    <w14:srgbClr w14:val="000000">
                      <w14:alpha w14:val="100000"/>
                    </w14:srgbClr>
                  </w14:solidFill>
                </w14:textFill>
              </w:rPr>
              <w:t>|</w:t>
            </w:r>
          </w:p>
        </w:tc>
        <w:tc>
          <w:tcPr>
            <w:tcW w:w="3480" w:type="dxa"/>
            <w:gridSpan w:val="2"/>
            <w:vAlign w:val="center"/>
          </w:tcPr>
          <w:p w14:paraId="35150399" w14:textId="35AF4410" w:rsidR="00232A72" w:rsidRPr="00B96B42" w:rsidRDefault="00232A72" w:rsidP="00232A72">
            <w:pPr>
              <w:pStyle w:val="Tabletext"/>
              <w:keepNext/>
              <w:jc w:val="center"/>
              <w:rPr>
                <w:iCs/>
              </w:rPr>
            </w:pPr>
            <w:r w:rsidRPr="00491069">
              <w:t>$</w:t>
            </w:r>
            <w:r w:rsidR="003F05CA" w:rsidRPr="003F05CA">
              <w:rPr>
                <w:color w:val="000000"/>
                <w:shd w:val="solid" w:color="000000" w:fill="000000"/>
                <w14:textFill>
                  <w14:solidFill>
                    <w14:srgbClr w14:val="000000">
                      <w14:alpha w14:val="100000"/>
                    </w14:srgbClr>
                  </w14:solidFill>
                </w14:textFill>
              </w:rPr>
              <w:t>|</w:t>
            </w:r>
          </w:p>
        </w:tc>
      </w:tr>
      <w:tr w:rsidR="007F5107" w:rsidRPr="00B96B42" w14:paraId="53CE57E8" w14:textId="77777777" w:rsidTr="007C460F">
        <w:trPr>
          <w:trHeight w:val="20"/>
        </w:trPr>
        <w:tc>
          <w:tcPr>
            <w:tcW w:w="0" w:type="auto"/>
            <w:gridSpan w:val="5"/>
            <w:shd w:val="clear" w:color="auto" w:fill="auto"/>
          </w:tcPr>
          <w:p w14:paraId="33B8CE47" w14:textId="77777777" w:rsidR="007F5107" w:rsidRPr="00B96B42" w:rsidRDefault="007F5107">
            <w:pPr>
              <w:pStyle w:val="Tabletext"/>
              <w:keepNext/>
              <w:rPr>
                <w:b/>
                <w:bCs/>
                <w:iCs/>
              </w:rPr>
            </w:pPr>
            <w:r w:rsidRPr="00B96B42">
              <w:rPr>
                <w:b/>
                <w:bCs/>
                <w:iCs/>
              </w:rPr>
              <w:t>Administration costs</w:t>
            </w:r>
          </w:p>
        </w:tc>
      </w:tr>
      <w:tr w:rsidR="007F5107" w:rsidRPr="00B96B42" w14:paraId="4457D84C" w14:textId="77777777">
        <w:trPr>
          <w:trHeight w:val="20"/>
        </w:trPr>
        <w:tc>
          <w:tcPr>
            <w:tcW w:w="0" w:type="auto"/>
            <w:shd w:val="clear" w:color="auto" w:fill="auto"/>
          </w:tcPr>
          <w:p w14:paraId="2E0F2F28" w14:textId="77777777" w:rsidR="007F5107" w:rsidRPr="00B96B42" w:rsidRDefault="007F5107">
            <w:pPr>
              <w:pStyle w:val="Tabletext"/>
              <w:keepNext/>
              <w:rPr>
                <w:iCs/>
              </w:rPr>
            </w:pPr>
            <w:r w:rsidRPr="00B96B42">
              <w:rPr>
                <w:iCs/>
              </w:rPr>
              <w:t>Cost per IV infusion (MBS Item 13950,</w:t>
            </w:r>
          </w:p>
          <w:p w14:paraId="1790DD23" w14:textId="77777777" w:rsidR="007F5107" w:rsidRPr="00B96B42" w:rsidRDefault="007F5107">
            <w:pPr>
              <w:pStyle w:val="Tabletext"/>
              <w:keepNext/>
              <w:rPr>
                <w:iCs/>
              </w:rPr>
            </w:pPr>
            <w:r w:rsidRPr="00B96B42">
              <w:rPr>
                <w:iCs/>
              </w:rPr>
              <w:t>100% fee)</w:t>
            </w:r>
          </w:p>
        </w:tc>
        <w:tc>
          <w:tcPr>
            <w:tcW w:w="1944" w:type="dxa"/>
            <w:shd w:val="clear" w:color="auto" w:fill="auto"/>
            <w:vAlign w:val="center"/>
          </w:tcPr>
          <w:p w14:paraId="2B8045C2" w14:textId="77777777" w:rsidR="007F5107" w:rsidRPr="00B96B42" w:rsidRDefault="007F5107">
            <w:pPr>
              <w:pStyle w:val="Tabletext"/>
              <w:keepNext/>
              <w:jc w:val="center"/>
              <w:rPr>
                <w:iCs/>
              </w:rPr>
            </w:pPr>
            <w:r w:rsidRPr="00B96B42">
              <w:rPr>
                <w:iCs/>
              </w:rPr>
              <w:t>$123.05</w:t>
            </w:r>
          </w:p>
        </w:tc>
        <w:tc>
          <w:tcPr>
            <w:tcW w:w="1714" w:type="dxa"/>
            <w:vAlign w:val="center"/>
          </w:tcPr>
          <w:p w14:paraId="7300E63C" w14:textId="77777777" w:rsidR="007F5107" w:rsidRPr="00B96B42" w:rsidRDefault="007F5107">
            <w:pPr>
              <w:pStyle w:val="Tabletext"/>
              <w:keepNext/>
              <w:jc w:val="center"/>
              <w:rPr>
                <w:iCs/>
              </w:rPr>
            </w:pPr>
            <w:r w:rsidRPr="00B96B42">
              <w:rPr>
                <w:iCs/>
              </w:rPr>
              <w:t>$123.05</w:t>
            </w:r>
          </w:p>
        </w:tc>
        <w:tc>
          <w:tcPr>
            <w:tcW w:w="3480" w:type="dxa"/>
            <w:gridSpan w:val="2"/>
            <w:vAlign w:val="center"/>
          </w:tcPr>
          <w:p w14:paraId="048D85EF" w14:textId="77777777" w:rsidR="007F5107" w:rsidRPr="00B96B42" w:rsidRDefault="007F5107">
            <w:pPr>
              <w:pStyle w:val="Tabletext"/>
              <w:keepNext/>
              <w:jc w:val="center"/>
              <w:rPr>
                <w:iCs/>
              </w:rPr>
            </w:pPr>
            <w:r w:rsidRPr="00B96B42">
              <w:rPr>
                <w:iCs/>
              </w:rPr>
              <w:t>$123.05</w:t>
            </w:r>
          </w:p>
        </w:tc>
      </w:tr>
      <w:tr w:rsidR="007F5107" w:rsidRPr="00B96B42" w14:paraId="68E7D770" w14:textId="77777777">
        <w:trPr>
          <w:trHeight w:val="20"/>
        </w:trPr>
        <w:tc>
          <w:tcPr>
            <w:tcW w:w="0" w:type="auto"/>
            <w:shd w:val="clear" w:color="auto" w:fill="auto"/>
          </w:tcPr>
          <w:p w14:paraId="7911B778" w14:textId="77777777" w:rsidR="007F5107" w:rsidRPr="00B96B42" w:rsidRDefault="007F5107">
            <w:pPr>
              <w:pStyle w:val="Tabletext"/>
              <w:keepNext/>
              <w:rPr>
                <w:b/>
                <w:bCs/>
                <w:iCs/>
              </w:rPr>
            </w:pPr>
            <w:r w:rsidRPr="00B96B42">
              <w:rPr>
                <w:iCs/>
              </w:rPr>
              <w:t>Administration cost per patient</w:t>
            </w:r>
          </w:p>
        </w:tc>
        <w:tc>
          <w:tcPr>
            <w:tcW w:w="1944" w:type="dxa"/>
            <w:shd w:val="clear" w:color="auto" w:fill="auto"/>
            <w:vAlign w:val="center"/>
          </w:tcPr>
          <w:p w14:paraId="37B86AF5" w14:textId="77777777" w:rsidR="007F5107" w:rsidRPr="00B96B42" w:rsidRDefault="007F5107">
            <w:pPr>
              <w:pStyle w:val="Tabletext"/>
              <w:keepNext/>
              <w:jc w:val="center"/>
              <w:rPr>
                <w:b/>
                <w:bCs/>
                <w:iCs/>
              </w:rPr>
            </w:pPr>
            <w:r w:rsidRPr="00B96B42">
              <w:rPr>
                <w:iCs/>
              </w:rPr>
              <w:t>$357.96</w:t>
            </w:r>
          </w:p>
        </w:tc>
        <w:tc>
          <w:tcPr>
            <w:tcW w:w="1714" w:type="dxa"/>
            <w:vAlign w:val="center"/>
          </w:tcPr>
          <w:p w14:paraId="38EC164A" w14:textId="77777777" w:rsidR="007F5107" w:rsidRPr="00B96B42" w:rsidRDefault="007F5107">
            <w:pPr>
              <w:pStyle w:val="Tabletext"/>
              <w:keepNext/>
              <w:jc w:val="center"/>
              <w:rPr>
                <w:iCs/>
              </w:rPr>
            </w:pPr>
            <w:r w:rsidRPr="00B96B42">
              <w:rPr>
                <w:iCs/>
                <w:color w:val="000000"/>
              </w:rPr>
              <w:t>$449.30</w:t>
            </w:r>
          </w:p>
        </w:tc>
        <w:tc>
          <w:tcPr>
            <w:tcW w:w="3480" w:type="dxa"/>
            <w:gridSpan w:val="2"/>
            <w:vAlign w:val="center"/>
          </w:tcPr>
          <w:p w14:paraId="541FF431" w14:textId="551F4A3F" w:rsidR="007F5107" w:rsidRPr="00B96B42" w:rsidRDefault="00CB7495">
            <w:pPr>
              <w:pStyle w:val="Tabletext"/>
              <w:keepNext/>
              <w:jc w:val="center"/>
              <w:rPr>
                <w:iCs/>
              </w:rPr>
            </w:pPr>
            <w:r w:rsidRPr="00CB7495">
              <w:rPr>
                <w:iCs/>
              </w:rPr>
              <w:t>$1,844.09</w:t>
            </w:r>
          </w:p>
        </w:tc>
      </w:tr>
      <w:tr w:rsidR="007C460F" w:rsidRPr="00B96B42" w14:paraId="1B6B6259" w14:textId="77777777">
        <w:trPr>
          <w:trHeight w:val="20"/>
        </w:trPr>
        <w:tc>
          <w:tcPr>
            <w:tcW w:w="9017" w:type="dxa"/>
            <w:gridSpan w:val="5"/>
            <w:shd w:val="clear" w:color="auto" w:fill="auto"/>
          </w:tcPr>
          <w:p w14:paraId="5A30C110" w14:textId="16E85A9D" w:rsidR="007C460F" w:rsidRPr="007C460F" w:rsidRDefault="007C460F" w:rsidP="007C460F">
            <w:pPr>
              <w:pStyle w:val="Tabletext"/>
              <w:keepNext/>
              <w:rPr>
                <w:b/>
                <w:bCs/>
                <w:iCs/>
              </w:rPr>
            </w:pPr>
            <w:r w:rsidRPr="007C460F">
              <w:rPr>
                <w:b/>
                <w:bCs/>
                <w:iCs/>
              </w:rPr>
              <w:t>Adverse Event costs</w:t>
            </w:r>
          </w:p>
        </w:tc>
      </w:tr>
      <w:tr w:rsidR="00791182" w:rsidRPr="00B96B42" w14:paraId="39067E25" w14:textId="77777777" w:rsidTr="00791182">
        <w:trPr>
          <w:trHeight w:val="20"/>
        </w:trPr>
        <w:tc>
          <w:tcPr>
            <w:tcW w:w="0" w:type="auto"/>
            <w:shd w:val="clear" w:color="auto" w:fill="auto"/>
          </w:tcPr>
          <w:p w14:paraId="53F1C9D7" w14:textId="56A7D449" w:rsidR="00791182" w:rsidRPr="00791182" w:rsidRDefault="00791182" w:rsidP="00791182">
            <w:pPr>
              <w:pStyle w:val="Tabletext"/>
              <w:keepNext/>
              <w:rPr>
                <w:iCs/>
              </w:rPr>
            </w:pPr>
            <w:r w:rsidRPr="00791182">
              <w:t>AE cost per patient</w:t>
            </w:r>
          </w:p>
        </w:tc>
        <w:tc>
          <w:tcPr>
            <w:tcW w:w="1944" w:type="dxa"/>
            <w:shd w:val="clear" w:color="auto" w:fill="auto"/>
          </w:tcPr>
          <w:p w14:paraId="7DD92E9E" w14:textId="7F87E2A9" w:rsidR="00791182" w:rsidRPr="00B96B42" w:rsidRDefault="00791182" w:rsidP="00791182">
            <w:pPr>
              <w:pStyle w:val="Tabletext"/>
              <w:keepNext/>
              <w:jc w:val="center"/>
              <w:rPr>
                <w:iCs/>
              </w:rPr>
            </w:pPr>
            <w:r w:rsidRPr="004129B6">
              <w:t>$1,044.32</w:t>
            </w:r>
          </w:p>
        </w:tc>
        <w:tc>
          <w:tcPr>
            <w:tcW w:w="1714" w:type="dxa"/>
          </w:tcPr>
          <w:p w14:paraId="0FDE6AB9" w14:textId="1B0F6E0D" w:rsidR="00791182" w:rsidRPr="00B96B42" w:rsidRDefault="00791182" w:rsidP="00791182">
            <w:pPr>
              <w:pStyle w:val="Tabletext"/>
              <w:keepNext/>
              <w:jc w:val="center"/>
              <w:rPr>
                <w:iCs/>
                <w:color w:val="000000"/>
              </w:rPr>
            </w:pPr>
            <w:r w:rsidRPr="004129B6">
              <w:t>$928.28</w:t>
            </w:r>
          </w:p>
        </w:tc>
        <w:tc>
          <w:tcPr>
            <w:tcW w:w="3480" w:type="dxa"/>
            <w:gridSpan w:val="2"/>
          </w:tcPr>
          <w:p w14:paraId="62B0F07B" w14:textId="39FD978E" w:rsidR="00791182" w:rsidRPr="00CB7495" w:rsidRDefault="00791182" w:rsidP="00791182">
            <w:pPr>
              <w:pStyle w:val="Tabletext"/>
              <w:keepNext/>
              <w:jc w:val="center"/>
              <w:rPr>
                <w:iCs/>
              </w:rPr>
            </w:pPr>
            <w:r w:rsidRPr="004129B6">
              <w:t>$928.28</w:t>
            </w:r>
          </w:p>
        </w:tc>
      </w:tr>
      <w:tr w:rsidR="002B3DE5" w:rsidRPr="00B96B42" w14:paraId="5FEF7396" w14:textId="77777777" w:rsidTr="002B3DE5">
        <w:trPr>
          <w:trHeight w:val="20"/>
        </w:trPr>
        <w:tc>
          <w:tcPr>
            <w:tcW w:w="0" w:type="auto"/>
            <w:shd w:val="clear" w:color="auto" w:fill="auto"/>
          </w:tcPr>
          <w:p w14:paraId="2140C326" w14:textId="77777777" w:rsidR="002B3DE5" w:rsidRPr="00B96B42" w:rsidRDefault="002B3DE5" w:rsidP="002B3DE5">
            <w:pPr>
              <w:pStyle w:val="Tabletext"/>
              <w:keepNext/>
              <w:rPr>
                <w:b/>
                <w:bCs/>
                <w:iCs/>
              </w:rPr>
            </w:pPr>
            <w:r w:rsidRPr="00B96B42">
              <w:rPr>
                <w:b/>
                <w:bCs/>
                <w:iCs/>
              </w:rPr>
              <w:t>Cost/patient/course</w:t>
            </w:r>
          </w:p>
        </w:tc>
        <w:tc>
          <w:tcPr>
            <w:tcW w:w="1944" w:type="dxa"/>
            <w:shd w:val="clear" w:color="auto" w:fill="auto"/>
          </w:tcPr>
          <w:p w14:paraId="4C8B4C04" w14:textId="7DE14395" w:rsidR="002B3DE5" w:rsidRPr="002B3DE5" w:rsidRDefault="002B3DE5" w:rsidP="002B3DE5">
            <w:pPr>
              <w:pStyle w:val="Tabletext"/>
              <w:keepNext/>
              <w:jc w:val="center"/>
              <w:rPr>
                <w:b/>
                <w:bCs/>
                <w:iCs/>
              </w:rPr>
            </w:pPr>
            <w:r w:rsidRPr="002B3DE5">
              <w:rPr>
                <w:b/>
                <w:bCs/>
              </w:rPr>
              <w:t>$</w:t>
            </w:r>
            <w:r w:rsidR="003F05CA" w:rsidRPr="003F05CA">
              <w:rPr>
                <w:b/>
                <w:bCs/>
                <w:color w:val="000000"/>
                <w:shd w:val="solid" w:color="000000" w:fill="000000"/>
                <w14:textFill>
                  <w14:solidFill>
                    <w14:srgbClr w14:val="000000">
                      <w14:alpha w14:val="100000"/>
                    </w14:srgbClr>
                  </w14:solidFill>
                </w14:textFill>
              </w:rPr>
              <w:t>|</w:t>
            </w:r>
          </w:p>
        </w:tc>
        <w:tc>
          <w:tcPr>
            <w:tcW w:w="1714" w:type="dxa"/>
          </w:tcPr>
          <w:p w14:paraId="16F00CAC" w14:textId="2AFFC74D" w:rsidR="002B3DE5" w:rsidRPr="002B3DE5" w:rsidRDefault="002B3DE5" w:rsidP="002B3DE5">
            <w:pPr>
              <w:pStyle w:val="Tabletext"/>
              <w:keepNext/>
              <w:jc w:val="center"/>
              <w:rPr>
                <w:b/>
                <w:bCs/>
                <w:iCs/>
              </w:rPr>
            </w:pPr>
            <w:r w:rsidRPr="002B3DE5">
              <w:rPr>
                <w:b/>
                <w:bCs/>
              </w:rPr>
              <w:t>$</w:t>
            </w:r>
            <w:r w:rsidR="003F05CA" w:rsidRPr="003F05CA">
              <w:rPr>
                <w:b/>
                <w:bCs/>
                <w:color w:val="000000"/>
                <w:shd w:val="solid" w:color="000000" w:fill="000000"/>
                <w14:textFill>
                  <w14:solidFill>
                    <w14:srgbClr w14:val="000000">
                      <w14:alpha w14:val="100000"/>
                    </w14:srgbClr>
                  </w14:solidFill>
                </w14:textFill>
              </w:rPr>
              <w:t>|</w:t>
            </w:r>
          </w:p>
        </w:tc>
        <w:tc>
          <w:tcPr>
            <w:tcW w:w="3480" w:type="dxa"/>
            <w:gridSpan w:val="2"/>
          </w:tcPr>
          <w:p w14:paraId="1222E673" w14:textId="52E6D467" w:rsidR="002B3DE5" w:rsidRPr="002B3DE5" w:rsidRDefault="002B3DE5" w:rsidP="002B3DE5">
            <w:pPr>
              <w:pStyle w:val="Tabletext"/>
              <w:keepNext/>
              <w:jc w:val="center"/>
              <w:rPr>
                <w:b/>
                <w:bCs/>
                <w:iCs/>
              </w:rPr>
            </w:pPr>
            <w:r w:rsidRPr="002B3DE5">
              <w:rPr>
                <w:b/>
                <w:bCs/>
              </w:rPr>
              <w:t>$</w:t>
            </w:r>
            <w:r w:rsidR="003F05CA" w:rsidRPr="003F05CA">
              <w:rPr>
                <w:b/>
                <w:bCs/>
                <w:color w:val="000000"/>
                <w:shd w:val="solid" w:color="000000" w:fill="000000"/>
                <w14:textFill>
                  <w14:solidFill>
                    <w14:srgbClr w14:val="000000">
                      <w14:alpha w14:val="100000"/>
                    </w14:srgbClr>
                  </w14:solidFill>
                </w14:textFill>
              </w:rPr>
              <w:t>|</w:t>
            </w:r>
          </w:p>
        </w:tc>
      </w:tr>
    </w:tbl>
    <w:p w14:paraId="003228F9" w14:textId="50EA0891" w:rsidR="007F5107" w:rsidRPr="00B96B42" w:rsidRDefault="007F5107" w:rsidP="007F5107">
      <w:pPr>
        <w:pStyle w:val="FooterTableFigure"/>
        <w:keepNext/>
        <w:rPr>
          <w:iCs/>
        </w:rPr>
      </w:pPr>
      <w:r w:rsidRPr="00B96B42">
        <w:rPr>
          <w:iCs/>
        </w:rPr>
        <w:t xml:space="preserve">Source: </w:t>
      </w:r>
      <w:r w:rsidR="002B3DE5">
        <w:rPr>
          <w:iCs/>
        </w:rPr>
        <w:t>Pre-PBAC Response</w:t>
      </w:r>
      <w:r w:rsidR="002B3DE5" w:rsidRPr="00B96B42">
        <w:rPr>
          <w:iCs/>
        </w:rPr>
        <w:t xml:space="preserve"> </w:t>
      </w:r>
      <w:r w:rsidRPr="00B96B42">
        <w:rPr>
          <w:iCs/>
        </w:rPr>
        <w:t>(</w:t>
      </w:r>
      <w:r w:rsidR="002B3DE5">
        <w:rPr>
          <w:iCs/>
        </w:rPr>
        <w:t>p</w:t>
      </w:r>
      <w:r w:rsidRPr="00B96B42">
        <w:rPr>
          <w:iCs/>
        </w:rPr>
        <w:t>p</w:t>
      </w:r>
      <w:r w:rsidR="00181433">
        <w:rPr>
          <w:iCs/>
        </w:rPr>
        <w:t>2−3</w:t>
      </w:r>
      <w:r w:rsidRPr="00B96B42">
        <w:rPr>
          <w:iCs/>
        </w:rPr>
        <w:t>) and accompanying workbook: ‘</w:t>
      </w:r>
      <w:r w:rsidR="003F01B8" w:rsidRPr="003F01B8">
        <w:rPr>
          <w:iCs/>
        </w:rPr>
        <w:t>Opdivo perioperative NSCLC cost-minimisation analysis_pre-PBAC</w:t>
      </w:r>
      <w:r w:rsidRPr="00B96B42">
        <w:rPr>
          <w:iCs/>
        </w:rPr>
        <w:t>.xlsx’</w:t>
      </w:r>
    </w:p>
    <w:p w14:paraId="5C7BE3A6" w14:textId="3595A7E6" w:rsidR="00C835FA" w:rsidRDefault="00C835FA" w:rsidP="007E31B9">
      <w:pPr>
        <w:pStyle w:val="FooterTableFigure"/>
        <w:keepNext/>
        <w:rPr>
          <w:iCs/>
        </w:rPr>
      </w:pPr>
      <w:r>
        <w:rPr>
          <w:iCs/>
          <w:vertAlign w:val="superscript"/>
        </w:rPr>
        <w:t>a</w:t>
      </w:r>
      <w:r>
        <w:rPr>
          <w:iCs/>
        </w:rPr>
        <w:t xml:space="preserve"> </w:t>
      </w:r>
      <w:r w:rsidR="00B3515D">
        <w:rPr>
          <w:iCs/>
        </w:rPr>
        <w:t>10.12 doses (88% of patients) assumed for Q4W dosing and 20.24 doses (</w:t>
      </w:r>
      <w:r w:rsidR="00EE11CD">
        <w:rPr>
          <w:iCs/>
        </w:rPr>
        <w:t>12% of patients) assumed for Q2W dosing</w:t>
      </w:r>
    </w:p>
    <w:p w14:paraId="3D052C04" w14:textId="1F5C4EF3" w:rsidR="00B72575" w:rsidRPr="00B72575" w:rsidRDefault="00B72575" w:rsidP="007E31B9">
      <w:pPr>
        <w:pStyle w:val="FooterTableFigure"/>
        <w:keepNext/>
        <w:rPr>
          <w:iCs/>
        </w:rPr>
      </w:pPr>
      <w:r>
        <w:rPr>
          <w:iCs/>
          <w:vertAlign w:val="superscript"/>
        </w:rPr>
        <w:t>b</w:t>
      </w:r>
      <w:r>
        <w:rPr>
          <w:iCs/>
        </w:rPr>
        <w:t xml:space="preserve"> </w:t>
      </w:r>
      <w:r w:rsidR="00497AAD">
        <w:rPr>
          <w:iCs/>
        </w:rPr>
        <w:t>480 mg (88% of patients) assumed for Q4W dosing and 240 mg (12% of patients) assumed for Q2W dosing</w:t>
      </w:r>
    </w:p>
    <w:p w14:paraId="307154CE" w14:textId="771E3248" w:rsidR="007F5107" w:rsidRPr="00B96B42" w:rsidRDefault="007F5107" w:rsidP="007E31B9">
      <w:pPr>
        <w:pStyle w:val="FooterTableFigure"/>
        <w:keepNext/>
      </w:pPr>
      <w:r w:rsidRPr="00B96B42">
        <w:rPr>
          <w:iCs/>
        </w:rPr>
        <w:t>Abbreviations: AEMP = approved ex-manufacturer price; IV = intravenous; MBS, Medicare Benefits Scheme; PSCR = pre-sub-committee response</w:t>
      </w:r>
    </w:p>
    <w:p w14:paraId="00EEE852" w14:textId="30C7359B" w:rsidR="00AC04EA" w:rsidRDefault="00AC04EA" w:rsidP="00AC04EA">
      <w:pPr>
        <w:pStyle w:val="3-BodyText"/>
      </w:pPr>
      <w:bookmarkStart w:id="75" w:name="_Ref187757731"/>
      <w:bookmarkStart w:id="76" w:name="_Ref188185586"/>
      <w:r>
        <w:t xml:space="preserve">The PBAC noted the CMA </w:t>
      </w:r>
      <w:r w:rsidR="003240D9">
        <w:t xml:space="preserve">provided in the pre-PBAC response </w:t>
      </w:r>
      <w:r>
        <w:t xml:space="preserve">had not been evaluated but considered it likely there was an error in the methodology </w:t>
      </w:r>
      <w:r w:rsidR="00E81387" w:rsidRPr="00E81387">
        <w:t>as the approach only accounted for neoadjuvant use in a proportion of patients (37.72%) however it would be received by all patients</w:t>
      </w:r>
      <w:bookmarkEnd w:id="75"/>
      <w:r w:rsidR="00A16A04">
        <w:t>.</w:t>
      </w:r>
      <w:bookmarkEnd w:id="76"/>
    </w:p>
    <w:p w14:paraId="325E5B9C" w14:textId="0ED3D27E" w:rsidR="00550C93" w:rsidRPr="00550C93" w:rsidRDefault="00550C93" w:rsidP="0032577B">
      <w:pPr>
        <w:pStyle w:val="5-SubsectionSubheading"/>
      </w:pPr>
      <w:r w:rsidRPr="00550C93">
        <w:lastRenderedPageBreak/>
        <w:t>Cost</w:t>
      </w:r>
      <w:r>
        <w:t>-utility analysis</w:t>
      </w:r>
      <w:r w:rsidRPr="00550C93">
        <w:t xml:space="preserve">: periNIVO versus </w:t>
      </w:r>
      <w:r>
        <w:t>neoChemo</w:t>
      </w:r>
    </w:p>
    <w:p w14:paraId="1D6603FD" w14:textId="77777777" w:rsidR="00A0136F" w:rsidRDefault="00A87076" w:rsidP="00302269">
      <w:pPr>
        <w:pStyle w:val="3-BodyText"/>
      </w:pPr>
      <w:r>
        <w:t xml:space="preserve">The </w:t>
      </w:r>
      <w:r w:rsidRPr="00A87076">
        <w:t>submission presented a stepped economic evaluation based on the randomised trials CM77T and CM816.</w:t>
      </w:r>
      <w:r>
        <w:t xml:space="preserve"> </w:t>
      </w:r>
      <w:r w:rsidRPr="00A87076">
        <w:t>The type of economic evaluation presented was a cost-utility analysis</w:t>
      </w:r>
      <w:r w:rsidR="00CA492B">
        <w:t xml:space="preserve"> (CUA)</w:t>
      </w:r>
      <w:r>
        <w:t xml:space="preserve">, that compared periNIVO versus neoChemo for the treatment of patients with resectable (tumours </w:t>
      </w:r>
      <w:r w:rsidRPr="00A87076">
        <w:t>≥4 cm or node positive) NSCLC.</w:t>
      </w:r>
      <w:r>
        <w:t xml:space="preserve"> </w:t>
      </w:r>
      <w:r w:rsidR="00CA492B" w:rsidRPr="00B96B42">
        <w:rPr>
          <w:iCs/>
        </w:rPr>
        <w:t>Given the change in main comparator to neoNIVO and the presentation of a CMA based on the claim of noninferiority in the PSCR, the results of the CUA are not presented.</w:t>
      </w:r>
    </w:p>
    <w:p w14:paraId="472842D7" w14:textId="5F9CCCB4" w:rsidR="00C25D9C" w:rsidRPr="0098262F" w:rsidRDefault="00C25D9C" w:rsidP="00BB732D">
      <w:pPr>
        <w:pStyle w:val="4-SubsectionHeading"/>
      </w:pPr>
      <w:bookmarkStart w:id="77" w:name="_Toc22897646"/>
      <w:bookmarkStart w:id="78" w:name="_Toc177566404"/>
      <w:r w:rsidRPr="0098262F">
        <w:t>Drug cost/patient/course</w:t>
      </w:r>
      <w:bookmarkEnd w:id="77"/>
      <w:bookmarkEnd w:id="78"/>
    </w:p>
    <w:p w14:paraId="7C095CC3" w14:textId="2DFE9B92" w:rsidR="00A0136F" w:rsidRDefault="00D46193" w:rsidP="00C00376">
      <w:pPr>
        <w:pStyle w:val="3-BodyText"/>
        <w:rPr>
          <w:iCs/>
        </w:rPr>
      </w:pPr>
      <w:bookmarkStart w:id="79" w:name="_Ref104805102"/>
      <w:r>
        <w:t xml:space="preserve">Based on the </w:t>
      </w:r>
      <w:r w:rsidR="00E70C95">
        <w:t xml:space="preserve">revised financials included </w:t>
      </w:r>
      <w:r>
        <w:t>in the pre-PBAC response</w:t>
      </w:r>
      <w:r w:rsidR="00862269">
        <w:t xml:space="preserve"> (which incorporated the effective price proposed in paragraph </w:t>
      </w:r>
      <w:r w:rsidR="00862269">
        <w:fldChar w:fldCharType="begin"/>
      </w:r>
      <w:r w:rsidR="00862269">
        <w:instrText xml:space="preserve"> REF _Ref188187077 \r \h </w:instrText>
      </w:r>
      <w:r w:rsidR="00862269">
        <w:fldChar w:fldCharType="separate"/>
      </w:r>
      <w:r w:rsidR="009C09C9">
        <w:t>6.71</w:t>
      </w:r>
      <w:r w:rsidR="00862269">
        <w:fldChar w:fldCharType="end"/>
      </w:r>
      <w:r w:rsidR="00862269">
        <w:t>)</w:t>
      </w:r>
      <w:r>
        <w:t xml:space="preserve">, the </w:t>
      </w:r>
      <w:r w:rsidR="006966AF">
        <w:t xml:space="preserve">average </w:t>
      </w:r>
      <w:r>
        <w:t xml:space="preserve">nivolumab cost </w:t>
      </w:r>
      <w:r w:rsidR="00613B63">
        <w:t>per</w:t>
      </w:r>
      <w:r>
        <w:t xml:space="preserve"> patient</w:t>
      </w:r>
      <w:r w:rsidR="006966AF">
        <w:t xml:space="preserve"> in Year 1</w:t>
      </w:r>
      <w:r>
        <w:t xml:space="preserve"> was $</w:t>
      </w:r>
      <w:r w:rsidR="003F05CA" w:rsidRPr="00DA645A">
        <w:rPr>
          <w:color w:val="000000"/>
          <w:w w:val="15"/>
          <w:shd w:val="solid" w:color="000000" w:fill="000000"/>
          <w:fitText w:val="-20" w:id="-739980277"/>
          <w14:textFill>
            <w14:solidFill>
              <w14:srgbClr w14:val="000000">
                <w14:alpha w14:val="100000"/>
              </w14:srgbClr>
            </w14:solidFill>
          </w14:textFill>
        </w:rPr>
        <w:t xml:space="preserve">|  </w:t>
      </w:r>
      <w:r w:rsidR="003F05CA" w:rsidRPr="00DA645A">
        <w:rPr>
          <w:color w:val="000000"/>
          <w:spacing w:val="-69"/>
          <w:w w:val="15"/>
          <w:shd w:val="solid" w:color="000000" w:fill="000000"/>
          <w:fitText w:val="-20" w:id="-739980277"/>
          <w14:textFill>
            <w14:solidFill>
              <w14:srgbClr w14:val="000000">
                <w14:alpha w14:val="100000"/>
              </w14:srgbClr>
            </w14:solidFill>
          </w14:textFill>
        </w:rPr>
        <w:t>|</w:t>
      </w:r>
      <w:r>
        <w:t xml:space="preserve"> for periNIVO and $</w:t>
      </w:r>
      <w:r w:rsidR="003F05CA" w:rsidRPr="00DA645A">
        <w:rPr>
          <w:color w:val="000000"/>
          <w:w w:val="15"/>
          <w:shd w:val="solid" w:color="000000" w:fill="000000"/>
          <w:fitText w:val="-20" w:id="-739980276"/>
          <w14:textFill>
            <w14:solidFill>
              <w14:srgbClr w14:val="000000">
                <w14:alpha w14:val="100000"/>
              </w14:srgbClr>
            </w14:solidFill>
          </w14:textFill>
        </w:rPr>
        <w:t xml:space="preserve">|  </w:t>
      </w:r>
      <w:r w:rsidR="003F05CA" w:rsidRPr="00DA645A">
        <w:rPr>
          <w:color w:val="000000"/>
          <w:spacing w:val="-69"/>
          <w:w w:val="15"/>
          <w:shd w:val="solid" w:color="000000" w:fill="000000"/>
          <w:fitText w:val="-20" w:id="-739980276"/>
          <w14:textFill>
            <w14:solidFill>
              <w14:srgbClr w14:val="000000">
                <w14:alpha w14:val="100000"/>
              </w14:srgbClr>
            </w14:solidFill>
          </w14:textFill>
        </w:rPr>
        <w:t>|</w:t>
      </w:r>
      <w:r>
        <w:t xml:space="preserve"> for neoNIVO</w:t>
      </w:r>
      <w:r w:rsidR="002205A6">
        <w:rPr>
          <w:rStyle w:val="FootnoteReference"/>
        </w:rPr>
        <w:footnoteReference w:id="10"/>
      </w:r>
      <w:r>
        <w:t xml:space="preserve">.  </w:t>
      </w:r>
      <w:r w:rsidR="00AC04EA">
        <w:rPr>
          <w:iCs/>
        </w:rPr>
        <w:t xml:space="preserve">The PBAC noted the </w:t>
      </w:r>
      <w:r w:rsidR="008C4147">
        <w:rPr>
          <w:iCs/>
        </w:rPr>
        <w:t xml:space="preserve">average </w:t>
      </w:r>
      <w:r w:rsidR="00AC04EA">
        <w:rPr>
          <w:iCs/>
        </w:rPr>
        <w:t>cost per patient for periNIVO was higher than for neoNIVO</w:t>
      </w:r>
      <w:r w:rsidR="0034372F">
        <w:rPr>
          <w:iCs/>
        </w:rPr>
        <w:t>, likely</w:t>
      </w:r>
      <w:r w:rsidR="00AC04EA">
        <w:rPr>
          <w:iCs/>
        </w:rPr>
        <w:t xml:space="preserve"> due to</w:t>
      </w:r>
      <w:r w:rsidR="0034372F">
        <w:rPr>
          <w:iCs/>
        </w:rPr>
        <w:t xml:space="preserve"> the</w:t>
      </w:r>
      <w:r w:rsidR="00AC04EA">
        <w:rPr>
          <w:iCs/>
        </w:rPr>
        <w:t xml:space="preserve"> incorrect methodology applied in the CMA (see paragraph</w:t>
      </w:r>
      <w:r>
        <w:rPr>
          <w:iCs/>
        </w:rPr>
        <w:t xml:space="preserve"> </w:t>
      </w:r>
      <w:r>
        <w:rPr>
          <w:iCs/>
        </w:rPr>
        <w:fldChar w:fldCharType="begin"/>
      </w:r>
      <w:r>
        <w:rPr>
          <w:iCs/>
        </w:rPr>
        <w:instrText xml:space="preserve"> REF _Ref188185586 \r \h </w:instrText>
      </w:r>
      <w:r>
        <w:rPr>
          <w:iCs/>
        </w:rPr>
      </w:r>
      <w:r>
        <w:rPr>
          <w:iCs/>
        </w:rPr>
        <w:fldChar w:fldCharType="separate"/>
      </w:r>
      <w:r w:rsidR="009C09C9">
        <w:rPr>
          <w:iCs/>
        </w:rPr>
        <w:t>6.72</w:t>
      </w:r>
      <w:r>
        <w:rPr>
          <w:iCs/>
        </w:rPr>
        <w:fldChar w:fldCharType="end"/>
      </w:r>
      <w:r>
        <w:rPr>
          <w:iCs/>
        </w:rPr>
        <w:t>)</w:t>
      </w:r>
      <w:r w:rsidR="00AC04EA">
        <w:rPr>
          <w:iCs/>
        </w:rPr>
        <w:t>.</w:t>
      </w:r>
    </w:p>
    <w:p w14:paraId="268768EF" w14:textId="5C532042" w:rsidR="00B60939" w:rsidRPr="00C00376" w:rsidRDefault="00B60939" w:rsidP="002B05A1">
      <w:pPr>
        <w:pStyle w:val="4-SubsectionHeading"/>
      </w:pPr>
      <w:bookmarkStart w:id="80" w:name="_Toc22897647"/>
      <w:bookmarkStart w:id="81" w:name="_Toc177566405"/>
      <w:bookmarkEnd w:id="79"/>
      <w:r w:rsidRPr="00C00376">
        <w:t>Estimated PBS usage &amp; financial implications</w:t>
      </w:r>
      <w:bookmarkEnd w:id="80"/>
      <w:bookmarkEnd w:id="81"/>
    </w:p>
    <w:p w14:paraId="7D0650D3" w14:textId="77777777" w:rsidR="00122E91" w:rsidRDefault="00C25D9C" w:rsidP="00122E91">
      <w:pPr>
        <w:pStyle w:val="3-BodyText"/>
      </w:pPr>
      <w:r w:rsidRPr="00C00376">
        <w:t xml:space="preserve">This submission </w:t>
      </w:r>
      <w:r w:rsidR="00802EA5" w:rsidRPr="00C00376">
        <w:t>was</w:t>
      </w:r>
      <w:r w:rsidRPr="00C00376">
        <w:t xml:space="preserve"> not considered by DUS</w:t>
      </w:r>
      <w:r w:rsidR="005440E5" w:rsidRPr="00C00376">
        <w:t>C.</w:t>
      </w:r>
    </w:p>
    <w:p w14:paraId="68E51301" w14:textId="77777777" w:rsidR="00A0136F" w:rsidRDefault="00CE4F46" w:rsidP="00122E91">
      <w:pPr>
        <w:pStyle w:val="3-BodyText"/>
        <w:rPr>
          <w:bCs/>
          <w:i/>
        </w:rPr>
      </w:pPr>
      <w:r w:rsidRPr="00122E91">
        <w:rPr>
          <w:iCs/>
        </w:rPr>
        <w:t>At the time of ESC consideration, revised financial estimates with the updated price and substitution for neoNIVO proposed in the PSCR were not available.</w:t>
      </w:r>
      <w:r w:rsidR="00070B32" w:rsidRPr="00122E91">
        <w:rPr>
          <w:iCs/>
        </w:rPr>
        <w:t xml:space="preserve"> </w:t>
      </w:r>
      <w:r w:rsidR="00E23996" w:rsidRPr="00122E91">
        <w:rPr>
          <w:iCs/>
        </w:rPr>
        <w:t>Therefore,</w:t>
      </w:r>
      <w:r w:rsidR="00E23996" w:rsidRPr="00F112F7">
        <w:t xml:space="preserve"> the ESC was unable to provide guidance on the reliability of the methods used to derive the utilisation and financial estimates and the structure of the estimates model, as the final model</w:t>
      </w:r>
      <w:r w:rsidR="00E23996" w:rsidRPr="00122E91">
        <w:rPr>
          <w:bCs/>
        </w:rPr>
        <w:t xml:space="preserve"> was not available at the time of consideration.</w:t>
      </w:r>
    </w:p>
    <w:p w14:paraId="73A441A9" w14:textId="77777777" w:rsidR="00A0136F" w:rsidRDefault="005A1CB5" w:rsidP="002B05A1">
      <w:pPr>
        <w:pStyle w:val="3-BodyText"/>
      </w:pPr>
      <w:r w:rsidRPr="00C00376">
        <w:t xml:space="preserve">The financial analysis </w:t>
      </w:r>
      <w:r w:rsidR="00CE4F46" w:rsidRPr="00B96B42">
        <w:rPr>
          <w:iCs/>
        </w:rPr>
        <w:t>provided in the submission</w:t>
      </w:r>
      <w:r w:rsidR="00CE4F46">
        <w:t xml:space="preserve"> </w:t>
      </w:r>
      <w:r w:rsidRPr="00C00376">
        <w:t>took an epidemiological approach to estimate the financ</w:t>
      </w:r>
      <w:r w:rsidRPr="003C41B5">
        <w:t>ial impacts of the proposed listing of periNIVO for the neoadjuvant treatment of patients with resectable NSCLC.</w:t>
      </w:r>
    </w:p>
    <w:p w14:paraId="46508C95" w14:textId="77777777" w:rsidR="00A0136F" w:rsidRDefault="005A1CB5" w:rsidP="002B05A1">
      <w:pPr>
        <w:pStyle w:val="3-BodyText"/>
      </w:pPr>
      <w:r w:rsidRPr="005A1CB5">
        <w:t>The financial estimates</w:t>
      </w:r>
      <w:r w:rsidR="0052423C">
        <w:t xml:space="preserve"> shown</w:t>
      </w:r>
      <w:r w:rsidRPr="005A1CB5">
        <w:t xml:space="preserve"> only consider the use of the immunotherapy component of treatment and not any chemotherapy agents used in combination with or prior to immunotherapy, or as neoadjuvant or adjuvant treatment of resectable NSCLC. </w:t>
      </w:r>
      <w:r w:rsidRPr="00C87852">
        <w:rPr>
          <w:iCs/>
        </w:rPr>
        <w:t>This approach was consistent with the July 2023 and March 2024 neoNIVO submissions.</w:t>
      </w:r>
    </w:p>
    <w:p w14:paraId="0ABA9EF0" w14:textId="56E0B15C" w:rsidR="00A0136F" w:rsidRDefault="005A1CB5" w:rsidP="005A1CB5">
      <w:pPr>
        <w:pStyle w:val="3-BodyText"/>
      </w:pPr>
      <w:r w:rsidRPr="005A1CB5">
        <w:t>The key inputs in the financial analysis</w:t>
      </w:r>
      <w:r w:rsidR="0052423C">
        <w:t xml:space="preserve"> </w:t>
      </w:r>
      <w:r w:rsidR="0052423C" w:rsidRPr="00B96B42">
        <w:rPr>
          <w:iCs/>
        </w:rPr>
        <w:t>provided in the submission</w:t>
      </w:r>
      <w:r w:rsidRPr="005A1CB5">
        <w:t xml:space="preserve"> are summarised</w:t>
      </w:r>
      <w:r>
        <w:t xml:space="preserve"> in </w:t>
      </w:r>
      <w:r w:rsidR="007B0344">
        <w:fldChar w:fldCharType="begin"/>
      </w:r>
      <w:r w:rsidR="007B0344">
        <w:instrText xml:space="preserve"> REF _Ref104805262 \h </w:instrText>
      </w:r>
      <w:r w:rsidR="007B0344">
        <w:fldChar w:fldCharType="separate"/>
      </w:r>
      <w:r w:rsidR="009C09C9" w:rsidRPr="0098262F">
        <w:t xml:space="preserve">Table </w:t>
      </w:r>
      <w:r w:rsidR="009C09C9">
        <w:rPr>
          <w:noProof/>
        </w:rPr>
        <w:t>17</w:t>
      </w:r>
      <w:r w:rsidR="007B0344">
        <w:fldChar w:fldCharType="end"/>
      </w:r>
      <w:r w:rsidRPr="003C41B5">
        <w:t>.</w:t>
      </w:r>
    </w:p>
    <w:p w14:paraId="3393BCE7" w14:textId="0A20E47B" w:rsidR="00E42F73" w:rsidRPr="0098262F" w:rsidRDefault="00E16AD8" w:rsidP="00E16AD8">
      <w:pPr>
        <w:pStyle w:val="Caption"/>
        <w:rPr>
          <w:rStyle w:val="CommentReference"/>
          <w:b/>
          <w:szCs w:val="24"/>
        </w:rPr>
      </w:pPr>
      <w:bookmarkStart w:id="82" w:name="_Ref104805262"/>
      <w:r w:rsidRPr="0098262F">
        <w:lastRenderedPageBreak/>
        <w:t xml:space="preserve">Table </w:t>
      </w:r>
      <w:r w:rsidR="00311318">
        <w:fldChar w:fldCharType="begin"/>
      </w:r>
      <w:r w:rsidR="00311318">
        <w:instrText xml:space="preserve"> SEQ Table \* ARABIC </w:instrText>
      </w:r>
      <w:r w:rsidR="00311318">
        <w:fldChar w:fldCharType="separate"/>
      </w:r>
      <w:r w:rsidR="009C09C9">
        <w:rPr>
          <w:noProof/>
        </w:rPr>
        <w:t>17</w:t>
      </w:r>
      <w:r w:rsidR="00311318">
        <w:rPr>
          <w:noProof/>
        </w:rPr>
        <w:fldChar w:fldCharType="end"/>
      </w:r>
      <w:bookmarkEnd w:id="82"/>
      <w:r w:rsidRPr="0098262F">
        <w:t>:</w:t>
      </w:r>
      <w:r w:rsidR="00E42F73" w:rsidRPr="0098262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7: Key inputs for financial estimates"/>
        <w:tblDescription w:val="Table 17: Key inputs for financial estimates"/>
      </w:tblPr>
      <w:tblGrid>
        <w:gridCol w:w="1744"/>
        <w:gridCol w:w="3960"/>
        <w:gridCol w:w="3313"/>
      </w:tblGrid>
      <w:tr w:rsidR="00476E6B" w:rsidRPr="0098262F" w14:paraId="7578DE20" w14:textId="77777777" w:rsidTr="002323FD">
        <w:trPr>
          <w:tblHeader/>
        </w:trPr>
        <w:tc>
          <w:tcPr>
            <w:tcW w:w="967" w:type="pct"/>
            <w:vAlign w:val="center"/>
          </w:tcPr>
          <w:p w14:paraId="4B48F005" w14:textId="77777777" w:rsidR="00476E6B" w:rsidRPr="00D034BD" w:rsidRDefault="00476E6B" w:rsidP="00245DCF">
            <w:pPr>
              <w:pStyle w:val="In-tableHeading"/>
            </w:pPr>
            <w:r w:rsidRPr="00D034BD">
              <w:t>Data</w:t>
            </w:r>
          </w:p>
        </w:tc>
        <w:tc>
          <w:tcPr>
            <w:tcW w:w="2196" w:type="pct"/>
            <w:vAlign w:val="center"/>
          </w:tcPr>
          <w:p w14:paraId="482CCEE6" w14:textId="77777777" w:rsidR="00476E6B" w:rsidRPr="00D034BD" w:rsidRDefault="00476E6B" w:rsidP="00245DCF">
            <w:pPr>
              <w:pStyle w:val="In-tableHeading"/>
            </w:pPr>
            <w:r w:rsidRPr="00D034BD">
              <w:t>Value and Source</w:t>
            </w:r>
          </w:p>
        </w:tc>
        <w:tc>
          <w:tcPr>
            <w:tcW w:w="1837" w:type="pct"/>
            <w:vAlign w:val="center"/>
          </w:tcPr>
          <w:p w14:paraId="7A0A3AA6" w14:textId="77777777" w:rsidR="00476E6B" w:rsidRPr="00D034BD" w:rsidRDefault="00476E6B" w:rsidP="00245DCF">
            <w:pPr>
              <w:pStyle w:val="In-tableHeading"/>
            </w:pPr>
            <w:r w:rsidRPr="00D034BD">
              <w:t>Comment</w:t>
            </w:r>
          </w:p>
        </w:tc>
      </w:tr>
      <w:tr w:rsidR="00811C43" w:rsidRPr="0098262F" w14:paraId="0A3306E8" w14:textId="77777777" w:rsidTr="002323FD">
        <w:tc>
          <w:tcPr>
            <w:tcW w:w="5000" w:type="pct"/>
            <w:gridSpan w:val="3"/>
            <w:vAlign w:val="center"/>
          </w:tcPr>
          <w:p w14:paraId="347867CE" w14:textId="1B5E5BF7" w:rsidR="00811C43" w:rsidRPr="00811C43" w:rsidRDefault="00811C43" w:rsidP="002D4DE8">
            <w:pPr>
              <w:pStyle w:val="TableText0"/>
              <w:rPr>
                <w:b/>
                <w:bCs w:val="0"/>
              </w:rPr>
            </w:pPr>
            <w:r w:rsidRPr="00811C43">
              <w:rPr>
                <w:b/>
                <w:bCs w:val="0"/>
              </w:rPr>
              <w:t>Eligible population</w:t>
            </w:r>
          </w:p>
        </w:tc>
      </w:tr>
      <w:tr w:rsidR="00476E6B" w:rsidRPr="00C87852" w14:paraId="2862BBBE" w14:textId="77777777" w:rsidTr="002323FD">
        <w:tc>
          <w:tcPr>
            <w:tcW w:w="967" w:type="pct"/>
            <w:vAlign w:val="center"/>
          </w:tcPr>
          <w:p w14:paraId="05599AC1" w14:textId="77777777" w:rsidR="00476E6B" w:rsidRPr="00C87852" w:rsidRDefault="00476E6B" w:rsidP="002D4DE8">
            <w:pPr>
              <w:pStyle w:val="TableText0"/>
            </w:pPr>
            <w:r w:rsidRPr="00C87852">
              <w:t>Incident cases of lung cancer</w:t>
            </w:r>
          </w:p>
        </w:tc>
        <w:tc>
          <w:tcPr>
            <w:tcW w:w="2196" w:type="pct"/>
            <w:vAlign w:val="center"/>
          </w:tcPr>
          <w:p w14:paraId="5A4A48C2" w14:textId="77777777" w:rsidR="00476E6B" w:rsidRPr="00C87852" w:rsidRDefault="00476E6B" w:rsidP="002D4DE8">
            <w:pPr>
              <w:pStyle w:val="TableText0"/>
            </w:pPr>
            <w:r w:rsidRPr="00C87852">
              <w:t>Source: Age-standardised rate of 56.20 per 100,000 (AIHW 2023) applied to ABS population.</w:t>
            </w:r>
          </w:p>
        </w:tc>
        <w:tc>
          <w:tcPr>
            <w:tcW w:w="1837" w:type="pct"/>
            <w:vAlign w:val="center"/>
          </w:tcPr>
          <w:p w14:paraId="6ED62552" w14:textId="0872206C" w:rsidR="00476E6B" w:rsidRPr="00C87852" w:rsidRDefault="00404912" w:rsidP="002D4DE8">
            <w:pPr>
              <w:pStyle w:val="TableText0"/>
              <w:rPr>
                <w:iCs/>
              </w:rPr>
            </w:pPr>
            <w:r>
              <w:rPr>
                <w:iCs/>
              </w:rPr>
              <w:t>The evaluation considered that this was</w:t>
            </w:r>
            <w:r w:rsidR="00476E6B" w:rsidRPr="00C87852">
              <w:rPr>
                <w:iCs/>
              </w:rPr>
              <w:t xml:space="preserve"> reasonable.</w:t>
            </w:r>
          </w:p>
        </w:tc>
      </w:tr>
      <w:tr w:rsidR="0044411E" w:rsidRPr="00C87852" w14:paraId="6E699F75" w14:textId="77777777" w:rsidTr="002323FD">
        <w:tc>
          <w:tcPr>
            <w:tcW w:w="967" w:type="pct"/>
            <w:vMerge w:val="restart"/>
            <w:vAlign w:val="center"/>
          </w:tcPr>
          <w:p w14:paraId="49A0CE69" w14:textId="47534C6F" w:rsidR="0044411E" w:rsidRPr="00C87852" w:rsidRDefault="0044411E" w:rsidP="002D4DE8">
            <w:pPr>
              <w:pStyle w:val="TableText0"/>
            </w:pPr>
            <w:r w:rsidRPr="00C87852">
              <w:t>% meeting other PBS criteria</w:t>
            </w:r>
          </w:p>
        </w:tc>
        <w:tc>
          <w:tcPr>
            <w:tcW w:w="2196" w:type="pct"/>
            <w:vAlign w:val="center"/>
          </w:tcPr>
          <w:p w14:paraId="391B5BBA" w14:textId="7C932436" w:rsidR="0044411E" w:rsidRPr="00C87852" w:rsidRDefault="0044411E" w:rsidP="002D4DE8">
            <w:pPr>
              <w:pStyle w:val="TableText0"/>
            </w:pPr>
            <w:r w:rsidRPr="00C87852">
              <w:t>86.6% of lung cancer is NSCLC (AIHW 2022)</w:t>
            </w:r>
          </w:p>
        </w:tc>
        <w:tc>
          <w:tcPr>
            <w:tcW w:w="1837" w:type="pct"/>
            <w:vMerge w:val="restart"/>
            <w:vAlign w:val="center"/>
          </w:tcPr>
          <w:p w14:paraId="699AB048" w14:textId="04F4106B" w:rsidR="0044411E" w:rsidRPr="00C87852" w:rsidRDefault="00404912" w:rsidP="002D4DE8">
            <w:pPr>
              <w:pStyle w:val="TableText0"/>
              <w:rPr>
                <w:iCs/>
              </w:rPr>
            </w:pPr>
            <w:r>
              <w:rPr>
                <w:iCs/>
              </w:rPr>
              <w:t>The evaluation considered that this was</w:t>
            </w:r>
            <w:r w:rsidRPr="00C87852">
              <w:rPr>
                <w:iCs/>
              </w:rPr>
              <w:t xml:space="preserve"> </w:t>
            </w:r>
            <w:r w:rsidR="00A870AD">
              <w:rPr>
                <w:iCs/>
              </w:rPr>
              <w:t>r</w:t>
            </w:r>
            <w:r w:rsidR="0044411E" w:rsidRPr="00C87852">
              <w:rPr>
                <w:iCs/>
              </w:rPr>
              <w:t xml:space="preserve">easonable. </w:t>
            </w:r>
            <w:r w:rsidR="009F6DF4" w:rsidRPr="00C87852">
              <w:rPr>
                <w:iCs/>
              </w:rPr>
              <w:t>These values were consistent</w:t>
            </w:r>
            <w:r w:rsidR="0044411E" w:rsidRPr="00C87852">
              <w:rPr>
                <w:iCs/>
              </w:rPr>
              <w:t xml:space="preserve"> with </w:t>
            </w:r>
            <w:r w:rsidR="009F6DF4" w:rsidRPr="00C87852">
              <w:rPr>
                <w:iCs/>
              </w:rPr>
              <w:t>the</w:t>
            </w:r>
            <w:r w:rsidR="0044411E" w:rsidRPr="00C87852">
              <w:rPr>
                <w:iCs/>
              </w:rPr>
              <w:t xml:space="preserve"> </w:t>
            </w:r>
            <w:r w:rsidR="009F6DF4" w:rsidRPr="00C87852">
              <w:rPr>
                <w:iCs/>
              </w:rPr>
              <w:t xml:space="preserve">neoNIVO </w:t>
            </w:r>
            <w:r w:rsidR="0044411E" w:rsidRPr="00C87852">
              <w:rPr>
                <w:iCs/>
              </w:rPr>
              <w:t>March 2023</w:t>
            </w:r>
            <w:r w:rsidR="009F6DF4" w:rsidRPr="00C87852">
              <w:rPr>
                <w:iCs/>
              </w:rPr>
              <w:t xml:space="preserve"> submission</w:t>
            </w:r>
            <w:r w:rsidR="0044411E" w:rsidRPr="00C87852">
              <w:rPr>
                <w:iCs/>
              </w:rPr>
              <w:t xml:space="preserve"> </w:t>
            </w:r>
            <w:r w:rsidR="009F6DF4" w:rsidRPr="00C87852">
              <w:rPr>
                <w:iCs/>
              </w:rPr>
              <w:t>(Table 25, nivolumab PSD, March 2023 PBAC Meeting)</w:t>
            </w:r>
            <w:r w:rsidR="00B12591">
              <w:rPr>
                <w:iCs/>
              </w:rPr>
              <w:t>.</w:t>
            </w:r>
          </w:p>
        </w:tc>
      </w:tr>
      <w:tr w:rsidR="0044411E" w:rsidRPr="00C87852" w14:paraId="1DE9C78D" w14:textId="77777777" w:rsidTr="002323FD">
        <w:tc>
          <w:tcPr>
            <w:tcW w:w="967" w:type="pct"/>
            <w:vMerge/>
            <w:vAlign w:val="center"/>
          </w:tcPr>
          <w:p w14:paraId="12107322" w14:textId="77777777" w:rsidR="0044411E" w:rsidRPr="00C87852" w:rsidRDefault="0044411E" w:rsidP="002D4DE8">
            <w:pPr>
              <w:pStyle w:val="TableText0"/>
            </w:pPr>
          </w:p>
        </w:tc>
        <w:tc>
          <w:tcPr>
            <w:tcW w:w="2196" w:type="pct"/>
            <w:vAlign w:val="center"/>
          </w:tcPr>
          <w:p w14:paraId="0CC93735" w14:textId="47EED257" w:rsidR="0044411E" w:rsidRPr="00C87852" w:rsidRDefault="0044411E" w:rsidP="002D4DE8">
            <w:pPr>
              <w:pStyle w:val="TableText0"/>
            </w:pPr>
            <w:r w:rsidRPr="00C87852">
              <w:t>22.4% (squamous); 77.6% (non-squamous)</w:t>
            </w:r>
          </w:p>
          <w:p w14:paraId="1C1D87D1" w14:textId="0DA1E636" w:rsidR="0044411E" w:rsidRPr="00C87852" w:rsidRDefault="0044411E" w:rsidP="002D4DE8">
            <w:pPr>
              <w:pStyle w:val="TableText0"/>
            </w:pPr>
            <w:r w:rsidRPr="00C87852">
              <w:t>Source: PIvOTAL study (Castro et al., 2017)</w:t>
            </w:r>
          </w:p>
        </w:tc>
        <w:tc>
          <w:tcPr>
            <w:tcW w:w="1837" w:type="pct"/>
            <w:vMerge/>
            <w:vAlign w:val="center"/>
          </w:tcPr>
          <w:p w14:paraId="33F01F33" w14:textId="77777777" w:rsidR="0044411E" w:rsidRPr="00C87852" w:rsidRDefault="0044411E" w:rsidP="002D4DE8">
            <w:pPr>
              <w:pStyle w:val="TableText0"/>
              <w:rPr>
                <w:iCs/>
              </w:rPr>
            </w:pPr>
          </w:p>
        </w:tc>
      </w:tr>
      <w:tr w:rsidR="0044411E" w:rsidRPr="00C87852" w14:paraId="5B154BA3" w14:textId="77777777" w:rsidTr="002323FD">
        <w:tc>
          <w:tcPr>
            <w:tcW w:w="967" w:type="pct"/>
            <w:vMerge/>
            <w:vAlign w:val="center"/>
          </w:tcPr>
          <w:p w14:paraId="67149688" w14:textId="77777777" w:rsidR="0044411E" w:rsidRPr="00C87852" w:rsidRDefault="0044411E" w:rsidP="002D4DE8">
            <w:pPr>
              <w:pStyle w:val="TableText0"/>
            </w:pPr>
          </w:p>
        </w:tc>
        <w:tc>
          <w:tcPr>
            <w:tcW w:w="2196" w:type="pct"/>
            <w:vAlign w:val="center"/>
          </w:tcPr>
          <w:p w14:paraId="1BDFBC78" w14:textId="4F88A530" w:rsidR="0044411E" w:rsidRPr="00C87852" w:rsidRDefault="0044411E" w:rsidP="002D4DE8">
            <w:pPr>
              <w:pStyle w:val="TableText0"/>
            </w:pPr>
            <w:r w:rsidRPr="00C87852">
              <w:t>83.50% Proportion of non-squamous NSCLC patients with no known EGFR/ALK (PIvOTAL study)</w:t>
            </w:r>
          </w:p>
        </w:tc>
        <w:tc>
          <w:tcPr>
            <w:tcW w:w="1837" w:type="pct"/>
            <w:vMerge/>
            <w:vAlign w:val="center"/>
          </w:tcPr>
          <w:p w14:paraId="714E11FF" w14:textId="77777777" w:rsidR="0044411E" w:rsidRPr="00C87852" w:rsidRDefault="0044411E" w:rsidP="002D4DE8">
            <w:pPr>
              <w:pStyle w:val="TableText0"/>
              <w:rPr>
                <w:iCs/>
              </w:rPr>
            </w:pPr>
          </w:p>
        </w:tc>
      </w:tr>
      <w:tr w:rsidR="0044411E" w:rsidRPr="00C87852" w14:paraId="328C7E0B" w14:textId="77777777" w:rsidTr="002323FD">
        <w:tc>
          <w:tcPr>
            <w:tcW w:w="967" w:type="pct"/>
            <w:vMerge/>
            <w:vAlign w:val="center"/>
          </w:tcPr>
          <w:p w14:paraId="272196D0" w14:textId="77777777" w:rsidR="0044411E" w:rsidRPr="00C87852" w:rsidRDefault="0044411E" w:rsidP="002D4DE8">
            <w:pPr>
              <w:pStyle w:val="TableText0"/>
            </w:pPr>
          </w:p>
        </w:tc>
        <w:tc>
          <w:tcPr>
            <w:tcW w:w="2196" w:type="pct"/>
            <w:vAlign w:val="center"/>
          </w:tcPr>
          <w:p w14:paraId="5304D7AD" w14:textId="77777777" w:rsidR="002E01CF" w:rsidRPr="00C87852" w:rsidRDefault="002E01CF" w:rsidP="002D4DE8">
            <w:pPr>
              <w:pStyle w:val="TableText0"/>
              <w:rPr>
                <w:iCs/>
                <w:u w:val="single"/>
              </w:rPr>
            </w:pPr>
            <w:r w:rsidRPr="00C87852">
              <w:rPr>
                <w:iCs/>
                <w:u w:val="single"/>
              </w:rPr>
              <w:t xml:space="preserve">Stage I: </w:t>
            </w:r>
            <w:r w:rsidRPr="007E42F7">
              <w:rPr>
                <w:iCs/>
              </w:rPr>
              <w:t>16.32%</w:t>
            </w:r>
          </w:p>
          <w:p w14:paraId="7BD2DC37" w14:textId="77777777" w:rsidR="002E01CF" w:rsidRPr="00C87852" w:rsidRDefault="002E01CF" w:rsidP="002D4DE8">
            <w:pPr>
              <w:pStyle w:val="TableText0"/>
              <w:rPr>
                <w:iCs/>
              </w:rPr>
            </w:pPr>
            <w:r w:rsidRPr="00C87852">
              <w:rPr>
                <w:iCs/>
                <w:u w:val="single"/>
              </w:rPr>
              <w:t>-</w:t>
            </w:r>
            <w:r w:rsidRPr="00C87852">
              <w:rPr>
                <w:iCs/>
              </w:rPr>
              <w:t>Stage IB: 52.57%</w:t>
            </w:r>
          </w:p>
          <w:p w14:paraId="153D41A2" w14:textId="6357180C" w:rsidR="002E01CF" w:rsidRPr="00C87852" w:rsidRDefault="002E01CF" w:rsidP="002D4DE8">
            <w:pPr>
              <w:pStyle w:val="TableText0"/>
              <w:rPr>
                <w:iCs/>
              </w:rPr>
            </w:pPr>
            <w:r w:rsidRPr="00C87852">
              <w:rPr>
                <w:iCs/>
              </w:rPr>
              <w:t>-Stage IB with tumour size ≥4cm: 16.78%</w:t>
            </w:r>
          </w:p>
          <w:p w14:paraId="70A07F99" w14:textId="77777777" w:rsidR="00A0136F" w:rsidRDefault="0044411E" w:rsidP="002D4DE8">
            <w:pPr>
              <w:pStyle w:val="TableText0"/>
            </w:pPr>
            <w:r w:rsidRPr="00C87852">
              <w:rPr>
                <w:u w:val="single"/>
              </w:rPr>
              <w:t>Stage II:</w:t>
            </w:r>
            <w:r w:rsidRPr="00C87852">
              <w:t xml:space="preserve"> 9.13%</w:t>
            </w:r>
          </w:p>
          <w:p w14:paraId="27BAAD07" w14:textId="77777777" w:rsidR="00A0136F" w:rsidRDefault="0044411E" w:rsidP="002D4DE8">
            <w:pPr>
              <w:pStyle w:val="TableText0"/>
            </w:pPr>
            <w:r w:rsidRPr="00C87852">
              <w:rPr>
                <w:u w:val="single"/>
              </w:rPr>
              <w:t>Stage III</w:t>
            </w:r>
            <w:r w:rsidRPr="00C87852">
              <w:t>: 15.60%</w:t>
            </w:r>
          </w:p>
          <w:p w14:paraId="75708375" w14:textId="1FF22679" w:rsidR="0044411E" w:rsidRPr="00C87852" w:rsidRDefault="0044411E" w:rsidP="002D4DE8">
            <w:pPr>
              <w:pStyle w:val="TableText0"/>
            </w:pPr>
            <w:r w:rsidRPr="00C87852">
              <w:t>-Stage IIIA: 55.55%</w:t>
            </w:r>
          </w:p>
          <w:p w14:paraId="78700F25" w14:textId="77777777" w:rsidR="0044411E" w:rsidRPr="00C87852" w:rsidRDefault="0044411E" w:rsidP="002D4DE8">
            <w:pPr>
              <w:pStyle w:val="TableText0"/>
            </w:pPr>
            <w:r w:rsidRPr="00C87852">
              <w:t>-Stage IIIB: 40.82%</w:t>
            </w:r>
          </w:p>
          <w:p w14:paraId="4EA360EF" w14:textId="7E01F127" w:rsidR="0044411E" w:rsidRPr="00C87852" w:rsidRDefault="0044411E" w:rsidP="002D4DE8">
            <w:pPr>
              <w:pStyle w:val="TableText0"/>
            </w:pPr>
            <w:r w:rsidRPr="00C87852">
              <w:t>Source: AIHW CDiA 2023, Provencio et al., 2019</w:t>
            </w:r>
          </w:p>
        </w:tc>
        <w:tc>
          <w:tcPr>
            <w:tcW w:w="1837" w:type="pct"/>
            <w:vAlign w:val="center"/>
          </w:tcPr>
          <w:p w14:paraId="6CCA9394" w14:textId="5DB65D84" w:rsidR="0044411E" w:rsidRPr="00C87852" w:rsidRDefault="009F6DF4" w:rsidP="002D4DE8">
            <w:pPr>
              <w:pStyle w:val="TableText0"/>
              <w:rPr>
                <w:iCs/>
              </w:rPr>
            </w:pPr>
            <w:r w:rsidRPr="00C87852">
              <w:rPr>
                <w:iCs/>
              </w:rPr>
              <w:t>There is some uncertainty associated due to updates in staging criteria (AJCC 7</w:t>
            </w:r>
            <w:r w:rsidRPr="00C87852">
              <w:rPr>
                <w:iCs/>
                <w:vertAlign w:val="superscript"/>
              </w:rPr>
              <w:t>th</w:t>
            </w:r>
            <w:r w:rsidRPr="00C87852">
              <w:rPr>
                <w:iCs/>
              </w:rPr>
              <w:t xml:space="preserve"> to AJCC 8</w:t>
            </w:r>
            <w:r w:rsidRPr="00C87852">
              <w:rPr>
                <w:iCs/>
                <w:vertAlign w:val="superscript"/>
              </w:rPr>
              <w:t>th</w:t>
            </w:r>
            <w:r w:rsidRPr="00C87852">
              <w:rPr>
                <w:iCs/>
              </w:rPr>
              <w:t>)</w:t>
            </w:r>
          </w:p>
        </w:tc>
      </w:tr>
      <w:tr w:rsidR="0044411E" w:rsidRPr="00C87852" w14:paraId="379D0A4C" w14:textId="77777777" w:rsidTr="002323FD">
        <w:trPr>
          <w:trHeight w:val="574"/>
        </w:trPr>
        <w:tc>
          <w:tcPr>
            <w:tcW w:w="967" w:type="pct"/>
            <w:vMerge/>
            <w:vAlign w:val="center"/>
          </w:tcPr>
          <w:p w14:paraId="7F28CBB7" w14:textId="42CA47CA" w:rsidR="0044411E" w:rsidRPr="00C87852" w:rsidRDefault="0044411E" w:rsidP="002D4DE8">
            <w:pPr>
              <w:pStyle w:val="TableText0"/>
            </w:pPr>
          </w:p>
        </w:tc>
        <w:tc>
          <w:tcPr>
            <w:tcW w:w="2196" w:type="pct"/>
            <w:vAlign w:val="center"/>
          </w:tcPr>
          <w:p w14:paraId="5B1C28E9" w14:textId="53035B16" w:rsidR="0044411E" w:rsidRPr="00C87852" w:rsidRDefault="0044411E" w:rsidP="002D4DE8">
            <w:pPr>
              <w:pStyle w:val="TableText0"/>
            </w:pPr>
            <w:r w:rsidRPr="00C87852">
              <w:t>80% of patients with resectable tumours</w:t>
            </w:r>
          </w:p>
          <w:p w14:paraId="625A4F2E" w14:textId="77777777" w:rsidR="0044411E" w:rsidRPr="00C87852" w:rsidRDefault="0044411E" w:rsidP="002D4DE8">
            <w:pPr>
              <w:pStyle w:val="TableText0"/>
            </w:pPr>
            <w:r w:rsidRPr="00C87852">
              <w:t>Source: Assumption</w:t>
            </w:r>
          </w:p>
        </w:tc>
        <w:tc>
          <w:tcPr>
            <w:tcW w:w="1837" w:type="pct"/>
            <w:vAlign w:val="center"/>
          </w:tcPr>
          <w:p w14:paraId="3D9C7E10" w14:textId="5CBFC916" w:rsidR="0044411E" w:rsidRPr="00C87852" w:rsidRDefault="009F6DF4" w:rsidP="002D4DE8">
            <w:pPr>
              <w:pStyle w:val="TableText0"/>
              <w:rPr>
                <w:iCs/>
              </w:rPr>
            </w:pPr>
            <w:r w:rsidRPr="00C87852">
              <w:rPr>
                <w:iCs/>
              </w:rPr>
              <w:t>Consistent with previous neoNIVO March 2023 submission (Table 25, nivolumab PSD, March 2023 PBAC Meeting)</w:t>
            </w:r>
            <w:r w:rsidR="00F72C56">
              <w:rPr>
                <w:iCs/>
              </w:rPr>
              <w:t>.</w:t>
            </w:r>
          </w:p>
        </w:tc>
      </w:tr>
      <w:tr w:rsidR="0044411E" w:rsidRPr="00C87852" w14:paraId="712708CF" w14:textId="77777777" w:rsidTr="002323FD">
        <w:trPr>
          <w:trHeight w:val="574"/>
        </w:trPr>
        <w:tc>
          <w:tcPr>
            <w:tcW w:w="967" w:type="pct"/>
            <w:vMerge/>
            <w:vAlign w:val="center"/>
          </w:tcPr>
          <w:p w14:paraId="1EA0E153" w14:textId="731449D1" w:rsidR="0044411E" w:rsidRPr="00C87852" w:rsidRDefault="0044411E" w:rsidP="002D4DE8">
            <w:pPr>
              <w:pStyle w:val="TableText0"/>
            </w:pPr>
          </w:p>
        </w:tc>
        <w:tc>
          <w:tcPr>
            <w:tcW w:w="2196" w:type="pct"/>
            <w:vAlign w:val="center"/>
          </w:tcPr>
          <w:p w14:paraId="1CF0ED38" w14:textId="75F6DA71" w:rsidR="0044411E" w:rsidRPr="00C87852" w:rsidRDefault="0044411E" w:rsidP="002D4DE8">
            <w:pPr>
              <w:pStyle w:val="TableText0"/>
            </w:pPr>
            <w:r w:rsidRPr="00C87852">
              <w:t>82.82% ECOG PS 0-1</w:t>
            </w:r>
          </w:p>
          <w:p w14:paraId="61C93C6E" w14:textId="66AC17A7" w:rsidR="0044411E" w:rsidRPr="00C87852" w:rsidRDefault="0044411E" w:rsidP="002D4DE8">
            <w:pPr>
              <w:pStyle w:val="TableText0"/>
            </w:pPr>
            <w:r w:rsidRPr="00C87852">
              <w:t>Source: Weighted distribution calculated by PS on WHO scale Kawaguchi 2010; Stage distribution from AIHW, CDiA 2022, Provencio et al., 2019,</w:t>
            </w:r>
          </w:p>
        </w:tc>
        <w:tc>
          <w:tcPr>
            <w:tcW w:w="1837" w:type="pct"/>
            <w:vAlign w:val="center"/>
          </w:tcPr>
          <w:p w14:paraId="002045EB" w14:textId="2B996393" w:rsidR="0044411E" w:rsidRPr="00C87852" w:rsidRDefault="009F6DF4" w:rsidP="002D4DE8">
            <w:pPr>
              <w:pStyle w:val="TableText0"/>
              <w:rPr>
                <w:iCs/>
              </w:rPr>
            </w:pPr>
            <w:r w:rsidRPr="00C87852">
              <w:rPr>
                <w:iCs/>
              </w:rPr>
              <w:t>Uncertain. The PBAC has previously considered for patients with Stage IIA-IIIA NSCLC, an estimate of 80% of patients with a WHO PS of 1 or less would be appropriate in the adjuvant setting (Table 20, atezolizumab PSD, July 2022 PBAC Meeting).</w:t>
            </w:r>
          </w:p>
        </w:tc>
      </w:tr>
      <w:tr w:rsidR="00811C43" w:rsidRPr="0098262F" w14:paraId="193C12CC" w14:textId="77777777" w:rsidTr="002323FD">
        <w:tc>
          <w:tcPr>
            <w:tcW w:w="5000" w:type="pct"/>
            <w:gridSpan w:val="3"/>
            <w:vAlign w:val="center"/>
          </w:tcPr>
          <w:p w14:paraId="266C0658" w14:textId="3F3BFC01" w:rsidR="00811C43" w:rsidRPr="00811C43" w:rsidRDefault="00811C43" w:rsidP="002D4DE8">
            <w:pPr>
              <w:pStyle w:val="TableText0"/>
              <w:rPr>
                <w:b/>
                <w:bCs w:val="0"/>
              </w:rPr>
            </w:pPr>
            <w:r w:rsidRPr="00811C43">
              <w:rPr>
                <w:b/>
                <w:bCs w:val="0"/>
              </w:rPr>
              <w:t>Treatment utilisation</w:t>
            </w:r>
          </w:p>
        </w:tc>
      </w:tr>
      <w:tr w:rsidR="00476E6B" w:rsidRPr="00C87852" w14:paraId="17B97474" w14:textId="77777777" w:rsidTr="002323FD">
        <w:tc>
          <w:tcPr>
            <w:tcW w:w="967" w:type="pct"/>
            <w:vAlign w:val="center"/>
          </w:tcPr>
          <w:p w14:paraId="514F0440" w14:textId="4202D32D" w:rsidR="00476E6B" w:rsidRPr="00C87852" w:rsidRDefault="00476E6B" w:rsidP="002D4DE8">
            <w:pPr>
              <w:pStyle w:val="TableText0"/>
            </w:pPr>
            <w:r w:rsidRPr="00C87852">
              <w:t xml:space="preserve">Uptake rate of </w:t>
            </w:r>
            <w:r w:rsidR="002016A6" w:rsidRPr="00C87852">
              <w:t xml:space="preserve">(neoadjuvant) </w:t>
            </w:r>
            <w:r w:rsidRPr="00C87852">
              <w:t>periNIVO</w:t>
            </w:r>
          </w:p>
        </w:tc>
        <w:tc>
          <w:tcPr>
            <w:tcW w:w="2196" w:type="pct"/>
            <w:vAlign w:val="center"/>
          </w:tcPr>
          <w:p w14:paraId="0541148E" w14:textId="2DCF9390" w:rsidR="00A0136F" w:rsidRDefault="001E7429" w:rsidP="002D4DE8">
            <w:pPr>
              <w:pStyle w:val="TableText0"/>
            </w:pPr>
            <w:r w:rsidRPr="001E7429">
              <w:rPr>
                <w:color w:val="000000"/>
                <w:spacing w:val="59"/>
                <w:shd w:val="solid" w:color="000000" w:fill="000000"/>
                <w:fitText w:val="348" w:id="-737420796"/>
                <w14:textFill>
                  <w14:solidFill>
                    <w14:srgbClr w14:val="000000">
                      <w14:alpha w14:val="100000"/>
                    </w14:srgbClr>
                  </w14:solidFill>
                </w14:textFill>
              </w:rPr>
              <w:t>|||</w:t>
            </w:r>
            <w:r w:rsidRPr="001E7429">
              <w:rPr>
                <w:color w:val="000000"/>
                <w:spacing w:val="1"/>
                <w:shd w:val="solid" w:color="000000" w:fill="000000"/>
                <w:fitText w:val="348" w:id="-737420796"/>
                <w14:textFill>
                  <w14:solidFill>
                    <w14:srgbClr w14:val="000000">
                      <w14:alpha w14:val="100000"/>
                    </w14:srgbClr>
                  </w14:solidFill>
                </w14:textFill>
              </w:rPr>
              <w:t>|</w:t>
            </w:r>
            <w:r w:rsidR="00476E6B" w:rsidRPr="00794F68">
              <w:t>% (Year 1</w:t>
            </w:r>
            <w:r w:rsidR="00F80B46" w:rsidRPr="00794F68">
              <w:t>−</w:t>
            </w:r>
            <w:r w:rsidR="00476E6B" w:rsidRPr="00794F68">
              <w:t>6, and across Stage II-IIIB</w:t>
            </w:r>
            <w:r w:rsidR="002E01CF" w:rsidRPr="00794F68">
              <w:t>, excluding surgery alone and neoNIVO as treatment options</w:t>
            </w:r>
            <w:r w:rsidR="0044411E" w:rsidRPr="00794F68">
              <w:t>)</w:t>
            </w:r>
          </w:p>
          <w:p w14:paraId="44C942F7" w14:textId="7B263EB8" w:rsidR="002E01CF" w:rsidRPr="00794F68" w:rsidRDefault="002E01CF" w:rsidP="002D4DE8">
            <w:pPr>
              <w:pStyle w:val="TableText0"/>
            </w:pPr>
            <w:r w:rsidRPr="00794F68">
              <w:t>Source: Sponsor run March 2024 advisory board of 6 oncologists.</w:t>
            </w:r>
          </w:p>
        </w:tc>
        <w:tc>
          <w:tcPr>
            <w:tcW w:w="1837" w:type="pct"/>
            <w:vAlign w:val="center"/>
          </w:tcPr>
          <w:p w14:paraId="58A76B8E" w14:textId="02433ED9" w:rsidR="00A0136F" w:rsidRDefault="005914EB" w:rsidP="002D4DE8">
            <w:pPr>
              <w:pStyle w:val="TableText0"/>
              <w:rPr>
                <w:iCs/>
              </w:rPr>
            </w:pPr>
            <w:r w:rsidRPr="00794F68">
              <w:rPr>
                <w:iCs/>
              </w:rPr>
              <w:t>The PBAC previously advised the uptake rate may be lower than estimated (72.5% for eligible Stage IB, II and IIIA patients) and advised that an uptake of 30−40% per annum in the first 2 years of listing may be a more reasonable estimate of uptake</w:t>
            </w:r>
            <w:r w:rsidR="00AF2FB0">
              <w:rPr>
                <w:iCs/>
              </w:rPr>
              <w:t xml:space="preserve"> </w:t>
            </w:r>
            <w:r w:rsidRPr="00794F68">
              <w:rPr>
                <w:iCs/>
              </w:rPr>
              <w:t>(para. 5.10, nivolumab PSD July 2023 PBAC Meeting)</w:t>
            </w:r>
            <w:r w:rsidR="00446E40" w:rsidRPr="00794F68">
              <w:rPr>
                <w:iCs/>
              </w:rPr>
              <w:t>.</w:t>
            </w:r>
          </w:p>
          <w:p w14:paraId="6A508A73" w14:textId="294BB690" w:rsidR="00CB6038" w:rsidRPr="00794F68" w:rsidRDefault="00CB6038" w:rsidP="002D4DE8">
            <w:pPr>
              <w:pStyle w:val="TableText0"/>
              <w:rPr>
                <w:iCs/>
              </w:rPr>
            </w:pPr>
          </w:p>
          <w:p w14:paraId="3B7BCECD" w14:textId="2B332740" w:rsidR="00476E6B" w:rsidRPr="00794F68" w:rsidRDefault="00446E40" w:rsidP="002D4DE8">
            <w:pPr>
              <w:pStyle w:val="TableText0"/>
              <w:rPr>
                <w:iCs/>
              </w:rPr>
            </w:pPr>
            <w:r w:rsidRPr="00794F68">
              <w:rPr>
                <w:iCs/>
              </w:rPr>
              <w:t xml:space="preserve">This parameter was revised to </w:t>
            </w:r>
            <w:r w:rsidR="001E7429" w:rsidRPr="001E7429">
              <w:rPr>
                <w:color w:val="000000"/>
                <w:spacing w:val="50"/>
                <w:shd w:val="solid" w:color="000000" w:fill="000000"/>
                <w:fitText w:val="323" w:id="-737420795"/>
                <w14:textFill>
                  <w14:solidFill>
                    <w14:srgbClr w14:val="000000">
                      <w14:alpha w14:val="100000"/>
                    </w14:srgbClr>
                  </w14:solidFill>
                </w14:textFill>
              </w:rPr>
              <w:t>|||</w:t>
            </w:r>
            <w:r w:rsidR="001E7429" w:rsidRPr="001E7429">
              <w:rPr>
                <w:color w:val="000000"/>
                <w:spacing w:val="3"/>
                <w:shd w:val="solid" w:color="000000" w:fill="000000"/>
                <w:fitText w:val="323" w:id="-737420795"/>
                <w14:textFill>
                  <w14:solidFill>
                    <w14:srgbClr w14:val="000000">
                      <w14:alpha w14:val="100000"/>
                    </w14:srgbClr>
                  </w14:solidFill>
                </w14:textFill>
              </w:rPr>
              <w:t>|</w:t>
            </w:r>
            <w:r w:rsidR="00CB6038" w:rsidRPr="00794F68">
              <w:rPr>
                <w:iCs/>
              </w:rPr>
              <w:t>% in the Pre-PBAC Response.</w:t>
            </w:r>
          </w:p>
        </w:tc>
      </w:tr>
      <w:tr w:rsidR="00476E6B" w:rsidRPr="00C87852" w14:paraId="03B29DFD" w14:textId="77777777" w:rsidTr="002323FD">
        <w:tc>
          <w:tcPr>
            <w:tcW w:w="967" w:type="pct"/>
            <w:vAlign w:val="center"/>
          </w:tcPr>
          <w:p w14:paraId="40B541C9" w14:textId="77777777" w:rsidR="00476E6B" w:rsidRPr="00C87852" w:rsidRDefault="00476E6B" w:rsidP="002D4DE8">
            <w:pPr>
              <w:pStyle w:val="TableText0"/>
            </w:pPr>
            <w:r w:rsidRPr="00C87852">
              <w:t>Proportion of patients that go on to receive adjuvant NIVO</w:t>
            </w:r>
          </w:p>
        </w:tc>
        <w:tc>
          <w:tcPr>
            <w:tcW w:w="2196" w:type="pct"/>
            <w:vAlign w:val="center"/>
          </w:tcPr>
          <w:p w14:paraId="76858602" w14:textId="597A6E7E" w:rsidR="00476E6B" w:rsidRPr="00C87852" w:rsidRDefault="00476E6B" w:rsidP="002D4DE8">
            <w:pPr>
              <w:pStyle w:val="TableText0"/>
            </w:pPr>
            <w:r w:rsidRPr="00C87852">
              <w:t>62.28%</w:t>
            </w:r>
            <w:r w:rsidR="002016A6" w:rsidRPr="00C87852">
              <w:t xml:space="preserve">; </w:t>
            </w:r>
            <w:r w:rsidRPr="00C87852">
              <w:t>Source: CM77T CSR</w:t>
            </w:r>
          </w:p>
        </w:tc>
        <w:tc>
          <w:tcPr>
            <w:tcW w:w="1837" w:type="pct"/>
            <w:vAlign w:val="center"/>
          </w:tcPr>
          <w:p w14:paraId="7B72F1C9" w14:textId="5434C1F2" w:rsidR="00476E6B" w:rsidRPr="00C87852" w:rsidRDefault="00A870AD" w:rsidP="002D4DE8">
            <w:pPr>
              <w:pStyle w:val="TableText0"/>
              <w:rPr>
                <w:iCs/>
              </w:rPr>
            </w:pPr>
            <w:r>
              <w:rPr>
                <w:iCs/>
              </w:rPr>
              <w:t>The evaluation considered that this was</w:t>
            </w:r>
            <w:r w:rsidRPr="00C87852">
              <w:rPr>
                <w:iCs/>
              </w:rPr>
              <w:t xml:space="preserve"> reasonable.</w:t>
            </w:r>
          </w:p>
        </w:tc>
      </w:tr>
      <w:tr w:rsidR="00476E6B" w:rsidRPr="00C87852" w14:paraId="4DB04DD9" w14:textId="77777777" w:rsidTr="002323FD">
        <w:tc>
          <w:tcPr>
            <w:tcW w:w="967" w:type="pct"/>
            <w:vAlign w:val="center"/>
          </w:tcPr>
          <w:p w14:paraId="67937606" w14:textId="77777777" w:rsidR="00A0136F" w:rsidRDefault="00476E6B" w:rsidP="002D4DE8">
            <w:pPr>
              <w:pStyle w:val="TableText0"/>
            </w:pPr>
            <w:r w:rsidRPr="00C87852">
              <w:t>Adjuvant NIVO</w:t>
            </w:r>
          </w:p>
          <w:p w14:paraId="698B2345" w14:textId="346A2829" w:rsidR="00476E6B" w:rsidRPr="00C87852" w:rsidRDefault="00476E6B" w:rsidP="002D4DE8">
            <w:pPr>
              <w:pStyle w:val="TableText0"/>
            </w:pPr>
            <w:r w:rsidRPr="00C87852">
              <w:t>Q4W vs Q2W utilisation</w:t>
            </w:r>
          </w:p>
        </w:tc>
        <w:tc>
          <w:tcPr>
            <w:tcW w:w="2196" w:type="pct"/>
            <w:vAlign w:val="center"/>
          </w:tcPr>
          <w:p w14:paraId="1C0A5054" w14:textId="0033BA6B" w:rsidR="00476E6B" w:rsidRPr="00C87852" w:rsidRDefault="00476E6B" w:rsidP="002D4DE8">
            <w:pPr>
              <w:pStyle w:val="TableText0"/>
            </w:pPr>
            <w:r w:rsidRPr="00C87852">
              <w:t>Q4W: 88%</w:t>
            </w:r>
            <w:r w:rsidR="002016A6" w:rsidRPr="00C87852">
              <w:t xml:space="preserve">; </w:t>
            </w:r>
            <w:r w:rsidRPr="00C87852">
              <w:t>Q2W: 12%</w:t>
            </w:r>
          </w:p>
          <w:p w14:paraId="52B870EB" w14:textId="77777777" w:rsidR="00476E6B" w:rsidRPr="00C87852" w:rsidRDefault="00476E6B" w:rsidP="002D4DE8">
            <w:pPr>
              <w:pStyle w:val="TableText0"/>
              <w:rPr>
                <w:iCs/>
              </w:rPr>
            </w:pPr>
            <w:r w:rsidRPr="00C87852">
              <w:t>Source: 2019 NIVO minor submission for dosing regimens</w:t>
            </w:r>
          </w:p>
        </w:tc>
        <w:tc>
          <w:tcPr>
            <w:tcW w:w="1837" w:type="pct"/>
            <w:vAlign w:val="center"/>
          </w:tcPr>
          <w:p w14:paraId="08D0CF60" w14:textId="77777777" w:rsidR="00476E6B" w:rsidRPr="00C87852" w:rsidRDefault="00476E6B" w:rsidP="002D4DE8">
            <w:pPr>
              <w:pStyle w:val="TableText0"/>
              <w:rPr>
                <w:iCs/>
              </w:rPr>
            </w:pPr>
            <w:r w:rsidRPr="00C87852">
              <w:rPr>
                <w:iCs/>
              </w:rPr>
              <w:t xml:space="preserve">The estimated split is uncertain, however the PBAC previously considered that it was reasonable to assume that </w:t>
            </w:r>
            <w:proofErr w:type="gramStart"/>
            <w:r w:rsidRPr="00C87852">
              <w:rPr>
                <w:iCs/>
              </w:rPr>
              <w:t>the majority of</w:t>
            </w:r>
            <w:proofErr w:type="gramEnd"/>
            <w:r w:rsidRPr="00C87852">
              <w:rPr>
                <w:iCs/>
              </w:rPr>
              <w:t xml:space="preserve"> patients would be prescribed the 480mg Q4W dosing if available (para. 5.4, nivolumab PSD, March 2019 PBAC meeting).</w:t>
            </w:r>
          </w:p>
        </w:tc>
      </w:tr>
    </w:tbl>
    <w:p w14:paraId="03F57CD6" w14:textId="77777777" w:rsidR="00476E6B" w:rsidRDefault="00476E6B" w:rsidP="00476E6B">
      <w:pPr>
        <w:pStyle w:val="FooterTableFigure"/>
      </w:pPr>
      <w:r w:rsidRPr="0098262F">
        <w:t>Source: Table</w:t>
      </w:r>
      <w:r>
        <w:t xml:space="preserve"> 146, Table 152, Table 155, p</w:t>
      </w:r>
      <w:r w:rsidRPr="0098262F">
        <w:t>p</w:t>
      </w:r>
      <w:r>
        <w:t xml:space="preserve">237-238, pp242-243, pp245-246 </w:t>
      </w:r>
      <w:r w:rsidRPr="0098262F">
        <w:t>of the submission</w:t>
      </w:r>
      <w:r>
        <w:t>, Excel workbook ‘</w:t>
      </w:r>
      <w:r w:rsidRPr="007E5CBA">
        <w:t>Nivolumab Perioperative NSCLC Utilisation and Cost Model</w:t>
      </w:r>
      <w:r>
        <w:t>’.</w:t>
      </w:r>
    </w:p>
    <w:p w14:paraId="49A77AD7" w14:textId="7D76A62C" w:rsidR="00476E6B" w:rsidRDefault="00811C43" w:rsidP="005A1CB5">
      <w:pPr>
        <w:pStyle w:val="FooterTableFigure"/>
      </w:pPr>
      <w:r w:rsidRPr="00811C43">
        <w:lastRenderedPageBreak/>
        <w:t>Abbreviations: AIHW = Australian Institute of Health and Welfare; CDiA = Cancer Data in Australia; CSR = clinical study report; DUSC = Drug Utilisation Sub-committee; ECOG = Eastern Cooperative Oncology Group; NSCLC = non-small cell lung cancer; PBAC = Pharmaceutical Benefits Advisory Committee; PBS = Pharmaceutical Benefits Scheme; PS = performance status; PSD = public summary document; NIVO = nivolumab; WHO = World Health Organization.</w:t>
      </w:r>
    </w:p>
    <w:p w14:paraId="1F5D6846" w14:textId="2E51D1E3" w:rsidR="009459C6" w:rsidRPr="00C87852" w:rsidRDefault="009459C6" w:rsidP="009459C6">
      <w:pPr>
        <w:pStyle w:val="3-BodyText"/>
        <w:rPr>
          <w:iCs/>
        </w:rPr>
      </w:pPr>
      <w:r w:rsidRPr="00B96B42">
        <w:t>The ESC noted that the</w:t>
      </w:r>
      <w:r w:rsidRPr="00C87852">
        <w:rPr>
          <w:iCs/>
        </w:rPr>
        <w:t xml:space="preserve"> estimated patient numbers for periNIVO </w:t>
      </w:r>
      <w:r w:rsidR="001E0C60">
        <w:rPr>
          <w:iCs/>
        </w:rPr>
        <w:t xml:space="preserve">in the submission </w:t>
      </w:r>
      <w:r w:rsidRPr="00C87852">
        <w:rPr>
          <w:iCs/>
        </w:rPr>
        <w:t xml:space="preserve">were higher than </w:t>
      </w:r>
      <w:r>
        <w:rPr>
          <w:iCs/>
        </w:rPr>
        <w:t xml:space="preserve">the </w:t>
      </w:r>
      <w:r w:rsidRPr="00C87852">
        <w:rPr>
          <w:iCs/>
        </w:rPr>
        <w:t>number of patients estimated for neoNIVO in the March 2024 neoNIVO submission. This was largely due to:</w:t>
      </w:r>
    </w:p>
    <w:p w14:paraId="1A5F56E6" w14:textId="77777777" w:rsidR="00A0136F" w:rsidRDefault="009459C6" w:rsidP="0032577B">
      <w:pPr>
        <w:pStyle w:val="ListParagraph"/>
        <w:ind w:left="1134"/>
        <w:rPr>
          <w:rFonts w:eastAsiaTheme="minorHAnsi"/>
          <w:snapToGrid/>
        </w:rPr>
      </w:pPr>
      <w:r w:rsidRPr="00C87852">
        <w:rPr>
          <w:rFonts w:eastAsiaTheme="minorHAnsi"/>
          <w:snapToGrid/>
        </w:rPr>
        <w:t>The inclusion of Stage IIIB patients, which were not included in the July 2023 neoNIVO financial estimates;</w:t>
      </w:r>
    </w:p>
    <w:p w14:paraId="1489AF0C" w14:textId="092B6C17" w:rsidR="009459C6" w:rsidRPr="00C87852" w:rsidRDefault="009459C6" w:rsidP="0032577B">
      <w:pPr>
        <w:pStyle w:val="ListParagraph"/>
        <w:ind w:left="1134"/>
      </w:pPr>
      <w:r w:rsidRPr="00C87852">
        <w:t xml:space="preserve">The uptake rate </w:t>
      </w:r>
      <w:r w:rsidRPr="00794F68">
        <w:t>for periNIVO (</w:t>
      </w:r>
      <w:r w:rsidR="001E7429" w:rsidRPr="001E7429">
        <w:rPr>
          <w:color w:val="000000"/>
          <w:shd w:val="solid" w:color="000000" w:fill="000000"/>
          <w14:textFill>
            <w14:solidFill>
              <w14:srgbClr w14:val="000000">
                <w14:alpha w14:val="100000"/>
              </w14:srgbClr>
            </w14:solidFill>
          </w14:textFill>
        </w:rPr>
        <w:t>|</w:t>
      </w:r>
      <w:r w:rsidRPr="00794F68">
        <w:t>%) was higher than the uptake rate for neoNIVO (72.5%), which</w:t>
      </w:r>
      <w:r w:rsidRPr="00C87852">
        <w:t xml:space="preserve"> was not reasonable; and</w:t>
      </w:r>
    </w:p>
    <w:p w14:paraId="500B1717" w14:textId="692019D8" w:rsidR="009459C6" w:rsidRPr="009459C6" w:rsidRDefault="009459C6" w:rsidP="0032577B">
      <w:pPr>
        <w:pStyle w:val="ListParagraph"/>
        <w:ind w:left="1134"/>
      </w:pPr>
      <w:r w:rsidRPr="00C87852">
        <w:t xml:space="preserve">The epidemiological approach used to estimate atezolizumab and durvalumab patients, </w:t>
      </w:r>
      <w:r>
        <w:t xml:space="preserve">which </w:t>
      </w:r>
      <w:r w:rsidRPr="00C87852">
        <w:t>was</w:t>
      </w:r>
      <w:r>
        <w:t xml:space="preserve"> also</w:t>
      </w:r>
      <w:r w:rsidRPr="00C87852">
        <w:t xml:space="preserve"> not reasonable and added to the total patient pool.</w:t>
      </w:r>
    </w:p>
    <w:p w14:paraId="1AB39B56" w14:textId="2C5135DC" w:rsidR="00166523" w:rsidRDefault="007845AE" w:rsidP="00166523">
      <w:pPr>
        <w:pStyle w:val="3-BodyText"/>
      </w:pPr>
      <w:r>
        <w:t xml:space="preserve">Revised financial estimates were provided in the Pre-PBAC </w:t>
      </w:r>
      <w:r w:rsidR="00DE44BF">
        <w:t>R</w:t>
      </w:r>
      <w:r>
        <w:t>espons</w:t>
      </w:r>
      <w:r w:rsidR="00A67C14">
        <w:t>e. Change</w:t>
      </w:r>
      <w:r w:rsidR="0015797E">
        <w:t>s</w:t>
      </w:r>
      <w:r w:rsidR="00A67C14">
        <w:t xml:space="preserve"> made include:</w:t>
      </w:r>
    </w:p>
    <w:p w14:paraId="775AF321" w14:textId="288A146F" w:rsidR="00166523" w:rsidRDefault="008A2709" w:rsidP="0032577B">
      <w:pPr>
        <w:pStyle w:val="ListParagraph"/>
        <w:ind w:left="1134"/>
      </w:pPr>
      <w:r>
        <w:t>A r</w:t>
      </w:r>
      <w:r w:rsidR="00166523">
        <w:t xml:space="preserve">educed </w:t>
      </w:r>
      <w:r>
        <w:t xml:space="preserve">periNIVO price, </w:t>
      </w:r>
      <w:r w:rsidR="00166523">
        <w:t>from $</w:t>
      </w:r>
      <w:r w:rsidR="003F05CA" w:rsidRPr="003F05CA">
        <w:rPr>
          <w:color w:val="000000"/>
          <w:shd w:val="solid" w:color="000000" w:fill="000000"/>
          <w14:textFill>
            <w14:solidFill>
              <w14:srgbClr w14:val="000000">
                <w14:alpha w14:val="100000"/>
              </w14:srgbClr>
            </w14:solidFill>
          </w14:textFill>
        </w:rPr>
        <w:t>|</w:t>
      </w:r>
      <w:r w:rsidR="00166523">
        <w:t xml:space="preserve"> to </w:t>
      </w:r>
      <w:r w:rsidR="00166523" w:rsidRPr="00BE14C1">
        <w:t>$</w:t>
      </w:r>
      <w:r w:rsidR="003F05CA" w:rsidRPr="003F05CA">
        <w:rPr>
          <w:color w:val="000000"/>
          <w:shd w:val="solid" w:color="000000" w:fill="000000"/>
          <w14:textFill>
            <w14:solidFill>
              <w14:srgbClr w14:val="000000">
                <w14:alpha w14:val="100000"/>
              </w14:srgbClr>
            </w14:solidFill>
          </w14:textFill>
        </w:rPr>
        <w:t>|</w:t>
      </w:r>
      <w:r w:rsidR="00166523" w:rsidRPr="00BE14C1">
        <w:t xml:space="preserve"> AEMP per 100 mg vial;</w:t>
      </w:r>
    </w:p>
    <w:p w14:paraId="52E39545" w14:textId="5097E7D4" w:rsidR="006069ED" w:rsidRDefault="004C48C0" w:rsidP="0032577B">
      <w:pPr>
        <w:pStyle w:val="ListParagraph"/>
        <w:ind w:left="1134"/>
      </w:pPr>
      <w:r>
        <w:t>The i</w:t>
      </w:r>
      <w:r w:rsidR="00A916E8">
        <w:t>nclusion of cost-offsets associated with the substitution of neoNIVO</w:t>
      </w:r>
      <w:r w:rsidR="000275C9">
        <w:t xml:space="preserve"> (all patients treated with periNIVO </w:t>
      </w:r>
      <w:r w:rsidR="007E14A8">
        <w:t xml:space="preserve">are </w:t>
      </w:r>
      <w:r w:rsidR="000275C9">
        <w:t>assumed to be offset by neoNIVO)</w:t>
      </w:r>
      <w:r w:rsidR="00A916E8">
        <w:t>;</w:t>
      </w:r>
      <w:r w:rsidR="00A23DF1">
        <w:t xml:space="preserve"> and</w:t>
      </w:r>
    </w:p>
    <w:p w14:paraId="552F359A" w14:textId="71BD4AF3" w:rsidR="00A916E8" w:rsidRPr="00794F68" w:rsidRDefault="00C477A0" w:rsidP="0032577B">
      <w:pPr>
        <w:pStyle w:val="ListParagraph"/>
        <w:ind w:left="1134"/>
      </w:pPr>
      <w:r>
        <w:t xml:space="preserve">A reduced uptake rate </w:t>
      </w:r>
      <w:r w:rsidR="005735A6">
        <w:t xml:space="preserve">(Years </w:t>
      </w:r>
      <w:r w:rsidR="005735A6" w:rsidRPr="00794F68">
        <w:t>1 – 6) from</w:t>
      </w:r>
      <w:r w:rsidR="00E169A7" w:rsidRPr="00794F68">
        <w:t xml:space="preserve"> </w:t>
      </w:r>
      <w:r w:rsidR="001E7429" w:rsidRPr="001E7429">
        <w:rPr>
          <w:color w:val="000000"/>
          <w:shd w:val="solid" w:color="000000" w:fill="000000"/>
          <w14:textFill>
            <w14:solidFill>
              <w14:srgbClr w14:val="000000">
                <w14:alpha w14:val="100000"/>
              </w14:srgbClr>
            </w14:solidFill>
          </w14:textFill>
        </w:rPr>
        <w:t>|</w:t>
      </w:r>
      <w:r w:rsidRPr="00794F68">
        <w:t>% to</w:t>
      </w:r>
      <w:r w:rsidR="00A23DF1" w:rsidRPr="00794F68">
        <w:t xml:space="preserve"> </w:t>
      </w:r>
      <w:r w:rsidR="001E7429" w:rsidRPr="001E7429">
        <w:rPr>
          <w:color w:val="000000"/>
          <w:shd w:val="solid" w:color="000000" w:fill="000000"/>
          <w14:textFill>
            <w14:solidFill>
              <w14:srgbClr w14:val="000000">
                <w14:alpha w14:val="100000"/>
              </w14:srgbClr>
            </w14:solidFill>
          </w14:textFill>
        </w:rPr>
        <w:t>|</w:t>
      </w:r>
      <w:r w:rsidR="002546A1" w:rsidRPr="00794F68">
        <w:t>%</w:t>
      </w:r>
      <w:r w:rsidR="005735A6" w:rsidRPr="00794F68">
        <w:t>.</w:t>
      </w:r>
    </w:p>
    <w:p w14:paraId="356D7BDF" w14:textId="6A5E9B13" w:rsidR="00166523" w:rsidRDefault="00132553" w:rsidP="0032577B">
      <w:pPr>
        <w:pStyle w:val="ListParagraph"/>
        <w:ind w:left="1134"/>
      </w:pPr>
      <w:r>
        <w:t>Removal of c</w:t>
      </w:r>
      <w:r w:rsidRPr="00132553">
        <w:t>ost-offsets associated with metastatic pembrolizumab, adjuvant atezolizumab and durvalumab</w:t>
      </w:r>
      <w:r w:rsidR="0025161F">
        <w:t xml:space="preserve"> (as this would have been accounted for in the neoNIVO listing)</w:t>
      </w:r>
      <w:r>
        <w:t>.</w:t>
      </w:r>
    </w:p>
    <w:p w14:paraId="6DF0F3BE" w14:textId="372863EF" w:rsidR="00A0136F" w:rsidRDefault="0042621F" w:rsidP="00BA5B6F">
      <w:pPr>
        <w:pStyle w:val="3-BodyText"/>
      </w:pPr>
      <w:r w:rsidRPr="0042621F">
        <w:t xml:space="preserve">The predicted use and financial implications associated with the proposed listing is summarised in </w:t>
      </w:r>
      <w:r w:rsidR="007B0344">
        <w:fldChar w:fldCharType="begin"/>
      </w:r>
      <w:r w:rsidR="007B0344">
        <w:instrText xml:space="preserve"> REF _Ref104805295 \h </w:instrText>
      </w:r>
      <w:r w:rsidR="007B0344">
        <w:fldChar w:fldCharType="separate"/>
      </w:r>
      <w:r w:rsidR="009C09C9" w:rsidRPr="0098262F">
        <w:t xml:space="preserve">Table </w:t>
      </w:r>
      <w:r w:rsidR="009C09C9">
        <w:rPr>
          <w:noProof/>
        </w:rPr>
        <w:t>18</w:t>
      </w:r>
      <w:r w:rsidR="007B0344">
        <w:fldChar w:fldCharType="end"/>
      </w:r>
      <w:r w:rsidRPr="0042621F">
        <w:t>.</w:t>
      </w:r>
    </w:p>
    <w:p w14:paraId="38EC053C" w14:textId="754B9EA3" w:rsidR="00C25D9C" w:rsidRPr="0098262F" w:rsidRDefault="00E16AD8" w:rsidP="00E16AD8">
      <w:pPr>
        <w:pStyle w:val="Caption"/>
      </w:pPr>
      <w:bookmarkStart w:id="83" w:name="_Ref104805295"/>
      <w:r w:rsidRPr="0098262F">
        <w:lastRenderedPageBreak/>
        <w:t xml:space="preserve">Table </w:t>
      </w:r>
      <w:r w:rsidR="00311318">
        <w:fldChar w:fldCharType="begin"/>
      </w:r>
      <w:r w:rsidR="00311318">
        <w:instrText xml:space="preserve"> SEQ Table \* ARABIC </w:instrText>
      </w:r>
      <w:r w:rsidR="00311318">
        <w:fldChar w:fldCharType="separate"/>
      </w:r>
      <w:r w:rsidR="009C09C9">
        <w:rPr>
          <w:noProof/>
        </w:rPr>
        <w:t>18</w:t>
      </w:r>
      <w:r w:rsidR="00311318">
        <w:rPr>
          <w:noProof/>
        </w:rPr>
        <w:fldChar w:fldCharType="end"/>
      </w:r>
      <w:bookmarkEnd w:id="83"/>
      <w:r w:rsidRPr="0098262F">
        <w:t>:</w:t>
      </w:r>
      <w:r w:rsidR="002A2F50" w:rsidRPr="0098262F">
        <w:rPr>
          <w:rStyle w:val="CommentReference"/>
          <w:b/>
          <w:szCs w:val="24"/>
        </w:rPr>
        <w:t xml:space="preserve"> Estimated use and financial implications</w:t>
      </w:r>
      <w:r w:rsidR="00726763">
        <w:rPr>
          <w:rStyle w:val="CommentReference"/>
          <w:b/>
          <w:szCs w:val="24"/>
        </w:rPr>
        <w:t xml:space="preserve"> for periNIVO, and the</w:t>
      </w:r>
      <w:r w:rsidR="00B36098">
        <w:rPr>
          <w:rStyle w:val="CommentReference"/>
          <w:b/>
          <w:szCs w:val="24"/>
        </w:rPr>
        <w:t xml:space="preserve"> </w:t>
      </w:r>
      <w:r w:rsidR="00726763">
        <w:rPr>
          <w:rStyle w:val="CommentReference"/>
          <w:b/>
          <w:szCs w:val="24"/>
        </w:rPr>
        <w:t>July 2023 neoNIVO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for periNIVO, and the July 2023 neoNIVO resubmission"/>
        <w:tblDescription w:val="Table 18: Estimated use and financial implications for periNIVO, and the July 2023 neoNIVO resubmission"/>
      </w:tblPr>
      <w:tblGrid>
        <w:gridCol w:w="2405"/>
        <w:gridCol w:w="1102"/>
        <w:gridCol w:w="1102"/>
        <w:gridCol w:w="1102"/>
        <w:gridCol w:w="1102"/>
        <w:gridCol w:w="1102"/>
        <w:gridCol w:w="1102"/>
      </w:tblGrid>
      <w:tr w:rsidR="00DF3E91" w:rsidRPr="00DF3E91" w14:paraId="00D4CC47" w14:textId="77777777" w:rsidTr="00DF3E91">
        <w:trPr>
          <w:cantSplit/>
          <w:tblHeader/>
        </w:trPr>
        <w:tc>
          <w:tcPr>
            <w:tcW w:w="1334" w:type="pct"/>
            <w:shd w:val="clear" w:color="auto" w:fill="auto"/>
            <w:vAlign w:val="center"/>
          </w:tcPr>
          <w:p w14:paraId="6B7D8E7F" w14:textId="77777777" w:rsidR="00DF3E91" w:rsidRPr="00DF3E91" w:rsidRDefault="00DF3E91" w:rsidP="00DF3E91">
            <w:pPr>
              <w:pStyle w:val="Tabletext"/>
              <w:keepNext/>
              <w:rPr>
                <w:lang w:val="en-US"/>
              </w:rPr>
            </w:pPr>
          </w:p>
        </w:tc>
        <w:tc>
          <w:tcPr>
            <w:tcW w:w="611" w:type="pct"/>
            <w:shd w:val="clear" w:color="auto" w:fill="auto"/>
            <w:vAlign w:val="center"/>
          </w:tcPr>
          <w:p w14:paraId="4AD08C35" w14:textId="77777777" w:rsidR="00DF3E91" w:rsidRPr="00726763" w:rsidRDefault="00DF3E91" w:rsidP="00726763">
            <w:pPr>
              <w:pStyle w:val="Tabletext"/>
              <w:keepNext/>
              <w:jc w:val="center"/>
              <w:rPr>
                <w:b/>
                <w:bCs/>
                <w:lang w:val="en-US"/>
              </w:rPr>
            </w:pPr>
            <w:r w:rsidRPr="00726763">
              <w:rPr>
                <w:b/>
                <w:bCs/>
                <w:lang w:val="en-US"/>
              </w:rPr>
              <w:t>Year 1</w:t>
            </w:r>
          </w:p>
        </w:tc>
        <w:tc>
          <w:tcPr>
            <w:tcW w:w="611" w:type="pct"/>
            <w:shd w:val="clear" w:color="auto" w:fill="auto"/>
            <w:vAlign w:val="center"/>
          </w:tcPr>
          <w:p w14:paraId="3D9FA0A6" w14:textId="77777777" w:rsidR="00DF3E91" w:rsidRPr="00726763" w:rsidRDefault="00DF3E91" w:rsidP="00726763">
            <w:pPr>
              <w:pStyle w:val="Tabletext"/>
              <w:keepNext/>
              <w:jc w:val="center"/>
              <w:rPr>
                <w:b/>
                <w:bCs/>
                <w:lang w:val="en-US"/>
              </w:rPr>
            </w:pPr>
            <w:r w:rsidRPr="00726763">
              <w:rPr>
                <w:b/>
                <w:bCs/>
                <w:lang w:val="en-US"/>
              </w:rPr>
              <w:t>Year 2</w:t>
            </w:r>
          </w:p>
        </w:tc>
        <w:tc>
          <w:tcPr>
            <w:tcW w:w="611" w:type="pct"/>
            <w:shd w:val="clear" w:color="auto" w:fill="auto"/>
            <w:vAlign w:val="center"/>
          </w:tcPr>
          <w:p w14:paraId="2FE2E084" w14:textId="77777777" w:rsidR="00DF3E91" w:rsidRPr="00726763" w:rsidRDefault="00DF3E91" w:rsidP="00726763">
            <w:pPr>
              <w:pStyle w:val="Tabletext"/>
              <w:keepNext/>
              <w:jc w:val="center"/>
              <w:rPr>
                <w:b/>
                <w:bCs/>
                <w:lang w:val="en-US"/>
              </w:rPr>
            </w:pPr>
            <w:r w:rsidRPr="00726763">
              <w:rPr>
                <w:b/>
                <w:bCs/>
                <w:lang w:val="en-US"/>
              </w:rPr>
              <w:t>Year 3</w:t>
            </w:r>
          </w:p>
        </w:tc>
        <w:tc>
          <w:tcPr>
            <w:tcW w:w="611" w:type="pct"/>
            <w:shd w:val="clear" w:color="auto" w:fill="auto"/>
            <w:vAlign w:val="center"/>
          </w:tcPr>
          <w:p w14:paraId="2DCBE41F" w14:textId="77777777" w:rsidR="00DF3E91" w:rsidRPr="00726763" w:rsidRDefault="00DF3E91" w:rsidP="00726763">
            <w:pPr>
              <w:pStyle w:val="Tabletext"/>
              <w:keepNext/>
              <w:jc w:val="center"/>
              <w:rPr>
                <w:b/>
                <w:bCs/>
                <w:lang w:val="en-US"/>
              </w:rPr>
            </w:pPr>
            <w:r w:rsidRPr="00726763">
              <w:rPr>
                <w:b/>
                <w:bCs/>
                <w:lang w:val="en-US"/>
              </w:rPr>
              <w:t>Year 4</w:t>
            </w:r>
          </w:p>
        </w:tc>
        <w:tc>
          <w:tcPr>
            <w:tcW w:w="611" w:type="pct"/>
            <w:shd w:val="clear" w:color="auto" w:fill="auto"/>
            <w:vAlign w:val="center"/>
          </w:tcPr>
          <w:p w14:paraId="01FB4DA3" w14:textId="77777777" w:rsidR="00DF3E91" w:rsidRPr="00726763" w:rsidRDefault="00DF3E91" w:rsidP="00726763">
            <w:pPr>
              <w:pStyle w:val="Tabletext"/>
              <w:keepNext/>
              <w:jc w:val="center"/>
              <w:rPr>
                <w:b/>
                <w:bCs/>
                <w:lang w:val="en-US"/>
              </w:rPr>
            </w:pPr>
            <w:r w:rsidRPr="00726763">
              <w:rPr>
                <w:b/>
                <w:bCs/>
                <w:lang w:val="en-US"/>
              </w:rPr>
              <w:t>Year 5</w:t>
            </w:r>
          </w:p>
        </w:tc>
        <w:tc>
          <w:tcPr>
            <w:tcW w:w="611" w:type="pct"/>
          </w:tcPr>
          <w:p w14:paraId="20DE078F" w14:textId="77777777" w:rsidR="00DF3E91" w:rsidRPr="00726763" w:rsidRDefault="00DF3E91" w:rsidP="00726763">
            <w:pPr>
              <w:pStyle w:val="Tabletext"/>
              <w:keepNext/>
              <w:jc w:val="center"/>
              <w:rPr>
                <w:b/>
                <w:bCs/>
                <w:lang w:val="en-US"/>
              </w:rPr>
            </w:pPr>
            <w:r w:rsidRPr="00726763">
              <w:rPr>
                <w:b/>
                <w:bCs/>
                <w:lang w:val="en-US"/>
              </w:rPr>
              <w:t>Year 6</w:t>
            </w:r>
          </w:p>
        </w:tc>
      </w:tr>
      <w:tr w:rsidR="00543DB1" w:rsidRPr="00DF3E91" w14:paraId="11BBAF2E" w14:textId="77777777" w:rsidTr="003B2308">
        <w:trPr>
          <w:cantSplit/>
        </w:trPr>
        <w:tc>
          <w:tcPr>
            <w:tcW w:w="5000" w:type="pct"/>
            <w:gridSpan w:val="7"/>
            <w:tcBorders>
              <w:bottom w:val="single" w:sz="4" w:space="0" w:color="auto"/>
            </w:tcBorders>
            <w:shd w:val="clear" w:color="auto" w:fill="auto"/>
            <w:vAlign w:val="center"/>
          </w:tcPr>
          <w:p w14:paraId="1F4AC030" w14:textId="08896CF2" w:rsidR="00543DB1" w:rsidRPr="008A00D9" w:rsidRDefault="00BD7DA7" w:rsidP="00DF3E91">
            <w:pPr>
              <w:pStyle w:val="Tabletext"/>
              <w:keepNext/>
              <w:rPr>
                <w:b/>
                <w:bCs/>
                <w:lang w:val="en-US"/>
              </w:rPr>
            </w:pPr>
            <w:r>
              <w:rPr>
                <w:b/>
                <w:bCs/>
                <w:lang w:val="en-US"/>
              </w:rPr>
              <w:t>Pre-PBAC Response</w:t>
            </w:r>
          </w:p>
        </w:tc>
      </w:tr>
      <w:tr w:rsidR="00DF3E91" w:rsidRPr="00DF3E91" w14:paraId="5CC7AB49" w14:textId="77777777" w:rsidTr="003B2308">
        <w:trPr>
          <w:cantSplit/>
        </w:trPr>
        <w:tc>
          <w:tcPr>
            <w:tcW w:w="5000" w:type="pct"/>
            <w:gridSpan w:val="7"/>
            <w:tcBorders>
              <w:bottom w:val="single" w:sz="4" w:space="0" w:color="auto"/>
            </w:tcBorders>
            <w:shd w:val="clear" w:color="auto" w:fill="auto"/>
            <w:vAlign w:val="center"/>
          </w:tcPr>
          <w:p w14:paraId="7EAD634E" w14:textId="6E5999D6" w:rsidR="00DF3E91" w:rsidRPr="008A00D9" w:rsidRDefault="00DF3E91" w:rsidP="00DF3E91">
            <w:pPr>
              <w:pStyle w:val="Tabletext"/>
              <w:keepNext/>
              <w:rPr>
                <w:b/>
                <w:bCs/>
                <w:lang w:val="en-US"/>
              </w:rPr>
            </w:pPr>
            <w:r w:rsidRPr="008A00D9">
              <w:rPr>
                <w:b/>
                <w:bCs/>
                <w:lang w:val="en-US"/>
              </w:rPr>
              <w:t xml:space="preserve">Estimated </w:t>
            </w:r>
            <w:r w:rsidR="006A1574">
              <w:rPr>
                <w:b/>
                <w:bCs/>
                <w:lang w:val="en-US"/>
              </w:rPr>
              <w:t>extent</w:t>
            </w:r>
            <w:r w:rsidRPr="008A00D9">
              <w:rPr>
                <w:b/>
                <w:bCs/>
                <w:lang w:val="en-US"/>
              </w:rPr>
              <w:t xml:space="preserve"> of </w:t>
            </w:r>
            <w:r w:rsidR="006A1574">
              <w:rPr>
                <w:b/>
                <w:bCs/>
                <w:lang w:val="en-US"/>
              </w:rPr>
              <w:t>use</w:t>
            </w:r>
            <w:r w:rsidR="00726763">
              <w:rPr>
                <w:b/>
                <w:bCs/>
                <w:lang w:val="en-US"/>
              </w:rPr>
              <w:t xml:space="preserve"> of </w:t>
            </w:r>
            <w:r w:rsidRPr="008A00D9">
              <w:rPr>
                <w:b/>
                <w:bCs/>
                <w:lang w:val="en-US"/>
              </w:rPr>
              <w:t xml:space="preserve">periNIVO </w:t>
            </w:r>
          </w:p>
        </w:tc>
      </w:tr>
      <w:tr w:rsidR="00A27D36" w:rsidRPr="00DF3E91" w14:paraId="6537C6BB" w14:textId="77777777" w:rsidTr="00492922">
        <w:trPr>
          <w:cantSplit/>
        </w:trPr>
        <w:tc>
          <w:tcPr>
            <w:tcW w:w="1334" w:type="pct"/>
            <w:tcBorders>
              <w:top w:val="single" w:sz="4" w:space="0" w:color="auto"/>
            </w:tcBorders>
            <w:shd w:val="clear" w:color="auto" w:fill="auto"/>
          </w:tcPr>
          <w:p w14:paraId="1BF9A984" w14:textId="505037CC" w:rsidR="00A27D36" w:rsidRPr="00387AA9" w:rsidRDefault="00A27D36" w:rsidP="00A27D36">
            <w:pPr>
              <w:pStyle w:val="Tabletext"/>
              <w:keepNext/>
              <w:rPr>
                <w:bCs/>
                <w:vertAlign w:val="superscript"/>
              </w:rPr>
            </w:pPr>
            <w:r>
              <w:rPr>
                <w:bCs/>
              </w:rPr>
              <w:t xml:space="preserve">Total treated patients </w:t>
            </w:r>
          </w:p>
        </w:tc>
        <w:tc>
          <w:tcPr>
            <w:tcW w:w="611" w:type="pct"/>
            <w:tcBorders>
              <w:top w:val="single" w:sz="4" w:space="0" w:color="auto"/>
            </w:tcBorders>
            <w:shd w:val="clear" w:color="auto" w:fill="auto"/>
          </w:tcPr>
          <w:p w14:paraId="53E8F987" w14:textId="3586CCFE" w:rsidR="00A27D36" w:rsidRPr="007B6DB3" w:rsidRDefault="003F05CA" w:rsidP="00A27D36">
            <w:pPr>
              <w:pStyle w:val="Tabletext"/>
              <w:keepNext/>
              <w:jc w:val="center"/>
              <w:rPr>
                <w:bCs/>
                <w:vertAlign w:val="superscript"/>
              </w:rPr>
            </w:pPr>
            <w:r w:rsidRPr="00FE1A20">
              <w:rPr>
                <w:rFonts w:hint="eastAsia"/>
                <w:color w:val="000000"/>
                <w:w w:val="16"/>
                <w:shd w:val="solid" w:color="000000" w:fill="000000"/>
                <w:fitText w:val="75" w:id="-739980275"/>
                <w14:textFill>
                  <w14:solidFill>
                    <w14:srgbClr w14:val="000000">
                      <w14:alpha w14:val="100000"/>
                    </w14:srgbClr>
                  </w14:solidFill>
                </w14:textFill>
              </w:rPr>
              <w:t xml:space="preserve">　</w:t>
            </w:r>
            <w:r w:rsidRPr="00FE1A20">
              <w:rPr>
                <w:color w:val="000000"/>
                <w:w w:val="16"/>
                <w:shd w:val="solid" w:color="000000" w:fill="000000"/>
                <w:fitText w:val="75" w:id="-739980275"/>
                <w14:textFill>
                  <w14:solidFill>
                    <w14:srgbClr w14:val="000000">
                      <w14:alpha w14:val="100000"/>
                    </w14:srgbClr>
                  </w14:solidFill>
                </w14:textFill>
              </w:rPr>
              <w:t>|</w:t>
            </w:r>
            <w:r w:rsidRPr="00FE1A20">
              <w:rPr>
                <w:rFonts w:hint="eastAsia"/>
                <w:color w:val="000000"/>
                <w:w w:val="16"/>
                <w:shd w:val="solid" w:color="000000" w:fill="000000"/>
                <w:fitText w:val="75" w:id="-739980275"/>
                <w14:textFill>
                  <w14:solidFill>
                    <w14:srgbClr w14:val="000000">
                      <w14:alpha w14:val="100000"/>
                    </w14:srgbClr>
                  </w14:solidFill>
                </w14:textFill>
              </w:rPr>
              <w:t xml:space="preserve">　</w:t>
            </w:r>
            <w:r w:rsidR="007B6DB3">
              <w:rPr>
                <w:vertAlign w:val="superscript"/>
              </w:rPr>
              <w:t>1</w:t>
            </w:r>
          </w:p>
        </w:tc>
        <w:tc>
          <w:tcPr>
            <w:tcW w:w="611" w:type="pct"/>
            <w:tcBorders>
              <w:top w:val="single" w:sz="4" w:space="0" w:color="auto"/>
            </w:tcBorders>
            <w:shd w:val="clear" w:color="auto" w:fill="auto"/>
          </w:tcPr>
          <w:p w14:paraId="2BB9A24F" w14:textId="37D4F859"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74"/>
                <w14:textFill>
                  <w14:solidFill>
                    <w14:srgbClr w14:val="000000">
                      <w14:alpha w14:val="100000"/>
                    </w14:srgbClr>
                  </w14:solidFill>
                </w14:textFill>
              </w:rPr>
              <w:t xml:space="preserve">　</w:t>
            </w:r>
            <w:r w:rsidRPr="00FE1A20">
              <w:rPr>
                <w:color w:val="000000"/>
                <w:w w:val="16"/>
                <w:shd w:val="solid" w:color="000000" w:fill="000000"/>
                <w:fitText w:val="75" w:id="-739980274"/>
                <w14:textFill>
                  <w14:solidFill>
                    <w14:srgbClr w14:val="000000">
                      <w14:alpha w14:val="100000"/>
                    </w14:srgbClr>
                  </w14:solidFill>
                </w14:textFill>
              </w:rPr>
              <w:t>|</w:t>
            </w:r>
            <w:r w:rsidRPr="00FE1A20">
              <w:rPr>
                <w:rFonts w:hint="eastAsia"/>
                <w:color w:val="000000"/>
                <w:w w:val="16"/>
                <w:shd w:val="solid" w:color="000000" w:fill="000000"/>
                <w:fitText w:val="75" w:id="-739980274"/>
                <w14:textFill>
                  <w14:solidFill>
                    <w14:srgbClr w14:val="000000">
                      <w14:alpha w14:val="100000"/>
                    </w14:srgbClr>
                  </w14:solidFill>
                </w14:textFill>
              </w:rPr>
              <w:t xml:space="preserve">　</w:t>
            </w:r>
            <w:r w:rsidR="007B6DB3">
              <w:rPr>
                <w:vertAlign w:val="superscript"/>
              </w:rPr>
              <w:t>1</w:t>
            </w:r>
          </w:p>
        </w:tc>
        <w:tc>
          <w:tcPr>
            <w:tcW w:w="611" w:type="pct"/>
            <w:tcBorders>
              <w:top w:val="single" w:sz="4" w:space="0" w:color="auto"/>
            </w:tcBorders>
            <w:shd w:val="clear" w:color="auto" w:fill="auto"/>
          </w:tcPr>
          <w:p w14:paraId="0B948A9E" w14:textId="7923871C"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73"/>
                <w14:textFill>
                  <w14:solidFill>
                    <w14:srgbClr w14:val="000000">
                      <w14:alpha w14:val="100000"/>
                    </w14:srgbClr>
                  </w14:solidFill>
                </w14:textFill>
              </w:rPr>
              <w:t xml:space="preserve">　</w:t>
            </w:r>
            <w:r w:rsidRPr="00FE1A20">
              <w:rPr>
                <w:color w:val="000000"/>
                <w:w w:val="16"/>
                <w:shd w:val="solid" w:color="000000" w:fill="000000"/>
                <w:fitText w:val="75" w:id="-739980273"/>
                <w14:textFill>
                  <w14:solidFill>
                    <w14:srgbClr w14:val="000000">
                      <w14:alpha w14:val="100000"/>
                    </w14:srgbClr>
                  </w14:solidFill>
                </w14:textFill>
              </w:rPr>
              <w:t>|</w:t>
            </w:r>
            <w:r w:rsidRPr="00FE1A20">
              <w:rPr>
                <w:rFonts w:hint="eastAsia"/>
                <w:color w:val="000000"/>
                <w:w w:val="16"/>
                <w:shd w:val="solid" w:color="000000" w:fill="000000"/>
                <w:fitText w:val="75" w:id="-739980273"/>
                <w14:textFill>
                  <w14:solidFill>
                    <w14:srgbClr w14:val="000000">
                      <w14:alpha w14:val="100000"/>
                    </w14:srgbClr>
                  </w14:solidFill>
                </w14:textFill>
              </w:rPr>
              <w:t xml:space="preserve">　</w:t>
            </w:r>
            <w:r w:rsidR="007B6DB3">
              <w:rPr>
                <w:vertAlign w:val="superscript"/>
              </w:rPr>
              <w:t>1</w:t>
            </w:r>
          </w:p>
        </w:tc>
        <w:tc>
          <w:tcPr>
            <w:tcW w:w="611" w:type="pct"/>
            <w:tcBorders>
              <w:top w:val="single" w:sz="4" w:space="0" w:color="auto"/>
            </w:tcBorders>
            <w:shd w:val="clear" w:color="auto" w:fill="auto"/>
          </w:tcPr>
          <w:p w14:paraId="5C9681AD" w14:textId="630336EE"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72"/>
                <w14:textFill>
                  <w14:solidFill>
                    <w14:srgbClr w14:val="000000">
                      <w14:alpha w14:val="100000"/>
                    </w14:srgbClr>
                  </w14:solidFill>
                </w14:textFill>
              </w:rPr>
              <w:t xml:space="preserve">　</w:t>
            </w:r>
            <w:r w:rsidRPr="00FE1A20">
              <w:rPr>
                <w:color w:val="000000"/>
                <w:w w:val="16"/>
                <w:shd w:val="solid" w:color="000000" w:fill="000000"/>
                <w:fitText w:val="75" w:id="-739980272"/>
                <w14:textFill>
                  <w14:solidFill>
                    <w14:srgbClr w14:val="000000">
                      <w14:alpha w14:val="100000"/>
                    </w14:srgbClr>
                  </w14:solidFill>
                </w14:textFill>
              </w:rPr>
              <w:t>|</w:t>
            </w:r>
            <w:r w:rsidRPr="00FE1A20">
              <w:rPr>
                <w:rFonts w:hint="eastAsia"/>
                <w:color w:val="000000"/>
                <w:w w:val="16"/>
                <w:shd w:val="solid" w:color="000000" w:fill="000000"/>
                <w:fitText w:val="75" w:id="-739980272"/>
                <w14:textFill>
                  <w14:solidFill>
                    <w14:srgbClr w14:val="000000">
                      <w14:alpha w14:val="100000"/>
                    </w14:srgbClr>
                  </w14:solidFill>
                </w14:textFill>
              </w:rPr>
              <w:t xml:space="preserve">　</w:t>
            </w:r>
            <w:r w:rsidR="007B6DB3">
              <w:rPr>
                <w:vertAlign w:val="superscript"/>
              </w:rPr>
              <w:t>1</w:t>
            </w:r>
          </w:p>
        </w:tc>
        <w:tc>
          <w:tcPr>
            <w:tcW w:w="611" w:type="pct"/>
            <w:tcBorders>
              <w:top w:val="single" w:sz="4" w:space="0" w:color="auto"/>
            </w:tcBorders>
            <w:shd w:val="clear" w:color="auto" w:fill="auto"/>
          </w:tcPr>
          <w:p w14:paraId="14F99F1E" w14:textId="0D5F28BF"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8"/>
                <w14:textFill>
                  <w14:solidFill>
                    <w14:srgbClr w14:val="000000">
                      <w14:alpha w14:val="100000"/>
                    </w14:srgbClr>
                  </w14:solidFill>
                </w14:textFill>
              </w:rPr>
              <w:t xml:space="preserve">　</w:t>
            </w:r>
            <w:r w:rsidRPr="00FE1A20">
              <w:rPr>
                <w:color w:val="000000"/>
                <w:w w:val="16"/>
                <w:shd w:val="solid" w:color="000000" w:fill="000000"/>
                <w:fitText w:val="75" w:id="-739980288"/>
                <w14:textFill>
                  <w14:solidFill>
                    <w14:srgbClr w14:val="000000">
                      <w14:alpha w14:val="100000"/>
                    </w14:srgbClr>
                  </w14:solidFill>
                </w14:textFill>
              </w:rPr>
              <w:t>|</w:t>
            </w:r>
            <w:r w:rsidRPr="00FE1A20">
              <w:rPr>
                <w:rFonts w:hint="eastAsia"/>
                <w:color w:val="000000"/>
                <w:w w:val="16"/>
                <w:shd w:val="solid" w:color="000000" w:fill="000000"/>
                <w:fitText w:val="75" w:id="-739980288"/>
                <w14:textFill>
                  <w14:solidFill>
                    <w14:srgbClr w14:val="000000">
                      <w14:alpha w14:val="100000"/>
                    </w14:srgbClr>
                  </w14:solidFill>
                </w14:textFill>
              </w:rPr>
              <w:t xml:space="preserve">　</w:t>
            </w:r>
            <w:r w:rsidR="007B6DB3">
              <w:rPr>
                <w:vertAlign w:val="superscript"/>
              </w:rPr>
              <w:t>1</w:t>
            </w:r>
          </w:p>
        </w:tc>
        <w:tc>
          <w:tcPr>
            <w:tcW w:w="611" w:type="pct"/>
            <w:tcBorders>
              <w:top w:val="single" w:sz="4" w:space="0" w:color="auto"/>
            </w:tcBorders>
            <w:shd w:val="clear" w:color="auto" w:fill="auto"/>
          </w:tcPr>
          <w:p w14:paraId="475A1080" w14:textId="16AAEA86"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7"/>
                <w14:textFill>
                  <w14:solidFill>
                    <w14:srgbClr w14:val="000000">
                      <w14:alpha w14:val="100000"/>
                    </w14:srgbClr>
                  </w14:solidFill>
                </w14:textFill>
              </w:rPr>
              <w:t xml:space="preserve">　</w:t>
            </w:r>
            <w:r w:rsidRPr="00FE1A20">
              <w:rPr>
                <w:color w:val="000000"/>
                <w:w w:val="16"/>
                <w:shd w:val="solid" w:color="000000" w:fill="000000"/>
                <w:fitText w:val="75" w:id="-739980287"/>
                <w14:textFill>
                  <w14:solidFill>
                    <w14:srgbClr w14:val="000000">
                      <w14:alpha w14:val="100000"/>
                    </w14:srgbClr>
                  </w14:solidFill>
                </w14:textFill>
              </w:rPr>
              <w:t>|</w:t>
            </w:r>
            <w:r w:rsidRPr="00FE1A20">
              <w:rPr>
                <w:rFonts w:hint="eastAsia"/>
                <w:color w:val="000000"/>
                <w:w w:val="16"/>
                <w:shd w:val="solid" w:color="000000" w:fill="000000"/>
                <w:fitText w:val="75" w:id="-739980287"/>
                <w14:textFill>
                  <w14:solidFill>
                    <w14:srgbClr w14:val="000000">
                      <w14:alpha w14:val="100000"/>
                    </w14:srgbClr>
                  </w14:solidFill>
                </w14:textFill>
              </w:rPr>
              <w:t xml:space="preserve">　</w:t>
            </w:r>
            <w:r w:rsidR="007B6DB3">
              <w:rPr>
                <w:vertAlign w:val="superscript"/>
              </w:rPr>
              <w:t>1</w:t>
            </w:r>
          </w:p>
        </w:tc>
      </w:tr>
      <w:tr w:rsidR="00A27D36" w:rsidRPr="00DF3E91" w14:paraId="7F4103B6" w14:textId="77777777" w:rsidTr="00492922">
        <w:trPr>
          <w:cantSplit/>
        </w:trPr>
        <w:tc>
          <w:tcPr>
            <w:tcW w:w="1334" w:type="pct"/>
            <w:shd w:val="clear" w:color="auto" w:fill="auto"/>
          </w:tcPr>
          <w:p w14:paraId="32A9544B" w14:textId="67D7CF96" w:rsidR="00A27D36" w:rsidRDefault="00A27D36" w:rsidP="00A27D36">
            <w:pPr>
              <w:pStyle w:val="Tabletext"/>
              <w:keepNext/>
              <w:rPr>
                <w:bCs/>
              </w:rPr>
            </w:pPr>
            <w:r>
              <w:rPr>
                <w:bCs/>
              </w:rPr>
              <w:t xml:space="preserve">Total number of scripts </w:t>
            </w:r>
          </w:p>
        </w:tc>
        <w:tc>
          <w:tcPr>
            <w:tcW w:w="611" w:type="pct"/>
            <w:shd w:val="clear" w:color="auto" w:fill="auto"/>
          </w:tcPr>
          <w:p w14:paraId="25139684" w14:textId="626F40B8" w:rsidR="00A27D36" w:rsidRPr="00C074E0" w:rsidRDefault="003F05CA" w:rsidP="00A27D36">
            <w:pPr>
              <w:pStyle w:val="Tabletext"/>
              <w:keepNext/>
              <w:jc w:val="center"/>
              <w:rPr>
                <w:bCs/>
                <w:vertAlign w:val="superscript"/>
              </w:rPr>
            </w:pPr>
            <w:r w:rsidRPr="00FE1A20">
              <w:rPr>
                <w:rFonts w:hint="eastAsia"/>
                <w:color w:val="000000"/>
                <w:w w:val="15"/>
                <w:shd w:val="solid" w:color="000000" w:fill="000000"/>
                <w:fitText w:val="45" w:id="-739980286"/>
                <w14:textFill>
                  <w14:solidFill>
                    <w14:srgbClr w14:val="000000">
                      <w14:alpha w14:val="100000"/>
                    </w14:srgbClr>
                  </w14:solidFill>
                </w14:textFill>
              </w:rPr>
              <w:t xml:space="preserve">　</w:t>
            </w:r>
            <w:r w:rsidRPr="00FE1A20">
              <w:rPr>
                <w:color w:val="000000"/>
                <w:w w:val="15"/>
                <w:shd w:val="solid" w:color="000000" w:fill="000000"/>
                <w:fitText w:val="45" w:id="-739980286"/>
                <w14:textFill>
                  <w14:solidFill>
                    <w14:srgbClr w14:val="000000">
                      <w14:alpha w14:val="100000"/>
                    </w14:srgbClr>
                  </w14:solidFill>
                </w14:textFill>
              </w:rPr>
              <w:t>|</w:t>
            </w:r>
            <w:r w:rsidRPr="00FE1A20">
              <w:rPr>
                <w:rFonts w:hint="eastAsia"/>
                <w:color w:val="000000"/>
                <w:spacing w:val="-99"/>
                <w:w w:val="15"/>
                <w:shd w:val="solid" w:color="000000" w:fill="000000"/>
                <w:fitText w:val="45" w:id="-739980286"/>
                <w14:textFill>
                  <w14:solidFill>
                    <w14:srgbClr w14:val="000000">
                      <w14:alpha w14:val="100000"/>
                    </w14:srgbClr>
                  </w14:solidFill>
                </w14:textFill>
              </w:rPr>
              <w:t xml:space="preserve">　</w:t>
            </w:r>
            <w:r w:rsidR="00C074E0">
              <w:rPr>
                <w:vertAlign w:val="superscript"/>
              </w:rPr>
              <w:t>2</w:t>
            </w:r>
          </w:p>
        </w:tc>
        <w:tc>
          <w:tcPr>
            <w:tcW w:w="611" w:type="pct"/>
            <w:shd w:val="clear" w:color="auto" w:fill="auto"/>
          </w:tcPr>
          <w:p w14:paraId="7B82148D" w14:textId="35F3E6EE"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5"/>
                <w14:textFill>
                  <w14:solidFill>
                    <w14:srgbClr w14:val="000000">
                      <w14:alpha w14:val="100000"/>
                    </w14:srgbClr>
                  </w14:solidFill>
                </w14:textFill>
              </w:rPr>
              <w:t xml:space="preserve">　</w:t>
            </w:r>
            <w:r w:rsidRPr="00FE1A20">
              <w:rPr>
                <w:color w:val="000000"/>
                <w:w w:val="16"/>
                <w:shd w:val="solid" w:color="000000" w:fill="000000"/>
                <w:fitText w:val="75" w:id="-739980285"/>
                <w14:textFill>
                  <w14:solidFill>
                    <w14:srgbClr w14:val="000000">
                      <w14:alpha w14:val="100000"/>
                    </w14:srgbClr>
                  </w14:solidFill>
                </w14:textFill>
              </w:rPr>
              <w:t>|</w:t>
            </w:r>
            <w:r w:rsidRPr="00FE1A20">
              <w:rPr>
                <w:rFonts w:hint="eastAsia"/>
                <w:color w:val="000000"/>
                <w:w w:val="16"/>
                <w:shd w:val="solid" w:color="000000" w:fill="000000"/>
                <w:fitText w:val="75" w:id="-739980285"/>
                <w14:textFill>
                  <w14:solidFill>
                    <w14:srgbClr w14:val="000000">
                      <w14:alpha w14:val="100000"/>
                    </w14:srgbClr>
                  </w14:solidFill>
                </w14:textFill>
              </w:rPr>
              <w:t xml:space="preserve">　</w:t>
            </w:r>
            <w:r w:rsidR="00C074E0">
              <w:rPr>
                <w:vertAlign w:val="superscript"/>
              </w:rPr>
              <w:t>2</w:t>
            </w:r>
          </w:p>
        </w:tc>
        <w:tc>
          <w:tcPr>
            <w:tcW w:w="611" w:type="pct"/>
            <w:shd w:val="clear" w:color="auto" w:fill="auto"/>
          </w:tcPr>
          <w:p w14:paraId="485B53D1" w14:textId="68EF008A"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4"/>
                <w14:textFill>
                  <w14:solidFill>
                    <w14:srgbClr w14:val="000000">
                      <w14:alpha w14:val="100000"/>
                    </w14:srgbClr>
                  </w14:solidFill>
                </w14:textFill>
              </w:rPr>
              <w:t xml:space="preserve">　</w:t>
            </w:r>
            <w:r w:rsidRPr="00FE1A20">
              <w:rPr>
                <w:color w:val="000000"/>
                <w:w w:val="16"/>
                <w:shd w:val="solid" w:color="000000" w:fill="000000"/>
                <w:fitText w:val="75" w:id="-739980284"/>
                <w14:textFill>
                  <w14:solidFill>
                    <w14:srgbClr w14:val="000000">
                      <w14:alpha w14:val="100000"/>
                    </w14:srgbClr>
                  </w14:solidFill>
                </w14:textFill>
              </w:rPr>
              <w:t>|</w:t>
            </w:r>
            <w:r w:rsidRPr="00FE1A20">
              <w:rPr>
                <w:rFonts w:hint="eastAsia"/>
                <w:color w:val="000000"/>
                <w:w w:val="16"/>
                <w:shd w:val="solid" w:color="000000" w:fill="000000"/>
                <w:fitText w:val="75" w:id="-739980284"/>
                <w14:textFill>
                  <w14:solidFill>
                    <w14:srgbClr w14:val="000000">
                      <w14:alpha w14:val="100000"/>
                    </w14:srgbClr>
                  </w14:solidFill>
                </w14:textFill>
              </w:rPr>
              <w:t xml:space="preserve">　</w:t>
            </w:r>
            <w:r w:rsidR="00C074E0">
              <w:rPr>
                <w:vertAlign w:val="superscript"/>
              </w:rPr>
              <w:t>2</w:t>
            </w:r>
          </w:p>
        </w:tc>
        <w:tc>
          <w:tcPr>
            <w:tcW w:w="611" w:type="pct"/>
            <w:shd w:val="clear" w:color="auto" w:fill="auto"/>
          </w:tcPr>
          <w:p w14:paraId="72AB56A9" w14:textId="33F4A44C"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3"/>
                <w14:textFill>
                  <w14:solidFill>
                    <w14:srgbClr w14:val="000000">
                      <w14:alpha w14:val="100000"/>
                    </w14:srgbClr>
                  </w14:solidFill>
                </w14:textFill>
              </w:rPr>
              <w:t xml:space="preserve">　</w:t>
            </w:r>
            <w:r w:rsidRPr="00FE1A20">
              <w:rPr>
                <w:color w:val="000000"/>
                <w:w w:val="16"/>
                <w:shd w:val="solid" w:color="000000" w:fill="000000"/>
                <w:fitText w:val="75" w:id="-739980283"/>
                <w14:textFill>
                  <w14:solidFill>
                    <w14:srgbClr w14:val="000000">
                      <w14:alpha w14:val="100000"/>
                    </w14:srgbClr>
                  </w14:solidFill>
                </w14:textFill>
              </w:rPr>
              <w:t>|</w:t>
            </w:r>
            <w:r w:rsidRPr="00FE1A20">
              <w:rPr>
                <w:rFonts w:hint="eastAsia"/>
                <w:color w:val="000000"/>
                <w:w w:val="16"/>
                <w:shd w:val="solid" w:color="000000" w:fill="000000"/>
                <w:fitText w:val="75" w:id="-739980283"/>
                <w14:textFill>
                  <w14:solidFill>
                    <w14:srgbClr w14:val="000000">
                      <w14:alpha w14:val="100000"/>
                    </w14:srgbClr>
                  </w14:solidFill>
                </w14:textFill>
              </w:rPr>
              <w:t xml:space="preserve">　</w:t>
            </w:r>
            <w:r w:rsidR="00C074E0">
              <w:rPr>
                <w:vertAlign w:val="superscript"/>
              </w:rPr>
              <w:t>2</w:t>
            </w:r>
          </w:p>
        </w:tc>
        <w:tc>
          <w:tcPr>
            <w:tcW w:w="611" w:type="pct"/>
            <w:shd w:val="clear" w:color="auto" w:fill="auto"/>
          </w:tcPr>
          <w:p w14:paraId="32287427" w14:textId="4B4FBC3E"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2"/>
                <w14:textFill>
                  <w14:solidFill>
                    <w14:srgbClr w14:val="000000">
                      <w14:alpha w14:val="100000"/>
                    </w14:srgbClr>
                  </w14:solidFill>
                </w14:textFill>
              </w:rPr>
              <w:t xml:space="preserve">　</w:t>
            </w:r>
            <w:r w:rsidRPr="00FE1A20">
              <w:rPr>
                <w:color w:val="000000"/>
                <w:w w:val="16"/>
                <w:shd w:val="solid" w:color="000000" w:fill="000000"/>
                <w:fitText w:val="75" w:id="-739980282"/>
                <w14:textFill>
                  <w14:solidFill>
                    <w14:srgbClr w14:val="000000">
                      <w14:alpha w14:val="100000"/>
                    </w14:srgbClr>
                  </w14:solidFill>
                </w14:textFill>
              </w:rPr>
              <w:t>|</w:t>
            </w:r>
            <w:r w:rsidRPr="00FE1A20">
              <w:rPr>
                <w:rFonts w:hint="eastAsia"/>
                <w:color w:val="000000"/>
                <w:w w:val="16"/>
                <w:shd w:val="solid" w:color="000000" w:fill="000000"/>
                <w:fitText w:val="75" w:id="-739980282"/>
                <w14:textFill>
                  <w14:solidFill>
                    <w14:srgbClr w14:val="000000">
                      <w14:alpha w14:val="100000"/>
                    </w14:srgbClr>
                  </w14:solidFill>
                </w14:textFill>
              </w:rPr>
              <w:t xml:space="preserve">　</w:t>
            </w:r>
            <w:r w:rsidR="00C074E0">
              <w:rPr>
                <w:vertAlign w:val="superscript"/>
              </w:rPr>
              <w:t>2</w:t>
            </w:r>
          </w:p>
        </w:tc>
        <w:tc>
          <w:tcPr>
            <w:tcW w:w="611" w:type="pct"/>
            <w:shd w:val="clear" w:color="auto" w:fill="auto"/>
          </w:tcPr>
          <w:p w14:paraId="54FCBF3A" w14:textId="4CF57F0C" w:rsidR="00A27D36" w:rsidRPr="00DF03DE" w:rsidRDefault="003F05CA" w:rsidP="00A27D36">
            <w:pPr>
              <w:pStyle w:val="Tabletext"/>
              <w:keepNext/>
              <w:jc w:val="center"/>
              <w:rPr>
                <w:bCs/>
                <w:highlight w:val="darkGray"/>
              </w:rPr>
            </w:pPr>
            <w:r w:rsidRPr="00FE1A20">
              <w:rPr>
                <w:rFonts w:hint="eastAsia"/>
                <w:color w:val="000000"/>
                <w:w w:val="16"/>
                <w:shd w:val="solid" w:color="000000" w:fill="000000"/>
                <w:fitText w:val="75" w:id="-739980281"/>
                <w14:textFill>
                  <w14:solidFill>
                    <w14:srgbClr w14:val="000000">
                      <w14:alpha w14:val="100000"/>
                    </w14:srgbClr>
                  </w14:solidFill>
                </w14:textFill>
              </w:rPr>
              <w:t xml:space="preserve">　</w:t>
            </w:r>
            <w:r w:rsidRPr="00FE1A20">
              <w:rPr>
                <w:color w:val="000000"/>
                <w:w w:val="16"/>
                <w:shd w:val="solid" w:color="000000" w:fill="000000"/>
                <w:fitText w:val="75" w:id="-739980281"/>
                <w14:textFill>
                  <w14:solidFill>
                    <w14:srgbClr w14:val="000000">
                      <w14:alpha w14:val="100000"/>
                    </w14:srgbClr>
                  </w14:solidFill>
                </w14:textFill>
              </w:rPr>
              <w:t>|</w:t>
            </w:r>
            <w:r w:rsidRPr="00FE1A20">
              <w:rPr>
                <w:rFonts w:hint="eastAsia"/>
                <w:color w:val="000000"/>
                <w:w w:val="16"/>
                <w:shd w:val="solid" w:color="000000" w:fill="000000"/>
                <w:fitText w:val="75" w:id="-739980281"/>
                <w14:textFill>
                  <w14:solidFill>
                    <w14:srgbClr w14:val="000000">
                      <w14:alpha w14:val="100000"/>
                    </w14:srgbClr>
                  </w14:solidFill>
                </w14:textFill>
              </w:rPr>
              <w:t xml:space="preserve">　</w:t>
            </w:r>
            <w:r w:rsidR="00C074E0">
              <w:rPr>
                <w:vertAlign w:val="superscript"/>
              </w:rPr>
              <w:t>2</w:t>
            </w:r>
          </w:p>
        </w:tc>
      </w:tr>
      <w:tr w:rsidR="003B2308" w:rsidRPr="00DF3E91" w14:paraId="773A2D6F" w14:textId="77777777" w:rsidTr="003B2308">
        <w:trPr>
          <w:cantSplit/>
        </w:trPr>
        <w:tc>
          <w:tcPr>
            <w:tcW w:w="5000" w:type="pct"/>
            <w:gridSpan w:val="7"/>
            <w:shd w:val="clear" w:color="auto" w:fill="auto"/>
          </w:tcPr>
          <w:p w14:paraId="11A16206" w14:textId="7DE68396" w:rsidR="003B2308" w:rsidRPr="003B2308" w:rsidRDefault="003B2308" w:rsidP="003B2308">
            <w:pPr>
              <w:pStyle w:val="Tabletext"/>
              <w:keepNext/>
              <w:rPr>
                <w:b/>
              </w:rPr>
            </w:pPr>
            <w:r w:rsidRPr="003B2308">
              <w:rPr>
                <w:b/>
              </w:rPr>
              <w:t>Estimated financial implications of periNIVO</w:t>
            </w:r>
            <w:r w:rsidR="0042777E">
              <w:rPr>
                <w:b/>
              </w:rPr>
              <w:t xml:space="preserve"> </w:t>
            </w:r>
          </w:p>
        </w:tc>
      </w:tr>
      <w:tr w:rsidR="00EA4FA6" w:rsidRPr="00DF3E91" w14:paraId="7760ACFF" w14:textId="77777777" w:rsidTr="00492922">
        <w:trPr>
          <w:cantSplit/>
        </w:trPr>
        <w:tc>
          <w:tcPr>
            <w:tcW w:w="1334" w:type="pct"/>
            <w:shd w:val="clear" w:color="auto" w:fill="auto"/>
          </w:tcPr>
          <w:p w14:paraId="7302EFF3" w14:textId="3F888EEA" w:rsidR="00EA4FA6" w:rsidRPr="00DF3E91" w:rsidRDefault="00EA4FA6" w:rsidP="00EA4FA6">
            <w:pPr>
              <w:pStyle w:val="Tabletext"/>
              <w:keepNext/>
              <w:rPr>
                <w:bCs/>
              </w:rPr>
            </w:pPr>
            <w:r w:rsidRPr="00DF3E91">
              <w:rPr>
                <w:bCs/>
              </w:rPr>
              <w:t xml:space="preserve">Total cost to the PBS/RPBS, </w:t>
            </w:r>
            <w:r>
              <w:rPr>
                <w:bCs/>
              </w:rPr>
              <w:t>less</w:t>
            </w:r>
            <w:r w:rsidRPr="00DF3E91">
              <w:rPr>
                <w:bCs/>
              </w:rPr>
              <w:t xml:space="preserve"> copayments</w:t>
            </w:r>
          </w:p>
        </w:tc>
        <w:tc>
          <w:tcPr>
            <w:tcW w:w="611" w:type="pct"/>
            <w:shd w:val="clear" w:color="auto" w:fill="auto"/>
            <w:vAlign w:val="center"/>
          </w:tcPr>
          <w:p w14:paraId="52BC34B6" w14:textId="14611309" w:rsidR="00EA4FA6" w:rsidRPr="00EA3B00" w:rsidRDefault="00EA4FA6" w:rsidP="00C42838">
            <w:pPr>
              <w:pStyle w:val="Tabletext"/>
              <w:keepNext/>
              <w:jc w:val="center"/>
              <w:rPr>
                <w:b/>
                <w:vertAlign w:val="superscript"/>
              </w:rPr>
            </w:pPr>
            <w:r w:rsidRPr="00A85B3D">
              <w:t>$</w:t>
            </w:r>
            <w:r w:rsidR="003F05CA" w:rsidRPr="001E7429">
              <w:rPr>
                <w:rFonts w:hint="eastAsia"/>
                <w:color w:val="000000"/>
                <w:w w:val="23"/>
                <w:shd w:val="solid" w:color="000000" w:fill="000000"/>
                <w:fitText w:val="105" w:id="-739980280"/>
                <w14:textFill>
                  <w14:solidFill>
                    <w14:srgbClr w14:val="000000">
                      <w14:alpha w14:val="100000"/>
                    </w14:srgbClr>
                  </w14:solidFill>
                </w14:textFill>
              </w:rPr>
              <w:t xml:space="preserve">　</w:t>
            </w:r>
            <w:r w:rsidR="003F05CA" w:rsidRPr="001E7429">
              <w:rPr>
                <w:color w:val="000000"/>
                <w:w w:val="23"/>
                <w:shd w:val="solid" w:color="000000" w:fill="000000"/>
                <w:fitText w:val="105" w:id="-739980280"/>
                <w14:textFill>
                  <w14:solidFill>
                    <w14:srgbClr w14:val="000000">
                      <w14:alpha w14:val="100000"/>
                    </w14:srgbClr>
                  </w14:solidFill>
                </w14:textFill>
              </w:rPr>
              <w:t>|</w:t>
            </w:r>
            <w:r w:rsidR="003F05CA" w:rsidRPr="001E7429">
              <w:rPr>
                <w:rFonts w:hint="eastAsia"/>
                <w:color w:val="000000"/>
                <w:spacing w:val="4"/>
                <w:w w:val="23"/>
                <w:shd w:val="solid" w:color="000000" w:fill="000000"/>
                <w:fitText w:val="105" w:id="-739980280"/>
                <w14:textFill>
                  <w14:solidFill>
                    <w14:srgbClr w14:val="000000">
                      <w14:alpha w14:val="100000"/>
                    </w14:srgbClr>
                  </w14:solidFill>
                </w14:textFill>
              </w:rPr>
              <w:t xml:space="preserve">　</w:t>
            </w:r>
            <w:r w:rsidR="00EA3B00">
              <w:rPr>
                <w:vertAlign w:val="superscript"/>
              </w:rPr>
              <w:t>3</w:t>
            </w:r>
          </w:p>
        </w:tc>
        <w:tc>
          <w:tcPr>
            <w:tcW w:w="611" w:type="pct"/>
            <w:shd w:val="clear" w:color="auto" w:fill="auto"/>
            <w:vAlign w:val="center"/>
          </w:tcPr>
          <w:p w14:paraId="193F18A4" w14:textId="5E2E856D" w:rsidR="00EA4FA6" w:rsidRPr="008B4E8B" w:rsidRDefault="00EA4FA6" w:rsidP="00C42838">
            <w:pPr>
              <w:pStyle w:val="Tabletext"/>
              <w:keepNext/>
              <w:jc w:val="center"/>
              <w:rPr>
                <w:b/>
              </w:rPr>
            </w:pPr>
            <w:r w:rsidRPr="00A85B3D">
              <w:t>$</w:t>
            </w:r>
            <w:r w:rsidR="003F05CA" w:rsidRPr="001E7429">
              <w:rPr>
                <w:rFonts w:hint="eastAsia"/>
                <w:color w:val="000000"/>
                <w:w w:val="23"/>
                <w:shd w:val="solid" w:color="000000" w:fill="000000"/>
                <w:fitText w:val="105" w:id="-739980279"/>
                <w14:textFill>
                  <w14:solidFill>
                    <w14:srgbClr w14:val="000000">
                      <w14:alpha w14:val="100000"/>
                    </w14:srgbClr>
                  </w14:solidFill>
                </w14:textFill>
              </w:rPr>
              <w:t xml:space="preserve">　</w:t>
            </w:r>
            <w:r w:rsidR="003F05CA" w:rsidRPr="001E7429">
              <w:rPr>
                <w:color w:val="000000"/>
                <w:w w:val="23"/>
                <w:shd w:val="solid" w:color="000000" w:fill="000000"/>
                <w:fitText w:val="105" w:id="-739980279"/>
                <w14:textFill>
                  <w14:solidFill>
                    <w14:srgbClr w14:val="000000">
                      <w14:alpha w14:val="100000"/>
                    </w14:srgbClr>
                  </w14:solidFill>
                </w14:textFill>
              </w:rPr>
              <w:t>|</w:t>
            </w:r>
            <w:r w:rsidR="003F05CA" w:rsidRPr="001E7429">
              <w:rPr>
                <w:rFonts w:hint="eastAsia"/>
                <w:color w:val="000000"/>
                <w:spacing w:val="4"/>
                <w:w w:val="23"/>
                <w:shd w:val="solid" w:color="000000" w:fill="000000"/>
                <w:fitText w:val="105" w:id="-739980279"/>
                <w14:textFill>
                  <w14:solidFill>
                    <w14:srgbClr w14:val="000000">
                      <w14:alpha w14:val="100000"/>
                    </w14:srgbClr>
                  </w14:solidFill>
                </w14:textFill>
              </w:rPr>
              <w:t xml:space="preserve">　</w:t>
            </w:r>
            <w:r w:rsidR="00EA3B00">
              <w:rPr>
                <w:vertAlign w:val="superscript"/>
              </w:rPr>
              <w:t>3</w:t>
            </w:r>
          </w:p>
        </w:tc>
        <w:tc>
          <w:tcPr>
            <w:tcW w:w="611" w:type="pct"/>
            <w:shd w:val="clear" w:color="auto" w:fill="auto"/>
            <w:vAlign w:val="center"/>
          </w:tcPr>
          <w:p w14:paraId="24A0FBFC" w14:textId="128CED5F" w:rsidR="00EA4FA6" w:rsidRPr="008B4E8B" w:rsidRDefault="00EA4FA6" w:rsidP="00C42838">
            <w:pPr>
              <w:pStyle w:val="Tabletext"/>
              <w:keepNext/>
              <w:jc w:val="center"/>
              <w:rPr>
                <w:b/>
              </w:rPr>
            </w:pPr>
            <w:r w:rsidRPr="00A85B3D">
              <w:t>$</w:t>
            </w:r>
            <w:r w:rsidR="003F05CA" w:rsidRPr="001E7429">
              <w:rPr>
                <w:rFonts w:hint="eastAsia"/>
                <w:color w:val="000000"/>
                <w:w w:val="23"/>
                <w:shd w:val="solid" w:color="000000" w:fill="000000"/>
                <w:fitText w:val="105" w:id="-739980278"/>
                <w14:textFill>
                  <w14:solidFill>
                    <w14:srgbClr w14:val="000000">
                      <w14:alpha w14:val="100000"/>
                    </w14:srgbClr>
                  </w14:solidFill>
                </w14:textFill>
              </w:rPr>
              <w:t xml:space="preserve">　</w:t>
            </w:r>
            <w:r w:rsidR="003F05CA" w:rsidRPr="001E7429">
              <w:rPr>
                <w:color w:val="000000"/>
                <w:w w:val="23"/>
                <w:shd w:val="solid" w:color="000000" w:fill="000000"/>
                <w:fitText w:val="105" w:id="-739980278"/>
                <w14:textFill>
                  <w14:solidFill>
                    <w14:srgbClr w14:val="000000">
                      <w14:alpha w14:val="100000"/>
                    </w14:srgbClr>
                  </w14:solidFill>
                </w14:textFill>
              </w:rPr>
              <w:t>|</w:t>
            </w:r>
            <w:r w:rsidR="003F05CA" w:rsidRPr="001E7429">
              <w:rPr>
                <w:rFonts w:hint="eastAsia"/>
                <w:color w:val="000000"/>
                <w:spacing w:val="4"/>
                <w:w w:val="23"/>
                <w:shd w:val="solid" w:color="000000" w:fill="000000"/>
                <w:fitText w:val="105" w:id="-739980278"/>
                <w14:textFill>
                  <w14:solidFill>
                    <w14:srgbClr w14:val="000000">
                      <w14:alpha w14:val="100000"/>
                    </w14:srgbClr>
                  </w14:solidFill>
                </w14:textFill>
              </w:rPr>
              <w:t xml:space="preserve">　</w:t>
            </w:r>
            <w:r w:rsidR="00EA3B00">
              <w:rPr>
                <w:vertAlign w:val="superscript"/>
              </w:rPr>
              <w:t>3</w:t>
            </w:r>
          </w:p>
        </w:tc>
        <w:tc>
          <w:tcPr>
            <w:tcW w:w="611" w:type="pct"/>
            <w:shd w:val="clear" w:color="auto" w:fill="auto"/>
            <w:vAlign w:val="center"/>
          </w:tcPr>
          <w:p w14:paraId="4EEFB30F" w14:textId="6F349F8B" w:rsidR="00EA4FA6" w:rsidRPr="008B4E8B" w:rsidRDefault="00EA4FA6" w:rsidP="00C42838">
            <w:pPr>
              <w:pStyle w:val="Tabletext"/>
              <w:keepNext/>
              <w:jc w:val="center"/>
              <w:rPr>
                <w:b/>
              </w:rPr>
            </w:pPr>
            <w:r w:rsidRPr="00A85B3D">
              <w:t>$</w:t>
            </w:r>
            <w:r w:rsidR="003F05CA" w:rsidRPr="001E7429">
              <w:rPr>
                <w:rFonts w:hint="eastAsia"/>
                <w:color w:val="000000"/>
                <w:w w:val="23"/>
                <w:shd w:val="solid" w:color="000000" w:fill="000000"/>
                <w:fitText w:val="105" w:id="-739980277"/>
                <w14:textFill>
                  <w14:solidFill>
                    <w14:srgbClr w14:val="000000">
                      <w14:alpha w14:val="100000"/>
                    </w14:srgbClr>
                  </w14:solidFill>
                </w14:textFill>
              </w:rPr>
              <w:t xml:space="preserve">　</w:t>
            </w:r>
            <w:r w:rsidR="003F05CA" w:rsidRPr="001E7429">
              <w:rPr>
                <w:color w:val="000000"/>
                <w:w w:val="23"/>
                <w:shd w:val="solid" w:color="000000" w:fill="000000"/>
                <w:fitText w:val="105" w:id="-739980277"/>
                <w14:textFill>
                  <w14:solidFill>
                    <w14:srgbClr w14:val="000000">
                      <w14:alpha w14:val="100000"/>
                    </w14:srgbClr>
                  </w14:solidFill>
                </w14:textFill>
              </w:rPr>
              <w:t>|</w:t>
            </w:r>
            <w:r w:rsidR="003F05CA" w:rsidRPr="001E7429">
              <w:rPr>
                <w:rFonts w:hint="eastAsia"/>
                <w:color w:val="000000"/>
                <w:spacing w:val="4"/>
                <w:w w:val="23"/>
                <w:shd w:val="solid" w:color="000000" w:fill="000000"/>
                <w:fitText w:val="105" w:id="-739980277"/>
                <w14:textFill>
                  <w14:solidFill>
                    <w14:srgbClr w14:val="000000">
                      <w14:alpha w14:val="100000"/>
                    </w14:srgbClr>
                  </w14:solidFill>
                </w14:textFill>
              </w:rPr>
              <w:t xml:space="preserve">　</w:t>
            </w:r>
            <w:r w:rsidR="00EA3B00">
              <w:rPr>
                <w:vertAlign w:val="superscript"/>
              </w:rPr>
              <w:t>3</w:t>
            </w:r>
          </w:p>
        </w:tc>
        <w:tc>
          <w:tcPr>
            <w:tcW w:w="611" w:type="pct"/>
            <w:shd w:val="clear" w:color="auto" w:fill="auto"/>
            <w:vAlign w:val="center"/>
          </w:tcPr>
          <w:p w14:paraId="5CB52F59" w14:textId="18AC21A1" w:rsidR="00EA4FA6" w:rsidRPr="008B4E8B" w:rsidRDefault="00EA4FA6" w:rsidP="00C42838">
            <w:pPr>
              <w:pStyle w:val="Tabletext"/>
              <w:keepNext/>
              <w:jc w:val="center"/>
              <w:rPr>
                <w:b/>
              </w:rPr>
            </w:pPr>
            <w:r w:rsidRPr="00A85B3D">
              <w:t>$</w:t>
            </w:r>
            <w:r w:rsidR="003F05CA" w:rsidRPr="001E7429">
              <w:rPr>
                <w:rFonts w:hint="eastAsia"/>
                <w:color w:val="000000"/>
                <w:w w:val="23"/>
                <w:shd w:val="solid" w:color="000000" w:fill="000000"/>
                <w:fitText w:val="105" w:id="-739980276"/>
                <w14:textFill>
                  <w14:solidFill>
                    <w14:srgbClr w14:val="000000">
                      <w14:alpha w14:val="100000"/>
                    </w14:srgbClr>
                  </w14:solidFill>
                </w14:textFill>
              </w:rPr>
              <w:t xml:space="preserve">　</w:t>
            </w:r>
            <w:r w:rsidR="003F05CA" w:rsidRPr="001E7429">
              <w:rPr>
                <w:color w:val="000000"/>
                <w:w w:val="23"/>
                <w:shd w:val="solid" w:color="000000" w:fill="000000"/>
                <w:fitText w:val="105" w:id="-739980276"/>
                <w14:textFill>
                  <w14:solidFill>
                    <w14:srgbClr w14:val="000000">
                      <w14:alpha w14:val="100000"/>
                    </w14:srgbClr>
                  </w14:solidFill>
                </w14:textFill>
              </w:rPr>
              <w:t>|</w:t>
            </w:r>
            <w:r w:rsidR="003F05CA" w:rsidRPr="001E7429">
              <w:rPr>
                <w:rFonts w:hint="eastAsia"/>
                <w:color w:val="000000"/>
                <w:spacing w:val="4"/>
                <w:w w:val="23"/>
                <w:shd w:val="solid" w:color="000000" w:fill="000000"/>
                <w:fitText w:val="105" w:id="-739980276"/>
                <w14:textFill>
                  <w14:solidFill>
                    <w14:srgbClr w14:val="000000">
                      <w14:alpha w14:val="100000"/>
                    </w14:srgbClr>
                  </w14:solidFill>
                </w14:textFill>
              </w:rPr>
              <w:t xml:space="preserve">　</w:t>
            </w:r>
            <w:r w:rsidR="00EA3B00">
              <w:rPr>
                <w:vertAlign w:val="superscript"/>
              </w:rPr>
              <w:t>3</w:t>
            </w:r>
          </w:p>
        </w:tc>
        <w:tc>
          <w:tcPr>
            <w:tcW w:w="611" w:type="pct"/>
            <w:shd w:val="clear" w:color="auto" w:fill="auto"/>
            <w:vAlign w:val="center"/>
          </w:tcPr>
          <w:p w14:paraId="2DE64E90" w14:textId="08F6860B" w:rsidR="00EA4FA6" w:rsidRPr="008B4E8B" w:rsidRDefault="00EA4FA6" w:rsidP="00C42838">
            <w:pPr>
              <w:pStyle w:val="Tabletext"/>
              <w:keepNext/>
              <w:jc w:val="center"/>
              <w:rPr>
                <w:b/>
              </w:rPr>
            </w:pPr>
            <w:r w:rsidRPr="00A85B3D">
              <w:t>$</w:t>
            </w:r>
            <w:r w:rsidR="003F05CA" w:rsidRPr="001E7429">
              <w:rPr>
                <w:rFonts w:hint="eastAsia"/>
                <w:color w:val="000000"/>
                <w:w w:val="23"/>
                <w:shd w:val="solid" w:color="000000" w:fill="000000"/>
                <w:fitText w:val="105" w:id="-739980275"/>
                <w14:textFill>
                  <w14:solidFill>
                    <w14:srgbClr w14:val="000000">
                      <w14:alpha w14:val="100000"/>
                    </w14:srgbClr>
                  </w14:solidFill>
                </w14:textFill>
              </w:rPr>
              <w:t xml:space="preserve">　</w:t>
            </w:r>
            <w:r w:rsidR="003F05CA" w:rsidRPr="001E7429">
              <w:rPr>
                <w:color w:val="000000"/>
                <w:w w:val="23"/>
                <w:shd w:val="solid" w:color="000000" w:fill="000000"/>
                <w:fitText w:val="105" w:id="-739980275"/>
                <w14:textFill>
                  <w14:solidFill>
                    <w14:srgbClr w14:val="000000">
                      <w14:alpha w14:val="100000"/>
                    </w14:srgbClr>
                  </w14:solidFill>
                </w14:textFill>
              </w:rPr>
              <w:t>|</w:t>
            </w:r>
            <w:r w:rsidR="003F05CA" w:rsidRPr="001E7429">
              <w:rPr>
                <w:rFonts w:hint="eastAsia"/>
                <w:color w:val="000000"/>
                <w:spacing w:val="4"/>
                <w:w w:val="23"/>
                <w:shd w:val="solid" w:color="000000" w:fill="000000"/>
                <w:fitText w:val="105" w:id="-739980275"/>
                <w14:textFill>
                  <w14:solidFill>
                    <w14:srgbClr w14:val="000000">
                      <w14:alpha w14:val="100000"/>
                    </w14:srgbClr>
                  </w14:solidFill>
                </w14:textFill>
              </w:rPr>
              <w:t xml:space="preserve">　</w:t>
            </w:r>
            <w:r w:rsidR="00EA3B00">
              <w:rPr>
                <w:vertAlign w:val="superscript"/>
              </w:rPr>
              <w:t>3</w:t>
            </w:r>
          </w:p>
        </w:tc>
      </w:tr>
      <w:tr w:rsidR="006A1574" w:rsidRPr="00DF3E91" w14:paraId="02BA8A5C" w14:textId="77777777" w:rsidTr="00DF3E91">
        <w:trPr>
          <w:cantSplit/>
        </w:trPr>
        <w:tc>
          <w:tcPr>
            <w:tcW w:w="5000" w:type="pct"/>
            <w:gridSpan w:val="7"/>
            <w:shd w:val="clear" w:color="auto" w:fill="auto"/>
            <w:vAlign w:val="center"/>
          </w:tcPr>
          <w:p w14:paraId="52D9A5CD" w14:textId="34200E4E" w:rsidR="006A1574" w:rsidRPr="00E962F2" w:rsidRDefault="006A1574" w:rsidP="006A1574">
            <w:pPr>
              <w:pStyle w:val="Tabletext"/>
              <w:keepNext/>
              <w:rPr>
                <w:b/>
                <w:vertAlign w:val="superscript"/>
              </w:rPr>
            </w:pPr>
            <w:r w:rsidRPr="008A00D9">
              <w:rPr>
                <w:b/>
              </w:rPr>
              <w:t>Estimated financial implications for other medicines</w:t>
            </w:r>
            <w:r w:rsidR="00AD1AE0">
              <w:rPr>
                <w:b/>
              </w:rPr>
              <w:t xml:space="preserve"> (reduced used of neoNIVO)</w:t>
            </w:r>
            <w:r w:rsidR="00E962F2">
              <w:rPr>
                <w:b/>
              </w:rPr>
              <w:t xml:space="preserve"> </w:t>
            </w:r>
          </w:p>
        </w:tc>
      </w:tr>
      <w:tr w:rsidR="00C42838" w:rsidRPr="00DF3E91" w14:paraId="1FB17703" w14:textId="77777777" w:rsidTr="00492922">
        <w:trPr>
          <w:cantSplit/>
        </w:trPr>
        <w:tc>
          <w:tcPr>
            <w:tcW w:w="1334" w:type="pct"/>
            <w:shd w:val="clear" w:color="auto" w:fill="auto"/>
          </w:tcPr>
          <w:p w14:paraId="495A9994" w14:textId="72BB7563" w:rsidR="00C42838" w:rsidRPr="00DF3E91" w:rsidRDefault="00C42838" w:rsidP="00C42838">
            <w:pPr>
              <w:pStyle w:val="Tabletext"/>
              <w:keepNext/>
              <w:rPr>
                <w:bCs/>
              </w:rPr>
            </w:pPr>
            <w:r w:rsidRPr="00DF3E91">
              <w:rPr>
                <w:bCs/>
              </w:rPr>
              <w:t xml:space="preserve">Reduction in cost to the PBS/RPBS, </w:t>
            </w:r>
            <w:r>
              <w:rPr>
                <w:bCs/>
              </w:rPr>
              <w:t>less</w:t>
            </w:r>
            <w:r w:rsidRPr="00DF3E91">
              <w:rPr>
                <w:bCs/>
              </w:rPr>
              <w:t xml:space="preserve"> copayments</w:t>
            </w:r>
          </w:p>
        </w:tc>
        <w:tc>
          <w:tcPr>
            <w:tcW w:w="611" w:type="pct"/>
            <w:shd w:val="clear" w:color="auto" w:fill="auto"/>
            <w:vAlign w:val="center"/>
          </w:tcPr>
          <w:p w14:paraId="33C29869" w14:textId="1C5EF5EA" w:rsidR="00C42838" w:rsidRPr="00BF2A8A" w:rsidRDefault="00C42838" w:rsidP="00C42838">
            <w:pPr>
              <w:pStyle w:val="Tabletext"/>
              <w:keepNext/>
              <w:jc w:val="center"/>
              <w:rPr>
                <w:bCs/>
                <w:vertAlign w:val="superscript"/>
              </w:rPr>
            </w:pPr>
            <w:r w:rsidRPr="00EC19C4">
              <w:t>-$</w:t>
            </w:r>
            <w:r w:rsidR="003F05CA" w:rsidRPr="003F05CA">
              <w:rPr>
                <w:rFonts w:hint="eastAsia"/>
                <w:color w:val="000000"/>
                <w:w w:val="30"/>
                <w:shd w:val="solid" w:color="000000" w:fill="000000"/>
                <w:fitText w:val="135" w:id="-739980274"/>
                <w14:textFill>
                  <w14:solidFill>
                    <w14:srgbClr w14:val="000000">
                      <w14:alpha w14:val="100000"/>
                    </w14:srgbClr>
                  </w14:solidFill>
                </w14:textFill>
              </w:rPr>
              <w:t xml:space="preserve">　</w:t>
            </w:r>
            <w:r w:rsidR="003F05CA" w:rsidRPr="003F05CA">
              <w:rPr>
                <w:color w:val="000000"/>
                <w:w w:val="30"/>
                <w:shd w:val="solid" w:color="000000" w:fill="000000"/>
                <w:fitText w:val="135" w:id="-739980274"/>
                <w14:textFill>
                  <w14:solidFill>
                    <w14:srgbClr w14:val="000000">
                      <w14:alpha w14:val="100000"/>
                    </w14:srgbClr>
                  </w14:solidFill>
                </w14:textFill>
              </w:rPr>
              <w:t>|</w:t>
            </w:r>
            <w:r w:rsidR="003F05CA" w:rsidRPr="003F05CA">
              <w:rPr>
                <w:rFonts w:hint="eastAsia"/>
                <w:color w:val="000000"/>
                <w:spacing w:val="3"/>
                <w:w w:val="30"/>
                <w:shd w:val="solid" w:color="000000" w:fill="000000"/>
                <w:fitText w:val="135" w:id="-739980274"/>
                <w14:textFill>
                  <w14:solidFill>
                    <w14:srgbClr w14:val="000000">
                      <w14:alpha w14:val="100000"/>
                    </w14:srgbClr>
                  </w14:solidFill>
                </w14:textFill>
              </w:rPr>
              <w:t xml:space="preserve">　</w:t>
            </w:r>
            <w:r w:rsidR="00BF2A8A">
              <w:rPr>
                <w:vertAlign w:val="superscript"/>
              </w:rPr>
              <w:t>4</w:t>
            </w:r>
          </w:p>
        </w:tc>
        <w:tc>
          <w:tcPr>
            <w:tcW w:w="611" w:type="pct"/>
            <w:shd w:val="clear" w:color="auto" w:fill="auto"/>
            <w:vAlign w:val="center"/>
          </w:tcPr>
          <w:p w14:paraId="4B5DD63A" w14:textId="1C1E323F" w:rsidR="00C42838" w:rsidRPr="00DF3E91" w:rsidRDefault="00C42838" w:rsidP="00C42838">
            <w:pPr>
              <w:pStyle w:val="Tabletext"/>
              <w:keepNext/>
              <w:jc w:val="center"/>
              <w:rPr>
                <w:bCs/>
              </w:rPr>
            </w:pPr>
            <w:r w:rsidRPr="00EC19C4">
              <w:t>-$</w:t>
            </w:r>
            <w:r w:rsidR="003F05CA" w:rsidRPr="003F05CA">
              <w:rPr>
                <w:rFonts w:hint="eastAsia"/>
                <w:color w:val="000000"/>
                <w:w w:val="30"/>
                <w:shd w:val="solid" w:color="000000" w:fill="000000"/>
                <w:fitText w:val="135" w:id="-739980273"/>
                <w14:textFill>
                  <w14:solidFill>
                    <w14:srgbClr w14:val="000000">
                      <w14:alpha w14:val="100000"/>
                    </w14:srgbClr>
                  </w14:solidFill>
                </w14:textFill>
              </w:rPr>
              <w:t xml:space="preserve">　</w:t>
            </w:r>
            <w:r w:rsidR="003F05CA" w:rsidRPr="003F05CA">
              <w:rPr>
                <w:color w:val="000000"/>
                <w:w w:val="30"/>
                <w:shd w:val="solid" w:color="000000" w:fill="000000"/>
                <w:fitText w:val="135" w:id="-739980273"/>
                <w14:textFill>
                  <w14:solidFill>
                    <w14:srgbClr w14:val="000000">
                      <w14:alpha w14:val="100000"/>
                    </w14:srgbClr>
                  </w14:solidFill>
                </w14:textFill>
              </w:rPr>
              <w:t>|</w:t>
            </w:r>
            <w:r w:rsidR="003F05CA" w:rsidRPr="003F05CA">
              <w:rPr>
                <w:rFonts w:hint="eastAsia"/>
                <w:color w:val="000000"/>
                <w:spacing w:val="3"/>
                <w:w w:val="30"/>
                <w:shd w:val="solid" w:color="000000" w:fill="000000"/>
                <w:fitText w:val="135" w:id="-739980273"/>
                <w14:textFill>
                  <w14:solidFill>
                    <w14:srgbClr w14:val="000000">
                      <w14:alpha w14:val="100000"/>
                    </w14:srgbClr>
                  </w14:solidFill>
                </w14:textFill>
              </w:rPr>
              <w:t xml:space="preserve">　</w:t>
            </w:r>
            <w:r w:rsidR="00BF2A8A">
              <w:rPr>
                <w:vertAlign w:val="superscript"/>
              </w:rPr>
              <w:t>4</w:t>
            </w:r>
          </w:p>
        </w:tc>
        <w:tc>
          <w:tcPr>
            <w:tcW w:w="611" w:type="pct"/>
            <w:shd w:val="clear" w:color="auto" w:fill="auto"/>
            <w:vAlign w:val="center"/>
          </w:tcPr>
          <w:p w14:paraId="69F03FFE" w14:textId="16155557" w:rsidR="00C42838" w:rsidRPr="00DF3E91" w:rsidRDefault="00C42838" w:rsidP="00C42838">
            <w:pPr>
              <w:pStyle w:val="Tabletext"/>
              <w:keepNext/>
              <w:jc w:val="center"/>
              <w:rPr>
                <w:bCs/>
              </w:rPr>
            </w:pPr>
            <w:r w:rsidRPr="00EC19C4">
              <w:t>-$</w:t>
            </w:r>
            <w:r w:rsidR="003F05CA" w:rsidRPr="003F05CA">
              <w:rPr>
                <w:rFonts w:hint="eastAsia"/>
                <w:color w:val="000000"/>
                <w:w w:val="30"/>
                <w:shd w:val="solid" w:color="000000" w:fill="000000"/>
                <w:fitText w:val="135" w:id="-739980272"/>
                <w14:textFill>
                  <w14:solidFill>
                    <w14:srgbClr w14:val="000000">
                      <w14:alpha w14:val="100000"/>
                    </w14:srgbClr>
                  </w14:solidFill>
                </w14:textFill>
              </w:rPr>
              <w:t xml:space="preserve">　</w:t>
            </w:r>
            <w:r w:rsidR="003F05CA" w:rsidRPr="003F05CA">
              <w:rPr>
                <w:color w:val="000000"/>
                <w:w w:val="30"/>
                <w:shd w:val="solid" w:color="000000" w:fill="000000"/>
                <w:fitText w:val="135" w:id="-739980272"/>
                <w14:textFill>
                  <w14:solidFill>
                    <w14:srgbClr w14:val="000000">
                      <w14:alpha w14:val="100000"/>
                    </w14:srgbClr>
                  </w14:solidFill>
                </w14:textFill>
              </w:rPr>
              <w:t>|</w:t>
            </w:r>
            <w:r w:rsidR="003F05CA" w:rsidRPr="003F05CA">
              <w:rPr>
                <w:rFonts w:hint="eastAsia"/>
                <w:color w:val="000000"/>
                <w:spacing w:val="3"/>
                <w:w w:val="30"/>
                <w:shd w:val="solid" w:color="000000" w:fill="000000"/>
                <w:fitText w:val="135" w:id="-739980272"/>
                <w14:textFill>
                  <w14:solidFill>
                    <w14:srgbClr w14:val="000000">
                      <w14:alpha w14:val="100000"/>
                    </w14:srgbClr>
                  </w14:solidFill>
                </w14:textFill>
              </w:rPr>
              <w:t xml:space="preserve">　</w:t>
            </w:r>
            <w:r w:rsidR="00BF2A8A">
              <w:rPr>
                <w:vertAlign w:val="superscript"/>
              </w:rPr>
              <w:t>4</w:t>
            </w:r>
          </w:p>
        </w:tc>
        <w:tc>
          <w:tcPr>
            <w:tcW w:w="611" w:type="pct"/>
            <w:shd w:val="clear" w:color="auto" w:fill="auto"/>
            <w:vAlign w:val="center"/>
          </w:tcPr>
          <w:p w14:paraId="40D3D3B5" w14:textId="708639FA" w:rsidR="00C42838" w:rsidRPr="00DF3E91" w:rsidRDefault="00C42838" w:rsidP="00C42838">
            <w:pPr>
              <w:pStyle w:val="Tabletext"/>
              <w:keepNext/>
              <w:jc w:val="center"/>
              <w:rPr>
                <w:bCs/>
              </w:rPr>
            </w:pPr>
            <w:r w:rsidRPr="00EC19C4">
              <w:t>-$</w:t>
            </w:r>
            <w:r w:rsidR="003F05CA" w:rsidRPr="003F05CA">
              <w:rPr>
                <w:rFonts w:hint="eastAsia"/>
                <w:color w:val="000000"/>
                <w:w w:val="30"/>
                <w:shd w:val="solid" w:color="000000" w:fill="000000"/>
                <w:fitText w:val="135" w:id="-739980288"/>
                <w14:textFill>
                  <w14:solidFill>
                    <w14:srgbClr w14:val="000000">
                      <w14:alpha w14:val="100000"/>
                    </w14:srgbClr>
                  </w14:solidFill>
                </w14:textFill>
              </w:rPr>
              <w:t xml:space="preserve">　</w:t>
            </w:r>
            <w:r w:rsidR="003F05CA" w:rsidRPr="003F05CA">
              <w:rPr>
                <w:color w:val="000000"/>
                <w:w w:val="30"/>
                <w:shd w:val="solid" w:color="000000" w:fill="000000"/>
                <w:fitText w:val="135" w:id="-739980288"/>
                <w14:textFill>
                  <w14:solidFill>
                    <w14:srgbClr w14:val="000000">
                      <w14:alpha w14:val="100000"/>
                    </w14:srgbClr>
                  </w14:solidFill>
                </w14:textFill>
              </w:rPr>
              <w:t>|</w:t>
            </w:r>
            <w:r w:rsidR="003F05CA" w:rsidRPr="003F05CA">
              <w:rPr>
                <w:rFonts w:hint="eastAsia"/>
                <w:color w:val="000000"/>
                <w:spacing w:val="3"/>
                <w:w w:val="30"/>
                <w:shd w:val="solid" w:color="000000" w:fill="000000"/>
                <w:fitText w:val="135" w:id="-739980288"/>
                <w14:textFill>
                  <w14:solidFill>
                    <w14:srgbClr w14:val="000000">
                      <w14:alpha w14:val="100000"/>
                    </w14:srgbClr>
                  </w14:solidFill>
                </w14:textFill>
              </w:rPr>
              <w:t xml:space="preserve">　</w:t>
            </w:r>
            <w:r w:rsidR="00BF2A8A">
              <w:rPr>
                <w:vertAlign w:val="superscript"/>
              </w:rPr>
              <w:t>4</w:t>
            </w:r>
          </w:p>
        </w:tc>
        <w:tc>
          <w:tcPr>
            <w:tcW w:w="611" w:type="pct"/>
            <w:shd w:val="clear" w:color="auto" w:fill="auto"/>
            <w:vAlign w:val="center"/>
          </w:tcPr>
          <w:p w14:paraId="196D97D4" w14:textId="309946C1" w:rsidR="00C42838" w:rsidRPr="00DF3E91" w:rsidRDefault="00C42838" w:rsidP="00C42838">
            <w:pPr>
              <w:pStyle w:val="Tabletext"/>
              <w:keepNext/>
              <w:jc w:val="center"/>
              <w:rPr>
                <w:bCs/>
              </w:rPr>
            </w:pPr>
            <w:r w:rsidRPr="00EC19C4">
              <w:t>-$</w:t>
            </w:r>
            <w:r w:rsidR="003F05CA" w:rsidRPr="003F05CA">
              <w:rPr>
                <w:rFonts w:hint="eastAsia"/>
                <w:color w:val="000000"/>
                <w:w w:val="30"/>
                <w:shd w:val="solid" w:color="000000" w:fill="000000"/>
                <w:fitText w:val="135" w:id="-739980287"/>
                <w14:textFill>
                  <w14:solidFill>
                    <w14:srgbClr w14:val="000000">
                      <w14:alpha w14:val="100000"/>
                    </w14:srgbClr>
                  </w14:solidFill>
                </w14:textFill>
              </w:rPr>
              <w:t xml:space="preserve">　</w:t>
            </w:r>
            <w:r w:rsidR="003F05CA" w:rsidRPr="003F05CA">
              <w:rPr>
                <w:color w:val="000000"/>
                <w:w w:val="30"/>
                <w:shd w:val="solid" w:color="000000" w:fill="000000"/>
                <w:fitText w:val="135" w:id="-739980287"/>
                <w14:textFill>
                  <w14:solidFill>
                    <w14:srgbClr w14:val="000000">
                      <w14:alpha w14:val="100000"/>
                    </w14:srgbClr>
                  </w14:solidFill>
                </w14:textFill>
              </w:rPr>
              <w:t>|</w:t>
            </w:r>
            <w:r w:rsidR="003F05CA" w:rsidRPr="003F05CA">
              <w:rPr>
                <w:rFonts w:hint="eastAsia"/>
                <w:color w:val="000000"/>
                <w:spacing w:val="3"/>
                <w:w w:val="30"/>
                <w:shd w:val="solid" w:color="000000" w:fill="000000"/>
                <w:fitText w:val="135" w:id="-739980287"/>
                <w14:textFill>
                  <w14:solidFill>
                    <w14:srgbClr w14:val="000000">
                      <w14:alpha w14:val="100000"/>
                    </w14:srgbClr>
                  </w14:solidFill>
                </w14:textFill>
              </w:rPr>
              <w:t xml:space="preserve">　</w:t>
            </w:r>
            <w:r w:rsidR="00BF2A8A">
              <w:rPr>
                <w:vertAlign w:val="superscript"/>
              </w:rPr>
              <w:t>4</w:t>
            </w:r>
          </w:p>
        </w:tc>
        <w:tc>
          <w:tcPr>
            <w:tcW w:w="611" w:type="pct"/>
            <w:shd w:val="clear" w:color="auto" w:fill="auto"/>
            <w:vAlign w:val="center"/>
          </w:tcPr>
          <w:p w14:paraId="1C666806" w14:textId="7BB0103A" w:rsidR="00C42838" w:rsidRPr="00DF3E91" w:rsidRDefault="00C42838" w:rsidP="00C42838">
            <w:pPr>
              <w:pStyle w:val="Tabletext"/>
              <w:keepNext/>
              <w:jc w:val="center"/>
              <w:rPr>
                <w:bCs/>
              </w:rPr>
            </w:pPr>
            <w:r w:rsidRPr="00EC19C4">
              <w:t>-$</w:t>
            </w:r>
            <w:r w:rsidR="003F05CA" w:rsidRPr="003F05CA">
              <w:rPr>
                <w:rFonts w:hint="eastAsia"/>
                <w:color w:val="000000"/>
                <w:w w:val="30"/>
                <w:shd w:val="solid" w:color="000000" w:fill="000000"/>
                <w:fitText w:val="135" w:id="-739980286"/>
                <w14:textFill>
                  <w14:solidFill>
                    <w14:srgbClr w14:val="000000">
                      <w14:alpha w14:val="100000"/>
                    </w14:srgbClr>
                  </w14:solidFill>
                </w14:textFill>
              </w:rPr>
              <w:t xml:space="preserve">　</w:t>
            </w:r>
            <w:r w:rsidR="003F05CA" w:rsidRPr="003F05CA">
              <w:rPr>
                <w:color w:val="000000"/>
                <w:w w:val="30"/>
                <w:shd w:val="solid" w:color="000000" w:fill="000000"/>
                <w:fitText w:val="135" w:id="-739980286"/>
                <w14:textFill>
                  <w14:solidFill>
                    <w14:srgbClr w14:val="000000">
                      <w14:alpha w14:val="100000"/>
                    </w14:srgbClr>
                  </w14:solidFill>
                </w14:textFill>
              </w:rPr>
              <w:t>|</w:t>
            </w:r>
            <w:r w:rsidR="003F05CA" w:rsidRPr="003F05CA">
              <w:rPr>
                <w:rFonts w:hint="eastAsia"/>
                <w:color w:val="000000"/>
                <w:w w:val="30"/>
                <w:shd w:val="solid" w:color="000000" w:fill="000000"/>
                <w:fitText w:val="135" w:id="-739980286"/>
                <w14:textFill>
                  <w14:solidFill>
                    <w14:srgbClr w14:val="000000">
                      <w14:alpha w14:val="100000"/>
                    </w14:srgbClr>
                  </w14:solidFill>
                </w14:textFill>
              </w:rPr>
              <w:t xml:space="preserve">　</w:t>
            </w:r>
            <w:r w:rsidR="00BF2A8A">
              <w:rPr>
                <w:vertAlign w:val="superscript"/>
              </w:rPr>
              <w:t>4</w:t>
            </w:r>
          </w:p>
        </w:tc>
      </w:tr>
      <w:tr w:rsidR="006A1574" w:rsidRPr="00DF3E91" w14:paraId="15EF249F" w14:textId="77777777" w:rsidTr="00DF3E91">
        <w:trPr>
          <w:cantSplit/>
        </w:trPr>
        <w:tc>
          <w:tcPr>
            <w:tcW w:w="5000" w:type="pct"/>
            <w:gridSpan w:val="7"/>
            <w:shd w:val="clear" w:color="auto" w:fill="auto"/>
            <w:vAlign w:val="center"/>
          </w:tcPr>
          <w:p w14:paraId="762F76D8" w14:textId="651D9509" w:rsidR="006A1574" w:rsidRPr="008A00D9" w:rsidRDefault="006A1574" w:rsidP="006A1574">
            <w:pPr>
              <w:pStyle w:val="Tabletext"/>
              <w:keepNext/>
              <w:rPr>
                <w:b/>
                <w:bCs/>
                <w:lang w:val="en-US"/>
              </w:rPr>
            </w:pPr>
            <w:r w:rsidRPr="008A00D9">
              <w:rPr>
                <w:b/>
                <w:bCs/>
                <w:lang w:val="en-US"/>
              </w:rPr>
              <w:t xml:space="preserve">Net financial implications </w:t>
            </w:r>
            <w:r w:rsidR="00726763">
              <w:rPr>
                <w:b/>
                <w:bCs/>
                <w:lang w:val="en-US"/>
              </w:rPr>
              <w:t>of periNIVO</w:t>
            </w:r>
            <w:r w:rsidR="00BD7DA7">
              <w:rPr>
                <w:b/>
                <w:bCs/>
                <w:lang w:val="en-US"/>
              </w:rPr>
              <w:t xml:space="preserve"> </w:t>
            </w:r>
          </w:p>
        </w:tc>
      </w:tr>
      <w:tr w:rsidR="00492922" w:rsidRPr="00DF3E91" w14:paraId="0A204158" w14:textId="77777777" w:rsidTr="00492922">
        <w:trPr>
          <w:cantSplit/>
        </w:trPr>
        <w:tc>
          <w:tcPr>
            <w:tcW w:w="1334" w:type="pct"/>
            <w:shd w:val="clear" w:color="auto" w:fill="auto"/>
            <w:vAlign w:val="center"/>
          </w:tcPr>
          <w:p w14:paraId="125CADD3" w14:textId="10C86F82" w:rsidR="00492922" w:rsidRPr="004B1E8E" w:rsidRDefault="00492922" w:rsidP="00492922">
            <w:pPr>
              <w:pStyle w:val="Tabletext"/>
              <w:keepNext/>
              <w:rPr>
                <w:bCs/>
                <w:vertAlign w:val="superscript"/>
              </w:rPr>
            </w:pPr>
            <w:r w:rsidRPr="00DF3E91">
              <w:rPr>
                <w:bCs/>
              </w:rPr>
              <w:t>Net cost to PBS/RPBS</w:t>
            </w:r>
            <w:r>
              <w:rPr>
                <w:bCs/>
              </w:rPr>
              <w:t xml:space="preserve"> </w:t>
            </w:r>
          </w:p>
        </w:tc>
        <w:tc>
          <w:tcPr>
            <w:tcW w:w="611" w:type="pct"/>
            <w:shd w:val="clear" w:color="auto" w:fill="auto"/>
          </w:tcPr>
          <w:p w14:paraId="088524C3" w14:textId="5DED402C" w:rsidR="00492922" w:rsidRPr="00AD2ECA" w:rsidRDefault="00492922" w:rsidP="00492922">
            <w:pPr>
              <w:pStyle w:val="Tabletext"/>
              <w:keepNext/>
              <w:jc w:val="center"/>
              <w:rPr>
                <w:bCs/>
                <w:vertAlign w:val="superscript"/>
              </w:rPr>
            </w:pPr>
            <w:r w:rsidRPr="00D47828">
              <w:t>$</w:t>
            </w:r>
            <w:r w:rsidR="003F05CA" w:rsidRPr="00392FEA">
              <w:rPr>
                <w:rFonts w:hint="eastAsia"/>
                <w:color w:val="000000"/>
                <w:w w:val="23"/>
                <w:shd w:val="solid" w:color="000000" w:fill="000000"/>
                <w:fitText w:val="105" w:id="-739980285"/>
                <w14:textFill>
                  <w14:solidFill>
                    <w14:srgbClr w14:val="000000">
                      <w14:alpha w14:val="100000"/>
                    </w14:srgbClr>
                  </w14:solidFill>
                </w14:textFill>
              </w:rPr>
              <w:t xml:space="preserve">　</w:t>
            </w:r>
            <w:r w:rsidR="003F05CA" w:rsidRPr="00392FEA">
              <w:rPr>
                <w:color w:val="000000"/>
                <w:w w:val="23"/>
                <w:shd w:val="solid" w:color="000000" w:fill="000000"/>
                <w:fitText w:val="105" w:id="-739980285"/>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5"/>
                <w14:textFill>
                  <w14:solidFill>
                    <w14:srgbClr w14:val="000000">
                      <w14:alpha w14:val="100000"/>
                    </w14:srgbClr>
                  </w14:solidFill>
                </w14:textFill>
              </w:rPr>
              <w:t xml:space="preserve">　</w:t>
            </w:r>
            <w:r w:rsidR="00AD2ECA">
              <w:rPr>
                <w:vertAlign w:val="superscript"/>
              </w:rPr>
              <w:t>5</w:t>
            </w:r>
          </w:p>
        </w:tc>
        <w:tc>
          <w:tcPr>
            <w:tcW w:w="611" w:type="pct"/>
            <w:shd w:val="clear" w:color="auto" w:fill="auto"/>
          </w:tcPr>
          <w:p w14:paraId="76E00DA6" w14:textId="0D1945A2"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84"/>
                <w14:textFill>
                  <w14:solidFill>
                    <w14:srgbClr w14:val="000000">
                      <w14:alpha w14:val="100000"/>
                    </w14:srgbClr>
                  </w14:solidFill>
                </w14:textFill>
              </w:rPr>
              <w:t xml:space="preserve">　</w:t>
            </w:r>
            <w:r w:rsidR="003F05CA" w:rsidRPr="00392FEA">
              <w:rPr>
                <w:color w:val="000000"/>
                <w:w w:val="23"/>
                <w:shd w:val="solid" w:color="000000" w:fill="000000"/>
                <w:fitText w:val="105" w:id="-739980284"/>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4"/>
                <w14:textFill>
                  <w14:solidFill>
                    <w14:srgbClr w14:val="000000">
                      <w14:alpha w14:val="100000"/>
                    </w14:srgbClr>
                  </w14:solidFill>
                </w14:textFill>
              </w:rPr>
              <w:t xml:space="preserve">　</w:t>
            </w:r>
            <w:r w:rsidR="00AD2ECA">
              <w:rPr>
                <w:vertAlign w:val="superscript"/>
              </w:rPr>
              <w:t>5</w:t>
            </w:r>
          </w:p>
        </w:tc>
        <w:tc>
          <w:tcPr>
            <w:tcW w:w="611" w:type="pct"/>
            <w:shd w:val="clear" w:color="auto" w:fill="auto"/>
          </w:tcPr>
          <w:p w14:paraId="0C789E15" w14:textId="153FC438"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83"/>
                <w14:textFill>
                  <w14:solidFill>
                    <w14:srgbClr w14:val="000000">
                      <w14:alpha w14:val="100000"/>
                    </w14:srgbClr>
                  </w14:solidFill>
                </w14:textFill>
              </w:rPr>
              <w:t xml:space="preserve">　</w:t>
            </w:r>
            <w:r w:rsidR="003F05CA" w:rsidRPr="00392FEA">
              <w:rPr>
                <w:color w:val="000000"/>
                <w:w w:val="23"/>
                <w:shd w:val="solid" w:color="000000" w:fill="000000"/>
                <w:fitText w:val="105" w:id="-739980283"/>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3"/>
                <w14:textFill>
                  <w14:solidFill>
                    <w14:srgbClr w14:val="000000">
                      <w14:alpha w14:val="100000"/>
                    </w14:srgbClr>
                  </w14:solidFill>
                </w14:textFill>
              </w:rPr>
              <w:t xml:space="preserve">　</w:t>
            </w:r>
            <w:r w:rsidR="00AD2ECA">
              <w:rPr>
                <w:vertAlign w:val="superscript"/>
              </w:rPr>
              <w:t>5</w:t>
            </w:r>
          </w:p>
        </w:tc>
        <w:tc>
          <w:tcPr>
            <w:tcW w:w="611" w:type="pct"/>
            <w:shd w:val="clear" w:color="auto" w:fill="auto"/>
          </w:tcPr>
          <w:p w14:paraId="0A553A03" w14:textId="1EB36BA2"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82"/>
                <w14:textFill>
                  <w14:solidFill>
                    <w14:srgbClr w14:val="000000">
                      <w14:alpha w14:val="100000"/>
                    </w14:srgbClr>
                  </w14:solidFill>
                </w14:textFill>
              </w:rPr>
              <w:t xml:space="preserve">　</w:t>
            </w:r>
            <w:r w:rsidR="003F05CA" w:rsidRPr="00392FEA">
              <w:rPr>
                <w:color w:val="000000"/>
                <w:w w:val="23"/>
                <w:shd w:val="solid" w:color="000000" w:fill="000000"/>
                <w:fitText w:val="105" w:id="-739980282"/>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2"/>
                <w14:textFill>
                  <w14:solidFill>
                    <w14:srgbClr w14:val="000000">
                      <w14:alpha w14:val="100000"/>
                    </w14:srgbClr>
                  </w14:solidFill>
                </w14:textFill>
              </w:rPr>
              <w:t xml:space="preserve">　</w:t>
            </w:r>
            <w:r w:rsidR="00AD2ECA">
              <w:rPr>
                <w:vertAlign w:val="superscript"/>
              </w:rPr>
              <w:t>5</w:t>
            </w:r>
          </w:p>
        </w:tc>
        <w:tc>
          <w:tcPr>
            <w:tcW w:w="611" w:type="pct"/>
            <w:shd w:val="clear" w:color="auto" w:fill="auto"/>
          </w:tcPr>
          <w:p w14:paraId="029F4947" w14:textId="5E0E6079"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81"/>
                <w14:textFill>
                  <w14:solidFill>
                    <w14:srgbClr w14:val="000000">
                      <w14:alpha w14:val="100000"/>
                    </w14:srgbClr>
                  </w14:solidFill>
                </w14:textFill>
              </w:rPr>
              <w:t xml:space="preserve">　</w:t>
            </w:r>
            <w:r w:rsidR="003F05CA" w:rsidRPr="00392FEA">
              <w:rPr>
                <w:color w:val="000000"/>
                <w:w w:val="23"/>
                <w:shd w:val="solid" w:color="000000" w:fill="000000"/>
                <w:fitText w:val="105" w:id="-739980281"/>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1"/>
                <w14:textFill>
                  <w14:solidFill>
                    <w14:srgbClr w14:val="000000">
                      <w14:alpha w14:val="100000"/>
                    </w14:srgbClr>
                  </w14:solidFill>
                </w14:textFill>
              </w:rPr>
              <w:t xml:space="preserve">　</w:t>
            </w:r>
            <w:r w:rsidR="00AD2ECA">
              <w:rPr>
                <w:vertAlign w:val="superscript"/>
              </w:rPr>
              <w:t>5</w:t>
            </w:r>
          </w:p>
        </w:tc>
        <w:tc>
          <w:tcPr>
            <w:tcW w:w="611" w:type="pct"/>
            <w:shd w:val="clear" w:color="auto" w:fill="auto"/>
          </w:tcPr>
          <w:p w14:paraId="33CAE782" w14:textId="70F02C37"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80"/>
                <w14:textFill>
                  <w14:solidFill>
                    <w14:srgbClr w14:val="000000">
                      <w14:alpha w14:val="100000"/>
                    </w14:srgbClr>
                  </w14:solidFill>
                </w14:textFill>
              </w:rPr>
              <w:t xml:space="preserve">　</w:t>
            </w:r>
            <w:r w:rsidR="003F05CA" w:rsidRPr="00392FEA">
              <w:rPr>
                <w:color w:val="000000"/>
                <w:w w:val="23"/>
                <w:shd w:val="solid" w:color="000000" w:fill="000000"/>
                <w:fitText w:val="105" w:id="-739980280"/>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0"/>
                <w14:textFill>
                  <w14:solidFill>
                    <w14:srgbClr w14:val="000000">
                      <w14:alpha w14:val="100000"/>
                    </w14:srgbClr>
                  </w14:solidFill>
                </w14:textFill>
              </w:rPr>
              <w:t xml:space="preserve">　</w:t>
            </w:r>
            <w:r w:rsidR="00AD2ECA">
              <w:rPr>
                <w:vertAlign w:val="superscript"/>
              </w:rPr>
              <w:t>5</w:t>
            </w:r>
          </w:p>
        </w:tc>
      </w:tr>
      <w:tr w:rsidR="00492922" w:rsidRPr="00DF3E91" w14:paraId="79420911" w14:textId="77777777" w:rsidTr="00492922">
        <w:trPr>
          <w:cantSplit/>
        </w:trPr>
        <w:tc>
          <w:tcPr>
            <w:tcW w:w="1334" w:type="pct"/>
            <w:shd w:val="clear" w:color="auto" w:fill="auto"/>
            <w:vAlign w:val="center"/>
          </w:tcPr>
          <w:p w14:paraId="127792A8" w14:textId="77777777" w:rsidR="00492922" w:rsidRPr="00DF3E91" w:rsidRDefault="00492922" w:rsidP="00492922">
            <w:pPr>
              <w:pStyle w:val="Tabletext"/>
              <w:keepNext/>
              <w:rPr>
                <w:bCs/>
              </w:rPr>
            </w:pPr>
            <w:r w:rsidRPr="00DF3E91">
              <w:rPr>
                <w:bCs/>
              </w:rPr>
              <w:t>Net cost to MBS</w:t>
            </w:r>
          </w:p>
        </w:tc>
        <w:tc>
          <w:tcPr>
            <w:tcW w:w="611" w:type="pct"/>
            <w:tcBorders>
              <w:bottom w:val="single" w:sz="4" w:space="0" w:color="auto"/>
            </w:tcBorders>
            <w:shd w:val="clear" w:color="auto" w:fill="auto"/>
          </w:tcPr>
          <w:p w14:paraId="1041E7AA" w14:textId="41C94130" w:rsidR="00492922" w:rsidRPr="00F05ABF" w:rsidRDefault="00492922" w:rsidP="00492922">
            <w:pPr>
              <w:pStyle w:val="Tabletext"/>
              <w:keepNext/>
              <w:jc w:val="center"/>
              <w:rPr>
                <w:bCs/>
                <w:vertAlign w:val="superscript"/>
              </w:rPr>
            </w:pPr>
            <w:r w:rsidRPr="00D47828">
              <w:t>$</w:t>
            </w:r>
            <w:r w:rsidR="003F05CA" w:rsidRPr="00392FEA">
              <w:rPr>
                <w:rFonts w:hint="eastAsia"/>
                <w:color w:val="000000"/>
                <w:w w:val="23"/>
                <w:shd w:val="solid" w:color="000000" w:fill="000000"/>
                <w:fitText w:val="105" w:id="-739980279"/>
                <w14:textFill>
                  <w14:solidFill>
                    <w14:srgbClr w14:val="000000">
                      <w14:alpha w14:val="100000"/>
                    </w14:srgbClr>
                  </w14:solidFill>
                </w14:textFill>
              </w:rPr>
              <w:t xml:space="preserve">　</w:t>
            </w:r>
            <w:r w:rsidR="003F05CA" w:rsidRPr="00392FEA">
              <w:rPr>
                <w:color w:val="000000"/>
                <w:w w:val="23"/>
                <w:shd w:val="solid" w:color="000000" w:fill="000000"/>
                <w:fitText w:val="105" w:id="-739980279"/>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9"/>
                <w14:textFill>
                  <w14:solidFill>
                    <w14:srgbClr w14:val="000000">
                      <w14:alpha w14:val="100000"/>
                    </w14:srgbClr>
                  </w14:solidFill>
                </w14:textFill>
              </w:rPr>
              <w:t xml:space="preserve">　</w:t>
            </w:r>
            <w:r w:rsidR="00F05ABF">
              <w:rPr>
                <w:vertAlign w:val="superscript"/>
              </w:rPr>
              <w:t>6</w:t>
            </w:r>
          </w:p>
        </w:tc>
        <w:tc>
          <w:tcPr>
            <w:tcW w:w="611" w:type="pct"/>
            <w:tcBorders>
              <w:bottom w:val="single" w:sz="4" w:space="0" w:color="auto"/>
            </w:tcBorders>
            <w:shd w:val="clear" w:color="auto" w:fill="auto"/>
          </w:tcPr>
          <w:p w14:paraId="4B6113D0" w14:textId="241A37EF"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78"/>
                <w14:textFill>
                  <w14:solidFill>
                    <w14:srgbClr w14:val="000000">
                      <w14:alpha w14:val="100000"/>
                    </w14:srgbClr>
                  </w14:solidFill>
                </w14:textFill>
              </w:rPr>
              <w:t xml:space="preserve">　</w:t>
            </w:r>
            <w:r w:rsidR="003F05CA" w:rsidRPr="00392FEA">
              <w:rPr>
                <w:color w:val="000000"/>
                <w:w w:val="23"/>
                <w:shd w:val="solid" w:color="000000" w:fill="000000"/>
                <w:fitText w:val="105" w:id="-739980278"/>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8"/>
                <w14:textFill>
                  <w14:solidFill>
                    <w14:srgbClr w14:val="000000">
                      <w14:alpha w14:val="100000"/>
                    </w14:srgbClr>
                  </w14:solidFill>
                </w14:textFill>
              </w:rPr>
              <w:t xml:space="preserve">　</w:t>
            </w:r>
            <w:r w:rsidR="00F05ABF">
              <w:rPr>
                <w:vertAlign w:val="superscript"/>
              </w:rPr>
              <w:t>6</w:t>
            </w:r>
          </w:p>
        </w:tc>
        <w:tc>
          <w:tcPr>
            <w:tcW w:w="611" w:type="pct"/>
            <w:tcBorders>
              <w:bottom w:val="single" w:sz="4" w:space="0" w:color="auto"/>
            </w:tcBorders>
            <w:shd w:val="clear" w:color="auto" w:fill="auto"/>
          </w:tcPr>
          <w:p w14:paraId="6641EF19" w14:textId="61A90E9D"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77"/>
                <w14:textFill>
                  <w14:solidFill>
                    <w14:srgbClr w14:val="000000">
                      <w14:alpha w14:val="100000"/>
                    </w14:srgbClr>
                  </w14:solidFill>
                </w14:textFill>
              </w:rPr>
              <w:t xml:space="preserve">　</w:t>
            </w:r>
            <w:r w:rsidR="003F05CA" w:rsidRPr="00392FEA">
              <w:rPr>
                <w:color w:val="000000"/>
                <w:w w:val="23"/>
                <w:shd w:val="solid" w:color="000000" w:fill="000000"/>
                <w:fitText w:val="105" w:id="-739980277"/>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7"/>
                <w14:textFill>
                  <w14:solidFill>
                    <w14:srgbClr w14:val="000000">
                      <w14:alpha w14:val="100000"/>
                    </w14:srgbClr>
                  </w14:solidFill>
                </w14:textFill>
              </w:rPr>
              <w:t xml:space="preserve">　</w:t>
            </w:r>
            <w:r w:rsidR="00F05ABF">
              <w:rPr>
                <w:vertAlign w:val="superscript"/>
              </w:rPr>
              <w:t>6</w:t>
            </w:r>
          </w:p>
        </w:tc>
        <w:tc>
          <w:tcPr>
            <w:tcW w:w="611" w:type="pct"/>
            <w:tcBorders>
              <w:bottom w:val="single" w:sz="4" w:space="0" w:color="auto"/>
            </w:tcBorders>
            <w:shd w:val="clear" w:color="auto" w:fill="auto"/>
          </w:tcPr>
          <w:p w14:paraId="0A7E7870" w14:textId="46181705"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76"/>
                <w14:textFill>
                  <w14:solidFill>
                    <w14:srgbClr w14:val="000000">
                      <w14:alpha w14:val="100000"/>
                    </w14:srgbClr>
                  </w14:solidFill>
                </w14:textFill>
              </w:rPr>
              <w:t xml:space="preserve">　</w:t>
            </w:r>
            <w:r w:rsidR="003F05CA" w:rsidRPr="00392FEA">
              <w:rPr>
                <w:color w:val="000000"/>
                <w:w w:val="23"/>
                <w:shd w:val="solid" w:color="000000" w:fill="000000"/>
                <w:fitText w:val="105" w:id="-739980276"/>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6"/>
                <w14:textFill>
                  <w14:solidFill>
                    <w14:srgbClr w14:val="000000">
                      <w14:alpha w14:val="100000"/>
                    </w14:srgbClr>
                  </w14:solidFill>
                </w14:textFill>
              </w:rPr>
              <w:t xml:space="preserve">　</w:t>
            </w:r>
            <w:r w:rsidR="00F05ABF">
              <w:rPr>
                <w:vertAlign w:val="superscript"/>
              </w:rPr>
              <w:t>6</w:t>
            </w:r>
          </w:p>
        </w:tc>
        <w:tc>
          <w:tcPr>
            <w:tcW w:w="611" w:type="pct"/>
            <w:tcBorders>
              <w:bottom w:val="single" w:sz="4" w:space="0" w:color="auto"/>
            </w:tcBorders>
            <w:shd w:val="clear" w:color="auto" w:fill="auto"/>
          </w:tcPr>
          <w:p w14:paraId="30DF18CF" w14:textId="0FF8B0E3"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75"/>
                <w14:textFill>
                  <w14:solidFill>
                    <w14:srgbClr w14:val="000000">
                      <w14:alpha w14:val="100000"/>
                    </w14:srgbClr>
                  </w14:solidFill>
                </w14:textFill>
              </w:rPr>
              <w:t xml:space="preserve">　</w:t>
            </w:r>
            <w:r w:rsidR="003F05CA" w:rsidRPr="00392FEA">
              <w:rPr>
                <w:color w:val="000000"/>
                <w:w w:val="23"/>
                <w:shd w:val="solid" w:color="000000" w:fill="000000"/>
                <w:fitText w:val="105" w:id="-739980275"/>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5"/>
                <w14:textFill>
                  <w14:solidFill>
                    <w14:srgbClr w14:val="000000">
                      <w14:alpha w14:val="100000"/>
                    </w14:srgbClr>
                  </w14:solidFill>
                </w14:textFill>
              </w:rPr>
              <w:t xml:space="preserve">　</w:t>
            </w:r>
            <w:r w:rsidR="00F05ABF">
              <w:rPr>
                <w:vertAlign w:val="superscript"/>
              </w:rPr>
              <w:t>6</w:t>
            </w:r>
          </w:p>
        </w:tc>
        <w:tc>
          <w:tcPr>
            <w:tcW w:w="611" w:type="pct"/>
            <w:tcBorders>
              <w:bottom w:val="single" w:sz="4" w:space="0" w:color="auto"/>
            </w:tcBorders>
            <w:shd w:val="clear" w:color="auto" w:fill="auto"/>
          </w:tcPr>
          <w:p w14:paraId="79C798E9" w14:textId="33F451F1" w:rsidR="00492922" w:rsidRPr="00DF3E91" w:rsidRDefault="00492922" w:rsidP="00492922">
            <w:pPr>
              <w:pStyle w:val="Tabletext"/>
              <w:keepNext/>
              <w:jc w:val="center"/>
              <w:rPr>
                <w:bCs/>
              </w:rPr>
            </w:pPr>
            <w:r w:rsidRPr="00D47828">
              <w:t>$</w:t>
            </w:r>
            <w:r w:rsidR="003F05CA" w:rsidRPr="00392FEA">
              <w:rPr>
                <w:rFonts w:hint="eastAsia"/>
                <w:color w:val="000000"/>
                <w:w w:val="23"/>
                <w:shd w:val="solid" w:color="000000" w:fill="000000"/>
                <w:fitText w:val="105" w:id="-739980274"/>
                <w14:textFill>
                  <w14:solidFill>
                    <w14:srgbClr w14:val="000000">
                      <w14:alpha w14:val="100000"/>
                    </w14:srgbClr>
                  </w14:solidFill>
                </w14:textFill>
              </w:rPr>
              <w:t xml:space="preserve">　</w:t>
            </w:r>
            <w:r w:rsidR="003F05CA" w:rsidRPr="00392FEA">
              <w:rPr>
                <w:color w:val="000000"/>
                <w:w w:val="23"/>
                <w:shd w:val="solid" w:color="000000" w:fill="000000"/>
                <w:fitText w:val="105" w:id="-739980274"/>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4"/>
                <w14:textFill>
                  <w14:solidFill>
                    <w14:srgbClr w14:val="000000">
                      <w14:alpha w14:val="100000"/>
                    </w14:srgbClr>
                  </w14:solidFill>
                </w14:textFill>
              </w:rPr>
              <w:t xml:space="preserve">　</w:t>
            </w:r>
            <w:r w:rsidR="00F05ABF">
              <w:rPr>
                <w:vertAlign w:val="superscript"/>
              </w:rPr>
              <w:t>6</w:t>
            </w:r>
          </w:p>
        </w:tc>
      </w:tr>
      <w:tr w:rsidR="00492922" w:rsidRPr="00DF3E91" w14:paraId="3AD183CC" w14:textId="77777777" w:rsidTr="00492922">
        <w:trPr>
          <w:cantSplit/>
        </w:trPr>
        <w:tc>
          <w:tcPr>
            <w:tcW w:w="1334" w:type="pct"/>
            <w:shd w:val="clear" w:color="auto" w:fill="auto"/>
            <w:vAlign w:val="center"/>
          </w:tcPr>
          <w:p w14:paraId="7562DD10" w14:textId="77777777" w:rsidR="00492922" w:rsidRPr="00DF3E91" w:rsidRDefault="00492922" w:rsidP="00492922">
            <w:pPr>
              <w:pStyle w:val="Tabletext"/>
              <w:keepNext/>
              <w:rPr>
                <w:bCs/>
              </w:rPr>
            </w:pPr>
            <w:r w:rsidRPr="00DF3E91">
              <w:rPr>
                <w:bCs/>
              </w:rPr>
              <w:t>Net cost to PBS/RPBS/MBS</w:t>
            </w:r>
          </w:p>
        </w:tc>
        <w:tc>
          <w:tcPr>
            <w:tcW w:w="611" w:type="pct"/>
            <w:tcBorders>
              <w:top w:val="single" w:sz="4" w:space="0" w:color="auto"/>
              <w:bottom w:val="single" w:sz="4" w:space="0" w:color="auto"/>
            </w:tcBorders>
            <w:shd w:val="clear" w:color="auto" w:fill="auto"/>
          </w:tcPr>
          <w:p w14:paraId="6CC7B3CF" w14:textId="5B3CC265" w:rsidR="00492922" w:rsidRPr="00F05ABF" w:rsidRDefault="00492922" w:rsidP="00492922">
            <w:pPr>
              <w:pStyle w:val="Tabletext"/>
              <w:keepNext/>
              <w:jc w:val="center"/>
              <w:rPr>
                <w:bCs/>
                <w:i/>
                <w:vertAlign w:val="superscript"/>
              </w:rPr>
            </w:pPr>
            <w:r w:rsidRPr="00D47828">
              <w:t>$</w:t>
            </w:r>
            <w:r w:rsidR="003F05CA" w:rsidRPr="00392FEA">
              <w:rPr>
                <w:rFonts w:hint="eastAsia"/>
                <w:color w:val="000000"/>
                <w:w w:val="23"/>
                <w:shd w:val="solid" w:color="000000" w:fill="000000"/>
                <w:fitText w:val="105" w:id="-739980273"/>
                <w14:textFill>
                  <w14:solidFill>
                    <w14:srgbClr w14:val="000000">
                      <w14:alpha w14:val="100000"/>
                    </w14:srgbClr>
                  </w14:solidFill>
                </w14:textFill>
              </w:rPr>
              <w:t xml:space="preserve">　</w:t>
            </w:r>
            <w:r w:rsidR="003F05CA" w:rsidRPr="00392FEA">
              <w:rPr>
                <w:color w:val="000000"/>
                <w:w w:val="23"/>
                <w:shd w:val="solid" w:color="000000" w:fill="000000"/>
                <w:fitText w:val="105" w:id="-739980273"/>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3"/>
                <w14:textFill>
                  <w14:solidFill>
                    <w14:srgbClr w14:val="000000">
                      <w14:alpha w14:val="100000"/>
                    </w14:srgbClr>
                  </w14:solidFill>
                </w14:textFill>
              </w:rPr>
              <w:t xml:space="preserve">　</w:t>
            </w:r>
            <w:r w:rsidR="00F05ABF">
              <w:rPr>
                <w:vertAlign w:val="superscript"/>
              </w:rPr>
              <w:t>5</w:t>
            </w:r>
          </w:p>
        </w:tc>
        <w:tc>
          <w:tcPr>
            <w:tcW w:w="611" w:type="pct"/>
            <w:tcBorders>
              <w:top w:val="single" w:sz="4" w:space="0" w:color="auto"/>
              <w:bottom w:val="single" w:sz="4" w:space="0" w:color="auto"/>
            </w:tcBorders>
            <w:shd w:val="clear" w:color="auto" w:fill="auto"/>
          </w:tcPr>
          <w:p w14:paraId="4449F5EC" w14:textId="3C6984BA" w:rsidR="00492922" w:rsidRPr="008B4E8B" w:rsidRDefault="00492922" w:rsidP="00492922">
            <w:pPr>
              <w:pStyle w:val="Tabletext"/>
              <w:keepNext/>
              <w:jc w:val="center"/>
              <w:rPr>
                <w:bCs/>
                <w:i/>
              </w:rPr>
            </w:pPr>
            <w:r w:rsidRPr="00D47828">
              <w:t>$</w:t>
            </w:r>
            <w:r w:rsidR="003F05CA" w:rsidRPr="00392FEA">
              <w:rPr>
                <w:rFonts w:hint="eastAsia"/>
                <w:color w:val="000000"/>
                <w:w w:val="23"/>
                <w:shd w:val="solid" w:color="000000" w:fill="000000"/>
                <w:fitText w:val="105" w:id="-739980272"/>
                <w14:textFill>
                  <w14:solidFill>
                    <w14:srgbClr w14:val="000000">
                      <w14:alpha w14:val="100000"/>
                    </w14:srgbClr>
                  </w14:solidFill>
                </w14:textFill>
              </w:rPr>
              <w:t xml:space="preserve">　</w:t>
            </w:r>
            <w:r w:rsidR="003F05CA" w:rsidRPr="00392FEA">
              <w:rPr>
                <w:color w:val="000000"/>
                <w:w w:val="23"/>
                <w:shd w:val="solid" w:color="000000" w:fill="000000"/>
                <w:fitText w:val="105" w:id="-739980272"/>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72"/>
                <w14:textFill>
                  <w14:solidFill>
                    <w14:srgbClr w14:val="000000">
                      <w14:alpha w14:val="100000"/>
                    </w14:srgbClr>
                  </w14:solidFill>
                </w14:textFill>
              </w:rPr>
              <w:t xml:space="preserve">　</w:t>
            </w:r>
            <w:r w:rsidR="00F05ABF">
              <w:rPr>
                <w:vertAlign w:val="superscript"/>
              </w:rPr>
              <w:t>5</w:t>
            </w:r>
          </w:p>
        </w:tc>
        <w:tc>
          <w:tcPr>
            <w:tcW w:w="611" w:type="pct"/>
            <w:tcBorders>
              <w:top w:val="single" w:sz="4" w:space="0" w:color="auto"/>
              <w:bottom w:val="single" w:sz="4" w:space="0" w:color="auto"/>
            </w:tcBorders>
            <w:shd w:val="clear" w:color="auto" w:fill="auto"/>
          </w:tcPr>
          <w:p w14:paraId="646C43F6" w14:textId="390E7919" w:rsidR="00492922" w:rsidRPr="00DF6D2D" w:rsidRDefault="00492922" w:rsidP="00492922">
            <w:pPr>
              <w:pStyle w:val="Tabletext"/>
              <w:keepNext/>
              <w:jc w:val="center"/>
              <w:rPr>
                <w:bCs/>
                <w:i/>
                <w:vertAlign w:val="superscript"/>
              </w:rPr>
            </w:pPr>
            <w:r w:rsidRPr="00D47828">
              <w:t>$</w:t>
            </w:r>
            <w:r w:rsidR="003F05CA" w:rsidRPr="00392FEA">
              <w:rPr>
                <w:rFonts w:hint="eastAsia"/>
                <w:color w:val="000000"/>
                <w:w w:val="23"/>
                <w:shd w:val="solid" w:color="000000" w:fill="000000"/>
                <w:fitText w:val="105" w:id="-739980288"/>
                <w14:textFill>
                  <w14:solidFill>
                    <w14:srgbClr w14:val="000000">
                      <w14:alpha w14:val="100000"/>
                    </w14:srgbClr>
                  </w14:solidFill>
                </w14:textFill>
              </w:rPr>
              <w:t xml:space="preserve">　</w:t>
            </w:r>
            <w:r w:rsidR="003F05CA" w:rsidRPr="00392FEA">
              <w:rPr>
                <w:color w:val="000000"/>
                <w:w w:val="23"/>
                <w:shd w:val="solid" w:color="000000" w:fill="000000"/>
                <w:fitText w:val="105" w:id="-739980288"/>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8"/>
                <w14:textFill>
                  <w14:solidFill>
                    <w14:srgbClr w14:val="000000">
                      <w14:alpha w14:val="100000"/>
                    </w14:srgbClr>
                  </w14:solidFill>
                </w14:textFill>
              </w:rPr>
              <w:t xml:space="preserve">　</w:t>
            </w:r>
            <w:r w:rsidR="00DF6D2D">
              <w:rPr>
                <w:vertAlign w:val="superscript"/>
              </w:rPr>
              <w:t>4</w:t>
            </w:r>
          </w:p>
        </w:tc>
        <w:tc>
          <w:tcPr>
            <w:tcW w:w="611" w:type="pct"/>
            <w:tcBorders>
              <w:top w:val="single" w:sz="4" w:space="0" w:color="auto"/>
              <w:bottom w:val="single" w:sz="4" w:space="0" w:color="auto"/>
            </w:tcBorders>
            <w:shd w:val="clear" w:color="auto" w:fill="auto"/>
          </w:tcPr>
          <w:p w14:paraId="28781D6B" w14:textId="11AA4226" w:rsidR="00492922" w:rsidRPr="008B4E8B" w:rsidRDefault="00492922" w:rsidP="00492922">
            <w:pPr>
              <w:pStyle w:val="Tabletext"/>
              <w:keepNext/>
              <w:jc w:val="center"/>
              <w:rPr>
                <w:bCs/>
                <w:i/>
              </w:rPr>
            </w:pPr>
            <w:r w:rsidRPr="00D47828">
              <w:t>$</w:t>
            </w:r>
            <w:r w:rsidR="003F05CA" w:rsidRPr="00392FEA">
              <w:rPr>
                <w:rFonts w:hint="eastAsia"/>
                <w:color w:val="000000"/>
                <w:w w:val="23"/>
                <w:shd w:val="solid" w:color="000000" w:fill="000000"/>
                <w:fitText w:val="105" w:id="-739980287"/>
                <w14:textFill>
                  <w14:solidFill>
                    <w14:srgbClr w14:val="000000">
                      <w14:alpha w14:val="100000"/>
                    </w14:srgbClr>
                  </w14:solidFill>
                </w14:textFill>
              </w:rPr>
              <w:t xml:space="preserve">　</w:t>
            </w:r>
            <w:r w:rsidR="003F05CA" w:rsidRPr="00392FEA">
              <w:rPr>
                <w:color w:val="000000"/>
                <w:w w:val="23"/>
                <w:shd w:val="solid" w:color="000000" w:fill="000000"/>
                <w:fitText w:val="105" w:id="-739980287"/>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7"/>
                <w14:textFill>
                  <w14:solidFill>
                    <w14:srgbClr w14:val="000000">
                      <w14:alpha w14:val="100000"/>
                    </w14:srgbClr>
                  </w14:solidFill>
                </w14:textFill>
              </w:rPr>
              <w:t xml:space="preserve">　</w:t>
            </w:r>
            <w:r w:rsidR="00DF6D2D">
              <w:rPr>
                <w:vertAlign w:val="superscript"/>
              </w:rPr>
              <w:t>4</w:t>
            </w:r>
          </w:p>
        </w:tc>
        <w:tc>
          <w:tcPr>
            <w:tcW w:w="611" w:type="pct"/>
            <w:tcBorders>
              <w:top w:val="single" w:sz="4" w:space="0" w:color="auto"/>
              <w:bottom w:val="single" w:sz="4" w:space="0" w:color="auto"/>
            </w:tcBorders>
            <w:shd w:val="clear" w:color="auto" w:fill="auto"/>
          </w:tcPr>
          <w:p w14:paraId="230D5EAD" w14:textId="3B778202" w:rsidR="00492922" w:rsidRPr="008B4E8B" w:rsidRDefault="00492922" w:rsidP="00492922">
            <w:pPr>
              <w:pStyle w:val="Tabletext"/>
              <w:keepNext/>
              <w:jc w:val="center"/>
              <w:rPr>
                <w:bCs/>
                <w:i/>
              </w:rPr>
            </w:pPr>
            <w:r w:rsidRPr="00D47828">
              <w:t>$</w:t>
            </w:r>
            <w:r w:rsidR="003F05CA" w:rsidRPr="00392FEA">
              <w:rPr>
                <w:rFonts w:hint="eastAsia"/>
                <w:color w:val="000000"/>
                <w:w w:val="23"/>
                <w:shd w:val="solid" w:color="000000" w:fill="000000"/>
                <w:fitText w:val="105" w:id="-739980286"/>
                <w14:textFill>
                  <w14:solidFill>
                    <w14:srgbClr w14:val="000000">
                      <w14:alpha w14:val="100000"/>
                    </w14:srgbClr>
                  </w14:solidFill>
                </w14:textFill>
              </w:rPr>
              <w:t xml:space="preserve">　</w:t>
            </w:r>
            <w:r w:rsidR="003F05CA" w:rsidRPr="00392FEA">
              <w:rPr>
                <w:color w:val="000000"/>
                <w:w w:val="23"/>
                <w:shd w:val="solid" w:color="000000" w:fill="000000"/>
                <w:fitText w:val="105" w:id="-739980286"/>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6"/>
                <w14:textFill>
                  <w14:solidFill>
                    <w14:srgbClr w14:val="000000">
                      <w14:alpha w14:val="100000"/>
                    </w14:srgbClr>
                  </w14:solidFill>
                </w14:textFill>
              </w:rPr>
              <w:t xml:space="preserve">　</w:t>
            </w:r>
            <w:r w:rsidR="00DF6D2D">
              <w:rPr>
                <w:vertAlign w:val="superscript"/>
              </w:rPr>
              <w:t>4</w:t>
            </w:r>
          </w:p>
        </w:tc>
        <w:tc>
          <w:tcPr>
            <w:tcW w:w="611" w:type="pct"/>
            <w:tcBorders>
              <w:top w:val="single" w:sz="4" w:space="0" w:color="auto"/>
              <w:bottom w:val="single" w:sz="4" w:space="0" w:color="auto"/>
            </w:tcBorders>
            <w:shd w:val="clear" w:color="auto" w:fill="auto"/>
          </w:tcPr>
          <w:p w14:paraId="52F5CD4A" w14:textId="38BCE580" w:rsidR="00492922" w:rsidRPr="008B4E8B" w:rsidRDefault="00492922" w:rsidP="00492922">
            <w:pPr>
              <w:pStyle w:val="Tabletext"/>
              <w:keepNext/>
              <w:jc w:val="center"/>
              <w:rPr>
                <w:bCs/>
                <w:i/>
              </w:rPr>
            </w:pPr>
            <w:r w:rsidRPr="00D47828">
              <w:t>$</w:t>
            </w:r>
            <w:r w:rsidR="003F05CA" w:rsidRPr="00392FEA">
              <w:rPr>
                <w:rFonts w:hint="eastAsia"/>
                <w:color w:val="000000"/>
                <w:w w:val="23"/>
                <w:shd w:val="solid" w:color="000000" w:fill="000000"/>
                <w:fitText w:val="105" w:id="-739980285"/>
                <w14:textFill>
                  <w14:solidFill>
                    <w14:srgbClr w14:val="000000">
                      <w14:alpha w14:val="100000"/>
                    </w14:srgbClr>
                  </w14:solidFill>
                </w14:textFill>
              </w:rPr>
              <w:t xml:space="preserve">　</w:t>
            </w:r>
            <w:r w:rsidR="003F05CA" w:rsidRPr="00392FEA">
              <w:rPr>
                <w:color w:val="000000"/>
                <w:w w:val="23"/>
                <w:shd w:val="solid" w:color="000000" w:fill="000000"/>
                <w:fitText w:val="105" w:id="-739980285"/>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5"/>
                <w14:textFill>
                  <w14:solidFill>
                    <w14:srgbClr w14:val="000000">
                      <w14:alpha w14:val="100000"/>
                    </w14:srgbClr>
                  </w14:solidFill>
                </w14:textFill>
              </w:rPr>
              <w:t xml:space="preserve">　</w:t>
            </w:r>
            <w:r w:rsidR="00DF6D2D">
              <w:rPr>
                <w:vertAlign w:val="superscript"/>
              </w:rPr>
              <w:t>4</w:t>
            </w:r>
          </w:p>
        </w:tc>
      </w:tr>
      <w:tr w:rsidR="00543DB1" w:rsidRPr="00DF3E91" w14:paraId="7D4AA146" w14:textId="77777777" w:rsidTr="00543DB1">
        <w:trPr>
          <w:cantSplit/>
        </w:trPr>
        <w:tc>
          <w:tcPr>
            <w:tcW w:w="5000" w:type="pct"/>
            <w:gridSpan w:val="7"/>
            <w:shd w:val="clear" w:color="auto" w:fill="auto"/>
            <w:vAlign w:val="center"/>
          </w:tcPr>
          <w:p w14:paraId="072A4FF8" w14:textId="721827A1" w:rsidR="00543DB1" w:rsidRPr="00543DB1" w:rsidRDefault="00BD7DA7" w:rsidP="00543DB1">
            <w:pPr>
              <w:pStyle w:val="Tabletext"/>
              <w:keepNext/>
              <w:rPr>
                <w:b/>
              </w:rPr>
            </w:pPr>
            <w:r w:rsidRPr="008A00D9">
              <w:rPr>
                <w:b/>
                <w:bCs/>
                <w:lang w:val="en-US"/>
              </w:rPr>
              <w:t xml:space="preserve">Net financial implications </w:t>
            </w:r>
            <w:r>
              <w:rPr>
                <w:b/>
                <w:bCs/>
                <w:lang w:val="en-US"/>
              </w:rPr>
              <w:t>of periNIVO (submission)</w:t>
            </w:r>
          </w:p>
        </w:tc>
      </w:tr>
      <w:tr w:rsidR="00784146" w:rsidRPr="00DF3E91" w14:paraId="29A89AE0" w14:textId="77777777" w:rsidTr="00784146">
        <w:trPr>
          <w:cantSplit/>
        </w:trPr>
        <w:tc>
          <w:tcPr>
            <w:tcW w:w="1334" w:type="pct"/>
            <w:shd w:val="clear" w:color="auto" w:fill="auto"/>
            <w:vAlign w:val="center"/>
          </w:tcPr>
          <w:p w14:paraId="10FC132A" w14:textId="0117D81D" w:rsidR="00784146" w:rsidRPr="00DF3E91" w:rsidRDefault="00784146" w:rsidP="00784146">
            <w:pPr>
              <w:pStyle w:val="Tabletext"/>
              <w:keepNext/>
              <w:rPr>
                <w:bCs/>
              </w:rPr>
            </w:pPr>
            <w:r w:rsidRPr="00DF3E91">
              <w:rPr>
                <w:bCs/>
              </w:rPr>
              <w:t>Net cost to PBS/RPBS</w:t>
            </w:r>
            <w:r>
              <w:rPr>
                <w:bCs/>
                <w:vertAlign w:val="superscript"/>
              </w:rPr>
              <w:t>a</w:t>
            </w:r>
          </w:p>
        </w:tc>
        <w:tc>
          <w:tcPr>
            <w:tcW w:w="611" w:type="pct"/>
            <w:tcBorders>
              <w:top w:val="single" w:sz="4" w:space="0" w:color="auto"/>
              <w:bottom w:val="single" w:sz="4" w:space="0" w:color="auto"/>
            </w:tcBorders>
            <w:shd w:val="clear" w:color="auto" w:fill="auto"/>
          </w:tcPr>
          <w:p w14:paraId="3177E762" w14:textId="0B1FD53D" w:rsidR="00784146" w:rsidRPr="00316D8C" w:rsidRDefault="00784146" w:rsidP="00784146">
            <w:pPr>
              <w:pStyle w:val="Tabletext"/>
              <w:keepNext/>
              <w:jc w:val="center"/>
              <w:rPr>
                <w:bCs/>
                <w:vertAlign w:val="superscript"/>
              </w:rPr>
            </w:pPr>
            <w:r w:rsidRPr="007B2E3E">
              <w:t>$</w:t>
            </w:r>
            <w:r w:rsidR="003F05CA" w:rsidRPr="00392FEA">
              <w:rPr>
                <w:rFonts w:hint="eastAsia"/>
                <w:color w:val="000000"/>
                <w:w w:val="23"/>
                <w:shd w:val="solid" w:color="000000" w:fill="000000"/>
                <w:fitText w:val="105" w:id="-739980284"/>
                <w14:textFill>
                  <w14:solidFill>
                    <w14:srgbClr w14:val="000000">
                      <w14:alpha w14:val="100000"/>
                    </w14:srgbClr>
                  </w14:solidFill>
                </w14:textFill>
              </w:rPr>
              <w:t xml:space="preserve">　</w:t>
            </w:r>
            <w:r w:rsidR="003F05CA" w:rsidRPr="00392FEA">
              <w:rPr>
                <w:color w:val="000000"/>
                <w:w w:val="23"/>
                <w:shd w:val="solid" w:color="000000" w:fill="000000"/>
                <w:fitText w:val="105" w:id="-739980284"/>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284"/>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tcPr>
          <w:p w14:paraId="5FF46C1F" w14:textId="679331A0" w:rsidR="00784146" w:rsidRPr="008B4E8B" w:rsidRDefault="00784146" w:rsidP="00784146">
            <w:pPr>
              <w:pStyle w:val="Tabletext"/>
              <w:keepNext/>
              <w:jc w:val="center"/>
              <w:rPr>
                <w:bCs/>
              </w:rPr>
            </w:pPr>
            <w:r w:rsidRPr="007B2E3E">
              <w:t>$</w:t>
            </w:r>
            <w:r w:rsidR="003F05CA" w:rsidRPr="00392FEA">
              <w:rPr>
                <w:rFonts w:hint="eastAsia"/>
                <w:color w:val="000000"/>
                <w:w w:val="23"/>
                <w:shd w:val="solid" w:color="000000" w:fill="000000"/>
                <w:fitText w:val="105" w:id="-739980032"/>
                <w14:textFill>
                  <w14:solidFill>
                    <w14:srgbClr w14:val="000000">
                      <w14:alpha w14:val="100000"/>
                    </w14:srgbClr>
                  </w14:solidFill>
                </w14:textFill>
              </w:rPr>
              <w:t xml:space="preserve">　</w:t>
            </w:r>
            <w:r w:rsidR="003F05CA" w:rsidRPr="00392FEA">
              <w:rPr>
                <w:color w:val="000000"/>
                <w:w w:val="23"/>
                <w:shd w:val="solid" w:color="000000" w:fill="000000"/>
                <w:fitText w:val="105" w:id="-739980032"/>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32"/>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tcPr>
          <w:p w14:paraId="3EE4D314" w14:textId="6A054ED3" w:rsidR="00784146" w:rsidRPr="008B4E8B" w:rsidRDefault="00784146" w:rsidP="00784146">
            <w:pPr>
              <w:pStyle w:val="Tabletext"/>
              <w:keepNext/>
              <w:jc w:val="center"/>
              <w:rPr>
                <w:bCs/>
              </w:rPr>
            </w:pPr>
            <w:r w:rsidRPr="007B2E3E">
              <w:t>$</w:t>
            </w:r>
            <w:r w:rsidR="003F05CA" w:rsidRPr="00392FEA">
              <w:rPr>
                <w:rFonts w:hint="eastAsia"/>
                <w:color w:val="000000"/>
                <w:w w:val="23"/>
                <w:shd w:val="solid" w:color="000000" w:fill="000000"/>
                <w:fitText w:val="105" w:id="-739980031"/>
                <w14:textFill>
                  <w14:solidFill>
                    <w14:srgbClr w14:val="000000">
                      <w14:alpha w14:val="100000"/>
                    </w14:srgbClr>
                  </w14:solidFill>
                </w14:textFill>
              </w:rPr>
              <w:t xml:space="preserve">　</w:t>
            </w:r>
            <w:r w:rsidR="003F05CA" w:rsidRPr="00392FEA">
              <w:rPr>
                <w:color w:val="000000"/>
                <w:w w:val="23"/>
                <w:shd w:val="solid" w:color="000000" w:fill="000000"/>
                <w:fitText w:val="105" w:id="-739980031"/>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31"/>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tcPr>
          <w:p w14:paraId="6B827CBB" w14:textId="74EAE11E" w:rsidR="00784146" w:rsidRPr="008B4E8B" w:rsidRDefault="00784146" w:rsidP="00784146">
            <w:pPr>
              <w:pStyle w:val="Tabletext"/>
              <w:keepNext/>
              <w:jc w:val="center"/>
              <w:rPr>
                <w:bCs/>
              </w:rPr>
            </w:pPr>
            <w:r w:rsidRPr="007B2E3E">
              <w:t>$</w:t>
            </w:r>
            <w:r w:rsidR="003F05CA" w:rsidRPr="00392FEA">
              <w:rPr>
                <w:rFonts w:hint="eastAsia"/>
                <w:color w:val="000000"/>
                <w:w w:val="23"/>
                <w:shd w:val="solid" w:color="000000" w:fill="000000"/>
                <w:fitText w:val="105" w:id="-739980030"/>
                <w14:textFill>
                  <w14:solidFill>
                    <w14:srgbClr w14:val="000000">
                      <w14:alpha w14:val="100000"/>
                    </w14:srgbClr>
                  </w14:solidFill>
                </w14:textFill>
              </w:rPr>
              <w:t xml:space="preserve">　</w:t>
            </w:r>
            <w:r w:rsidR="003F05CA" w:rsidRPr="00392FEA">
              <w:rPr>
                <w:color w:val="000000"/>
                <w:w w:val="23"/>
                <w:shd w:val="solid" w:color="000000" w:fill="000000"/>
                <w:fitText w:val="105" w:id="-739980030"/>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30"/>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tcPr>
          <w:p w14:paraId="07F8034E" w14:textId="27DC2436" w:rsidR="00784146" w:rsidRPr="008B4E8B" w:rsidRDefault="00784146" w:rsidP="00784146">
            <w:pPr>
              <w:pStyle w:val="Tabletext"/>
              <w:keepNext/>
              <w:jc w:val="center"/>
              <w:rPr>
                <w:bCs/>
              </w:rPr>
            </w:pPr>
            <w:r w:rsidRPr="007B2E3E">
              <w:t>$</w:t>
            </w:r>
            <w:r w:rsidR="003F05CA" w:rsidRPr="00392FEA">
              <w:rPr>
                <w:rFonts w:hint="eastAsia"/>
                <w:color w:val="000000"/>
                <w:w w:val="23"/>
                <w:shd w:val="solid" w:color="000000" w:fill="000000"/>
                <w:fitText w:val="105" w:id="-739980029"/>
                <w14:textFill>
                  <w14:solidFill>
                    <w14:srgbClr w14:val="000000">
                      <w14:alpha w14:val="100000"/>
                    </w14:srgbClr>
                  </w14:solidFill>
                </w14:textFill>
              </w:rPr>
              <w:t xml:space="preserve">　</w:t>
            </w:r>
            <w:r w:rsidR="003F05CA" w:rsidRPr="00392FEA">
              <w:rPr>
                <w:color w:val="000000"/>
                <w:w w:val="23"/>
                <w:shd w:val="solid" w:color="000000" w:fill="000000"/>
                <w:fitText w:val="105" w:id="-739980029"/>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9"/>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tcPr>
          <w:p w14:paraId="50A37411" w14:textId="378636A3" w:rsidR="00784146" w:rsidRPr="008B4E8B" w:rsidRDefault="00784146" w:rsidP="00784146">
            <w:pPr>
              <w:pStyle w:val="Tabletext"/>
              <w:keepNext/>
              <w:jc w:val="center"/>
              <w:rPr>
                <w:bCs/>
              </w:rPr>
            </w:pPr>
            <w:r w:rsidRPr="007B2E3E">
              <w:t>$</w:t>
            </w:r>
            <w:r w:rsidR="003F05CA" w:rsidRPr="00392FEA">
              <w:rPr>
                <w:rFonts w:hint="eastAsia"/>
                <w:color w:val="000000"/>
                <w:w w:val="23"/>
                <w:shd w:val="solid" w:color="000000" w:fill="000000"/>
                <w:fitText w:val="105" w:id="-739980028"/>
                <w14:textFill>
                  <w14:solidFill>
                    <w14:srgbClr w14:val="000000">
                      <w14:alpha w14:val="100000"/>
                    </w14:srgbClr>
                  </w14:solidFill>
                </w14:textFill>
              </w:rPr>
              <w:t xml:space="preserve">　</w:t>
            </w:r>
            <w:r w:rsidR="003F05CA" w:rsidRPr="00392FEA">
              <w:rPr>
                <w:color w:val="000000"/>
                <w:w w:val="23"/>
                <w:shd w:val="solid" w:color="000000" w:fill="000000"/>
                <w:fitText w:val="105" w:id="-739980028"/>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8"/>
                <w14:textFill>
                  <w14:solidFill>
                    <w14:srgbClr w14:val="000000">
                      <w14:alpha w14:val="100000"/>
                    </w14:srgbClr>
                  </w14:solidFill>
                </w14:textFill>
              </w:rPr>
              <w:t xml:space="preserve">　</w:t>
            </w:r>
            <w:r w:rsidR="00316D8C">
              <w:rPr>
                <w:vertAlign w:val="superscript"/>
              </w:rPr>
              <w:t>7</w:t>
            </w:r>
          </w:p>
        </w:tc>
      </w:tr>
      <w:tr w:rsidR="0042777E" w:rsidRPr="00DF3E91" w14:paraId="6B37C821" w14:textId="77777777" w:rsidTr="00723FE8">
        <w:trPr>
          <w:cantSplit/>
        </w:trPr>
        <w:tc>
          <w:tcPr>
            <w:tcW w:w="1334" w:type="pct"/>
            <w:shd w:val="clear" w:color="auto" w:fill="auto"/>
            <w:vAlign w:val="center"/>
          </w:tcPr>
          <w:p w14:paraId="3D27C0D2" w14:textId="6E46207F" w:rsidR="0042777E" w:rsidRPr="00DF3E91" w:rsidRDefault="0042777E" w:rsidP="0042777E">
            <w:pPr>
              <w:pStyle w:val="Tabletext"/>
              <w:keepNext/>
              <w:rPr>
                <w:bCs/>
              </w:rPr>
            </w:pPr>
            <w:r w:rsidRPr="00DF3E91">
              <w:rPr>
                <w:bCs/>
              </w:rPr>
              <w:t>Net cost to MBS</w:t>
            </w:r>
          </w:p>
        </w:tc>
        <w:tc>
          <w:tcPr>
            <w:tcW w:w="611" w:type="pct"/>
            <w:tcBorders>
              <w:top w:val="single" w:sz="4" w:space="0" w:color="auto"/>
              <w:bottom w:val="single" w:sz="4" w:space="0" w:color="auto"/>
            </w:tcBorders>
            <w:shd w:val="clear" w:color="auto" w:fill="auto"/>
            <w:vAlign w:val="center"/>
          </w:tcPr>
          <w:p w14:paraId="391D1281" w14:textId="3D9E5863" w:rsidR="0042777E" w:rsidRPr="00316D8C" w:rsidRDefault="0042777E" w:rsidP="0042777E">
            <w:pPr>
              <w:pStyle w:val="Tabletext"/>
              <w:keepNext/>
              <w:jc w:val="center"/>
              <w:rPr>
                <w:bCs/>
                <w:vertAlign w:val="superscript"/>
              </w:rPr>
            </w:pPr>
            <w:r w:rsidRPr="00724DE2">
              <w:t>$</w:t>
            </w:r>
            <w:r w:rsidR="003F05CA" w:rsidRPr="00392FEA">
              <w:rPr>
                <w:rFonts w:hint="eastAsia"/>
                <w:color w:val="000000"/>
                <w:w w:val="23"/>
                <w:shd w:val="solid" w:color="000000" w:fill="000000"/>
                <w:fitText w:val="105" w:id="-739980027"/>
                <w14:textFill>
                  <w14:solidFill>
                    <w14:srgbClr w14:val="000000">
                      <w14:alpha w14:val="100000"/>
                    </w14:srgbClr>
                  </w14:solidFill>
                </w14:textFill>
              </w:rPr>
              <w:t xml:space="preserve">　</w:t>
            </w:r>
            <w:r w:rsidR="003F05CA" w:rsidRPr="00392FEA">
              <w:rPr>
                <w:color w:val="000000"/>
                <w:w w:val="23"/>
                <w:shd w:val="solid" w:color="000000" w:fill="000000"/>
                <w:fitText w:val="105" w:id="-739980027"/>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7"/>
                <w14:textFill>
                  <w14:solidFill>
                    <w14:srgbClr w14:val="000000">
                      <w14:alpha w14:val="100000"/>
                    </w14:srgbClr>
                  </w14:solidFill>
                </w14:textFill>
              </w:rPr>
              <w:t xml:space="preserve">　</w:t>
            </w:r>
            <w:r w:rsidR="00316D8C">
              <w:rPr>
                <w:vertAlign w:val="superscript"/>
              </w:rPr>
              <w:t>6</w:t>
            </w:r>
          </w:p>
        </w:tc>
        <w:tc>
          <w:tcPr>
            <w:tcW w:w="611" w:type="pct"/>
            <w:tcBorders>
              <w:top w:val="single" w:sz="4" w:space="0" w:color="auto"/>
              <w:bottom w:val="single" w:sz="4" w:space="0" w:color="auto"/>
            </w:tcBorders>
            <w:shd w:val="clear" w:color="auto" w:fill="auto"/>
            <w:vAlign w:val="center"/>
          </w:tcPr>
          <w:p w14:paraId="2B5BAD04" w14:textId="1C58D40E" w:rsidR="0042777E" w:rsidRPr="008B4E8B" w:rsidRDefault="0042777E" w:rsidP="0042777E">
            <w:pPr>
              <w:pStyle w:val="Tabletext"/>
              <w:keepNext/>
              <w:jc w:val="center"/>
              <w:rPr>
                <w:bCs/>
              </w:rPr>
            </w:pPr>
            <w:r w:rsidRPr="00724DE2">
              <w:t>$</w:t>
            </w:r>
            <w:r w:rsidR="003F05CA" w:rsidRPr="00392FEA">
              <w:rPr>
                <w:rFonts w:hint="eastAsia"/>
                <w:color w:val="000000"/>
                <w:w w:val="23"/>
                <w:shd w:val="solid" w:color="000000" w:fill="000000"/>
                <w:fitText w:val="105" w:id="-739980026"/>
                <w14:textFill>
                  <w14:solidFill>
                    <w14:srgbClr w14:val="000000">
                      <w14:alpha w14:val="100000"/>
                    </w14:srgbClr>
                  </w14:solidFill>
                </w14:textFill>
              </w:rPr>
              <w:t xml:space="preserve">　</w:t>
            </w:r>
            <w:r w:rsidR="003F05CA" w:rsidRPr="00392FEA">
              <w:rPr>
                <w:color w:val="000000"/>
                <w:w w:val="23"/>
                <w:shd w:val="solid" w:color="000000" w:fill="000000"/>
                <w:fitText w:val="105" w:id="-739980026"/>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6"/>
                <w14:textFill>
                  <w14:solidFill>
                    <w14:srgbClr w14:val="000000">
                      <w14:alpha w14:val="100000"/>
                    </w14:srgbClr>
                  </w14:solidFill>
                </w14:textFill>
              </w:rPr>
              <w:t xml:space="preserve">　</w:t>
            </w:r>
            <w:r w:rsidR="00316D8C">
              <w:rPr>
                <w:vertAlign w:val="superscript"/>
              </w:rPr>
              <w:t>6</w:t>
            </w:r>
          </w:p>
        </w:tc>
        <w:tc>
          <w:tcPr>
            <w:tcW w:w="611" w:type="pct"/>
            <w:tcBorders>
              <w:top w:val="single" w:sz="4" w:space="0" w:color="auto"/>
              <w:bottom w:val="single" w:sz="4" w:space="0" w:color="auto"/>
            </w:tcBorders>
            <w:shd w:val="clear" w:color="auto" w:fill="auto"/>
            <w:vAlign w:val="center"/>
          </w:tcPr>
          <w:p w14:paraId="7709373C" w14:textId="222EDA75" w:rsidR="0042777E" w:rsidRPr="008B4E8B" w:rsidRDefault="0042777E" w:rsidP="0042777E">
            <w:pPr>
              <w:pStyle w:val="Tabletext"/>
              <w:keepNext/>
              <w:jc w:val="center"/>
              <w:rPr>
                <w:bCs/>
              </w:rPr>
            </w:pPr>
            <w:r w:rsidRPr="00724DE2">
              <w:t>$</w:t>
            </w:r>
            <w:r w:rsidR="003F05CA" w:rsidRPr="00392FEA">
              <w:rPr>
                <w:rFonts w:hint="eastAsia"/>
                <w:color w:val="000000"/>
                <w:w w:val="23"/>
                <w:shd w:val="solid" w:color="000000" w:fill="000000"/>
                <w:fitText w:val="105" w:id="-739980025"/>
                <w14:textFill>
                  <w14:solidFill>
                    <w14:srgbClr w14:val="000000">
                      <w14:alpha w14:val="100000"/>
                    </w14:srgbClr>
                  </w14:solidFill>
                </w14:textFill>
              </w:rPr>
              <w:t xml:space="preserve">　</w:t>
            </w:r>
            <w:r w:rsidR="003F05CA" w:rsidRPr="00392FEA">
              <w:rPr>
                <w:color w:val="000000"/>
                <w:w w:val="23"/>
                <w:shd w:val="solid" w:color="000000" w:fill="000000"/>
                <w:fitText w:val="105" w:id="-739980025"/>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5"/>
                <w14:textFill>
                  <w14:solidFill>
                    <w14:srgbClr w14:val="000000">
                      <w14:alpha w14:val="100000"/>
                    </w14:srgbClr>
                  </w14:solidFill>
                </w14:textFill>
              </w:rPr>
              <w:t xml:space="preserve">　</w:t>
            </w:r>
            <w:r w:rsidR="00316D8C">
              <w:rPr>
                <w:vertAlign w:val="superscript"/>
              </w:rPr>
              <w:t>6</w:t>
            </w:r>
          </w:p>
        </w:tc>
        <w:tc>
          <w:tcPr>
            <w:tcW w:w="611" w:type="pct"/>
            <w:tcBorders>
              <w:top w:val="single" w:sz="4" w:space="0" w:color="auto"/>
              <w:bottom w:val="single" w:sz="4" w:space="0" w:color="auto"/>
            </w:tcBorders>
            <w:shd w:val="clear" w:color="auto" w:fill="auto"/>
            <w:vAlign w:val="center"/>
          </w:tcPr>
          <w:p w14:paraId="3798EF42" w14:textId="66A5BA75" w:rsidR="0042777E" w:rsidRPr="008B4E8B" w:rsidRDefault="0042777E" w:rsidP="0042777E">
            <w:pPr>
              <w:pStyle w:val="Tabletext"/>
              <w:keepNext/>
              <w:jc w:val="center"/>
              <w:rPr>
                <w:bCs/>
              </w:rPr>
            </w:pPr>
            <w:r w:rsidRPr="00724DE2">
              <w:t>$</w:t>
            </w:r>
            <w:r w:rsidR="003F05CA" w:rsidRPr="00392FEA">
              <w:rPr>
                <w:rFonts w:hint="eastAsia"/>
                <w:color w:val="000000"/>
                <w:w w:val="23"/>
                <w:shd w:val="solid" w:color="000000" w:fill="000000"/>
                <w:fitText w:val="105" w:id="-739980024"/>
                <w14:textFill>
                  <w14:solidFill>
                    <w14:srgbClr w14:val="000000">
                      <w14:alpha w14:val="100000"/>
                    </w14:srgbClr>
                  </w14:solidFill>
                </w14:textFill>
              </w:rPr>
              <w:t xml:space="preserve">　</w:t>
            </w:r>
            <w:r w:rsidR="003F05CA" w:rsidRPr="00392FEA">
              <w:rPr>
                <w:color w:val="000000"/>
                <w:w w:val="23"/>
                <w:shd w:val="solid" w:color="000000" w:fill="000000"/>
                <w:fitText w:val="105" w:id="-739980024"/>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4"/>
                <w14:textFill>
                  <w14:solidFill>
                    <w14:srgbClr w14:val="000000">
                      <w14:alpha w14:val="100000"/>
                    </w14:srgbClr>
                  </w14:solidFill>
                </w14:textFill>
              </w:rPr>
              <w:t xml:space="preserve">　</w:t>
            </w:r>
            <w:r w:rsidR="00316D8C">
              <w:rPr>
                <w:vertAlign w:val="superscript"/>
              </w:rPr>
              <w:t>6</w:t>
            </w:r>
          </w:p>
        </w:tc>
        <w:tc>
          <w:tcPr>
            <w:tcW w:w="611" w:type="pct"/>
            <w:tcBorders>
              <w:top w:val="single" w:sz="4" w:space="0" w:color="auto"/>
              <w:bottom w:val="single" w:sz="4" w:space="0" w:color="auto"/>
            </w:tcBorders>
            <w:shd w:val="clear" w:color="auto" w:fill="auto"/>
            <w:vAlign w:val="center"/>
          </w:tcPr>
          <w:p w14:paraId="011F9790" w14:textId="4902304A" w:rsidR="0042777E" w:rsidRPr="008B4E8B" w:rsidRDefault="0042777E" w:rsidP="0042777E">
            <w:pPr>
              <w:pStyle w:val="Tabletext"/>
              <w:keepNext/>
              <w:jc w:val="center"/>
              <w:rPr>
                <w:bCs/>
              </w:rPr>
            </w:pPr>
            <w:r w:rsidRPr="00724DE2">
              <w:t>$</w:t>
            </w:r>
            <w:r w:rsidR="003F05CA" w:rsidRPr="00392FEA">
              <w:rPr>
                <w:rFonts w:hint="eastAsia"/>
                <w:color w:val="000000"/>
                <w:w w:val="23"/>
                <w:shd w:val="solid" w:color="000000" w:fill="000000"/>
                <w:fitText w:val="105" w:id="-739980023"/>
                <w14:textFill>
                  <w14:solidFill>
                    <w14:srgbClr w14:val="000000">
                      <w14:alpha w14:val="100000"/>
                    </w14:srgbClr>
                  </w14:solidFill>
                </w14:textFill>
              </w:rPr>
              <w:t xml:space="preserve">　</w:t>
            </w:r>
            <w:r w:rsidR="003F05CA" w:rsidRPr="00392FEA">
              <w:rPr>
                <w:color w:val="000000"/>
                <w:w w:val="23"/>
                <w:shd w:val="solid" w:color="000000" w:fill="000000"/>
                <w:fitText w:val="105" w:id="-739980023"/>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3"/>
                <w14:textFill>
                  <w14:solidFill>
                    <w14:srgbClr w14:val="000000">
                      <w14:alpha w14:val="100000"/>
                    </w14:srgbClr>
                  </w14:solidFill>
                </w14:textFill>
              </w:rPr>
              <w:t xml:space="preserve">　</w:t>
            </w:r>
            <w:r w:rsidR="00316D8C">
              <w:rPr>
                <w:vertAlign w:val="superscript"/>
              </w:rPr>
              <w:t>6</w:t>
            </w:r>
          </w:p>
        </w:tc>
        <w:tc>
          <w:tcPr>
            <w:tcW w:w="611" w:type="pct"/>
            <w:tcBorders>
              <w:top w:val="single" w:sz="4" w:space="0" w:color="auto"/>
              <w:bottom w:val="single" w:sz="4" w:space="0" w:color="auto"/>
            </w:tcBorders>
            <w:shd w:val="clear" w:color="auto" w:fill="auto"/>
            <w:vAlign w:val="center"/>
          </w:tcPr>
          <w:p w14:paraId="340627F6" w14:textId="07C98395" w:rsidR="0042777E" w:rsidRPr="008B4E8B" w:rsidRDefault="0042777E" w:rsidP="0042777E">
            <w:pPr>
              <w:pStyle w:val="Tabletext"/>
              <w:keepNext/>
              <w:jc w:val="center"/>
              <w:rPr>
                <w:bCs/>
              </w:rPr>
            </w:pPr>
            <w:r w:rsidRPr="00724DE2">
              <w:t>$</w:t>
            </w:r>
            <w:r w:rsidR="003F05CA" w:rsidRPr="00392FEA">
              <w:rPr>
                <w:rFonts w:hint="eastAsia"/>
                <w:color w:val="000000"/>
                <w:w w:val="23"/>
                <w:shd w:val="solid" w:color="000000" w:fill="000000"/>
                <w:fitText w:val="105" w:id="-739980022"/>
                <w14:textFill>
                  <w14:solidFill>
                    <w14:srgbClr w14:val="000000">
                      <w14:alpha w14:val="100000"/>
                    </w14:srgbClr>
                  </w14:solidFill>
                </w14:textFill>
              </w:rPr>
              <w:t xml:space="preserve">　</w:t>
            </w:r>
            <w:r w:rsidR="003F05CA" w:rsidRPr="00392FEA">
              <w:rPr>
                <w:color w:val="000000"/>
                <w:w w:val="23"/>
                <w:shd w:val="solid" w:color="000000" w:fill="000000"/>
                <w:fitText w:val="105" w:id="-739980022"/>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2"/>
                <w14:textFill>
                  <w14:solidFill>
                    <w14:srgbClr w14:val="000000">
                      <w14:alpha w14:val="100000"/>
                    </w14:srgbClr>
                  </w14:solidFill>
                </w14:textFill>
              </w:rPr>
              <w:t xml:space="preserve">　</w:t>
            </w:r>
            <w:r w:rsidR="00316D8C">
              <w:rPr>
                <w:vertAlign w:val="superscript"/>
              </w:rPr>
              <w:t>6</w:t>
            </w:r>
          </w:p>
        </w:tc>
      </w:tr>
      <w:tr w:rsidR="0042777E" w:rsidRPr="00DF3E91" w14:paraId="4EF54F91" w14:textId="77777777" w:rsidTr="00723FE8">
        <w:trPr>
          <w:cantSplit/>
        </w:trPr>
        <w:tc>
          <w:tcPr>
            <w:tcW w:w="1334" w:type="pct"/>
            <w:shd w:val="clear" w:color="auto" w:fill="auto"/>
            <w:vAlign w:val="center"/>
          </w:tcPr>
          <w:p w14:paraId="502EC1AB" w14:textId="51718073" w:rsidR="0042777E" w:rsidRPr="00DF3E91" w:rsidRDefault="0042777E" w:rsidP="0042777E">
            <w:pPr>
              <w:pStyle w:val="Tabletext"/>
              <w:keepNext/>
              <w:rPr>
                <w:bCs/>
              </w:rPr>
            </w:pPr>
            <w:r w:rsidRPr="00DF3E91">
              <w:rPr>
                <w:bCs/>
              </w:rPr>
              <w:t>Net cost to PBS/RPBS/MBS</w:t>
            </w:r>
          </w:p>
        </w:tc>
        <w:tc>
          <w:tcPr>
            <w:tcW w:w="611" w:type="pct"/>
            <w:tcBorders>
              <w:top w:val="single" w:sz="4" w:space="0" w:color="auto"/>
              <w:bottom w:val="single" w:sz="4" w:space="0" w:color="auto"/>
            </w:tcBorders>
            <w:shd w:val="clear" w:color="auto" w:fill="auto"/>
            <w:vAlign w:val="center"/>
          </w:tcPr>
          <w:p w14:paraId="2CC88BF2" w14:textId="729612B5" w:rsidR="0042777E" w:rsidRPr="008B4E8B" w:rsidRDefault="0042777E" w:rsidP="0042777E">
            <w:pPr>
              <w:pStyle w:val="Tabletext"/>
              <w:keepNext/>
              <w:jc w:val="center"/>
              <w:rPr>
                <w:bCs/>
              </w:rPr>
            </w:pPr>
            <w:r w:rsidRPr="008B4E8B">
              <w:rPr>
                <w:bCs/>
              </w:rPr>
              <w:t>$</w:t>
            </w:r>
            <w:r w:rsidR="003F05CA" w:rsidRPr="00392FEA">
              <w:rPr>
                <w:rFonts w:hint="eastAsia"/>
                <w:bCs/>
                <w:color w:val="000000"/>
                <w:w w:val="23"/>
                <w:shd w:val="solid" w:color="000000" w:fill="000000"/>
                <w:fitText w:val="105" w:id="-739980021"/>
                <w14:textFill>
                  <w14:solidFill>
                    <w14:srgbClr w14:val="000000">
                      <w14:alpha w14:val="100000"/>
                    </w14:srgbClr>
                  </w14:solidFill>
                </w14:textFill>
              </w:rPr>
              <w:t xml:space="preserve">　</w:t>
            </w:r>
            <w:r w:rsidR="003F05CA" w:rsidRPr="00392FEA">
              <w:rPr>
                <w:bCs/>
                <w:color w:val="000000"/>
                <w:w w:val="23"/>
                <w:shd w:val="solid" w:color="000000" w:fill="000000"/>
                <w:fitText w:val="105" w:id="-739980021"/>
                <w14:textFill>
                  <w14:solidFill>
                    <w14:srgbClr w14:val="000000">
                      <w14:alpha w14:val="100000"/>
                    </w14:srgbClr>
                  </w14:solidFill>
                </w14:textFill>
              </w:rPr>
              <w:t>|</w:t>
            </w:r>
            <w:r w:rsidR="003F05CA" w:rsidRPr="00392FEA">
              <w:rPr>
                <w:rFonts w:hint="eastAsia"/>
                <w:bCs/>
                <w:color w:val="000000"/>
                <w:spacing w:val="4"/>
                <w:w w:val="23"/>
                <w:shd w:val="solid" w:color="000000" w:fill="000000"/>
                <w:fitText w:val="105" w:id="-739980021"/>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vAlign w:val="center"/>
          </w:tcPr>
          <w:p w14:paraId="24ADA00D" w14:textId="1204FFEF" w:rsidR="0042777E" w:rsidRPr="008B4E8B" w:rsidRDefault="0042777E" w:rsidP="0042777E">
            <w:pPr>
              <w:pStyle w:val="Tabletext"/>
              <w:keepNext/>
              <w:jc w:val="center"/>
              <w:rPr>
                <w:bCs/>
              </w:rPr>
            </w:pPr>
            <w:r w:rsidRPr="008B4E8B">
              <w:rPr>
                <w:bCs/>
              </w:rPr>
              <w:t>$</w:t>
            </w:r>
            <w:r w:rsidR="003F05CA" w:rsidRPr="00392FEA">
              <w:rPr>
                <w:rFonts w:hint="eastAsia"/>
                <w:bCs/>
                <w:color w:val="000000"/>
                <w:w w:val="23"/>
                <w:shd w:val="solid" w:color="000000" w:fill="000000"/>
                <w:fitText w:val="105" w:id="-739980020"/>
                <w14:textFill>
                  <w14:solidFill>
                    <w14:srgbClr w14:val="000000">
                      <w14:alpha w14:val="100000"/>
                    </w14:srgbClr>
                  </w14:solidFill>
                </w14:textFill>
              </w:rPr>
              <w:t xml:space="preserve">　</w:t>
            </w:r>
            <w:r w:rsidR="003F05CA" w:rsidRPr="00392FEA">
              <w:rPr>
                <w:bCs/>
                <w:color w:val="000000"/>
                <w:w w:val="23"/>
                <w:shd w:val="solid" w:color="000000" w:fill="000000"/>
                <w:fitText w:val="105" w:id="-739980020"/>
                <w14:textFill>
                  <w14:solidFill>
                    <w14:srgbClr w14:val="000000">
                      <w14:alpha w14:val="100000"/>
                    </w14:srgbClr>
                  </w14:solidFill>
                </w14:textFill>
              </w:rPr>
              <w:t>|</w:t>
            </w:r>
            <w:r w:rsidR="003F05CA" w:rsidRPr="00392FEA">
              <w:rPr>
                <w:rFonts w:hint="eastAsia"/>
                <w:bCs/>
                <w:color w:val="000000"/>
                <w:spacing w:val="4"/>
                <w:w w:val="23"/>
                <w:shd w:val="solid" w:color="000000" w:fill="000000"/>
                <w:fitText w:val="105" w:id="-739980020"/>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vAlign w:val="center"/>
          </w:tcPr>
          <w:p w14:paraId="33E1E419" w14:textId="3E03C4CE" w:rsidR="0042777E" w:rsidRPr="008B4E8B" w:rsidRDefault="0042777E" w:rsidP="0042777E">
            <w:pPr>
              <w:pStyle w:val="Tabletext"/>
              <w:keepNext/>
              <w:jc w:val="center"/>
              <w:rPr>
                <w:bCs/>
              </w:rPr>
            </w:pPr>
            <w:r w:rsidRPr="008B4E8B">
              <w:rPr>
                <w:bCs/>
              </w:rPr>
              <w:t>$</w:t>
            </w:r>
            <w:r w:rsidR="003F05CA" w:rsidRPr="00392FEA">
              <w:rPr>
                <w:rFonts w:hint="eastAsia"/>
                <w:bCs/>
                <w:color w:val="000000"/>
                <w:w w:val="23"/>
                <w:shd w:val="solid" w:color="000000" w:fill="000000"/>
                <w:fitText w:val="105" w:id="-739980019"/>
                <w14:textFill>
                  <w14:solidFill>
                    <w14:srgbClr w14:val="000000">
                      <w14:alpha w14:val="100000"/>
                    </w14:srgbClr>
                  </w14:solidFill>
                </w14:textFill>
              </w:rPr>
              <w:t xml:space="preserve">　</w:t>
            </w:r>
            <w:r w:rsidR="003F05CA" w:rsidRPr="00392FEA">
              <w:rPr>
                <w:bCs/>
                <w:color w:val="000000"/>
                <w:w w:val="23"/>
                <w:shd w:val="solid" w:color="000000" w:fill="000000"/>
                <w:fitText w:val="105" w:id="-739980019"/>
                <w14:textFill>
                  <w14:solidFill>
                    <w14:srgbClr w14:val="000000">
                      <w14:alpha w14:val="100000"/>
                    </w14:srgbClr>
                  </w14:solidFill>
                </w14:textFill>
              </w:rPr>
              <w:t>|</w:t>
            </w:r>
            <w:r w:rsidR="003F05CA" w:rsidRPr="00392FEA">
              <w:rPr>
                <w:rFonts w:hint="eastAsia"/>
                <w:bCs/>
                <w:color w:val="000000"/>
                <w:spacing w:val="4"/>
                <w:w w:val="23"/>
                <w:shd w:val="solid" w:color="000000" w:fill="000000"/>
                <w:fitText w:val="105" w:id="-739980019"/>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vAlign w:val="center"/>
          </w:tcPr>
          <w:p w14:paraId="7BF85098" w14:textId="6C3CB5B8" w:rsidR="0042777E" w:rsidRPr="008B4E8B" w:rsidRDefault="0042777E" w:rsidP="0042777E">
            <w:pPr>
              <w:pStyle w:val="Tabletext"/>
              <w:keepNext/>
              <w:jc w:val="center"/>
              <w:rPr>
                <w:bCs/>
              </w:rPr>
            </w:pPr>
            <w:r w:rsidRPr="008B4E8B">
              <w:rPr>
                <w:bCs/>
              </w:rPr>
              <w:t>$</w:t>
            </w:r>
            <w:r w:rsidR="003F05CA" w:rsidRPr="00392FEA">
              <w:rPr>
                <w:rFonts w:hint="eastAsia"/>
                <w:bCs/>
                <w:color w:val="000000"/>
                <w:w w:val="23"/>
                <w:shd w:val="solid" w:color="000000" w:fill="000000"/>
                <w:fitText w:val="105" w:id="-739980018"/>
                <w14:textFill>
                  <w14:solidFill>
                    <w14:srgbClr w14:val="000000">
                      <w14:alpha w14:val="100000"/>
                    </w14:srgbClr>
                  </w14:solidFill>
                </w14:textFill>
              </w:rPr>
              <w:t xml:space="preserve">　</w:t>
            </w:r>
            <w:r w:rsidR="003F05CA" w:rsidRPr="00392FEA">
              <w:rPr>
                <w:bCs/>
                <w:color w:val="000000"/>
                <w:w w:val="23"/>
                <w:shd w:val="solid" w:color="000000" w:fill="000000"/>
                <w:fitText w:val="105" w:id="-739980018"/>
                <w14:textFill>
                  <w14:solidFill>
                    <w14:srgbClr w14:val="000000">
                      <w14:alpha w14:val="100000"/>
                    </w14:srgbClr>
                  </w14:solidFill>
                </w14:textFill>
              </w:rPr>
              <w:t>|</w:t>
            </w:r>
            <w:r w:rsidR="003F05CA" w:rsidRPr="00392FEA">
              <w:rPr>
                <w:rFonts w:hint="eastAsia"/>
                <w:bCs/>
                <w:color w:val="000000"/>
                <w:spacing w:val="4"/>
                <w:w w:val="23"/>
                <w:shd w:val="solid" w:color="000000" w:fill="000000"/>
                <w:fitText w:val="105" w:id="-739980018"/>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vAlign w:val="center"/>
          </w:tcPr>
          <w:p w14:paraId="0038DC4C" w14:textId="0E8284FB" w:rsidR="0042777E" w:rsidRPr="008B4E8B" w:rsidRDefault="0042777E" w:rsidP="0042777E">
            <w:pPr>
              <w:pStyle w:val="Tabletext"/>
              <w:keepNext/>
              <w:jc w:val="center"/>
              <w:rPr>
                <w:bCs/>
              </w:rPr>
            </w:pPr>
            <w:r w:rsidRPr="008B4E8B">
              <w:rPr>
                <w:bCs/>
              </w:rPr>
              <w:t>$</w:t>
            </w:r>
            <w:r w:rsidR="003F05CA" w:rsidRPr="00392FEA">
              <w:rPr>
                <w:rFonts w:hint="eastAsia"/>
                <w:bCs/>
                <w:color w:val="000000"/>
                <w:w w:val="23"/>
                <w:shd w:val="solid" w:color="000000" w:fill="000000"/>
                <w:fitText w:val="105" w:id="-739980017"/>
                <w14:textFill>
                  <w14:solidFill>
                    <w14:srgbClr w14:val="000000">
                      <w14:alpha w14:val="100000"/>
                    </w14:srgbClr>
                  </w14:solidFill>
                </w14:textFill>
              </w:rPr>
              <w:t xml:space="preserve">　</w:t>
            </w:r>
            <w:r w:rsidR="003F05CA" w:rsidRPr="00392FEA">
              <w:rPr>
                <w:bCs/>
                <w:color w:val="000000"/>
                <w:w w:val="23"/>
                <w:shd w:val="solid" w:color="000000" w:fill="000000"/>
                <w:fitText w:val="105" w:id="-739980017"/>
                <w14:textFill>
                  <w14:solidFill>
                    <w14:srgbClr w14:val="000000">
                      <w14:alpha w14:val="100000"/>
                    </w14:srgbClr>
                  </w14:solidFill>
                </w14:textFill>
              </w:rPr>
              <w:t>|</w:t>
            </w:r>
            <w:r w:rsidR="003F05CA" w:rsidRPr="00392FEA">
              <w:rPr>
                <w:rFonts w:hint="eastAsia"/>
                <w:bCs/>
                <w:color w:val="000000"/>
                <w:spacing w:val="4"/>
                <w:w w:val="23"/>
                <w:shd w:val="solid" w:color="000000" w:fill="000000"/>
                <w:fitText w:val="105" w:id="-739980017"/>
                <w14:textFill>
                  <w14:solidFill>
                    <w14:srgbClr w14:val="000000">
                      <w14:alpha w14:val="100000"/>
                    </w14:srgbClr>
                  </w14:solidFill>
                </w14:textFill>
              </w:rPr>
              <w:t xml:space="preserve">　</w:t>
            </w:r>
            <w:r w:rsidR="00316D8C">
              <w:rPr>
                <w:vertAlign w:val="superscript"/>
              </w:rPr>
              <w:t>7</w:t>
            </w:r>
          </w:p>
        </w:tc>
        <w:tc>
          <w:tcPr>
            <w:tcW w:w="611" w:type="pct"/>
            <w:tcBorders>
              <w:top w:val="single" w:sz="4" w:space="0" w:color="auto"/>
              <w:bottom w:val="single" w:sz="4" w:space="0" w:color="auto"/>
            </w:tcBorders>
            <w:shd w:val="clear" w:color="auto" w:fill="auto"/>
            <w:vAlign w:val="center"/>
          </w:tcPr>
          <w:p w14:paraId="2067F381" w14:textId="19BB6DAA" w:rsidR="0042777E" w:rsidRPr="008B4E8B" w:rsidRDefault="0042777E" w:rsidP="0042777E">
            <w:pPr>
              <w:pStyle w:val="Tabletext"/>
              <w:keepNext/>
              <w:jc w:val="center"/>
              <w:rPr>
                <w:bCs/>
              </w:rPr>
            </w:pPr>
            <w:r w:rsidRPr="008B4E8B">
              <w:rPr>
                <w:bCs/>
              </w:rPr>
              <w:t>$</w:t>
            </w:r>
            <w:r w:rsidR="003F05CA" w:rsidRPr="00392FEA">
              <w:rPr>
                <w:rFonts w:hint="eastAsia"/>
                <w:bCs/>
                <w:color w:val="000000"/>
                <w:w w:val="23"/>
                <w:shd w:val="solid" w:color="000000" w:fill="000000"/>
                <w:fitText w:val="105" w:id="-739980016"/>
                <w14:textFill>
                  <w14:solidFill>
                    <w14:srgbClr w14:val="000000">
                      <w14:alpha w14:val="100000"/>
                    </w14:srgbClr>
                  </w14:solidFill>
                </w14:textFill>
              </w:rPr>
              <w:t xml:space="preserve">　</w:t>
            </w:r>
            <w:r w:rsidR="003F05CA" w:rsidRPr="00392FEA">
              <w:rPr>
                <w:bCs/>
                <w:color w:val="000000"/>
                <w:w w:val="23"/>
                <w:shd w:val="solid" w:color="000000" w:fill="000000"/>
                <w:fitText w:val="105" w:id="-739980016"/>
                <w14:textFill>
                  <w14:solidFill>
                    <w14:srgbClr w14:val="000000">
                      <w14:alpha w14:val="100000"/>
                    </w14:srgbClr>
                  </w14:solidFill>
                </w14:textFill>
              </w:rPr>
              <w:t>|</w:t>
            </w:r>
            <w:r w:rsidR="003F05CA" w:rsidRPr="00392FEA">
              <w:rPr>
                <w:rFonts w:hint="eastAsia"/>
                <w:bCs/>
                <w:color w:val="000000"/>
                <w:spacing w:val="4"/>
                <w:w w:val="23"/>
                <w:shd w:val="solid" w:color="000000" w:fill="000000"/>
                <w:fitText w:val="105" w:id="-739980016"/>
                <w14:textFill>
                  <w14:solidFill>
                    <w14:srgbClr w14:val="000000">
                      <w14:alpha w14:val="100000"/>
                    </w14:srgbClr>
                  </w14:solidFill>
                </w14:textFill>
              </w:rPr>
              <w:t xml:space="preserve">　</w:t>
            </w:r>
            <w:r w:rsidR="00316D8C">
              <w:rPr>
                <w:vertAlign w:val="superscript"/>
              </w:rPr>
              <w:t>7</w:t>
            </w:r>
          </w:p>
        </w:tc>
      </w:tr>
      <w:tr w:rsidR="00726763" w:rsidRPr="00DF3E91" w14:paraId="458CC1B3" w14:textId="77777777" w:rsidTr="00726763">
        <w:trPr>
          <w:cantSplit/>
        </w:trPr>
        <w:tc>
          <w:tcPr>
            <w:tcW w:w="5000" w:type="pct"/>
            <w:gridSpan w:val="7"/>
            <w:shd w:val="clear" w:color="auto" w:fill="B8CCE4" w:themeFill="accent1" w:themeFillTint="66"/>
            <w:vAlign w:val="center"/>
          </w:tcPr>
          <w:p w14:paraId="2193FE3A" w14:textId="1B8903A6" w:rsidR="00726763" w:rsidRPr="002C1FBA" w:rsidRDefault="00726763" w:rsidP="009242AD">
            <w:pPr>
              <w:pStyle w:val="Tabletext"/>
              <w:keepNext/>
              <w:rPr>
                <w:b/>
              </w:rPr>
            </w:pPr>
            <w:r w:rsidRPr="00726763">
              <w:rPr>
                <w:b/>
              </w:rPr>
              <w:t>Estimated extent of use</w:t>
            </w:r>
            <w:r>
              <w:rPr>
                <w:b/>
              </w:rPr>
              <w:t xml:space="preserve"> of neoNIVO, </w:t>
            </w:r>
            <w:r w:rsidRPr="00726763">
              <w:rPr>
                <w:b/>
              </w:rPr>
              <w:t>July 2023</w:t>
            </w:r>
            <w:r>
              <w:rPr>
                <w:b/>
              </w:rPr>
              <w:t xml:space="preserve"> </w:t>
            </w:r>
            <w:r w:rsidRPr="00726763">
              <w:rPr>
                <w:b/>
              </w:rPr>
              <w:t>re</w:t>
            </w:r>
            <w:r>
              <w:rPr>
                <w:b/>
              </w:rPr>
              <w:t xml:space="preserve"> </w:t>
            </w:r>
            <w:r w:rsidRPr="00726763">
              <w:rPr>
                <w:b/>
              </w:rPr>
              <w:t>submission</w:t>
            </w:r>
          </w:p>
        </w:tc>
      </w:tr>
      <w:tr w:rsidR="00726763" w:rsidRPr="00DF3E91" w14:paraId="2C0743FA" w14:textId="77777777" w:rsidTr="00726763">
        <w:trPr>
          <w:cantSplit/>
        </w:trPr>
        <w:tc>
          <w:tcPr>
            <w:tcW w:w="1334" w:type="pct"/>
            <w:shd w:val="clear" w:color="auto" w:fill="B8CCE4" w:themeFill="accent1" w:themeFillTint="66"/>
            <w:vAlign w:val="center"/>
          </w:tcPr>
          <w:p w14:paraId="02358614" w14:textId="45C319DB" w:rsidR="00726763" w:rsidRPr="00387AA9" w:rsidRDefault="00726763" w:rsidP="00726763">
            <w:pPr>
              <w:pStyle w:val="Tabletext"/>
              <w:keepNext/>
              <w:rPr>
                <w:bCs/>
                <w:vertAlign w:val="superscript"/>
              </w:rPr>
            </w:pPr>
            <w:r>
              <w:rPr>
                <w:bCs/>
              </w:rPr>
              <w:t>Total number of patients treated</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6569CE" w14:textId="121F46F0" w:rsidR="00726763" w:rsidRPr="00316D8C" w:rsidRDefault="003F05CA" w:rsidP="00726763">
            <w:pPr>
              <w:pStyle w:val="Tabletext"/>
              <w:keepNext/>
              <w:jc w:val="center"/>
              <w:rPr>
                <w:highlight w:val="darkGray"/>
                <w:vertAlign w:val="superscript"/>
              </w:rPr>
            </w:pPr>
            <w:r w:rsidRPr="00FE1A20">
              <w:rPr>
                <w:rFonts w:hint="eastAsia"/>
                <w:color w:val="000000"/>
                <w:w w:val="15"/>
                <w:shd w:val="solid" w:color="000000" w:fill="000000"/>
                <w:fitText w:val="45" w:id="-739980032"/>
                <w14:textFill>
                  <w14:solidFill>
                    <w14:srgbClr w14:val="000000">
                      <w14:alpha w14:val="100000"/>
                    </w14:srgbClr>
                  </w14:solidFill>
                </w14:textFill>
              </w:rPr>
              <w:t xml:space="preserve">　</w:t>
            </w:r>
            <w:r w:rsidRPr="00FE1A20">
              <w:rPr>
                <w:color w:val="000000"/>
                <w:w w:val="15"/>
                <w:shd w:val="solid" w:color="000000" w:fill="000000"/>
                <w:fitText w:val="45" w:id="-739980032"/>
                <w14:textFill>
                  <w14:solidFill>
                    <w14:srgbClr w14:val="000000">
                      <w14:alpha w14:val="100000"/>
                    </w14:srgbClr>
                  </w14:solidFill>
                </w14:textFill>
              </w:rPr>
              <w:t>|</w:t>
            </w:r>
            <w:r w:rsidRPr="00FE1A20">
              <w:rPr>
                <w:rFonts w:hint="eastAsia"/>
                <w:color w:val="000000"/>
                <w:spacing w:val="-99"/>
                <w:w w:val="15"/>
                <w:shd w:val="solid" w:color="000000" w:fill="000000"/>
                <w:fitText w:val="45" w:id="-739980032"/>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98FB0C" w14:textId="2C4F0F84"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31"/>
                <w14:textFill>
                  <w14:solidFill>
                    <w14:srgbClr w14:val="000000">
                      <w14:alpha w14:val="100000"/>
                    </w14:srgbClr>
                  </w14:solidFill>
                </w14:textFill>
              </w:rPr>
              <w:t xml:space="preserve">　</w:t>
            </w:r>
            <w:r w:rsidRPr="00FE1A20">
              <w:rPr>
                <w:color w:val="000000"/>
                <w:w w:val="15"/>
                <w:shd w:val="solid" w:color="000000" w:fill="000000"/>
                <w:fitText w:val="45" w:id="-739980031"/>
                <w14:textFill>
                  <w14:solidFill>
                    <w14:srgbClr w14:val="000000">
                      <w14:alpha w14:val="100000"/>
                    </w14:srgbClr>
                  </w14:solidFill>
                </w14:textFill>
              </w:rPr>
              <w:t>|</w:t>
            </w:r>
            <w:r w:rsidRPr="00FE1A20">
              <w:rPr>
                <w:rFonts w:hint="eastAsia"/>
                <w:color w:val="000000"/>
                <w:spacing w:val="-99"/>
                <w:w w:val="15"/>
                <w:shd w:val="solid" w:color="000000" w:fill="000000"/>
                <w:fitText w:val="45" w:id="-739980031"/>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AE3EBD4" w14:textId="5BFD4F94"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30"/>
                <w14:textFill>
                  <w14:solidFill>
                    <w14:srgbClr w14:val="000000">
                      <w14:alpha w14:val="100000"/>
                    </w14:srgbClr>
                  </w14:solidFill>
                </w14:textFill>
              </w:rPr>
              <w:t xml:space="preserve">　</w:t>
            </w:r>
            <w:r w:rsidRPr="00FE1A20">
              <w:rPr>
                <w:color w:val="000000"/>
                <w:w w:val="15"/>
                <w:shd w:val="solid" w:color="000000" w:fill="000000"/>
                <w:fitText w:val="45" w:id="-739980030"/>
                <w14:textFill>
                  <w14:solidFill>
                    <w14:srgbClr w14:val="000000">
                      <w14:alpha w14:val="100000"/>
                    </w14:srgbClr>
                  </w14:solidFill>
                </w14:textFill>
              </w:rPr>
              <w:t>|</w:t>
            </w:r>
            <w:r w:rsidRPr="00FE1A20">
              <w:rPr>
                <w:rFonts w:hint="eastAsia"/>
                <w:color w:val="000000"/>
                <w:spacing w:val="-99"/>
                <w:w w:val="15"/>
                <w:shd w:val="solid" w:color="000000" w:fill="000000"/>
                <w:fitText w:val="45" w:id="-739980030"/>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DAF039" w14:textId="7C85BFE5"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9"/>
                <w14:textFill>
                  <w14:solidFill>
                    <w14:srgbClr w14:val="000000">
                      <w14:alpha w14:val="100000"/>
                    </w14:srgbClr>
                  </w14:solidFill>
                </w14:textFill>
              </w:rPr>
              <w:t xml:space="preserve">　</w:t>
            </w:r>
            <w:r w:rsidRPr="00FE1A20">
              <w:rPr>
                <w:color w:val="000000"/>
                <w:w w:val="15"/>
                <w:shd w:val="solid" w:color="000000" w:fill="000000"/>
                <w:fitText w:val="45" w:id="-739980029"/>
                <w14:textFill>
                  <w14:solidFill>
                    <w14:srgbClr w14:val="000000">
                      <w14:alpha w14:val="100000"/>
                    </w14:srgbClr>
                  </w14:solidFill>
                </w14:textFill>
              </w:rPr>
              <w:t>|</w:t>
            </w:r>
            <w:r w:rsidRPr="00FE1A20">
              <w:rPr>
                <w:rFonts w:hint="eastAsia"/>
                <w:color w:val="000000"/>
                <w:spacing w:val="-99"/>
                <w:w w:val="15"/>
                <w:shd w:val="solid" w:color="000000" w:fill="000000"/>
                <w:fitText w:val="45" w:id="-739980029"/>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3E63C4" w14:textId="03BF1D9C"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8"/>
                <w14:textFill>
                  <w14:solidFill>
                    <w14:srgbClr w14:val="000000">
                      <w14:alpha w14:val="100000"/>
                    </w14:srgbClr>
                  </w14:solidFill>
                </w14:textFill>
              </w:rPr>
              <w:t xml:space="preserve">　</w:t>
            </w:r>
            <w:r w:rsidRPr="00FE1A20">
              <w:rPr>
                <w:color w:val="000000"/>
                <w:w w:val="15"/>
                <w:shd w:val="solid" w:color="000000" w:fill="000000"/>
                <w:fitText w:val="45" w:id="-739980028"/>
                <w14:textFill>
                  <w14:solidFill>
                    <w14:srgbClr w14:val="000000">
                      <w14:alpha w14:val="100000"/>
                    </w14:srgbClr>
                  </w14:solidFill>
                </w14:textFill>
              </w:rPr>
              <w:t>|</w:t>
            </w:r>
            <w:r w:rsidRPr="00FE1A20">
              <w:rPr>
                <w:rFonts w:hint="eastAsia"/>
                <w:color w:val="000000"/>
                <w:spacing w:val="-99"/>
                <w:w w:val="15"/>
                <w:shd w:val="solid" w:color="000000" w:fill="000000"/>
                <w:fitText w:val="45" w:id="-739980028"/>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8644BA" w14:textId="1CF47645"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7"/>
                <w14:textFill>
                  <w14:solidFill>
                    <w14:srgbClr w14:val="000000">
                      <w14:alpha w14:val="100000"/>
                    </w14:srgbClr>
                  </w14:solidFill>
                </w14:textFill>
              </w:rPr>
              <w:t xml:space="preserve">　</w:t>
            </w:r>
            <w:r w:rsidRPr="00FE1A20">
              <w:rPr>
                <w:color w:val="000000"/>
                <w:w w:val="15"/>
                <w:shd w:val="solid" w:color="000000" w:fill="000000"/>
                <w:fitText w:val="45" w:id="-739980027"/>
                <w14:textFill>
                  <w14:solidFill>
                    <w14:srgbClr w14:val="000000">
                      <w14:alpha w14:val="100000"/>
                    </w14:srgbClr>
                  </w14:solidFill>
                </w14:textFill>
              </w:rPr>
              <w:t>|</w:t>
            </w:r>
            <w:r w:rsidRPr="00FE1A20">
              <w:rPr>
                <w:rFonts w:hint="eastAsia"/>
                <w:color w:val="000000"/>
                <w:spacing w:val="-99"/>
                <w:w w:val="15"/>
                <w:shd w:val="solid" w:color="000000" w:fill="000000"/>
                <w:fitText w:val="45" w:id="-739980027"/>
                <w14:textFill>
                  <w14:solidFill>
                    <w14:srgbClr w14:val="000000">
                      <w14:alpha w14:val="100000"/>
                    </w14:srgbClr>
                  </w14:solidFill>
                </w14:textFill>
              </w:rPr>
              <w:t xml:space="preserve">　</w:t>
            </w:r>
            <w:r w:rsidR="00316D8C" w:rsidRPr="00316D8C">
              <w:rPr>
                <w:vertAlign w:val="superscript"/>
              </w:rPr>
              <w:t>1</w:t>
            </w:r>
          </w:p>
        </w:tc>
      </w:tr>
      <w:tr w:rsidR="00726763" w:rsidRPr="00DF3E91" w14:paraId="09C7B3BC" w14:textId="77777777" w:rsidTr="00726763">
        <w:trPr>
          <w:cantSplit/>
        </w:trPr>
        <w:tc>
          <w:tcPr>
            <w:tcW w:w="1334" w:type="pct"/>
            <w:shd w:val="clear" w:color="auto" w:fill="B8CCE4" w:themeFill="accent1" w:themeFillTint="66"/>
            <w:vAlign w:val="center"/>
          </w:tcPr>
          <w:p w14:paraId="030B4FEC" w14:textId="1F6DE0B5" w:rsidR="00726763" w:rsidRPr="00DF3E91" w:rsidRDefault="00726763" w:rsidP="00726763">
            <w:pPr>
              <w:pStyle w:val="Tabletext"/>
              <w:keepNext/>
              <w:rPr>
                <w:bCs/>
              </w:rPr>
            </w:pPr>
            <w:r>
              <w:rPr>
                <w:bCs/>
              </w:rPr>
              <w:t>Number of scripts</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05B2AD" w14:textId="7BDEF20A"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6"/>
                <w14:textFill>
                  <w14:solidFill>
                    <w14:srgbClr w14:val="000000">
                      <w14:alpha w14:val="100000"/>
                    </w14:srgbClr>
                  </w14:solidFill>
                </w14:textFill>
              </w:rPr>
              <w:t xml:space="preserve">　</w:t>
            </w:r>
            <w:r w:rsidRPr="00FE1A20">
              <w:rPr>
                <w:color w:val="000000"/>
                <w:w w:val="15"/>
                <w:shd w:val="solid" w:color="000000" w:fill="000000"/>
                <w:fitText w:val="45" w:id="-739980026"/>
                <w14:textFill>
                  <w14:solidFill>
                    <w14:srgbClr w14:val="000000">
                      <w14:alpha w14:val="100000"/>
                    </w14:srgbClr>
                  </w14:solidFill>
                </w14:textFill>
              </w:rPr>
              <w:t>|</w:t>
            </w:r>
            <w:r w:rsidRPr="00FE1A20">
              <w:rPr>
                <w:rFonts w:hint="eastAsia"/>
                <w:color w:val="000000"/>
                <w:spacing w:val="-99"/>
                <w:w w:val="15"/>
                <w:shd w:val="solid" w:color="000000" w:fill="000000"/>
                <w:fitText w:val="45" w:id="-739980026"/>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A47B8E" w14:textId="07C04345"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5"/>
                <w14:textFill>
                  <w14:solidFill>
                    <w14:srgbClr w14:val="000000">
                      <w14:alpha w14:val="100000"/>
                    </w14:srgbClr>
                  </w14:solidFill>
                </w14:textFill>
              </w:rPr>
              <w:t xml:space="preserve">　</w:t>
            </w:r>
            <w:r w:rsidRPr="00FE1A20">
              <w:rPr>
                <w:color w:val="000000"/>
                <w:w w:val="15"/>
                <w:shd w:val="solid" w:color="000000" w:fill="000000"/>
                <w:fitText w:val="45" w:id="-739980025"/>
                <w14:textFill>
                  <w14:solidFill>
                    <w14:srgbClr w14:val="000000">
                      <w14:alpha w14:val="100000"/>
                    </w14:srgbClr>
                  </w14:solidFill>
                </w14:textFill>
              </w:rPr>
              <w:t>|</w:t>
            </w:r>
            <w:r w:rsidRPr="00FE1A20">
              <w:rPr>
                <w:rFonts w:hint="eastAsia"/>
                <w:color w:val="000000"/>
                <w:spacing w:val="-99"/>
                <w:w w:val="15"/>
                <w:shd w:val="solid" w:color="000000" w:fill="000000"/>
                <w:fitText w:val="45" w:id="-739980025"/>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24C5DC" w14:textId="5F8C63DD"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4"/>
                <w14:textFill>
                  <w14:solidFill>
                    <w14:srgbClr w14:val="000000">
                      <w14:alpha w14:val="100000"/>
                    </w14:srgbClr>
                  </w14:solidFill>
                </w14:textFill>
              </w:rPr>
              <w:t xml:space="preserve">　</w:t>
            </w:r>
            <w:r w:rsidRPr="00FE1A20">
              <w:rPr>
                <w:color w:val="000000"/>
                <w:w w:val="15"/>
                <w:shd w:val="solid" w:color="000000" w:fill="000000"/>
                <w:fitText w:val="45" w:id="-739980024"/>
                <w14:textFill>
                  <w14:solidFill>
                    <w14:srgbClr w14:val="000000">
                      <w14:alpha w14:val="100000"/>
                    </w14:srgbClr>
                  </w14:solidFill>
                </w14:textFill>
              </w:rPr>
              <w:t>|</w:t>
            </w:r>
            <w:r w:rsidRPr="00FE1A20">
              <w:rPr>
                <w:rFonts w:hint="eastAsia"/>
                <w:color w:val="000000"/>
                <w:spacing w:val="-99"/>
                <w:w w:val="15"/>
                <w:shd w:val="solid" w:color="000000" w:fill="000000"/>
                <w:fitText w:val="45" w:id="-739980024"/>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C76982" w14:textId="7326F763"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3"/>
                <w14:textFill>
                  <w14:solidFill>
                    <w14:srgbClr w14:val="000000">
                      <w14:alpha w14:val="100000"/>
                    </w14:srgbClr>
                  </w14:solidFill>
                </w14:textFill>
              </w:rPr>
              <w:t xml:space="preserve">　</w:t>
            </w:r>
            <w:r w:rsidRPr="00FE1A20">
              <w:rPr>
                <w:color w:val="000000"/>
                <w:w w:val="15"/>
                <w:shd w:val="solid" w:color="000000" w:fill="000000"/>
                <w:fitText w:val="45" w:id="-739980023"/>
                <w14:textFill>
                  <w14:solidFill>
                    <w14:srgbClr w14:val="000000">
                      <w14:alpha w14:val="100000"/>
                    </w14:srgbClr>
                  </w14:solidFill>
                </w14:textFill>
              </w:rPr>
              <w:t>|</w:t>
            </w:r>
            <w:r w:rsidRPr="00FE1A20">
              <w:rPr>
                <w:rFonts w:hint="eastAsia"/>
                <w:color w:val="000000"/>
                <w:spacing w:val="-99"/>
                <w:w w:val="15"/>
                <w:shd w:val="solid" w:color="000000" w:fill="000000"/>
                <w:fitText w:val="45" w:id="-739980023"/>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2758DE" w14:textId="5509D190"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2"/>
                <w14:textFill>
                  <w14:solidFill>
                    <w14:srgbClr w14:val="000000">
                      <w14:alpha w14:val="100000"/>
                    </w14:srgbClr>
                  </w14:solidFill>
                </w14:textFill>
              </w:rPr>
              <w:t xml:space="preserve">　</w:t>
            </w:r>
            <w:r w:rsidRPr="00FE1A20">
              <w:rPr>
                <w:color w:val="000000"/>
                <w:w w:val="15"/>
                <w:shd w:val="solid" w:color="000000" w:fill="000000"/>
                <w:fitText w:val="45" w:id="-739980022"/>
                <w14:textFill>
                  <w14:solidFill>
                    <w14:srgbClr w14:val="000000">
                      <w14:alpha w14:val="100000"/>
                    </w14:srgbClr>
                  </w14:solidFill>
                </w14:textFill>
              </w:rPr>
              <w:t>|</w:t>
            </w:r>
            <w:r w:rsidRPr="00FE1A20">
              <w:rPr>
                <w:rFonts w:hint="eastAsia"/>
                <w:color w:val="000000"/>
                <w:spacing w:val="-99"/>
                <w:w w:val="15"/>
                <w:shd w:val="solid" w:color="000000" w:fill="000000"/>
                <w:fitText w:val="45" w:id="-739980022"/>
                <w14:textFill>
                  <w14:solidFill>
                    <w14:srgbClr w14:val="000000">
                      <w14:alpha w14:val="100000"/>
                    </w14:srgbClr>
                  </w14:solidFill>
                </w14:textFill>
              </w:rPr>
              <w:t xml:space="preserve">　</w:t>
            </w:r>
            <w:r w:rsidR="00316D8C" w:rsidRPr="00316D8C">
              <w:rPr>
                <w:vertAlign w:val="superscript"/>
              </w:rPr>
              <w:t>1</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894924" w14:textId="5DDD2CF5" w:rsidR="00726763" w:rsidRPr="005C4B36" w:rsidRDefault="003F05CA" w:rsidP="00726763">
            <w:pPr>
              <w:pStyle w:val="Tabletext"/>
              <w:keepNext/>
              <w:jc w:val="center"/>
              <w:rPr>
                <w:highlight w:val="darkGray"/>
              </w:rPr>
            </w:pPr>
            <w:r w:rsidRPr="00FE1A20">
              <w:rPr>
                <w:rFonts w:hint="eastAsia"/>
                <w:color w:val="000000"/>
                <w:w w:val="15"/>
                <w:shd w:val="solid" w:color="000000" w:fill="000000"/>
                <w:fitText w:val="45" w:id="-739980021"/>
                <w14:textFill>
                  <w14:solidFill>
                    <w14:srgbClr w14:val="000000">
                      <w14:alpha w14:val="100000"/>
                    </w14:srgbClr>
                  </w14:solidFill>
                </w14:textFill>
              </w:rPr>
              <w:t xml:space="preserve">　</w:t>
            </w:r>
            <w:r w:rsidRPr="00FE1A20">
              <w:rPr>
                <w:color w:val="000000"/>
                <w:w w:val="15"/>
                <w:shd w:val="solid" w:color="000000" w:fill="000000"/>
                <w:fitText w:val="45" w:id="-739980021"/>
                <w14:textFill>
                  <w14:solidFill>
                    <w14:srgbClr w14:val="000000">
                      <w14:alpha w14:val="100000"/>
                    </w14:srgbClr>
                  </w14:solidFill>
                </w14:textFill>
              </w:rPr>
              <w:t>|</w:t>
            </w:r>
            <w:r w:rsidRPr="00FE1A20">
              <w:rPr>
                <w:rFonts w:hint="eastAsia"/>
                <w:color w:val="000000"/>
                <w:spacing w:val="-99"/>
                <w:w w:val="15"/>
                <w:shd w:val="solid" w:color="000000" w:fill="000000"/>
                <w:fitText w:val="45" w:id="-739980021"/>
                <w14:textFill>
                  <w14:solidFill>
                    <w14:srgbClr w14:val="000000">
                      <w14:alpha w14:val="100000"/>
                    </w14:srgbClr>
                  </w14:solidFill>
                </w14:textFill>
              </w:rPr>
              <w:t xml:space="preserve">　</w:t>
            </w:r>
            <w:r w:rsidR="00316D8C" w:rsidRPr="00316D8C">
              <w:rPr>
                <w:vertAlign w:val="superscript"/>
              </w:rPr>
              <w:t>1</w:t>
            </w:r>
          </w:p>
        </w:tc>
      </w:tr>
      <w:tr w:rsidR="00726763" w:rsidRPr="00DF3E91" w14:paraId="6180F8D0" w14:textId="77777777" w:rsidTr="00726763">
        <w:trPr>
          <w:cantSplit/>
        </w:trPr>
        <w:tc>
          <w:tcPr>
            <w:tcW w:w="5000" w:type="pct"/>
            <w:gridSpan w:val="7"/>
            <w:shd w:val="clear" w:color="auto" w:fill="B8CCE4" w:themeFill="accent1" w:themeFillTint="66"/>
            <w:vAlign w:val="center"/>
          </w:tcPr>
          <w:p w14:paraId="23C89821" w14:textId="5A9ABCD7" w:rsidR="00726763" w:rsidRPr="002C1FBA" w:rsidRDefault="00726763" w:rsidP="00726763">
            <w:pPr>
              <w:pStyle w:val="Tabletext"/>
              <w:keepNext/>
              <w:rPr>
                <w:b/>
              </w:rPr>
            </w:pPr>
            <w:r w:rsidRPr="00726763">
              <w:rPr>
                <w:b/>
              </w:rPr>
              <w:t>Estimated financial implications</w:t>
            </w:r>
            <w:r>
              <w:rPr>
                <w:b/>
              </w:rPr>
              <w:t xml:space="preserve"> of neoNIVO, </w:t>
            </w:r>
            <w:r w:rsidRPr="00726763">
              <w:rPr>
                <w:b/>
              </w:rPr>
              <w:t>July 2023</w:t>
            </w:r>
            <w:r>
              <w:rPr>
                <w:b/>
              </w:rPr>
              <w:t xml:space="preserve"> </w:t>
            </w:r>
            <w:r w:rsidRPr="00726763">
              <w:rPr>
                <w:b/>
              </w:rPr>
              <w:t>re</w:t>
            </w:r>
            <w:r>
              <w:rPr>
                <w:b/>
              </w:rPr>
              <w:t xml:space="preserve"> </w:t>
            </w:r>
            <w:r w:rsidRPr="00726763">
              <w:rPr>
                <w:b/>
              </w:rPr>
              <w:t>submission</w:t>
            </w:r>
          </w:p>
        </w:tc>
      </w:tr>
      <w:tr w:rsidR="00726763" w:rsidRPr="00DF3E91" w14:paraId="68A5418B" w14:textId="77777777" w:rsidTr="00726763">
        <w:trPr>
          <w:cantSplit/>
        </w:trPr>
        <w:tc>
          <w:tcPr>
            <w:tcW w:w="1334" w:type="pct"/>
            <w:shd w:val="clear" w:color="auto" w:fill="B8CCE4" w:themeFill="accent1" w:themeFillTint="66"/>
            <w:vAlign w:val="center"/>
          </w:tcPr>
          <w:p w14:paraId="1EC51879" w14:textId="1585BFD2" w:rsidR="00726763" w:rsidRPr="00DF3E91" w:rsidRDefault="00726763" w:rsidP="00726763">
            <w:pPr>
              <w:pStyle w:val="Tabletext"/>
              <w:keepNext/>
              <w:rPr>
                <w:bCs/>
              </w:rPr>
            </w:pPr>
            <w:r w:rsidRPr="00726763">
              <w:rPr>
                <w:bCs/>
              </w:rPr>
              <w:t>Total cost to the PBS/RPBS less copayments</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48A94F" w14:textId="68D0B02D" w:rsidR="00726763" w:rsidRPr="00316D8C" w:rsidRDefault="00726763" w:rsidP="00726763">
            <w:pPr>
              <w:pStyle w:val="Tabletext"/>
              <w:keepNext/>
              <w:jc w:val="center"/>
              <w:rPr>
                <w:vertAlign w:val="superscript"/>
              </w:rPr>
            </w:pPr>
            <w:r w:rsidRPr="00726763">
              <w:t>$</w:t>
            </w:r>
            <w:r w:rsidR="003F05CA" w:rsidRPr="00392FEA">
              <w:rPr>
                <w:rFonts w:hint="eastAsia"/>
                <w:color w:val="000000"/>
                <w:w w:val="23"/>
                <w:shd w:val="solid" w:color="000000" w:fill="000000"/>
                <w:fitText w:val="105" w:id="-739980020"/>
                <w14:textFill>
                  <w14:solidFill>
                    <w14:srgbClr w14:val="000000">
                      <w14:alpha w14:val="100000"/>
                    </w14:srgbClr>
                  </w14:solidFill>
                </w14:textFill>
              </w:rPr>
              <w:t xml:space="preserve">　</w:t>
            </w:r>
            <w:r w:rsidR="003F05CA" w:rsidRPr="00392FEA">
              <w:rPr>
                <w:color w:val="000000"/>
                <w:w w:val="23"/>
                <w:shd w:val="solid" w:color="000000" w:fill="000000"/>
                <w:fitText w:val="105" w:id="-739980020"/>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20"/>
                <w14:textFill>
                  <w14:solidFill>
                    <w14:srgbClr w14:val="000000">
                      <w14:alpha w14:val="100000"/>
                    </w14:srgbClr>
                  </w14:solidFill>
                </w14:textFill>
              </w:rPr>
              <w:t xml:space="preserve">　</w:t>
            </w:r>
            <w:r w:rsidR="001F35B2">
              <w:rPr>
                <w:vertAlign w:val="superscript"/>
              </w:rPr>
              <w:t>4</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093FCE4" w14:textId="5034B203" w:rsidR="00726763" w:rsidRPr="00726763" w:rsidRDefault="00726763" w:rsidP="00726763">
            <w:pPr>
              <w:pStyle w:val="Tabletext"/>
              <w:keepNext/>
              <w:jc w:val="center"/>
            </w:pPr>
            <w:r w:rsidRPr="00726763">
              <w:t>$</w:t>
            </w:r>
            <w:r w:rsidR="003F05CA" w:rsidRPr="00392FEA">
              <w:rPr>
                <w:rFonts w:hint="eastAsia"/>
                <w:color w:val="000000"/>
                <w:w w:val="23"/>
                <w:shd w:val="solid" w:color="000000" w:fill="000000"/>
                <w:fitText w:val="105" w:id="-739980019"/>
                <w14:textFill>
                  <w14:solidFill>
                    <w14:srgbClr w14:val="000000">
                      <w14:alpha w14:val="100000"/>
                    </w14:srgbClr>
                  </w14:solidFill>
                </w14:textFill>
              </w:rPr>
              <w:t xml:space="preserve">　</w:t>
            </w:r>
            <w:r w:rsidR="003F05CA" w:rsidRPr="00392FEA">
              <w:rPr>
                <w:color w:val="000000"/>
                <w:w w:val="23"/>
                <w:shd w:val="solid" w:color="000000" w:fill="000000"/>
                <w:fitText w:val="105" w:id="-739980019"/>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19"/>
                <w14:textFill>
                  <w14:solidFill>
                    <w14:srgbClr w14:val="000000">
                      <w14:alpha w14:val="100000"/>
                    </w14:srgbClr>
                  </w14:solidFill>
                </w14:textFill>
              </w:rPr>
              <w:t xml:space="preserve">　</w:t>
            </w:r>
            <w:r w:rsidR="001F35B2">
              <w:rPr>
                <w:vertAlign w:val="superscript"/>
              </w:rPr>
              <w:t>4</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596B5A" w14:textId="16E4DB66" w:rsidR="00726763" w:rsidRPr="00726763" w:rsidRDefault="00726763" w:rsidP="00726763">
            <w:pPr>
              <w:pStyle w:val="Tabletext"/>
              <w:keepNext/>
              <w:jc w:val="center"/>
            </w:pPr>
            <w:r w:rsidRPr="00726763">
              <w:t>$</w:t>
            </w:r>
            <w:r w:rsidR="003F05CA" w:rsidRPr="00392FEA">
              <w:rPr>
                <w:rFonts w:hint="eastAsia"/>
                <w:color w:val="000000"/>
                <w:w w:val="23"/>
                <w:shd w:val="solid" w:color="000000" w:fill="000000"/>
                <w:fitText w:val="105" w:id="-739980018"/>
                <w14:textFill>
                  <w14:solidFill>
                    <w14:srgbClr w14:val="000000">
                      <w14:alpha w14:val="100000"/>
                    </w14:srgbClr>
                  </w14:solidFill>
                </w14:textFill>
              </w:rPr>
              <w:t xml:space="preserve">　</w:t>
            </w:r>
            <w:r w:rsidR="003F05CA" w:rsidRPr="00392FEA">
              <w:rPr>
                <w:color w:val="000000"/>
                <w:w w:val="23"/>
                <w:shd w:val="solid" w:color="000000" w:fill="000000"/>
                <w:fitText w:val="105" w:id="-739980018"/>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18"/>
                <w14:textFill>
                  <w14:solidFill>
                    <w14:srgbClr w14:val="000000">
                      <w14:alpha w14:val="100000"/>
                    </w14:srgbClr>
                  </w14:solidFill>
                </w14:textFill>
              </w:rPr>
              <w:t xml:space="preserve">　</w:t>
            </w:r>
            <w:r w:rsidR="001F35B2">
              <w:rPr>
                <w:vertAlign w:val="superscript"/>
              </w:rPr>
              <w:t>4</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784232" w14:textId="6C222EED" w:rsidR="00726763" w:rsidRPr="00726763" w:rsidRDefault="00726763" w:rsidP="00726763">
            <w:pPr>
              <w:pStyle w:val="Tabletext"/>
              <w:keepNext/>
              <w:jc w:val="center"/>
            </w:pPr>
            <w:r w:rsidRPr="00726763">
              <w:t>$</w:t>
            </w:r>
            <w:r w:rsidR="003F05CA" w:rsidRPr="00392FEA">
              <w:rPr>
                <w:rFonts w:hint="eastAsia"/>
                <w:color w:val="000000"/>
                <w:w w:val="23"/>
                <w:shd w:val="solid" w:color="000000" w:fill="000000"/>
                <w:fitText w:val="105" w:id="-739980017"/>
                <w14:textFill>
                  <w14:solidFill>
                    <w14:srgbClr w14:val="000000">
                      <w14:alpha w14:val="100000"/>
                    </w14:srgbClr>
                  </w14:solidFill>
                </w14:textFill>
              </w:rPr>
              <w:t xml:space="preserve">　</w:t>
            </w:r>
            <w:r w:rsidR="003F05CA" w:rsidRPr="00392FEA">
              <w:rPr>
                <w:color w:val="000000"/>
                <w:w w:val="23"/>
                <w:shd w:val="solid" w:color="000000" w:fill="000000"/>
                <w:fitText w:val="105" w:id="-739980017"/>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17"/>
                <w14:textFill>
                  <w14:solidFill>
                    <w14:srgbClr w14:val="000000">
                      <w14:alpha w14:val="100000"/>
                    </w14:srgbClr>
                  </w14:solidFill>
                </w14:textFill>
              </w:rPr>
              <w:t xml:space="preserve">　</w:t>
            </w:r>
            <w:r w:rsidR="001F35B2">
              <w:rPr>
                <w:vertAlign w:val="superscript"/>
              </w:rPr>
              <w:t>4</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906496" w14:textId="2BFE1265" w:rsidR="00726763" w:rsidRPr="00726763" w:rsidRDefault="00726763" w:rsidP="00726763">
            <w:pPr>
              <w:pStyle w:val="Tabletext"/>
              <w:keepNext/>
              <w:jc w:val="center"/>
            </w:pPr>
            <w:r w:rsidRPr="00726763">
              <w:t>$</w:t>
            </w:r>
            <w:r w:rsidR="003F05CA" w:rsidRPr="00392FEA">
              <w:rPr>
                <w:rFonts w:hint="eastAsia"/>
                <w:color w:val="000000"/>
                <w:w w:val="23"/>
                <w:shd w:val="solid" w:color="000000" w:fill="000000"/>
                <w:fitText w:val="105" w:id="-739980016"/>
                <w14:textFill>
                  <w14:solidFill>
                    <w14:srgbClr w14:val="000000">
                      <w14:alpha w14:val="100000"/>
                    </w14:srgbClr>
                  </w14:solidFill>
                </w14:textFill>
              </w:rPr>
              <w:t xml:space="preserve">　</w:t>
            </w:r>
            <w:r w:rsidR="003F05CA" w:rsidRPr="00392FEA">
              <w:rPr>
                <w:color w:val="000000"/>
                <w:w w:val="23"/>
                <w:shd w:val="solid" w:color="000000" w:fill="000000"/>
                <w:fitText w:val="105" w:id="-739980016"/>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16"/>
                <w14:textFill>
                  <w14:solidFill>
                    <w14:srgbClr w14:val="000000">
                      <w14:alpha w14:val="100000"/>
                    </w14:srgbClr>
                  </w14:solidFill>
                </w14:textFill>
              </w:rPr>
              <w:t xml:space="preserve">　</w:t>
            </w:r>
            <w:r w:rsidR="001F35B2">
              <w:rPr>
                <w:vertAlign w:val="superscript"/>
              </w:rPr>
              <w:t>4</w:t>
            </w:r>
          </w:p>
        </w:tc>
        <w:tc>
          <w:tcPr>
            <w:tcW w:w="611"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6FA1F7" w14:textId="5D3CF253" w:rsidR="00726763" w:rsidRPr="00726763" w:rsidRDefault="00726763" w:rsidP="00726763">
            <w:pPr>
              <w:pStyle w:val="Tabletext"/>
              <w:keepNext/>
              <w:jc w:val="center"/>
            </w:pPr>
            <w:r w:rsidRPr="00726763">
              <w:t>$</w:t>
            </w:r>
            <w:r w:rsidR="003F05CA" w:rsidRPr="00392FEA">
              <w:rPr>
                <w:rFonts w:hint="eastAsia"/>
                <w:color w:val="000000"/>
                <w:w w:val="23"/>
                <w:shd w:val="solid" w:color="000000" w:fill="000000"/>
                <w:fitText w:val="105" w:id="-739980032"/>
                <w14:textFill>
                  <w14:solidFill>
                    <w14:srgbClr w14:val="000000">
                      <w14:alpha w14:val="100000"/>
                    </w14:srgbClr>
                  </w14:solidFill>
                </w14:textFill>
              </w:rPr>
              <w:t xml:space="preserve">　</w:t>
            </w:r>
            <w:r w:rsidR="003F05CA" w:rsidRPr="00392FEA">
              <w:rPr>
                <w:color w:val="000000"/>
                <w:w w:val="23"/>
                <w:shd w:val="solid" w:color="000000" w:fill="000000"/>
                <w:fitText w:val="105" w:id="-739980032"/>
                <w14:textFill>
                  <w14:solidFill>
                    <w14:srgbClr w14:val="000000">
                      <w14:alpha w14:val="100000"/>
                    </w14:srgbClr>
                  </w14:solidFill>
                </w14:textFill>
              </w:rPr>
              <w:t>|</w:t>
            </w:r>
            <w:r w:rsidR="003F05CA" w:rsidRPr="00392FEA">
              <w:rPr>
                <w:rFonts w:hint="eastAsia"/>
                <w:color w:val="000000"/>
                <w:spacing w:val="4"/>
                <w:w w:val="23"/>
                <w:shd w:val="solid" w:color="000000" w:fill="000000"/>
                <w:fitText w:val="105" w:id="-739980032"/>
                <w14:textFill>
                  <w14:solidFill>
                    <w14:srgbClr w14:val="000000">
                      <w14:alpha w14:val="100000"/>
                    </w14:srgbClr>
                  </w14:solidFill>
                </w14:textFill>
              </w:rPr>
              <w:t xml:space="preserve">　</w:t>
            </w:r>
            <w:r w:rsidR="001F35B2">
              <w:rPr>
                <w:vertAlign w:val="superscript"/>
              </w:rPr>
              <w:t>4</w:t>
            </w:r>
          </w:p>
        </w:tc>
      </w:tr>
    </w:tbl>
    <w:p w14:paraId="32C41CC1" w14:textId="77777777" w:rsidR="00A0136F" w:rsidRDefault="00620C25" w:rsidP="00620C25">
      <w:pPr>
        <w:pStyle w:val="FooterTableFigure"/>
      </w:pPr>
      <w:r w:rsidRPr="0098262F">
        <w:t xml:space="preserve">Source: </w:t>
      </w:r>
      <w:r w:rsidR="000E45E9">
        <w:t>Pre-PBAC Response and accompanying excel workbook ‘</w:t>
      </w:r>
      <w:r w:rsidR="004F087B" w:rsidRPr="004F087B">
        <w:t>Nivolumab Perioperative NSCLC U&amp;C model_Pre-PBAC</w:t>
      </w:r>
      <w:r w:rsidR="004F087B">
        <w:t xml:space="preserve">.xls’, </w:t>
      </w:r>
      <w:r w:rsidRPr="0098262F">
        <w:t>Table</w:t>
      </w:r>
      <w:r w:rsidR="008A00D9">
        <w:t xml:space="preserve"> 162, p252</w:t>
      </w:r>
      <w:r w:rsidRPr="0098262F">
        <w:t xml:space="preserve"> of the submission</w:t>
      </w:r>
      <w:r w:rsidR="008A00D9">
        <w:t>.</w:t>
      </w:r>
      <w:r w:rsidR="009242AD">
        <w:t xml:space="preserve"> Table 9, nivolumab PSD</w:t>
      </w:r>
      <w:r w:rsidR="00726763">
        <w:t>, March 2024 PBAC meeting.</w:t>
      </w:r>
    </w:p>
    <w:p w14:paraId="3D8BDD25" w14:textId="6AB166DD" w:rsidR="00387AA9" w:rsidRDefault="00387AA9" w:rsidP="00620C25">
      <w:pPr>
        <w:pStyle w:val="FooterTableFigure"/>
      </w:pPr>
      <w:r>
        <w:t xml:space="preserve">Abbreviations: </w:t>
      </w:r>
      <w:r w:rsidR="00085424">
        <w:t xml:space="preserve">MBS = Medicare Benefits Scheme; neoNIVO = neoadjuvant nivolumab; PBS = Pharmaceutical Benefits Scheme; </w:t>
      </w:r>
      <w:r>
        <w:t xml:space="preserve">periNIVO = perioperative nivolumab; </w:t>
      </w:r>
      <w:r w:rsidR="00085424">
        <w:t xml:space="preserve">RPBS = </w:t>
      </w:r>
      <w:r w:rsidR="00085424" w:rsidRPr="00085424">
        <w:t>Repatriation Pharmaceutical Benefits Schem</w:t>
      </w:r>
      <w:r w:rsidR="00085424">
        <w:t>e</w:t>
      </w:r>
    </w:p>
    <w:p w14:paraId="315509A7" w14:textId="1DB8BDEB" w:rsidR="00E962F2" w:rsidRPr="006B5571" w:rsidRDefault="009818C8" w:rsidP="00620C25">
      <w:pPr>
        <w:pStyle w:val="FooterTableFigure"/>
      </w:pPr>
      <w:r>
        <w:rPr>
          <w:vertAlign w:val="superscript"/>
        </w:rPr>
        <w:t xml:space="preserve">a </w:t>
      </w:r>
      <w:r w:rsidR="006B5571">
        <w:t>Based on published price of durvalumab and atezolizumab and estimated effective price of pembrolizumab</w:t>
      </w:r>
    </w:p>
    <w:p w14:paraId="7F34B57D" w14:textId="77777777" w:rsidR="00A0136F" w:rsidRDefault="00D45807" w:rsidP="00D45807">
      <w:pPr>
        <w:rPr>
          <w:rFonts w:ascii="Arial Narrow" w:hAnsi="Arial Narrow"/>
          <w:i/>
          <w:sz w:val="18"/>
          <w:szCs w:val="18"/>
        </w:rPr>
      </w:pPr>
      <w:r w:rsidRPr="001F068A">
        <w:rPr>
          <w:rFonts w:ascii="Arial Narrow" w:hAnsi="Arial Narrow"/>
          <w:i/>
          <w:sz w:val="18"/>
          <w:szCs w:val="18"/>
        </w:rPr>
        <w:t>The redacted values correspond to the following ranges:</w:t>
      </w:r>
    </w:p>
    <w:p w14:paraId="5B21AFDF" w14:textId="3E668CCF" w:rsidR="00D45807" w:rsidRPr="001F068A" w:rsidRDefault="00D45807" w:rsidP="00D45807">
      <w:pPr>
        <w:rPr>
          <w:rFonts w:ascii="Arial Narrow" w:hAnsi="Arial Narrow"/>
          <w:i/>
          <w:sz w:val="18"/>
          <w:szCs w:val="18"/>
        </w:rPr>
      </w:pPr>
      <w:r w:rsidRPr="001F068A">
        <w:rPr>
          <w:rFonts w:ascii="Arial Narrow" w:hAnsi="Arial Narrow"/>
          <w:i/>
          <w:sz w:val="18"/>
          <w:szCs w:val="18"/>
          <w:vertAlign w:val="superscript"/>
        </w:rPr>
        <w:t>1</w:t>
      </w:r>
      <w:r w:rsidRPr="001F068A">
        <w:rPr>
          <w:rFonts w:ascii="Arial Narrow" w:hAnsi="Arial Narrow"/>
          <w:i/>
          <w:sz w:val="18"/>
          <w:szCs w:val="18"/>
        </w:rPr>
        <w:t xml:space="preserve"> </w:t>
      </w:r>
      <w:r w:rsidR="007B6DB3" w:rsidRPr="001F068A">
        <w:rPr>
          <w:rFonts w:ascii="Arial Narrow" w:hAnsi="Arial Narrow"/>
          <w:i/>
          <w:color w:val="333333"/>
          <w:sz w:val="18"/>
          <w:szCs w:val="18"/>
        </w:rPr>
        <w:t>500 to &lt; 5,000</w:t>
      </w:r>
    </w:p>
    <w:p w14:paraId="3664DA2D" w14:textId="07102D02" w:rsidR="00D45807" w:rsidRPr="001F068A" w:rsidRDefault="00D45807" w:rsidP="00D45807">
      <w:pPr>
        <w:rPr>
          <w:rFonts w:ascii="Arial Narrow" w:hAnsi="Arial Narrow"/>
          <w:i/>
          <w:sz w:val="18"/>
          <w:szCs w:val="18"/>
        </w:rPr>
      </w:pPr>
      <w:r w:rsidRPr="001F068A">
        <w:rPr>
          <w:rFonts w:ascii="Arial Narrow" w:hAnsi="Arial Narrow"/>
          <w:i/>
          <w:sz w:val="18"/>
          <w:szCs w:val="18"/>
          <w:vertAlign w:val="superscript"/>
        </w:rPr>
        <w:t>2</w:t>
      </w:r>
      <w:r w:rsidRPr="001F068A">
        <w:rPr>
          <w:rFonts w:ascii="Arial Narrow" w:hAnsi="Arial Narrow"/>
          <w:i/>
          <w:sz w:val="18"/>
          <w:szCs w:val="18"/>
        </w:rPr>
        <w:t xml:space="preserve"> </w:t>
      </w:r>
      <w:r w:rsidR="00C074E0" w:rsidRPr="001F068A">
        <w:rPr>
          <w:rFonts w:ascii="Arial Narrow" w:hAnsi="Arial Narrow"/>
          <w:i/>
          <w:color w:val="333333"/>
          <w:sz w:val="18"/>
          <w:szCs w:val="18"/>
        </w:rPr>
        <w:t>10,000 to &lt; 20,000</w:t>
      </w:r>
    </w:p>
    <w:p w14:paraId="5612B3DB" w14:textId="76ECF891" w:rsidR="00D45807" w:rsidRPr="001F068A" w:rsidRDefault="00D45807" w:rsidP="00D45807">
      <w:pPr>
        <w:rPr>
          <w:rFonts w:ascii="Arial Narrow" w:hAnsi="Arial Narrow"/>
          <w:i/>
          <w:sz w:val="18"/>
          <w:szCs w:val="18"/>
        </w:rPr>
      </w:pPr>
      <w:r w:rsidRPr="001F068A">
        <w:rPr>
          <w:rFonts w:ascii="Arial Narrow" w:hAnsi="Arial Narrow"/>
          <w:i/>
          <w:sz w:val="18"/>
          <w:szCs w:val="18"/>
          <w:vertAlign w:val="superscript"/>
        </w:rPr>
        <w:t>3</w:t>
      </w:r>
      <w:r w:rsidRPr="001F068A">
        <w:rPr>
          <w:rFonts w:ascii="Arial Narrow" w:hAnsi="Arial Narrow"/>
          <w:i/>
          <w:sz w:val="18"/>
          <w:szCs w:val="18"/>
        </w:rPr>
        <w:t xml:space="preserve"> </w:t>
      </w:r>
      <w:r w:rsidR="00EA3B00" w:rsidRPr="001F068A">
        <w:rPr>
          <w:rFonts w:ascii="Arial Narrow" w:hAnsi="Arial Narrow"/>
          <w:i/>
          <w:color w:val="333333"/>
          <w:sz w:val="18"/>
          <w:szCs w:val="18"/>
        </w:rPr>
        <w:t>$40 million to &lt; $50 million</w:t>
      </w:r>
    </w:p>
    <w:p w14:paraId="123B4C30" w14:textId="77777777" w:rsidR="00D823AB" w:rsidRDefault="00D45807" w:rsidP="00D45807">
      <w:pPr>
        <w:rPr>
          <w:rFonts w:ascii="Arial Narrow" w:hAnsi="Arial Narrow"/>
          <w:i/>
          <w:color w:val="333333"/>
          <w:sz w:val="18"/>
          <w:szCs w:val="18"/>
        </w:rPr>
      </w:pPr>
      <w:r w:rsidRPr="001F068A">
        <w:rPr>
          <w:rFonts w:ascii="Arial Narrow" w:hAnsi="Arial Narrow"/>
          <w:i/>
          <w:sz w:val="18"/>
          <w:szCs w:val="18"/>
          <w:vertAlign w:val="superscript"/>
        </w:rPr>
        <w:t>4</w:t>
      </w:r>
      <w:r w:rsidRPr="001F068A">
        <w:rPr>
          <w:rFonts w:ascii="Arial Narrow" w:hAnsi="Arial Narrow"/>
          <w:i/>
          <w:sz w:val="18"/>
          <w:szCs w:val="18"/>
        </w:rPr>
        <w:t xml:space="preserve"> </w:t>
      </w:r>
      <w:r w:rsidR="00BF2A8A" w:rsidRPr="001F068A">
        <w:rPr>
          <w:rFonts w:ascii="Arial Narrow" w:hAnsi="Arial Narrow"/>
          <w:i/>
          <w:color w:val="333333"/>
          <w:sz w:val="18"/>
          <w:szCs w:val="18"/>
        </w:rPr>
        <w:t>$20 million to &lt; $30 million</w:t>
      </w:r>
    </w:p>
    <w:p w14:paraId="35B37925" w14:textId="4FEF0469" w:rsidR="00D45807" w:rsidRPr="001F068A" w:rsidRDefault="00D45807" w:rsidP="00D45807">
      <w:pPr>
        <w:rPr>
          <w:rFonts w:ascii="Arial Narrow" w:hAnsi="Arial Narrow"/>
          <w:i/>
          <w:sz w:val="18"/>
          <w:szCs w:val="18"/>
        </w:rPr>
      </w:pPr>
      <w:r w:rsidRPr="001F068A">
        <w:rPr>
          <w:rFonts w:ascii="Arial Narrow" w:hAnsi="Arial Narrow"/>
          <w:i/>
          <w:sz w:val="18"/>
          <w:szCs w:val="18"/>
          <w:vertAlign w:val="superscript"/>
        </w:rPr>
        <w:t>5</w:t>
      </w:r>
      <w:r w:rsidRPr="001F068A">
        <w:rPr>
          <w:rFonts w:ascii="Arial Narrow" w:hAnsi="Arial Narrow"/>
          <w:i/>
          <w:sz w:val="18"/>
          <w:szCs w:val="18"/>
        </w:rPr>
        <w:t xml:space="preserve"> </w:t>
      </w:r>
      <w:r w:rsidR="00AD2ECA" w:rsidRPr="001F068A">
        <w:rPr>
          <w:rFonts w:ascii="Arial Narrow" w:hAnsi="Arial Narrow"/>
          <w:i/>
          <w:color w:val="333333"/>
          <w:sz w:val="18"/>
          <w:szCs w:val="18"/>
        </w:rPr>
        <w:t>$10 million to &lt; $20 million</w:t>
      </w:r>
    </w:p>
    <w:p w14:paraId="1D63C690" w14:textId="57E5252C" w:rsidR="00A0136F" w:rsidRDefault="00D45807" w:rsidP="00D45807">
      <w:pPr>
        <w:rPr>
          <w:rFonts w:ascii="Arial Narrow" w:hAnsi="Arial Narrow"/>
          <w:i/>
          <w:sz w:val="18"/>
          <w:szCs w:val="18"/>
        </w:rPr>
      </w:pPr>
      <w:r w:rsidRPr="001F068A">
        <w:rPr>
          <w:rFonts w:ascii="Arial Narrow" w:hAnsi="Arial Narrow"/>
          <w:i/>
          <w:sz w:val="18"/>
          <w:szCs w:val="18"/>
          <w:vertAlign w:val="superscript"/>
        </w:rPr>
        <w:t>6</w:t>
      </w:r>
      <w:r w:rsidR="00C824E2" w:rsidRPr="00C824E2">
        <w:rPr>
          <w:rFonts w:ascii="Arial Narrow" w:hAnsi="Arial Narrow"/>
          <w:i/>
          <w:sz w:val="18"/>
          <w:szCs w:val="18"/>
        </w:rPr>
        <w:t xml:space="preserve"> </w:t>
      </w:r>
      <w:r w:rsidR="00F05ABF" w:rsidRPr="001F068A">
        <w:rPr>
          <w:rFonts w:ascii="Arial Narrow" w:hAnsi="Arial Narrow"/>
          <w:i/>
          <w:color w:val="333333"/>
          <w:sz w:val="18"/>
          <w:szCs w:val="18"/>
        </w:rPr>
        <w:t>$0 to &lt; $10 million</w:t>
      </w:r>
    </w:p>
    <w:p w14:paraId="1BC9FBED" w14:textId="318383CB" w:rsidR="00D45807" w:rsidRPr="001F068A" w:rsidRDefault="00D45807" w:rsidP="00D45807">
      <w:pPr>
        <w:rPr>
          <w:rFonts w:ascii="Arial Narrow" w:hAnsi="Arial Narrow"/>
          <w:i/>
          <w:sz w:val="18"/>
          <w:szCs w:val="18"/>
        </w:rPr>
      </w:pPr>
      <w:r w:rsidRPr="001F068A">
        <w:rPr>
          <w:rFonts w:ascii="Arial Narrow" w:hAnsi="Arial Narrow"/>
          <w:i/>
          <w:sz w:val="18"/>
          <w:szCs w:val="18"/>
          <w:vertAlign w:val="superscript"/>
        </w:rPr>
        <w:t>7</w:t>
      </w:r>
      <w:r w:rsidRPr="001F068A">
        <w:rPr>
          <w:rFonts w:ascii="Arial Narrow" w:hAnsi="Arial Narrow"/>
          <w:i/>
          <w:sz w:val="18"/>
          <w:szCs w:val="18"/>
        </w:rPr>
        <w:t xml:space="preserve"> </w:t>
      </w:r>
      <w:r w:rsidR="00316D8C" w:rsidRPr="001F068A">
        <w:rPr>
          <w:rFonts w:ascii="Arial Narrow" w:hAnsi="Arial Narrow"/>
          <w:i/>
          <w:color w:val="333333"/>
          <w:sz w:val="18"/>
          <w:szCs w:val="18"/>
        </w:rPr>
        <w:t>$30 million to &lt; $40 million</w:t>
      </w:r>
    </w:p>
    <w:p w14:paraId="53254249" w14:textId="77777777" w:rsidR="00A0136F" w:rsidRDefault="000902D9" w:rsidP="00B36098">
      <w:pPr>
        <w:pStyle w:val="3-BodyText"/>
      </w:pPr>
      <w:r w:rsidRPr="0098262F">
        <w:t xml:space="preserve">The </w:t>
      </w:r>
      <w:r w:rsidR="00AD1AE0">
        <w:t xml:space="preserve">net </w:t>
      </w:r>
      <w:r w:rsidRPr="0098262F">
        <w:t xml:space="preserve">cost to the PBS/RPBS of listing </w:t>
      </w:r>
      <w:r w:rsidR="00B5084D">
        <w:t>periNIVO</w:t>
      </w:r>
      <w:r w:rsidRPr="0098262F">
        <w:t xml:space="preserve"> was estimated</w:t>
      </w:r>
      <w:r w:rsidR="000563CB">
        <w:t xml:space="preserve"> </w:t>
      </w:r>
      <w:r w:rsidR="00B46610">
        <w:rPr>
          <w:iCs/>
        </w:rPr>
        <w:t>in the Pre-PBAC Response</w:t>
      </w:r>
      <w:r w:rsidR="00961FE8">
        <w:t xml:space="preserve"> </w:t>
      </w:r>
      <w:r w:rsidR="00A05C32" w:rsidRPr="0098262F">
        <w:t>to be</w:t>
      </w:r>
      <w:r w:rsidRPr="0098262F">
        <w:t xml:space="preserve"> </w:t>
      </w:r>
      <w:r w:rsidR="001F35B2" w:rsidRPr="001F068A">
        <w:rPr>
          <w:rFonts w:eastAsia="Times New Roman" w:cstheme="minorHAnsi"/>
          <w:color w:val="333333"/>
          <w:szCs w:val="24"/>
        </w:rPr>
        <w:t>$10 million to &lt; $20 million</w:t>
      </w:r>
      <w:r w:rsidR="00E934F7" w:rsidRPr="001F068A">
        <w:rPr>
          <w:rFonts w:cstheme="minorHAnsi"/>
          <w:szCs w:val="24"/>
        </w:rPr>
        <w:t xml:space="preserve"> in </w:t>
      </w:r>
      <w:r w:rsidR="004E5019" w:rsidRPr="001F068A">
        <w:rPr>
          <w:rFonts w:cstheme="minorHAnsi"/>
          <w:szCs w:val="24"/>
        </w:rPr>
        <w:t>Y</w:t>
      </w:r>
      <w:r w:rsidR="00E934F7" w:rsidRPr="001F068A">
        <w:rPr>
          <w:rFonts w:cstheme="minorHAnsi"/>
          <w:szCs w:val="24"/>
        </w:rPr>
        <w:t xml:space="preserve">ear 1, increasing to </w:t>
      </w:r>
      <w:r w:rsidR="001F35B2" w:rsidRPr="001F068A">
        <w:rPr>
          <w:rFonts w:eastAsia="Times New Roman" w:cstheme="minorHAnsi"/>
          <w:color w:val="333333"/>
          <w:szCs w:val="24"/>
        </w:rPr>
        <w:t>$10 million to &lt; $20 million</w:t>
      </w:r>
      <w:r w:rsidRPr="001F068A">
        <w:rPr>
          <w:rFonts w:cstheme="minorHAnsi"/>
          <w:szCs w:val="24"/>
        </w:rPr>
        <w:t xml:space="preserve"> in Year 6, and a total of </w:t>
      </w:r>
      <w:r w:rsidR="00807E7A" w:rsidRPr="001F068A">
        <w:rPr>
          <w:rFonts w:eastAsia="Times New Roman" w:cstheme="minorHAnsi"/>
          <w:color w:val="333333"/>
          <w:szCs w:val="24"/>
        </w:rPr>
        <w:t>$100 million to &lt; $200 million</w:t>
      </w:r>
      <w:r w:rsidRPr="0098262F">
        <w:t xml:space="preserve"> in the first 6 years of listing</w:t>
      </w:r>
      <w:r w:rsidR="00B5084D">
        <w:t>.</w:t>
      </w:r>
    </w:p>
    <w:p w14:paraId="5F421441" w14:textId="77777777" w:rsidR="00A0136F" w:rsidRDefault="00387AA9" w:rsidP="00606FBA">
      <w:pPr>
        <w:pStyle w:val="3-BodyText"/>
      </w:pPr>
      <w:r w:rsidRPr="00387AA9">
        <w:t>The financial estimates did not include any grandfathered patients.</w:t>
      </w:r>
    </w:p>
    <w:p w14:paraId="794C8845" w14:textId="236B1CF1" w:rsidR="003B0029" w:rsidRDefault="003B0029" w:rsidP="003B0029">
      <w:pPr>
        <w:pStyle w:val="3-BodyText"/>
        <w:rPr>
          <w:iCs/>
        </w:rPr>
      </w:pPr>
      <w:bookmarkStart w:id="84" w:name="_Ref180075305"/>
      <w:r w:rsidRPr="00C87852">
        <w:rPr>
          <w:iCs/>
        </w:rPr>
        <w:t>It was noted that Stage IB patients, which were included in the March and July 2023 neoNIVO submission</w:t>
      </w:r>
      <w:r w:rsidR="008B30DB">
        <w:rPr>
          <w:iCs/>
        </w:rPr>
        <w:t xml:space="preserve">s, </w:t>
      </w:r>
      <w:r w:rsidRPr="00C87852">
        <w:rPr>
          <w:iCs/>
        </w:rPr>
        <w:t xml:space="preserve">were not included in the current submission. Conversely, Stage IIIB patients, which </w:t>
      </w:r>
      <w:r w:rsidR="009F6DF4" w:rsidRPr="00C87852">
        <w:rPr>
          <w:iCs/>
        </w:rPr>
        <w:t xml:space="preserve">were </w:t>
      </w:r>
      <w:r w:rsidRPr="00C87852">
        <w:rPr>
          <w:iCs/>
        </w:rPr>
        <w:t xml:space="preserve">not included in March and July 2023 neoNIVO submission were included in the current submission. The proposed restriction for periNIVO is not stage specific and instead the eligibility criteria states that patient must have resectable tumours ≥4 cm or node positive NSCLC. Under the AJCC 8th edition </w:t>
      </w:r>
      <w:r w:rsidR="000B6189" w:rsidRPr="00C87852">
        <w:rPr>
          <w:iCs/>
        </w:rPr>
        <w:t>description, patients</w:t>
      </w:r>
      <w:r w:rsidRPr="00C87852">
        <w:rPr>
          <w:iCs/>
        </w:rPr>
        <w:t xml:space="preserve"> with a tumour of &gt;3 to ≤ 4 cm tumour can still be classified as </w:t>
      </w:r>
      <w:r w:rsidRPr="00C87852">
        <w:rPr>
          <w:iCs/>
        </w:rPr>
        <w:lastRenderedPageBreak/>
        <w:t>T2a, and patients with T2a N0 tumours would still be classified as IB. Therefore, Stage IB patients may be eligible for periNIVO. In addition, amongst several other changes made to the AJCC 7th edition, for N2 (T3 and T4), IIIA was upstaged to IIIB in the 8th edition. Therefore, a proportion of patients that were classified as Stage IIIA during the neoNIVO financial estimates would now be included in the Stage IIIB incident patients under the updated staging criteria. The degree of overlap between the Stage IIIA and Stage IIIB patient pools is uncertain</w:t>
      </w:r>
      <w:bookmarkEnd w:id="84"/>
      <w:r w:rsidR="00A64674">
        <w:rPr>
          <w:iCs/>
        </w:rPr>
        <w:t>.</w:t>
      </w:r>
      <w:r w:rsidRPr="00C87852">
        <w:rPr>
          <w:iCs/>
        </w:rPr>
        <w:t xml:space="preserve"> </w:t>
      </w:r>
      <w:r w:rsidR="00A64674" w:rsidRPr="00B96B42">
        <w:t>The ESC considered the inclusion of patients with Stage IIIB disease was in line with CM77T inclusion criteria and therefore reasonable.</w:t>
      </w:r>
    </w:p>
    <w:p w14:paraId="376884E3" w14:textId="00DF3466" w:rsidR="008B30DB" w:rsidRPr="008B30DB" w:rsidRDefault="008B30DB" w:rsidP="008B30DB">
      <w:pPr>
        <w:pStyle w:val="3-BodyText"/>
      </w:pPr>
      <w:r w:rsidRPr="00572090">
        <w:t>The uptake rate for periNIVO (</w:t>
      </w:r>
      <w:r w:rsidR="001E7429" w:rsidRPr="00392FEA">
        <w:rPr>
          <w:color w:val="000000"/>
          <w:w w:val="61"/>
          <w:shd w:val="solid" w:color="000000" w:fill="000000"/>
          <w:fitText w:val="477" w:id="-737420794"/>
          <w14:textFill>
            <w14:solidFill>
              <w14:srgbClr w14:val="000000">
                <w14:alpha w14:val="100000"/>
              </w14:srgbClr>
            </w14:solidFill>
          </w14:textFill>
        </w:rPr>
        <w:t>|||  ||</w:t>
      </w:r>
      <w:r w:rsidR="001E7429" w:rsidRPr="00392FEA">
        <w:rPr>
          <w:color w:val="000000"/>
          <w:spacing w:val="7"/>
          <w:w w:val="61"/>
          <w:shd w:val="solid" w:color="000000" w:fill="000000"/>
          <w:fitText w:val="477" w:id="-737420794"/>
          <w14:textFill>
            <w14:solidFill>
              <w14:srgbClr w14:val="000000">
                <w14:alpha w14:val="100000"/>
              </w14:srgbClr>
            </w14:solidFill>
          </w14:textFill>
        </w:rPr>
        <w:t>|</w:t>
      </w:r>
      <w:r w:rsidRPr="00572090">
        <w:t xml:space="preserve">%) was </w:t>
      </w:r>
      <w:r w:rsidR="00D644E3">
        <w:t xml:space="preserve">assumed to be </w:t>
      </w:r>
      <w:r w:rsidRPr="00572090">
        <w:t xml:space="preserve">higher </w:t>
      </w:r>
      <w:r w:rsidR="00D644E3">
        <w:t xml:space="preserve">in the submission </w:t>
      </w:r>
      <w:r w:rsidRPr="00572090">
        <w:t xml:space="preserve">than </w:t>
      </w:r>
      <w:r w:rsidR="00260485">
        <w:t xml:space="preserve">previously assumed </w:t>
      </w:r>
      <w:r w:rsidRPr="00572090">
        <w:t xml:space="preserve">for neoNIVO (72.5%). </w:t>
      </w:r>
      <w:r w:rsidR="00641231">
        <w:t xml:space="preserve">Furthermore, </w:t>
      </w:r>
      <w:r w:rsidR="00447A5E">
        <w:t>a</w:t>
      </w:r>
      <w:r w:rsidRPr="00572090">
        <w:t>t the July 2023 PBAC meeting, the PBAC advised that an uptake rate of 30</w:t>
      </w:r>
      <w:r w:rsidRPr="00572090">
        <w:rPr>
          <w:rFonts w:cstheme="minorHAnsi"/>
        </w:rPr>
        <w:t>−</w:t>
      </w:r>
      <w:r w:rsidRPr="00572090">
        <w:t>40% per annum in the first two years of listing may be a more reasonable estimate of uptake (paragraph 5.10, nivolumab</w:t>
      </w:r>
      <w:r w:rsidR="00AE79B2">
        <w:t xml:space="preserve"> PSD</w:t>
      </w:r>
      <w:r w:rsidRPr="00572090">
        <w:t xml:space="preserve"> July 2023 PBAC Meeting)</w:t>
      </w:r>
      <w:r w:rsidR="00447A5E">
        <w:t>.</w:t>
      </w:r>
      <w:r w:rsidR="00064377">
        <w:t xml:space="preserve"> </w:t>
      </w:r>
      <w:r w:rsidR="00064377" w:rsidRPr="00B96B42">
        <w:rPr>
          <w:iCs/>
        </w:rPr>
        <w:t xml:space="preserve">The PSCR </w:t>
      </w:r>
      <w:r w:rsidR="0086271A" w:rsidRPr="00B96B42">
        <w:rPr>
          <w:iCs/>
        </w:rPr>
        <w:t xml:space="preserve">stated that the uptake rate </w:t>
      </w:r>
      <w:r w:rsidR="00AE79B2" w:rsidRPr="00B96B42">
        <w:rPr>
          <w:iCs/>
        </w:rPr>
        <w:t>proposed for</w:t>
      </w:r>
      <w:r w:rsidR="0086271A" w:rsidRPr="00B96B42">
        <w:rPr>
          <w:iCs/>
        </w:rPr>
        <w:t xml:space="preserve"> periNIVO was based on an Advisory Board survey</w:t>
      </w:r>
      <w:r w:rsidR="00D24D6A" w:rsidRPr="00B96B42">
        <w:rPr>
          <w:iCs/>
        </w:rPr>
        <w:t xml:space="preserve"> (which was provided with the submission)</w:t>
      </w:r>
      <w:r w:rsidR="0086271A" w:rsidRPr="00B96B42">
        <w:rPr>
          <w:iCs/>
        </w:rPr>
        <w:t>. The PSCR also noted that a lower uptake rate for neoNIVO was recommended for the first two years of listing as the PBAC considered ‘treatment with neoadjuvant nivolumab would require a change to current clinical practice with surgery being delayed…’ (paragraph 5.10, nivolumab PSD, July 2023 PBAC meeting). The PSCR argued that given neoNIVO is now PBS listed, a change in clinical practice would likely be more established and consequently a lower uptake rate should not apply.</w:t>
      </w:r>
      <w:r w:rsidR="007F5C4E" w:rsidRPr="00B96B42">
        <w:rPr>
          <w:iCs/>
        </w:rPr>
        <w:t xml:space="preserve"> </w:t>
      </w:r>
      <w:r w:rsidR="00AE79B2" w:rsidRPr="00B96B42">
        <w:rPr>
          <w:iCs/>
        </w:rPr>
        <w:t>The</w:t>
      </w:r>
      <w:r w:rsidR="007F5C4E" w:rsidRPr="00B96B42">
        <w:rPr>
          <w:iCs/>
        </w:rPr>
        <w:t xml:space="preserve"> ESC considered the time required for a change in clinical practice to occur</w:t>
      </w:r>
      <w:r w:rsidR="00AE79B2" w:rsidRPr="00B96B42">
        <w:rPr>
          <w:iCs/>
        </w:rPr>
        <w:t xml:space="preserve"> was uncertain,</w:t>
      </w:r>
      <w:r w:rsidR="007F5C4E" w:rsidRPr="00B96B42">
        <w:rPr>
          <w:iCs/>
        </w:rPr>
        <w:t xml:space="preserve"> </w:t>
      </w:r>
      <w:r w:rsidR="00AE79B2" w:rsidRPr="00B96B42">
        <w:rPr>
          <w:iCs/>
        </w:rPr>
        <w:t>however</w:t>
      </w:r>
      <w:r w:rsidR="007F5C4E" w:rsidRPr="00B96B42">
        <w:rPr>
          <w:iCs/>
        </w:rPr>
        <w:t xml:space="preserve"> would like</w:t>
      </w:r>
      <w:r w:rsidR="00AE79B2" w:rsidRPr="00B96B42">
        <w:rPr>
          <w:iCs/>
        </w:rPr>
        <w:t>ly</w:t>
      </w:r>
      <w:r w:rsidR="007F5C4E" w:rsidRPr="00B96B42">
        <w:rPr>
          <w:iCs/>
        </w:rPr>
        <w:t xml:space="preserve"> </w:t>
      </w:r>
      <w:r w:rsidR="00AE79B2" w:rsidRPr="00B96B42">
        <w:rPr>
          <w:iCs/>
        </w:rPr>
        <w:t>be</w:t>
      </w:r>
      <w:r w:rsidR="007F5C4E" w:rsidRPr="00B96B42">
        <w:rPr>
          <w:iCs/>
        </w:rPr>
        <w:t xml:space="preserve"> longer than proposed in the PSCR. Overall, </w:t>
      </w:r>
      <w:r w:rsidR="007F5C4E" w:rsidRPr="00B96B42">
        <w:rPr>
          <w:bCs/>
        </w:rPr>
        <w:t xml:space="preserve">the ESC considered the uptake rate for periNIVO was unlikely to be different to </w:t>
      </w:r>
      <w:r w:rsidR="00AE79B2" w:rsidRPr="00B96B42">
        <w:rPr>
          <w:bCs/>
        </w:rPr>
        <w:t>the uptake</w:t>
      </w:r>
      <w:r w:rsidR="007F5C4E" w:rsidRPr="00B96B42">
        <w:rPr>
          <w:bCs/>
        </w:rPr>
        <w:t xml:space="preserve"> estimated for neoNIVO.</w:t>
      </w:r>
      <w:r w:rsidR="00BB672B">
        <w:rPr>
          <w:bCs/>
        </w:rPr>
        <w:t xml:space="preserve"> </w:t>
      </w:r>
      <w:r w:rsidR="003F2BCD">
        <w:rPr>
          <w:bCs/>
        </w:rPr>
        <w:t>Based on an Advisory Board Survey, the Pre-PBAC response revised the</w:t>
      </w:r>
      <w:r w:rsidR="003F2BCD" w:rsidRPr="003F2BCD">
        <w:rPr>
          <w:bCs/>
        </w:rPr>
        <w:t xml:space="preserve"> uptake rate for periNIVO </w:t>
      </w:r>
      <w:r w:rsidR="003F2BCD">
        <w:rPr>
          <w:bCs/>
        </w:rPr>
        <w:t xml:space="preserve">to </w:t>
      </w:r>
      <w:r w:rsidR="001E7429" w:rsidRPr="00DA645A">
        <w:rPr>
          <w:color w:val="000000"/>
          <w:w w:val="15"/>
          <w:shd w:val="solid" w:color="000000" w:fill="000000"/>
          <w:fitText w:val="-20" w:id="-737420793"/>
          <w14:textFill>
            <w14:solidFill>
              <w14:srgbClr w14:val="000000">
                <w14:alpha w14:val="100000"/>
              </w14:srgbClr>
            </w14:solidFill>
          </w14:textFill>
        </w:rPr>
        <w:t xml:space="preserve">|  </w:t>
      </w:r>
      <w:r w:rsidR="001E7429" w:rsidRPr="00DA645A">
        <w:rPr>
          <w:color w:val="000000"/>
          <w:spacing w:val="-69"/>
          <w:w w:val="15"/>
          <w:shd w:val="solid" w:color="000000" w:fill="000000"/>
          <w:fitText w:val="-20" w:id="-737420793"/>
          <w14:textFill>
            <w14:solidFill>
              <w14:srgbClr w14:val="000000">
                <w14:alpha w14:val="100000"/>
              </w14:srgbClr>
            </w14:solidFill>
          </w14:textFill>
        </w:rPr>
        <w:t>|</w:t>
      </w:r>
      <w:r w:rsidR="003F2BCD" w:rsidRPr="003F2BCD">
        <w:rPr>
          <w:bCs/>
        </w:rPr>
        <w:t>%</w:t>
      </w:r>
      <w:r w:rsidR="003F2BCD">
        <w:rPr>
          <w:bCs/>
        </w:rPr>
        <w:t xml:space="preserve"> (Years 1 through 6)</w:t>
      </w:r>
      <w:r w:rsidR="003F2BCD" w:rsidRPr="003F2BCD">
        <w:rPr>
          <w:bCs/>
        </w:rPr>
        <w:t xml:space="preserve">. </w:t>
      </w:r>
      <w:r w:rsidR="008A6AA1">
        <w:rPr>
          <w:bCs/>
        </w:rPr>
        <w:t>The Response stated that while</w:t>
      </w:r>
      <w:r w:rsidR="003F2BCD" w:rsidRPr="003F2BCD">
        <w:rPr>
          <w:bCs/>
        </w:rPr>
        <w:t xml:space="preserve"> this differs to the uptake of neoNIVO, </w:t>
      </w:r>
      <w:r w:rsidR="003620E2">
        <w:rPr>
          <w:bCs/>
        </w:rPr>
        <w:t xml:space="preserve">it considered </w:t>
      </w:r>
      <w:r w:rsidR="003F2BCD" w:rsidRPr="003F2BCD">
        <w:rPr>
          <w:bCs/>
        </w:rPr>
        <w:t>the Advisory Board survey specific to periNIVO provide</w:t>
      </w:r>
      <w:r w:rsidR="003620E2">
        <w:rPr>
          <w:bCs/>
        </w:rPr>
        <w:t>d</w:t>
      </w:r>
      <w:r w:rsidR="003F2BCD" w:rsidRPr="003F2BCD">
        <w:rPr>
          <w:bCs/>
        </w:rPr>
        <w:t xml:space="preserve"> a reasonable estimate for the expected uptake. </w:t>
      </w:r>
      <w:r w:rsidR="008A6AA1">
        <w:rPr>
          <w:bCs/>
        </w:rPr>
        <w:t>The Pre-PBAC Response maintained that given</w:t>
      </w:r>
      <w:r w:rsidR="003F2BCD" w:rsidRPr="003F2BCD">
        <w:rPr>
          <w:bCs/>
        </w:rPr>
        <w:t xml:space="preserve"> </w:t>
      </w:r>
      <w:r w:rsidR="004A7EF4">
        <w:rPr>
          <w:bCs/>
        </w:rPr>
        <w:t xml:space="preserve">that </w:t>
      </w:r>
      <w:r w:rsidR="003F2BCD" w:rsidRPr="003F2BCD">
        <w:rPr>
          <w:bCs/>
        </w:rPr>
        <w:t xml:space="preserve">neoNIVO </w:t>
      </w:r>
      <w:r w:rsidR="00AD0D75">
        <w:rPr>
          <w:bCs/>
        </w:rPr>
        <w:t>was</w:t>
      </w:r>
      <w:r w:rsidR="003F2BCD" w:rsidRPr="003F2BCD">
        <w:rPr>
          <w:bCs/>
        </w:rPr>
        <w:t xml:space="preserve"> now PBS listed, a change in clinical practice </w:t>
      </w:r>
      <w:r w:rsidR="00AD0D75">
        <w:rPr>
          <w:bCs/>
        </w:rPr>
        <w:t>would be more</w:t>
      </w:r>
      <w:r w:rsidR="003F2BCD" w:rsidRPr="003F2BCD">
        <w:rPr>
          <w:bCs/>
        </w:rPr>
        <w:t xml:space="preserve"> established and consequently a lower uptake rate should not apply.</w:t>
      </w:r>
    </w:p>
    <w:p w14:paraId="2238DEE9" w14:textId="62B99664" w:rsidR="00576972" w:rsidRPr="0098262F" w:rsidRDefault="00576972" w:rsidP="00606FBA">
      <w:pPr>
        <w:pStyle w:val="4-SubsectionHeading"/>
      </w:pPr>
      <w:bookmarkStart w:id="85" w:name="_Toc22897648"/>
      <w:bookmarkStart w:id="86" w:name="_Toc177566406"/>
      <w:r w:rsidRPr="0098262F">
        <w:t>Quality Use of Medicines</w:t>
      </w:r>
      <w:bookmarkEnd w:id="85"/>
      <w:bookmarkEnd w:id="86"/>
    </w:p>
    <w:p w14:paraId="38BD0AEF" w14:textId="3793CC0B" w:rsidR="00576972" w:rsidRPr="00C20F90" w:rsidRDefault="00C20F90" w:rsidP="00C20F90">
      <w:pPr>
        <w:pStyle w:val="3-BodyText"/>
      </w:pPr>
      <w:r w:rsidRPr="00C20F90">
        <w:t>The submission noted that the sponsor has implemented initiatives which include peer-to-peer education, established guidelines on the management of immune-related adverse reactions (irARs), nursing and pharmacy in-services to sites where nivolumab is used, a Risk Management Plan (RMP) in Australia, and a range of educational materials and tools on irA</w:t>
      </w:r>
      <w:r w:rsidR="00076756">
        <w:t>R</w:t>
      </w:r>
      <w:r w:rsidRPr="00C20F90">
        <w:t>s for health care professionals and patients (such as mediband bracelets, a Patient Information Booklet, and an irAR wallet alert card for nivolumab).</w:t>
      </w:r>
    </w:p>
    <w:p w14:paraId="6015A395" w14:textId="40D03A8D" w:rsidR="00576972" w:rsidRPr="0098262F" w:rsidRDefault="00576972" w:rsidP="00606FBA">
      <w:pPr>
        <w:pStyle w:val="4-SubsectionHeading"/>
      </w:pPr>
      <w:bookmarkStart w:id="87" w:name="_Toc22897649"/>
      <w:bookmarkStart w:id="88" w:name="_Toc177566407"/>
      <w:r w:rsidRPr="0098262F">
        <w:lastRenderedPageBreak/>
        <w:t>Financial Management – Risk Sharing Arrangements</w:t>
      </w:r>
      <w:bookmarkEnd w:id="87"/>
      <w:bookmarkEnd w:id="88"/>
    </w:p>
    <w:p w14:paraId="605998B7" w14:textId="3E8B1D4F" w:rsidR="00CC5B0B" w:rsidRDefault="00C20F90" w:rsidP="00F37918">
      <w:pPr>
        <w:pStyle w:val="3-BodyText"/>
        <w:rPr>
          <w:iCs/>
        </w:rPr>
      </w:pPr>
      <w:r>
        <w:t xml:space="preserve">The Sponsor indicated that it was </w:t>
      </w:r>
      <w:r w:rsidRPr="00C20F90">
        <w:t>willing to enter a</w:t>
      </w:r>
      <w:r w:rsidR="00F37918">
        <w:t xml:space="preserve"> risk-sharing agreement</w:t>
      </w:r>
      <w:r w:rsidRPr="00C20F90">
        <w:t xml:space="preserve"> </w:t>
      </w:r>
      <w:r w:rsidR="00F37918">
        <w:t>(</w:t>
      </w:r>
      <w:r w:rsidRPr="00C20F90">
        <w:t>RSA</w:t>
      </w:r>
      <w:r w:rsidR="00F37918">
        <w:t>)</w:t>
      </w:r>
      <w:r w:rsidRPr="00C20F90">
        <w:t xml:space="preserve"> related to expenditure in this disease state, including the potential for subsidisation caps.</w:t>
      </w:r>
      <w:r>
        <w:t xml:space="preserve"> </w:t>
      </w:r>
      <w:r w:rsidRPr="00C87852">
        <w:rPr>
          <w:iCs/>
        </w:rPr>
        <w:t xml:space="preserve">The PBAC has previously noted that if </w:t>
      </w:r>
      <w:r w:rsidR="00F37918">
        <w:rPr>
          <w:iCs/>
        </w:rPr>
        <w:t>nivolumab</w:t>
      </w:r>
      <w:r w:rsidR="00F37918" w:rsidRPr="00C87852">
        <w:rPr>
          <w:iCs/>
        </w:rPr>
        <w:t xml:space="preserve"> </w:t>
      </w:r>
      <w:r w:rsidRPr="00C87852">
        <w:rPr>
          <w:iCs/>
        </w:rPr>
        <w:t>were listed, it would be included in the current RSA</w:t>
      </w:r>
      <w:r w:rsidRPr="00F37918">
        <w:rPr>
          <w:iCs/>
        </w:rPr>
        <w:t xml:space="preserve"> for immunotherapy of NSCLC, with a minimal increase in the cap (paragraph </w:t>
      </w:r>
      <w:r w:rsidR="00F30C35" w:rsidRPr="00F37918">
        <w:rPr>
          <w:iCs/>
        </w:rPr>
        <w:t>4.27</w:t>
      </w:r>
      <w:r w:rsidRPr="00F37918">
        <w:rPr>
          <w:iCs/>
        </w:rPr>
        <w:t xml:space="preserve">, nivolumab PSD, </w:t>
      </w:r>
      <w:r w:rsidR="00F30C35" w:rsidRPr="00F37918">
        <w:rPr>
          <w:iCs/>
        </w:rPr>
        <w:t xml:space="preserve">July </w:t>
      </w:r>
      <w:r w:rsidRPr="00F37918">
        <w:rPr>
          <w:iCs/>
        </w:rPr>
        <w:t>2023 PBAC meeting).</w:t>
      </w:r>
    </w:p>
    <w:p w14:paraId="13A1EDB4" w14:textId="2EE202EB" w:rsidR="00F37918" w:rsidRPr="00F37918" w:rsidRDefault="00F37918" w:rsidP="00F37918">
      <w:pPr>
        <w:pStyle w:val="3-BodyText"/>
        <w:rPr>
          <w:iCs/>
        </w:rPr>
      </w:pPr>
      <w:r>
        <w:rPr>
          <w:iCs/>
        </w:rPr>
        <w:t xml:space="preserve">The Pre-PBAC Response </w:t>
      </w:r>
      <w:r w:rsidR="006256A6">
        <w:rPr>
          <w:iCs/>
        </w:rPr>
        <w:t>proposed</w:t>
      </w:r>
      <w:r w:rsidR="00F06C85">
        <w:rPr>
          <w:iCs/>
        </w:rPr>
        <w:t xml:space="preserve"> that </w:t>
      </w:r>
      <w:r w:rsidR="00F06C85" w:rsidRPr="00A35CE1">
        <w:rPr>
          <w:iCs/>
        </w:rPr>
        <w:t>no additional net cost to the government</w:t>
      </w:r>
      <w:r w:rsidR="00F06C85">
        <w:rPr>
          <w:iCs/>
        </w:rPr>
        <w:t xml:space="preserve"> was expected from the listing of periNIVO, and therefore</w:t>
      </w:r>
      <w:r w:rsidR="0062665A">
        <w:rPr>
          <w:iCs/>
        </w:rPr>
        <w:t xml:space="preserve"> </w:t>
      </w:r>
      <w:r w:rsidR="00A35CE1" w:rsidRPr="00A35CE1">
        <w:rPr>
          <w:iCs/>
        </w:rPr>
        <w:t>change</w:t>
      </w:r>
      <w:r w:rsidR="008A25D5">
        <w:rPr>
          <w:iCs/>
        </w:rPr>
        <w:t>s</w:t>
      </w:r>
      <w:r w:rsidR="00A35CE1" w:rsidRPr="00A35CE1">
        <w:rPr>
          <w:iCs/>
        </w:rPr>
        <w:t xml:space="preserve"> to the </w:t>
      </w:r>
      <w:r w:rsidR="005A6044">
        <w:rPr>
          <w:iCs/>
        </w:rPr>
        <w:t xml:space="preserve">current </w:t>
      </w:r>
      <w:r w:rsidR="00A35CE1" w:rsidRPr="00A35CE1">
        <w:rPr>
          <w:iCs/>
        </w:rPr>
        <w:t>RSA cap</w:t>
      </w:r>
      <w:r w:rsidR="005A6044">
        <w:rPr>
          <w:iCs/>
        </w:rPr>
        <w:t xml:space="preserve"> for NSCLC immunotherapy </w:t>
      </w:r>
      <w:r w:rsidR="008A25D5">
        <w:rPr>
          <w:iCs/>
        </w:rPr>
        <w:t>was</w:t>
      </w:r>
      <w:r w:rsidR="00521E4B">
        <w:rPr>
          <w:iCs/>
        </w:rPr>
        <w:t xml:space="preserve"> likely not</w:t>
      </w:r>
      <w:r w:rsidR="008B5BC6">
        <w:rPr>
          <w:iCs/>
        </w:rPr>
        <w:t xml:space="preserve"> required.</w:t>
      </w:r>
    </w:p>
    <w:p w14:paraId="4B9BD510" w14:textId="01C4ACC0" w:rsidR="00802EA5" w:rsidRDefault="00CC5B0B" w:rsidP="0032577B">
      <w:pPr>
        <w:pStyle w:val="3-BodyText"/>
        <w:numPr>
          <w:ilvl w:val="0"/>
          <w:numId w:val="0"/>
        </w:numPr>
        <w:ind w:firstLine="720"/>
        <w:rPr>
          <w:i/>
          <w:iCs/>
        </w:rPr>
      </w:pPr>
      <w:r w:rsidRPr="0021225D">
        <w:rPr>
          <w:i/>
          <w:iCs/>
        </w:rPr>
        <w:t>For more detail on PBAC’s view, see section 7 PBAC outcome.</w:t>
      </w:r>
    </w:p>
    <w:p w14:paraId="6B357023" w14:textId="77777777" w:rsidR="006B508B" w:rsidRPr="0090150D" w:rsidRDefault="006B508B" w:rsidP="006B508B">
      <w:pPr>
        <w:pStyle w:val="2-SectionHeading"/>
        <w:numPr>
          <w:ilvl w:val="0"/>
          <w:numId w:val="1"/>
        </w:numPr>
      </w:pPr>
      <w:bookmarkStart w:id="89" w:name="_Hlk76381249"/>
      <w:bookmarkStart w:id="90" w:name="_Hlk76377955"/>
      <w:r w:rsidRPr="0090150D">
        <w:t>PBAC Outcome</w:t>
      </w:r>
    </w:p>
    <w:p w14:paraId="69401BA9" w14:textId="77777777" w:rsidR="00A0136F" w:rsidRDefault="002E3BD4" w:rsidP="003421A0">
      <w:pPr>
        <w:widowControl w:val="0"/>
        <w:numPr>
          <w:ilvl w:val="1"/>
          <w:numId w:val="1"/>
        </w:numPr>
        <w:spacing w:after="120"/>
        <w:rPr>
          <w:rFonts w:asciiTheme="minorHAnsi" w:hAnsiTheme="minorHAnsi"/>
          <w:snapToGrid w:val="0"/>
          <w:lang w:val="en-GB"/>
        </w:rPr>
      </w:pPr>
      <w:bookmarkStart w:id="91" w:name="_Hlk111543188"/>
      <w:r w:rsidRPr="002E3BD4">
        <w:rPr>
          <w:rFonts w:asciiTheme="minorHAnsi" w:hAnsiTheme="minorHAnsi"/>
          <w:snapToGrid w:val="0"/>
          <w:lang w:val="en-GB"/>
        </w:rPr>
        <w:t>The PBAC did not recommend the listing of nivolumab for the perioperative treatment of patients with resectable non-small cell lung cancer (NSCLC)</w:t>
      </w:r>
      <w:r w:rsidR="00401966" w:rsidRPr="002E3BD4">
        <w:rPr>
          <w:rFonts w:asciiTheme="minorHAnsi" w:hAnsiTheme="minorHAnsi"/>
          <w:snapToGrid w:val="0"/>
          <w:lang w:val="en-GB"/>
        </w:rPr>
        <w:t xml:space="preserve">. </w:t>
      </w:r>
      <w:r w:rsidRPr="002E3BD4">
        <w:rPr>
          <w:rFonts w:asciiTheme="minorHAnsi" w:hAnsiTheme="minorHAnsi"/>
          <w:snapToGrid w:val="0"/>
          <w:lang w:val="en-GB"/>
        </w:rPr>
        <w:t xml:space="preserve">The PBAC noted the perioperative use of nivolumab consisted of up to </w:t>
      </w:r>
      <w:proofErr w:type="gramStart"/>
      <w:r w:rsidRPr="002E3BD4">
        <w:rPr>
          <w:rFonts w:asciiTheme="minorHAnsi" w:hAnsiTheme="minorHAnsi"/>
          <w:snapToGrid w:val="0"/>
          <w:lang w:val="en-GB"/>
        </w:rPr>
        <w:t>4</w:t>
      </w:r>
      <w:proofErr w:type="gramEnd"/>
      <w:r w:rsidRPr="002E3BD4">
        <w:rPr>
          <w:rFonts w:asciiTheme="minorHAnsi" w:hAnsiTheme="minorHAnsi"/>
          <w:snapToGrid w:val="0"/>
          <w:lang w:val="en-GB"/>
        </w:rPr>
        <w:t xml:space="preserve"> doses prior to surgery in combination with chemotherapy (neoadjuvant treatment) and up to 12 months of treatment post-surgery as monotherapy (adjuvant treatment). The PBAC considered the appropriate comparator was neoadjuvant nivolumab (up to </w:t>
      </w:r>
      <w:proofErr w:type="gramStart"/>
      <w:r w:rsidRPr="002E3BD4">
        <w:rPr>
          <w:rFonts w:asciiTheme="minorHAnsi" w:hAnsiTheme="minorHAnsi"/>
          <w:snapToGrid w:val="0"/>
          <w:lang w:val="en-GB"/>
        </w:rPr>
        <w:t>3</w:t>
      </w:r>
      <w:proofErr w:type="gramEnd"/>
      <w:r w:rsidRPr="002E3BD4">
        <w:rPr>
          <w:rFonts w:asciiTheme="minorHAnsi" w:hAnsiTheme="minorHAnsi"/>
          <w:snapToGrid w:val="0"/>
          <w:lang w:val="en-GB"/>
        </w:rPr>
        <w:t xml:space="preserve"> doses prior to surgery in combination with chemotherapy) which is currently PBS listed.  The PBAC considered that the additional doses of nivolumab in the adjuvant setting provided no clear clinical benefit compared to the comparator, however led to inferior </w:t>
      </w:r>
      <w:proofErr w:type="gramStart"/>
      <w:r w:rsidR="00401966" w:rsidRPr="002E3BD4">
        <w:rPr>
          <w:rFonts w:asciiTheme="minorHAnsi" w:hAnsiTheme="minorHAnsi"/>
          <w:snapToGrid w:val="0"/>
          <w:lang w:val="en-GB"/>
        </w:rPr>
        <w:t>safety</w:t>
      </w:r>
      <w:proofErr w:type="gramEnd"/>
      <w:r w:rsidRPr="002E3BD4">
        <w:rPr>
          <w:rFonts w:asciiTheme="minorHAnsi" w:hAnsiTheme="minorHAnsi"/>
          <w:snapToGrid w:val="0"/>
          <w:lang w:val="en-GB"/>
        </w:rPr>
        <w:t xml:space="preserve"> and increased treatment burden for patients</w:t>
      </w:r>
      <w:r w:rsidR="00A24FD8">
        <w:rPr>
          <w:rFonts w:asciiTheme="minorHAnsi" w:hAnsiTheme="minorHAnsi"/>
          <w:snapToGrid w:val="0"/>
          <w:lang w:val="en-GB"/>
        </w:rPr>
        <w:t>.</w:t>
      </w:r>
    </w:p>
    <w:p w14:paraId="66255491" w14:textId="7F3682AD" w:rsidR="0088533C" w:rsidRPr="00AB2A68" w:rsidRDefault="0088533C" w:rsidP="0088533C">
      <w:pPr>
        <w:widowControl w:val="0"/>
        <w:numPr>
          <w:ilvl w:val="1"/>
          <w:numId w:val="1"/>
        </w:numPr>
        <w:spacing w:after="120"/>
        <w:rPr>
          <w:rFonts w:asciiTheme="minorHAnsi" w:hAnsiTheme="minorHAnsi"/>
          <w:snapToGrid w:val="0"/>
          <w:lang w:val="en-GB"/>
        </w:rPr>
      </w:pPr>
      <w:r>
        <w:t>The primary reason for this outcome was due to the comparative clinical evidence.</w:t>
      </w:r>
    </w:p>
    <w:p w14:paraId="1156DB6E" w14:textId="77777777" w:rsidR="00A0136F" w:rsidRDefault="003421A0" w:rsidP="00A436F4">
      <w:pPr>
        <w:widowControl w:val="0"/>
        <w:numPr>
          <w:ilvl w:val="1"/>
          <w:numId w:val="1"/>
        </w:numPr>
        <w:spacing w:after="120"/>
        <w:rPr>
          <w:rFonts w:asciiTheme="minorHAnsi" w:hAnsiTheme="minorHAnsi"/>
          <w:bCs/>
          <w:snapToGrid w:val="0"/>
        </w:rPr>
      </w:pPr>
      <w:r>
        <w:rPr>
          <w:rFonts w:asciiTheme="minorHAnsi" w:hAnsiTheme="minorHAnsi"/>
          <w:snapToGrid w:val="0"/>
          <w:lang w:val="en-GB"/>
        </w:rPr>
        <w:t xml:space="preserve">The PBAC noted </w:t>
      </w:r>
      <w:r w:rsidR="00687E4F">
        <w:rPr>
          <w:rFonts w:asciiTheme="minorHAnsi" w:hAnsiTheme="minorHAnsi"/>
          <w:snapToGrid w:val="0"/>
          <w:lang w:val="en-GB"/>
        </w:rPr>
        <w:t>consumer comments from</w:t>
      </w:r>
      <w:r w:rsidR="00A32CA2">
        <w:rPr>
          <w:rFonts w:asciiTheme="minorHAnsi" w:hAnsiTheme="minorHAnsi"/>
          <w:snapToGrid w:val="0"/>
          <w:lang w:val="en-GB"/>
        </w:rPr>
        <w:t xml:space="preserve"> an individual, </w:t>
      </w:r>
      <w:r w:rsidR="006E43B9">
        <w:rPr>
          <w:rFonts w:asciiTheme="minorHAnsi" w:hAnsiTheme="minorHAnsi"/>
          <w:snapToGrid w:val="0"/>
          <w:lang w:val="en-GB"/>
        </w:rPr>
        <w:t xml:space="preserve">Rare Cancers Australia, Lung Foundation </w:t>
      </w:r>
      <w:r w:rsidR="007B586E">
        <w:rPr>
          <w:rFonts w:asciiTheme="minorHAnsi" w:hAnsiTheme="minorHAnsi"/>
          <w:snapToGrid w:val="0"/>
          <w:lang w:val="en-GB"/>
        </w:rPr>
        <w:t>Australia,</w:t>
      </w:r>
      <w:r w:rsidR="006E43B9">
        <w:rPr>
          <w:rFonts w:asciiTheme="minorHAnsi" w:hAnsiTheme="minorHAnsi"/>
          <w:snapToGrid w:val="0"/>
          <w:lang w:val="en-GB"/>
        </w:rPr>
        <w:t xml:space="preserve"> and </w:t>
      </w:r>
      <w:r w:rsidR="006E43B9">
        <w:rPr>
          <w:rFonts w:asciiTheme="minorHAnsi" w:hAnsiTheme="minorHAnsi"/>
          <w:bCs/>
          <w:snapToGrid w:val="0"/>
        </w:rPr>
        <w:t>t</w:t>
      </w:r>
      <w:r w:rsidR="006E43B9" w:rsidRPr="00A74363">
        <w:rPr>
          <w:rFonts w:asciiTheme="minorHAnsi" w:hAnsiTheme="minorHAnsi"/>
          <w:bCs/>
          <w:snapToGrid w:val="0"/>
        </w:rPr>
        <w:t>he Medical Oncology Group of Australia (MOGA)</w:t>
      </w:r>
      <w:r w:rsidR="00A32CA2">
        <w:rPr>
          <w:rFonts w:asciiTheme="minorHAnsi" w:hAnsiTheme="minorHAnsi"/>
          <w:bCs/>
          <w:snapToGrid w:val="0"/>
        </w:rPr>
        <w:t xml:space="preserve">, which highlighted the need for </w:t>
      </w:r>
      <w:r w:rsidR="00A00C91">
        <w:rPr>
          <w:rFonts w:asciiTheme="minorHAnsi" w:hAnsiTheme="minorHAnsi"/>
          <w:bCs/>
          <w:snapToGrid w:val="0"/>
        </w:rPr>
        <w:t>new</w:t>
      </w:r>
      <w:r w:rsidR="00B15B6F">
        <w:rPr>
          <w:rFonts w:asciiTheme="minorHAnsi" w:hAnsiTheme="minorHAnsi"/>
          <w:bCs/>
          <w:snapToGrid w:val="0"/>
        </w:rPr>
        <w:t xml:space="preserve"> and </w:t>
      </w:r>
      <w:r w:rsidR="00BD5986">
        <w:rPr>
          <w:rFonts w:asciiTheme="minorHAnsi" w:hAnsiTheme="minorHAnsi"/>
          <w:bCs/>
          <w:snapToGrid w:val="0"/>
        </w:rPr>
        <w:t>effective</w:t>
      </w:r>
      <w:r w:rsidR="00A32CA2">
        <w:rPr>
          <w:rFonts w:asciiTheme="minorHAnsi" w:hAnsiTheme="minorHAnsi"/>
          <w:bCs/>
          <w:snapToGrid w:val="0"/>
        </w:rPr>
        <w:t xml:space="preserve"> </w:t>
      </w:r>
      <w:r w:rsidR="004A283D">
        <w:rPr>
          <w:rFonts w:asciiTheme="minorHAnsi" w:hAnsiTheme="minorHAnsi"/>
          <w:bCs/>
          <w:snapToGrid w:val="0"/>
        </w:rPr>
        <w:t xml:space="preserve">treatment options for </w:t>
      </w:r>
      <w:r w:rsidR="005C6827">
        <w:rPr>
          <w:rFonts w:asciiTheme="minorHAnsi" w:hAnsiTheme="minorHAnsi"/>
          <w:bCs/>
          <w:snapToGrid w:val="0"/>
        </w:rPr>
        <w:t xml:space="preserve">patients with resectable NSCLC. </w:t>
      </w:r>
      <w:r w:rsidR="00BD5986">
        <w:rPr>
          <w:rFonts w:asciiTheme="minorHAnsi" w:hAnsiTheme="minorHAnsi"/>
          <w:bCs/>
          <w:snapToGrid w:val="0"/>
        </w:rPr>
        <w:t xml:space="preserve">The PBAC noted the input emphasised the toxicity associated with current therapy options and nivolumab, and the </w:t>
      </w:r>
      <w:r w:rsidR="004359CB">
        <w:rPr>
          <w:rFonts w:asciiTheme="minorHAnsi" w:hAnsiTheme="minorHAnsi"/>
          <w:bCs/>
          <w:snapToGrid w:val="0"/>
        </w:rPr>
        <w:t>high emotional and financial burden associated with this condition.</w:t>
      </w:r>
    </w:p>
    <w:p w14:paraId="6F9B02A1" w14:textId="479DF1ED" w:rsidR="00366590" w:rsidRPr="00366590" w:rsidRDefault="00006521" w:rsidP="003421A0">
      <w:pPr>
        <w:widowControl w:val="0"/>
        <w:numPr>
          <w:ilvl w:val="1"/>
          <w:numId w:val="1"/>
        </w:numPr>
        <w:spacing w:after="120"/>
        <w:rPr>
          <w:rFonts w:asciiTheme="minorHAnsi" w:hAnsiTheme="minorHAnsi"/>
          <w:snapToGrid w:val="0"/>
          <w:lang w:val="en-GB"/>
        </w:rPr>
      </w:pPr>
      <w:r>
        <w:rPr>
          <w:rFonts w:asciiTheme="minorHAnsi" w:hAnsiTheme="minorHAnsi"/>
          <w:bCs/>
          <w:snapToGrid w:val="0"/>
        </w:rPr>
        <w:t>The</w:t>
      </w:r>
      <w:r w:rsidR="009C749D">
        <w:rPr>
          <w:rFonts w:asciiTheme="minorHAnsi" w:hAnsiTheme="minorHAnsi"/>
          <w:bCs/>
          <w:snapToGrid w:val="0"/>
        </w:rPr>
        <w:t xml:space="preserve"> PBAC considered there</w:t>
      </w:r>
      <w:r w:rsidR="00873EEF">
        <w:rPr>
          <w:rFonts w:asciiTheme="minorHAnsi" w:hAnsiTheme="minorHAnsi"/>
          <w:bCs/>
          <w:snapToGrid w:val="0"/>
        </w:rPr>
        <w:t xml:space="preserve"> </w:t>
      </w:r>
      <w:r>
        <w:rPr>
          <w:rFonts w:asciiTheme="minorHAnsi" w:hAnsiTheme="minorHAnsi"/>
          <w:bCs/>
          <w:snapToGrid w:val="0"/>
        </w:rPr>
        <w:t>was</w:t>
      </w:r>
      <w:r w:rsidR="00873EEF">
        <w:rPr>
          <w:rFonts w:asciiTheme="minorHAnsi" w:hAnsiTheme="minorHAnsi"/>
          <w:bCs/>
          <w:snapToGrid w:val="0"/>
        </w:rPr>
        <w:t xml:space="preserve"> </w:t>
      </w:r>
      <w:r>
        <w:rPr>
          <w:rFonts w:asciiTheme="minorHAnsi" w:hAnsiTheme="minorHAnsi"/>
          <w:bCs/>
          <w:snapToGrid w:val="0"/>
        </w:rPr>
        <w:t xml:space="preserve">a </w:t>
      </w:r>
      <w:r w:rsidR="00873EEF">
        <w:rPr>
          <w:rFonts w:asciiTheme="minorHAnsi" w:hAnsiTheme="minorHAnsi"/>
          <w:bCs/>
          <w:snapToGrid w:val="0"/>
        </w:rPr>
        <w:t xml:space="preserve">moderate clinical need for new and effective therapies for this patient group, noting that resectable NSCLC </w:t>
      </w:r>
      <w:r w:rsidR="00982643">
        <w:rPr>
          <w:rFonts w:asciiTheme="minorHAnsi" w:hAnsiTheme="minorHAnsi"/>
          <w:bCs/>
          <w:snapToGrid w:val="0"/>
        </w:rPr>
        <w:t xml:space="preserve">is a </w:t>
      </w:r>
      <w:r w:rsidR="003E611A">
        <w:rPr>
          <w:rFonts w:asciiTheme="minorHAnsi" w:hAnsiTheme="minorHAnsi"/>
          <w:bCs/>
          <w:snapToGrid w:val="0"/>
        </w:rPr>
        <w:t>life-threatening</w:t>
      </w:r>
      <w:r w:rsidR="00982643">
        <w:rPr>
          <w:rFonts w:asciiTheme="minorHAnsi" w:hAnsiTheme="minorHAnsi"/>
          <w:bCs/>
          <w:snapToGrid w:val="0"/>
        </w:rPr>
        <w:t xml:space="preserve"> </w:t>
      </w:r>
      <w:r w:rsidR="00A47366">
        <w:rPr>
          <w:rFonts w:asciiTheme="minorHAnsi" w:hAnsiTheme="minorHAnsi"/>
          <w:bCs/>
          <w:snapToGrid w:val="0"/>
        </w:rPr>
        <w:t>condition</w:t>
      </w:r>
      <w:r w:rsidR="006653D3">
        <w:rPr>
          <w:rFonts w:asciiTheme="minorHAnsi" w:hAnsiTheme="minorHAnsi"/>
          <w:bCs/>
          <w:snapToGrid w:val="0"/>
        </w:rPr>
        <w:t xml:space="preserve"> </w:t>
      </w:r>
      <w:r w:rsidR="00F554FE">
        <w:rPr>
          <w:rFonts w:asciiTheme="minorHAnsi" w:hAnsiTheme="minorHAnsi"/>
          <w:bCs/>
          <w:snapToGrid w:val="0"/>
        </w:rPr>
        <w:t>and</w:t>
      </w:r>
      <w:r w:rsidR="0089138F">
        <w:rPr>
          <w:rFonts w:asciiTheme="minorHAnsi" w:hAnsiTheme="minorHAnsi"/>
          <w:bCs/>
          <w:snapToGrid w:val="0"/>
        </w:rPr>
        <w:t xml:space="preserve"> </w:t>
      </w:r>
      <w:r w:rsidR="0023504D">
        <w:rPr>
          <w:rFonts w:asciiTheme="minorHAnsi" w:hAnsiTheme="minorHAnsi"/>
          <w:bCs/>
          <w:snapToGrid w:val="0"/>
        </w:rPr>
        <w:t xml:space="preserve">PBS-listed </w:t>
      </w:r>
      <w:r w:rsidR="003D3A4F">
        <w:rPr>
          <w:rFonts w:asciiTheme="minorHAnsi" w:hAnsiTheme="minorHAnsi"/>
          <w:bCs/>
          <w:snapToGrid w:val="0"/>
        </w:rPr>
        <w:t>neoadjuvant/ adjuvant</w:t>
      </w:r>
      <w:r w:rsidR="00982643">
        <w:rPr>
          <w:rFonts w:asciiTheme="minorHAnsi" w:hAnsiTheme="minorHAnsi"/>
          <w:bCs/>
          <w:snapToGrid w:val="0"/>
        </w:rPr>
        <w:t xml:space="preserve"> therapie</w:t>
      </w:r>
      <w:r w:rsidR="0023504D">
        <w:rPr>
          <w:rFonts w:asciiTheme="minorHAnsi" w:hAnsiTheme="minorHAnsi"/>
          <w:bCs/>
          <w:snapToGrid w:val="0"/>
        </w:rPr>
        <w:t xml:space="preserve">s </w:t>
      </w:r>
      <w:r w:rsidR="0089138F">
        <w:rPr>
          <w:rFonts w:asciiTheme="minorHAnsi" w:hAnsiTheme="minorHAnsi"/>
          <w:bCs/>
          <w:snapToGrid w:val="0"/>
        </w:rPr>
        <w:t>only being</w:t>
      </w:r>
      <w:r w:rsidR="00982643">
        <w:rPr>
          <w:rFonts w:asciiTheme="minorHAnsi" w:hAnsiTheme="minorHAnsi"/>
          <w:bCs/>
          <w:snapToGrid w:val="0"/>
        </w:rPr>
        <w:t xml:space="preserve"> moderately effective</w:t>
      </w:r>
      <w:r w:rsidR="006653D3">
        <w:rPr>
          <w:rFonts w:asciiTheme="minorHAnsi" w:hAnsiTheme="minorHAnsi"/>
          <w:bCs/>
          <w:snapToGrid w:val="0"/>
        </w:rPr>
        <w:t>. The PBAC</w:t>
      </w:r>
      <w:r w:rsidR="003E611A">
        <w:rPr>
          <w:rFonts w:asciiTheme="minorHAnsi" w:hAnsiTheme="minorHAnsi"/>
          <w:bCs/>
          <w:snapToGrid w:val="0"/>
        </w:rPr>
        <w:t xml:space="preserve"> </w:t>
      </w:r>
      <w:r w:rsidR="006653D3">
        <w:rPr>
          <w:rFonts w:asciiTheme="minorHAnsi" w:hAnsiTheme="minorHAnsi"/>
          <w:bCs/>
          <w:snapToGrid w:val="0"/>
        </w:rPr>
        <w:t>noted that</w:t>
      </w:r>
      <w:r w:rsidR="003E611A">
        <w:rPr>
          <w:rFonts w:asciiTheme="minorHAnsi" w:hAnsiTheme="minorHAnsi"/>
          <w:bCs/>
          <w:snapToGrid w:val="0"/>
        </w:rPr>
        <w:t xml:space="preserve"> there </w:t>
      </w:r>
      <w:r w:rsidR="00366590">
        <w:rPr>
          <w:rFonts w:asciiTheme="minorHAnsi" w:hAnsiTheme="minorHAnsi"/>
          <w:bCs/>
          <w:snapToGrid w:val="0"/>
        </w:rPr>
        <w:t>remained</w:t>
      </w:r>
      <w:r w:rsidR="003E611A">
        <w:rPr>
          <w:rFonts w:asciiTheme="minorHAnsi" w:hAnsiTheme="minorHAnsi"/>
          <w:bCs/>
          <w:snapToGrid w:val="0"/>
        </w:rPr>
        <w:t xml:space="preserve"> </w:t>
      </w:r>
      <w:proofErr w:type="gramStart"/>
      <w:r w:rsidR="00FE6905">
        <w:rPr>
          <w:rFonts w:asciiTheme="minorHAnsi" w:hAnsiTheme="minorHAnsi"/>
          <w:bCs/>
          <w:snapToGrid w:val="0"/>
        </w:rPr>
        <w:t>a</w:t>
      </w:r>
      <w:r w:rsidR="003E611A">
        <w:rPr>
          <w:rFonts w:asciiTheme="minorHAnsi" w:hAnsiTheme="minorHAnsi"/>
          <w:bCs/>
          <w:snapToGrid w:val="0"/>
        </w:rPr>
        <w:t xml:space="preserve"> number of</w:t>
      </w:r>
      <w:proofErr w:type="gramEnd"/>
      <w:r w:rsidR="003E611A">
        <w:rPr>
          <w:rFonts w:asciiTheme="minorHAnsi" w:hAnsiTheme="minorHAnsi"/>
          <w:bCs/>
          <w:snapToGrid w:val="0"/>
        </w:rPr>
        <w:t xml:space="preserve"> PBS-listed therapies </w:t>
      </w:r>
      <w:r w:rsidR="0023504D">
        <w:rPr>
          <w:rFonts w:asciiTheme="minorHAnsi" w:hAnsiTheme="minorHAnsi"/>
          <w:bCs/>
          <w:snapToGrid w:val="0"/>
        </w:rPr>
        <w:t xml:space="preserve">also </w:t>
      </w:r>
      <w:r w:rsidR="006653D3">
        <w:rPr>
          <w:rFonts w:asciiTheme="minorHAnsi" w:hAnsiTheme="minorHAnsi"/>
          <w:bCs/>
          <w:snapToGrid w:val="0"/>
        </w:rPr>
        <w:t xml:space="preserve">available </w:t>
      </w:r>
      <w:r w:rsidR="003E611A">
        <w:rPr>
          <w:rFonts w:asciiTheme="minorHAnsi" w:hAnsiTheme="minorHAnsi"/>
          <w:bCs/>
          <w:snapToGrid w:val="0"/>
        </w:rPr>
        <w:t xml:space="preserve">for </w:t>
      </w:r>
      <w:r w:rsidR="00FE6905">
        <w:rPr>
          <w:rFonts w:asciiTheme="minorHAnsi" w:hAnsiTheme="minorHAnsi"/>
          <w:bCs/>
          <w:snapToGrid w:val="0"/>
        </w:rPr>
        <w:t xml:space="preserve">patients with </w:t>
      </w:r>
      <w:r w:rsidR="003E611A">
        <w:rPr>
          <w:rFonts w:asciiTheme="minorHAnsi" w:hAnsiTheme="minorHAnsi"/>
          <w:bCs/>
          <w:snapToGrid w:val="0"/>
        </w:rPr>
        <w:t>metastatic NSCLC.</w:t>
      </w:r>
      <w:r w:rsidR="00C628D2">
        <w:rPr>
          <w:rFonts w:asciiTheme="minorHAnsi" w:hAnsiTheme="minorHAnsi"/>
          <w:bCs/>
          <w:snapToGrid w:val="0"/>
        </w:rPr>
        <w:t xml:space="preserve"> </w:t>
      </w:r>
      <w:r w:rsidR="00A436F4">
        <w:rPr>
          <w:rFonts w:asciiTheme="minorHAnsi" w:hAnsiTheme="minorHAnsi"/>
          <w:bCs/>
          <w:snapToGrid w:val="0"/>
        </w:rPr>
        <w:t>The PBAC noted that the additional doses of nivolumab in the adjuvant setting was not strongly supported in clinical guidelines</w:t>
      </w:r>
      <w:r w:rsidR="00A436F4">
        <w:rPr>
          <w:rStyle w:val="FootnoteReference"/>
          <w:rFonts w:asciiTheme="minorHAnsi" w:hAnsiTheme="minorHAnsi"/>
          <w:bCs/>
          <w:snapToGrid w:val="0"/>
        </w:rPr>
        <w:footnoteReference w:id="11"/>
      </w:r>
      <w:r w:rsidR="00A436F4">
        <w:rPr>
          <w:rFonts w:asciiTheme="minorHAnsi" w:hAnsiTheme="minorHAnsi"/>
          <w:bCs/>
          <w:snapToGrid w:val="0"/>
        </w:rPr>
        <w:t>.</w:t>
      </w:r>
    </w:p>
    <w:p w14:paraId="3AC28754" w14:textId="77777777" w:rsidR="00A0136F" w:rsidRDefault="00B82C8D" w:rsidP="00B82C8D">
      <w:pPr>
        <w:pStyle w:val="3-BodyText"/>
      </w:pPr>
      <w:r w:rsidRPr="00B96B42">
        <w:lastRenderedPageBreak/>
        <w:t xml:space="preserve">The </w:t>
      </w:r>
      <w:r>
        <w:t>PBAC</w:t>
      </w:r>
      <w:r w:rsidRPr="00B96B42">
        <w:t xml:space="preserve"> </w:t>
      </w:r>
      <w:r>
        <w:t xml:space="preserve">considered that </w:t>
      </w:r>
      <w:r w:rsidRPr="002E3BD4">
        <w:rPr>
          <w:snapToGrid w:val="0"/>
          <w:lang w:val="en-GB"/>
        </w:rPr>
        <w:t xml:space="preserve">neoadjuvant nivolumab </w:t>
      </w:r>
      <w:r>
        <w:rPr>
          <w:snapToGrid w:val="0"/>
          <w:lang w:val="en-GB"/>
        </w:rPr>
        <w:t>(neoNIVO)</w:t>
      </w:r>
      <w:r w:rsidRPr="00572090">
        <w:t xml:space="preserve"> would be the therapy most likely to be replaced by periNIVO</w:t>
      </w:r>
      <w:r>
        <w:t xml:space="preserve">, </w:t>
      </w:r>
      <w:r w:rsidRPr="00B96B42">
        <w:t>making it the most</w:t>
      </w:r>
      <w:r w:rsidRPr="00572090">
        <w:t xml:space="preserve"> appropriate main comparator.</w:t>
      </w:r>
    </w:p>
    <w:p w14:paraId="7E7AEC6E" w14:textId="4D867851" w:rsidR="0093766F" w:rsidRPr="0093766F" w:rsidRDefault="00334F15" w:rsidP="0093766F">
      <w:pPr>
        <w:pStyle w:val="3-BodyText"/>
      </w:pPr>
      <w:bookmarkStart w:id="92" w:name="_Ref187828655"/>
      <w:r>
        <w:t xml:space="preserve">The PBAC noted the clinical evidence for periNIVO was </w:t>
      </w:r>
      <w:r w:rsidR="0093766F">
        <w:t xml:space="preserve">based on the CheckMate77T </w:t>
      </w:r>
      <w:r w:rsidR="00176D03">
        <w:t xml:space="preserve">(CM77T) </w:t>
      </w:r>
      <w:r w:rsidR="0093766F">
        <w:t xml:space="preserve"> stud</w:t>
      </w:r>
      <w:r w:rsidR="008700C6">
        <w:t>y</w:t>
      </w:r>
      <w:r w:rsidR="0093766F">
        <w:t xml:space="preserve">, a direct, </w:t>
      </w:r>
      <w:r w:rsidR="0093766F" w:rsidRPr="0093766F">
        <w:t xml:space="preserve">randomised, double-blind trial </w:t>
      </w:r>
      <w:r w:rsidR="008700C6">
        <w:t xml:space="preserve">(n=461) </w:t>
      </w:r>
      <w:r w:rsidR="0093766F" w:rsidRPr="0093766F">
        <w:t xml:space="preserve">comparing periNIVO (360 mg </w:t>
      </w:r>
      <w:r w:rsidR="0093766F">
        <w:t xml:space="preserve">nivolumab every 3 weeks </w:t>
      </w:r>
      <w:r w:rsidR="0093766F" w:rsidRPr="0093766F">
        <w:t xml:space="preserve">for a maximum of four cycles plus platinum-doublet chemotherapy, followed by surgery, followed by 480 mg </w:t>
      </w:r>
      <w:r w:rsidR="0093766F">
        <w:t xml:space="preserve">nivolumab every 4 weeks </w:t>
      </w:r>
      <w:r w:rsidR="0093766F" w:rsidRPr="0093766F">
        <w:t xml:space="preserve">for a maximum of 13 cycles) with </w:t>
      </w:r>
      <w:r w:rsidR="0093766F">
        <w:t>neoadjuvant chemotherapy (</w:t>
      </w:r>
      <w:r w:rsidR="0093766F" w:rsidRPr="0093766F">
        <w:t>neoChemo</w:t>
      </w:r>
      <w:r w:rsidR="0093766F">
        <w:t>)</w:t>
      </w:r>
      <w:r w:rsidR="0093766F" w:rsidRPr="0093766F">
        <w:t xml:space="preserve"> (platinum-doublet</w:t>
      </w:r>
      <w:r w:rsidR="0093766F">
        <w:t xml:space="preserve"> every 3 weeks</w:t>
      </w:r>
      <w:r w:rsidR="0093766F" w:rsidRPr="0093766F">
        <w:t xml:space="preserve"> for a maximum of four cycles, followed by surgery).</w:t>
      </w:r>
      <w:r w:rsidR="002D159A">
        <w:t xml:space="preserve"> </w:t>
      </w:r>
      <w:r w:rsidR="00BD072F">
        <w:t xml:space="preserve">The PBAC noted </w:t>
      </w:r>
      <w:r w:rsidR="00BD072F" w:rsidRPr="006A3DFA">
        <w:t>6</w:t>
      </w:r>
      <w:r w:rsidR="006A3DFA" w:rsidRPr="006A3DFA">
        <w:t>2</w:t>
      </w:r>
      <w:r w:rsidR="00BD072F" w:rsidRPr="006A3DFA">
        <w:t>%</w:t>
      </w:r>
      <w:r w:rsidR="00BD072F">
        <w:t xml:space="preserve"> of patients were treated with adjuvant nivolumab.  </w:t>
      </w:r>
      <w:r w:rsidR="001D6CD0">
        <w:t>The PBAC noted that b</w:t>
      </w:r>
      <w:r w:rsidR="002D159A">
        <w:t xml:space="preserve">ased on a median follow up of 25.4 months, </w:t>
      </w:r>
      <w:r w:rsidR="0069628D">
        <w:t>periNIVO was associated with a statistically significant improvement in event free survival</w:t>
      </w:r>
      <w:r w:rsidR="004A71A8">
        <w:t xml:space="preserve"> (EFS)</w:t>
      </w:r>
      <w:r w:rsidR="0069628D">
        <w:t xml:space="preserve"> compared with neoCHEMO (HR = 0.58, 95% CI: 0.42, 0.81)</w:t>
      </w:r>
      <w:r w:rsidR="00222751">
        <w:t>, based on 76/229 (33.2%) events in the periNIVO arm and 113/232 (48.7%) events in the neoChemo arm.</w:t>
      </w:r>
      <w:r w:rsidR="004A71A8">
        <w:t xml:space="preserve"> </w:t>
      </w:r>
      <w:r w:rsidR="00FC6223">
        <w:t xml:space="preserve"> </w:t>
      </w:r>
      <w:r w:rsidR="004A71A8">
        <w:t>The PBAC noted that overall survival (OS) data was not available.</w:t>
      </w:r>
      <w:bookmarkEnd w:id="92"/>
    </w:p>
    <w:p w14:paraId="21F12475" w14:textId="0C0B4542" w:rsidR="00336704" w:rsidRPr="00C20030" w:rsidRDefault="00FD0B00" w:rsidP="00C20030">
      <w:pPr>
        <w:pStyle w:val="3-BodyText"/>
        <w:rPr>
          <w:rFonts w:eastAsia="Calibri"/>
          <w:iCs/>
        </w:rPr>
      </w:pPr>
      <w:r>
        <w:rPr>
          <w:snapToGrid w:val="0"/>
          <w:lang w:val="en-GB"/>
        </w:rPr>
        <w:t xml:space="preserve">The PBAC noted that </w:t>
      </w:r>
      <w:r w:rsidR="00C5685E">
        <w:rPr>
          <w:snapToGrid w:val="0"/>
          <w:lang w:val="en-GB"/>
        </w:rPr>
        <w:t>for the main comparator</w:t>
      </w:r>
      <w:r w:rsidR="006073FE">
        <w:rPr>
          <w:snapToGrid w:val="0"/>
          <w:lang w:val="en-GB"/>
        </w:rPr>
        <w:t xml:space="preserve"> (</w:t>
      </w:r>
      <w:r w:rsidR="00C5685E">
        <w:rPr>
          <w:snapToGrid w:val="0"/>
          <w:lang w:val="en-GB"/>
        </w:rPr>
        <w:t>neoNIVO</w:t>
      </w:r>
      <w:r w:rsidR="006073FE">
        <w:rPr>
          <w:snapToGrid w:val="0"/>
          <w:lang w:val="en-GB"/>
        </w:rPr>
        <w:t>)</w:t>
      </w:r>
      <w:r w:rsidR="00C5685E">
        <w:rPr>
          <w:snapToGrid w:val="0"/>
          <w:lang w:val="en-GB"/>
        </w:rPr>
        <w:t xml:space="preserve"> the submission’s evidence </w:t>
      </w:r>
      <w:r w:rsidR="002F6384">
        <w:rPr>
          <w:snapToGrid w:val="0"/>
          <w:lang w:val="en-GB"/>
        </w:rPr>
        <w:t xml:space="preserve">was based on </w:t>
      </w:r>
      <w:r w:rsidR="00C5685E">
        <w:t xml:space="preserve">an </w:t>
      </w:r>
      <w:r w:rsidR="00C5685E" w:rsidRPr="00997A80">
        <w:t>adjusted</w:t>
      </w:r>
      <w:r w:rsidR="007820F0">
        <w:t xml:space="preserve"> (Bucher)</w:t>
      </w:r>
      <w:r w:rsidR="00C5685E" w:rsidRPr="00997A80">
        <w:t xml:space="preserve"> indirect treatment comparison (ITC) of periNIVO in </w:t>
      </w:r>
      <w:r w:rsidR="00446B38">
        <w:t xml:space="preserve">the </w:t>
      </w:r>
      <w:r w:rsidR="00C5685E" w:rsidRPr="00997A80">
        <w:t>CM77T</w:t>
      </w:r>
      <w:r w:rsidR="009E07FA">
        <w:t xml:space="preserve"> </w:t>
      </w:r>
      <w:r w:rsidR="001D3D38">
        <w:t xml:space="preserve">clinical </w:t>
      </w:r>
      <w:r w:rsidR="009E07FA">
        <w:t>trial</w:t>
      </w:r>
      <w:r w:rsidR="00C5685E" w:rsidRPr="00997A80">
        <w:t xml:space="preserve"> with neoNIVO in</w:t>
      </w:r>
      <w:r w:rsidR="001D3D38">
        <w:t xml:space="preserve"> the</w:t>
      </w:r>
      <w:r w:rsidR="00C5685E" w:rsidRPr="00997A80">
        <w:t xml:space="preserve"> </w:t>
      </w:r>
      <w:r w:rsidR="001D3D38">
        <w:t>CheckMate</w:t>
      </w:r>
      <w:r w:rsidR="00C5685E" w:rsidRPr="00997A80">
        <w:t>816</w:t>
      </w:r>
      <w:r w:rsidR="001D3D38">
        <w:t xml:space="preserve"> (CM816) clinical trial</w:t>
      </w:r>
      <w:r w:rsidR="00C5685E" w:rsidRPr="00997A80">
        <w:t>, using neoChemo as</w:t>
      </w:r>
      <w:r w:rsidR="009A4536">
        <w:t xml:space="preserve"> the</w:t>
      </w:r>
      <w:r w:rsidR="00C5685E" w:rsidRPr="00997A80">
        <w:t xml:space="preserve"> common </w:t>
      </w:r>
      <w:r w:rsidR="00C5685E">
        <w:t>reference</w:t>
      </w:r>
      <w:r w:rsidR="00C5685E" w:rsidRPr="00997A80">
        <w:t>.</w:t>
      </w:r>
      <w:r w:rsidR="00C5685E">
        <w:t xml:space="preserve"> </w:t>
      </w:r>
      <w:r w:rsidR="00A46C3C">
        <w:t>The PBAC noted tha</w:t>
      </w:r>
      <w:r w:rsidR="001C3D11">
        <w:t xml:space="preserve">t </w:t>
      </w:r>
      <w:r w:rsidR="00AA147A">
        <w:t>the ITC of periNIVO versus neoNIVO</w:t>
      </w:r>
      <w:r w:rsidR="00C605B7">
        <w:t xml:space="preserve"> </w:t>
      </w:r>
      <w:r w:rsidR="001C3D11">
        <w:t>was</w:t>
      </w:r>
      <w:r w:rsidR="00363CD6">
        <w:t xml:space="preserve"> associated with a high level of uncertainty due to </w:t>
      </w:r>
      <w:r w:rsidR="008300A3">
        <w:t xml:space="preserve">transitivity issues </w:t>
      </w:r>
      <w:r w:rsidR="00336704">
        <w:t>related to</w:t>
      </w:r>
      <w:r w:rsidR="00337237">
        <w:t xml:space="preserve"> unadjusted differences</w:t>
      </w:r>
      <w:r w:rsidR="00BD530E">
        <w:t xml:space="preserve"> in</w:t>
      </w:r>
      <w:r w:rsidR="00337237">
        <w:t xml:space="preserve"> study design, patient clinical characteristics and demographics</w:t>
      </w:r>
      <w:r w:rsidR="00856BF2">
        <w:t xml:space="preserve"> (paragraph </w:t>
      </w:r>
      <w:r w:rsidR="00856BF2">
        <w:fldChar w:fldCharType="begin"/>
      </w:r>
      <w:r w:rsidR="00856BF2">
        <w:instrText xml:space="preserve"> REF _Ref175909499 \r \h </w:instrText>
      </w:r>
      <w:r w:rsidR="00856BF2">
        <w:fldChar w:fldCharType="separate"/>
      </w:r>
      <w:r w:rsidR="009C09C9">
        <w:t>6.45</w:t>
      </w:r>
      <w:r w:rsidR="00856BF2">
        <w:fldChar w:fldCharType="end"/>
      </w:r>
      <w:r w:rsidR="00856BF2">
        <w:t>).</w:t>
      </w:r>
      <w:r w:rsidR="00336704">
        <w:t xml:space="preserve"> The PBAC also noted that </w:t>
      </w:r>
      <w:r w:rsidR="00336704" w:rsidRPr="00B96B42">
        <w:rPr>
          <w:rFonts w:eastAsia="Calibri"/>
        </w:rPr>
        <w:t xml:space="preserve">the results from the ITC </w:t>
      </w:r>
      <w:r w:rsidR="00384918" w:rsidRPr="00B96B42">
        <w:t>(</w:t>
      </w:r>
      <w:r w:rsidR="003169CA">
        <w:t>event free survival [EFS] hazard ratio [</w:t>
      </w:r>
      <w:r w:rsidR="00384918" w:rsidRPr="00B96B42">
        <w:t>HR</w:t>
      </w:r>
      <w:r w:rsidR="003169CA">
        <w:t>]</w:t>
      </w:r>
      <w:r w:rsidR="00384918" w:rsidRPr="00B96B42">
        <w:t xml:space="preserve">=0.92; 95% </w:t>
      </w:r>
      <w:r w:rsidR="00856229">
        <w:t>confidence interval [</w:t>
      </w:r>
      <w:r w:rsidR="00384918" w:rsidRPr="00B96B42">
        <w:t>CI</w:t>
      </w:r>
      <w:r w:rsidR="00856229">
        <w:t>]</w:t>
      </w:r>
      <w:r w:rsidR="00384918" w:rsidRPr="00B96B42">
        <w:t>: 0.59, 1.44)</w:t>
      </w:r>
      <w:r w:rsidR="00384918">
        <w:t xml:space="preserve"> </w:t>
      </w:r>
      <w:r w:rsidR="00B87BFA">
        <w:rPr>
          <w:rFonts w:eastAsia="Calibri"/>
        </w:rPr>
        <w:t>were</w:t>
      </w:r>
      <w:r w:rsidR="00336704" w:rsidRPr="00B96B42">
        <w:rPr>
          <w:rFonts w:eastAsia="Calibri"/>
        </w:rPr>
        <w:t xml:space="preserve"> </w:t>
      </w:r>
      <w:r w:rsidR="00336704">
        <w:t>associated with wide confidence intervals, indicating a high level of uncertainty around the estimated effect size</w:t>
      </w:r>
      <w:r w:rsidR="00BC5B2C">
        <w:t xml:space="preserve">. </w:t>
      </w:r>
      <w:r w:rsidR="00AE2176">
        <w:rPr>
          <w:rFonts w:eastAsia="Calibri"/>
        </w:rPr>
        <w:t>T</w:t>
      </w:r>
      <w:r w:rsidR="001C2C6F">
        <w:rPr>
          <w:rFonts w:eastAsia="Calibri"/>
        </w:rPr>
        <w:t xml:space="preserve">he PBAC </w:t>
      </w:r>
      <w:r w:rsidR="00223E8B">
        <w:rPr>
          <w:rFonts w:eastAsia="Calibri"/>
        </w:rPr>
        <w:t xml:space="preserve">considered that </w:t>
      </w:r>
      <w:r w:rsidR="00CA058E">
        <w:rPr>
          <w:rFonts w:eastAsia="Calibri"/>
        </w:rPr>
        <w:t xml:space="preserve">it was not possible to draw a reliable </w:t>
      </w:r>
      <w:r w:rsidR="00223374">
        <w:rPr>
          <w:rFonts w:eastAsia="Calibri"/>
        </w:rPr>
        <w:t>conclusion</w:t>
      </w:r>
      <w:r w:rsidR="00CA058E">
        <w:rPr>
          <w:rFonts w:eastAsia="Calibri"/>
        </w:rPr>
        <w:t xml:space="preserve"> </w:t>
      </w:r>
      <w:r w:rsidR="001B522B">
        <w:rPr>
          <w:rFonts w:eastAsia="Calibri"/>
        </w:rPr>
        <w:t xml:space="preserve">on the </w:t>
      </w:r>
      <w:r w:rsidR="00B93CFE">
        <w:rPr>
          <w:rFonts w:eastAsia="Calibri"/>
        </w:rPr>
        <w:t>comparative effectiveness</w:t>
      </w:r>
      <w:r w:rsidR="001B522B">
        <w:rPr>
          <w:rFonts w:eastAsia="Calibri"/>
        </w:rPr>
        <w:t xml:space="preserve"> of periNIVO versus neoNIVO </w:t>
      </w:r>
      <w:r w:rsidR="00CA058E">
        <w:rPr>
          <w:rFonts w:eastAsia="Calibri"/>
        </w:rPr>
        <w:t>based on the</w:t>
      </w:r>
      <w:r w:rsidR="00FB5E58">
        <w:rPr>
          <w:rFonts w:eastAsia="Calibri"/>
        </w:rPr>
        <w:t xml:space="preserve"> presented</w:t>
      </w:r>
      <w:r w:rsidR="00CA058E">
        <w:rPr>
          <w:rFonts w:eastAsia="Calibri"/>
        </w:rPr>
        <w:t xml:space="preserve"> </w:t>
      </w:r>
      <w:r w:rsidR="00223374">
        <w:rPr>
          <w:rFonts w:eastAsia="Calibri"/>
        </w:rPr>
        <w:t>B</w:t>
      </w:r>
      <w:r w:rsidR="00A22873">
        <w:rPr>
          <w:rFonts w:eastAsia="Calibri"/>
        </w:rPr>
        <w:t>ucher adjusted ITC</w:t>
      </w:r>
      <w:r w:rsidR="00311318">
        <w:rPr>
          <w:rFonts w:eastAsia="Calibri"/>
        </w:rPr>
        <w:t>;</w:t>
      </w:r>
      <w:r w:rsidR="00602B2D">
        <w:rPr>
          <w:rFonts w:eastAsia="Calibri"/>
        </w:rPr>
        <w:t xml:space="preserve"> however</w:t>
      </w:r>
      <w:r w:rsidR="00311318">
        <w:rPr>
          <w:rFonts w:eastAsia="Calibri"/>
        </w:rPr>
        <w:t xml:space="preserve">, </w:t>
      </w:r>
      <w:proofErr w:type="gramStart"/>
      <w:r w:rsidR="005578A8">
        <w:rPr>
          <w:rFonts w:eastAsia="Calibri"/>
        </w:rPr>
        <w:t>on the basis of</w:t>
      </w:r>
      <w:proofErr w:type="gramEnd"/>
      <w:r w:rsidR="005578A8">
        <w:rPr>
          <w:rFonts w:eastAsia="Calibri"/>
        </w:rPr>
        <w:t xml:space="preserve"> the evidence provided th</w:t>
      </w:r>
      <w:r w:rsidR="006F649E">
        <w:rPr>
          <w:rFonts w:eastAsia="Calibri"/>
        </w:rPr>
        <w:t>ere</w:t>
      </w:r>
      <w:r w:rsidR="005578A8">
        <w:rPr>
          <w:rFonts w:eastAsia="Calibri"/>
        </w:rPr>
        <w:t xml:space="preserve"> </w:t>
      </w:r>
      <w:r w:rsidR="00602B2D">
        <w:rPr>
          <w:rFonts w:eastAsia="Calibri"/>
        </w:rPr>
        <w:t xml:space="preserve">was </w:t>
      </w:r>
      <w:r w:rsidR="00602B2D" w:rsidRPr="002E3BD4">
        <w:rPr>
          <w:snapToGrid w:val="0"/>
          <w:lang w:val="en-GB"/>
        </w:rPr>
        <w:t>no clear clinical benefit compared to the comparator</w:t>
      </w:r>
      <w:r w:rsidR="00223374">
        <w:rPr>
          <w:rFonts w:eastAsia="Calibri"/>
        </w:rPr>
        <w:t>.</w:t>
      </w:r>
    </w:p>
    <w:p w14:paraId="139D026F" w14:textId="3857A205" w:rsidR="00E142F9" w:rsidRPr="00332D4E" w:rsidRDefault="008E6906" w:rsidP="003421A0">
      <w:pPr>
        <w:widowControl w:val="0"/>
        <w:numPr>
          <w:ilvl w:val="1"/>
          <w:numId w:val="1"/>
        </w:numPr>
        <w:spacing w:after="120"/>
        <w:rPr>
          <w:rFonts w:asciiTheme="minorHAnsi" w:hAnsiTheme="minorHAnsi"/>
          <w:snapToGrid w:val="0"/>
          <w:lang w:val="en-GB"/>
        </w:rPr>
      </w:pPr>
      <w:r w:rsidRPr="00162564">
        <w:rPr>
          <w:iCs/>
        </w:rPr>
        <w:t xml:space="preserve">The </w:t>
      </w:r>
      <w:r>
        <w:rPr>
          <w:iCs/>
        </w:rPr>
        <w:t>PBAC</w:t>
      </w:r>
      <w:r w:rsidRPr="00162564">
        <w:rPr>
          <w:iCs/>
        </w:rPr>
        <w:t xml:space="preserve"> noted </w:t>
      </w:r>
      <w:r w:rsidR="00931491">
        <w:rPr>
          <w:iCs/>
        </w:rPr>
        <w:t>that a</w:t>
      </w:r>
      <w:r w:rsidR="00A16940">
        <w:rPr>
          <w:iCs/>
        </w:rPr>
        <w:t>n</w:t>
      </w:r>
      <w:r w:rsidR="00931491">
        <w:rPr>
          <w:iCs/>
        </w:rPr>
        <w:t xml:space="preserve"> </w:t>
      </w:r>
      <w:r w:rsidR="00B40598">
        <w:rPr>
          <w:iCs/>
        </w:rPr>
        <w:t>additional</w:t>
      </w:r>
      <w:r w:rsidRPr="00162564">
        <w:rPr>
          <w:iCs/>
        </w:rPr>
        <w:t xml:space="preserve"> ITC of periNIVO versus neoNIVO using patient-level data from CM77T and CM816</w:t>
      </w:r>
      <w:r w:rsidR="00931491">
        <w:rPr>
          <w:iCs/>
        </w:rPr>
        <w:t xml:space="preserve"> </w:t>
      </w:r>
      <w:r w:rsidRPr="00162564">
        <w:rPr>
          <w:iCs/>
        </w:rPr>
        <w:t>(Forde et al 2024</w:t>
      </w:r>
      <w:r w:rsidRPr="005958B4">
        <w:rPr>
          <w:vertAlign w:val="superscript"/>
        </w:rPr>
        <w:footnoteReference w:id="12"/>
      </w:r>
      <w:r w:rsidRPr="00162564">
        <w:rPr>
          <w:iCs/>
        </w:rPr>
        <w:t xml:space="preserve">) </w:t>
      </w:r>
      <w:r w:rsidR="00876A7A">
        <w:rPr>
          <w:iCs/>
        </w:rPr>
        <w:t>had been provided in the PSCR</w:t>
      </w:r>
      <w:r w:rsidR="00D22647">
        <w:rPr>
          <w:iCs/>
        </w:rPr>
        <w:t xml:space="preserve"> </w:t>
      </w:r>
      <w:r w:rsidR="00AE2176">
        <w:rPr>
          <w:iCs/>
        </w:rPr>
        <w:t>(</w:t>
      </w:r>
      <w:r w:rsidR="00D22647">
        <w:rPr>
          <w:iCs/>
        </w:rPr>
        <w:t>with additional information provided in the pre-PBAC r</w:t>
      </w:r>
      <w:r w:rsidR="000A517B">
        <w:rPr>
          <w:iCs/>
        </w:rPr>
        <w:t>es</w:t>
      </w:r>
      <w:r w:rsidR="00D22647">
        <w:rPr>
          <w:iCs/>
        </w:rPr>
        <w:t>ponse</w:t>
      </w:r>
      <w:r w:rsidR="00AE2176">
        <w:rPr>
          <w:iCs/>
        </w:rPr>
        <w:t>)</w:t>
      </w:r>
      <w:r w:rsidR="00876A7A">
        <w:rPr>
          <w:iCs/>
        </w:rPr>
        <w:t xml:space="preserve"> which </w:t>
      </w:r>
      <w:r w:rsidRPr="00162564">
        <w:rPr>
          <w:iCs/>
        </w:rPr>
        <w:t>adjusted for baseline demographics and disease characteris</w:t>
      </w:r>
      <w:r w:rsidR="00615474">
        <w:rPr>
          <w:iCs/>
        </w:rPr>
        <w:t>tic</w:t>
      </w:r>
      <w:r w:rsidRPr="00162564">
        <w:rPr>
          <w:iCs/>
        </w:rPr>
        <w:t>s between study population</w:t>
      </w:r>
      <w:r w:rsidR="009A54ED">
        <w:rPr>
          <w:iCs/>
        </w:rPr>
        <w:t xml:space="preserve">s. </w:t>
      </w:r>
      <w:r w:rsidR="007C02AD">
        <w:rPr>
          <w:iCs/>
        </w:rPr>
        <w:t>The PBAC noted that the</w:t>
      </w:r>
      <w:r w:rsidR="00151D81">
        <w:rPr>
          <w:iCs/>
        </w:rPr>
        <w:t xml:space="preserve"> </w:t>
      </w:r>
      <w:r w:rsidRPr="00162564">
        <w:rPr>
          <w:iCs/>
        </w:rPr>
        <w:t xml:space="preserve">EFS HRs for the </w:t>
      </w:r>
      <w:r w:rsidR="00B36B4D" w:rsidRPr="00B96B42">
        <w:rPr>
          <w:iCs/>
        </w:rPr>
        <w:t xml:space="preserve">average treatment effect </w:t>
      </w:r>
      <w:r w:rsidR="00B36B4D">
        <w:rPr>
          <w:iCs/>
        </w:rPr>
        <w:t>(</w:t>
      </w:r>
      <w:r w:rsidRPr="00162564">
        <w:rPr>
          <w:iCs/>
        </w:rPr>
        <w:t>ATE</w:t>
      </w:r>
      <w:r w:rsidR="00B36B4D">
        <w:rPr>
          <w:iCs/>
        </w:rPr>
        <w:t>)</w:t>
      </w:r>
      <w:r w:rsidRPr="00162564">
        <w:rPr>
          <w:iCs/>
        </w:rPr>
        <w:t xml:space="preserve"> and </w:t>
      </w:r>
      <w:r w:rsidR="00B36B4D" w:rsidRPr="00B96B42">
        <w:rPr>
          <w:iCs/>
        </w:rPr>
        <w:t xml:space="preserve">average treatment effect for the treated </w:t>
      </w:r>
      <w:r w:rsidR="00B36B4D">
        <w:rPr>
          <w:iCs/>
        </w:rPr>
        <w:t>(</w:t>
      </w:r>
      <w:r w:rsidRPr="00162564">
        <w:rPr>
          <w:iCs/>
        </w:rPr>
        <w:t>ATT</w:t>
      </w:r>
      <w:r w:rsidR="00B36B4D">
        <w:rPr>
          <w:iCs/>
        </w:rPr>
        <w:t>)</w:t>
      </w:r>
      <w:r w:rsidRPr="00162564">
        <w:rPr>
          <w:iCs/>
        </w:rPr>
        <w:t xml:space="preserve"> analyses were 0.61 (95% CI: 0.39</w:t>
      </w:r>
      <w:r w:rsidRPr="00162564">
        <w:rPr>
          <w:rFonts w:cstheme="minorHAnsi"/>
          <w:iCs/>
        </w:rPr>
        <w:t>−</w:t>
      </w:r>
      <w:r w:rsidRPr="00162564">
        <w:rPr>
          <w:iCs/>
        </w:rPr>
        <w:t>0.97) and 0.59 (95% CI 0.38</w:t>
      </w:r>
      <w:r w:rsidRPr="00162564">
        <w:rPr>
          <w:rFonts w:cstheme="minorHAnsi"/>
          <w:iCs/>
        </w:rPr>
        <w:t>−</w:t>
      </w:r>
      <w:r w:rsidRPr="00162564">
        <w:rPr>
          <w:iCs/>
        </w:rPr>
        <w:t>0.92) respectively, which were more optimistic that the HR presented in the submission using the Bucher approach</w:t>
      </w:r>
      <w:r w:rsidRPr="00B96B42">
        <w:t>.</w:t>
      </w:r>
      <w:r w:rsidR="0045311D">
        <w:t xml:space="preserve"> The PBAC noted that the </w:t>
      </w:r>
      <w:r w:rsidR="00E51E0D">
        <w:rPr>
          <w:rFonts w:eastAsia="Calibri"/>
        </w:rPr>
        <w:t xml:space="preserve">periNIVO </w:t>
      </w:r>
      <w:r w:rsidR="0045311D" w:rsidRPr="00162564">
        <w:rPr>
          <w:rFonts w:eastAsia="Calibri"/>
        </w:rPr>
        <w:t xml:space="preserve">group </w:t>
      </w:r>
      <w:r w:rsidR="00E51E0D">
        <w:rPr>
          <w:rFonts w:eastAsia="Calibri"/>
        </w:rPr>
        <w:t>had been</w:t>
      </w:r>
      <w:r w:rsidR="0045311D" w:rsidRPr="00162564">
        <w:rPr>
          <w:rFonts w:eastAsia="Calibri"/>
        </w:rPr>
        <w:t xml:space="preserve"> limited to those who </w:t>
      </w:r>
      <w:r w:rsidR="00E51E0D">
        <w:rPr>
          <w:rFonts w:eastAsia="Calibri"/>
        </w:rPr>
        <w:t>had received at least one dose of</w:t>
      </w:r>
      <w:r w:rsidR="0045311D" w:rsidRPr="00162564">
        <w:rPr>
          <w:rFonts w:eastAsia="Calibri"/>
        </w:rPr>
        <w:t xml:space="preserve"> adjuvant nivolumab, while the </w:t>
      </w:r>
      <w:r w:rsidR="005D15F5">
        <w:rPr>
          <w:rFonts w:eastAsia="Calibri"/>
        </w:rPr>
        <w:t>neoNIVO</w:t>
      </w:r>
      <w:r w:rsidR="0045311D" w:rsidRPr="00162564">
        <w:rPr>
          <w:rFonts w:eastAsia="Calibri"/>
        </w:rPr>
        <w:t xml:space="preserve"> group consisted of all participants. </w:t>
      </w:r>
      <w:r w:rsidR="00F42291">
        <w:rPr>
          <w:rFonts w:eastAsia="Calibri"/>
        </w:rPr>
        <w:t>The PBAC agreed with the ESC</w:t>
      </w:r>
      <w:r w:rsidR="0045311D" w:rsidRPr="00162564">
        <w:rPr>
          <w:rFonts w:eastAsia="Calibri"/>
        </w:rPr>
        <w:t xml:space="preserve"> </w:t>
      </w:r>
      <w:r w:rsidR="0045311D" w:rsidRPr="00162564">
        <w:rPr>
          <w:rFonts w:eastAsia="Calibri"/>
        </w:rPr>
        <w:lastRenderedPageBreak/>
        <w:t>that</w:t>
      </w:r>
      <w:r w:rsidR="0029760C">
        <w:rPr>
          <w:rFonts w:eastAsia="Calibri"/>
        </w:rPr>
        <w:t xml:space="preserve"> </w:t>
      </w:r>
      <w:r w:rsidR="00E96AC6">
        <w:rPr>
          <w:rFonts w:eastAsia="Calibri"/>
        </w:rPr>
        <w:t>the exclusion of patients not receiving adjuvant nivolumab from the periNIVO arm</w:t>
      </w:r>
      <w:r w:rsidR="00A0230C">
        <w:rPr>
          <w:rFonts w:eastAsia="Calibri"/>
        </w:rPr>
        <w:t xml:space="preserve"> </w:t>
      </w:r>
      <w:r w:rsidR="00E96AC6">
        <w:rPr>
          <w:rFonts w:eastAsia="Calibri"/>
        </w:rPr>
        <w:t xml:space="preserve">likely </w:t>
      </w:r>
      <w:r w:rsidR="0045311D" w:rsidRPr="00162564">
        <w:rPr>
          <w:rFonts w:eastAsia="Calibri"/>
        </w:rPr>
        <w:t>bias</w:t>
      </w:r>
      <w:r w:rsidR="00E96AC6">
        <w:rPr>
          <w:rFonts w:eastAsia="Calibri"/>
        </w:rPr>
        <w:t>ed</w:t>
      </w:r>
      <w:r w:rsidR="0045311D" w:rsidRPr="00162564">
        <w:rPr>
          <w:rFonts w:eastAsia="Calibri"/>
        </w:rPr>
        <w:t xml:space="preserve"> the results in favour of CM77T, as patients in that trial who did not respond to or tolerate neoadjuvant nivolumab were excluded from the comparison.</w:t>
      </w:r>
      <w:r w:rsidR="00334F15">
        <w:rPr>
          <w:rFonts w:eastAsia="Calibri"/>
        </w:rPr>
        <w:t xml:space="preserve">  </w:t>
      </w:r>
      <w:r w:rsidR="00A0230C">
        <w:rPr>
          <w:rFonts w:eastAsia="Calibri"/>
        </w:rPr>
        <w:t>For this reason,</w:t>
      </w:r>
      <w:r w:rsidR="00C71256">
        <w:rPr>
          <w:rFonts w:eastAsia="Calibri"/>
        </w:rPr>
        <w:t xml:space="preserve"> t</w:t>
      </w:r>
      <w:r w:rsidR="00C71256" w:rsidRPr="00162564">
        <w:rPr>
          <w:rFonts w:eastAsia="Calibri"/>
        </w:rPr>
        <w:t xml:space="preserve">he </w:t>
      </w:r>
      <w:r w:rsidR="00C71256">
        <w:rPr>
          <w:rFonts w:eastAsia="Calibri"/>
        </w:rPr>
        <w:t>PBAC</w:t>
      </w:r>
      <w:r w:rsidR="00C71256" w:rsidRPr="00162564">
        <w:rPr>
          <w:rFonts w:eastAsia="Calibri"/>
        </w:rPr>
        <w:t xml:space="preserve"> considered</w:t>
      </w:r>
      <w:r w:rsidR="00031EEC">
        <w:rPr>
          <w:rFonts w:eastAsia="Calibri"/>
        </w:rPr>
        <w:t xml:space="preserve"> that</w:t>
      </w:r>
      <w:r w:rsidR="00C71256" w:rsidRPr="00162564">
        <w:rPr>
          <w:rFonts w:eastAsia="Calibri"/>
        </w:rPr>
        <w:t xml:space="preserve"> the results from Forde 2024 were unlikely to be a reliable basis to support a claim of superior</w:t>
      </w:r>
      <w:r w:rsidR="00723365">
        <w:rPr>
          <w:rFonts w:eastAsia="Calibri"/>
        </w:rPr>
        <w:t xml:space="preserve"> efficacy of periNIVO versus neoNIVO.</w:t>
      </w:r>
      <w:r w:rsidR="0092006F">
        <w:rPr>
          <w:rFonts w:eastAsia="Calibri"/>
        </w:rPr>
        <w:t xml:space="preserve"> </w:t>
      </w:r>
      <w:r w:rsidR="00334F15">
        <w:rPr>
          <w:rFonts w:eastAsia="Calibri"/>
        </w:rPr>
        <w:t xml:space="preserve">Additionally, the PBAC noted </w:t>
      </w:r>
      <w:r w:rsidR="005C6D14">
        <w:rPr>
          <w:rFonts w:eastAsia="Calibri"/>
        </w:rPr>
        <w:t xml:space="preserve">the data was only available as a poster and </w:t>
      </w:r>
      <w:r w:rsidR="00334F15">
        <w:rPr>
          <w:rFonts w:eastAsia="Calibri"/>
        </w:rPr>
        <w:t>th</w:t>
      </w:r>
      <w:r w:rsidR="005C6D14">
        <w:rPr>
          <w:rFonts w:eastAsia="Calibri"/>
        </w:rPr>
        <w:t>e</w:t>
      </w:r>
      <w:r w:rsidR="00334F15">
        <w:rPr>
          <w:rFonts w:eastAsia="Calibri"/>
        </w:rPr>
        <w:t xml:space="preserve"> analysis had not been evaluated.</w:t>
      </w:r>
    </w:p>
    <w:p w14:paraId="3CE20C95" w14:textId="77777777" w:rsidR="00A0136F" w:rsidRDefault="00050A1A" w:rsidP="003421A0">
      <w:pPr>
        <w:widowControl w:val="0"/>
        <w:numPr>
          <w:ilvl w:val="1"/>
          <w:numId w:val="1"/>
        </w:numPr>
        <w:spacing w:after="120"/>
        <w:rPr>
          <w:rFonts w:eastAsia="Calibri"/>
        </w:rPr>
      </w:pPr>
      <w:r>
        <w:rPr>
          <w:rFonts w:eastAsia="Calibri"/>
        </w:rPr>
        <w:t>Overall, the</w:t>
      </w:r>
      <w:r w:rsidR="00E142F9" w:rsidRPr="00B96B42">
        <w:rPr>
          <w:rFonts w:eastAsia="Calibri"/>
        </w:rPr>
        <w:t xml:space="preserve"> </w:t>
      </w:r>
      <w:r w:rsidR="00E142F9">
        <w:rPr>
          <w:rFonts w:eastAsia="Calibri"/>
        </w:rPr>
        <w:t>PBAC</w:t>
      </w:r>
      <w:r w:rsidR="00E142F9" w:rsidRPr="00B96B42">
        <w:rPr>
          <w:rFonts w:eastAsia="Calibri"/>
        </w:rPr>
        <w:t xml:space="preserve"> considered</w:t>
      </w:r>
      <w:r w:rsidR="003E6117">
        <w:rPr>
          <w:rFonts w:eastAsia="Calibri"/>
        </w:rPr>
        <w:t xml:space="preserve"> the clinical data presented did not support</w:t>
      </w:r>
      <w:r w:rsidR="00E142F9" w:rsidRPr="00B96B42">
        <w:rPr>
          <w:rFonts w:eastAsia="Calibri"/>
        </w:rPr>
        <w:t xml:space="preserve"> the clinical claim of </w:t>
      </w:r>
      <w:r w:rsidR="00A305D4">
        <w:rPr>
          <w:rFonts w:eastAsia="Calibri"/>
        </w:rPr>
        <w:t>‘</w:t>
      </w:r>
      <w:r w:rsidR="00E142F9" w:rsidRPr="00B96B42">
        <w:rPr>
          <w:rFonts w:eastAsia="Calibri"/>
        </w:rPr>
        <w:t>at least noninferior, and potentially superior’ efficacy of periNIVO compared to neoNIVO</w:t>
      </w:r>
      <w:r w:rsidR="003E6117">
        <w:rPr>
          <w:rFonts w:eastAsia="Calibri"/>
        </w:rPr>
        <w:t>.</w:t>
      </w:r>
    </w:p>
    <w:p w14:paraId="7D810DCA" w14:textId="0EFD1683" w:rsidR="00A0136F" w:rsidRDefault="00E94F04" w:rsidP="000D7CC9">
      <w:pPr>
        <w:pStyle w:val="3-BodyText"/>
        <w:rPr>
          <w:iCs/>
        </w:rPr>
      </w:pPr>
      <w:r>
        <w:t xml:space="preserve">The PBAC noted </w:t>
      </w:r>
      <w:r w:rsidR="00534BF5">
        <w:t xml:space="preserve">the submission provided </w:t>
      </w:r>
      <w:r w:rsidR="000D7CC9">
        <w:t xml:space="preserve">data from a more recent </w:t>
      </w:r>
      <w:r w:rsidR="00E03921" w:rsidRPr="006772FD">
        <w:t xml:space="preserve">CM816 4-year update of </w:t>
      </w:r>
      <w:r w:rsidR="00E03921">
        <w:t>OS</w:t>
      </w:r>
      <w:r w:rsidR="000D7CC9">
        <w:t xml:space="preserve">, and that </w:t>
      </w:r>
      <w:r w:rsidR="000D7CC9" w:rsidRPr="006772FD">
        <w:t xml:space="preserve">there was a trend in favour of neoNIVO arm compared to neoChemo (HR = 0.71 [95% CI 0.47, 1.07]: p=0.0451). The </w:t>
      </w:r>
      <w:r w:rsidR="00E03921">
        <w:t xml:space="preserve">PBAC noted that the </w:t>
      </w:r>
      <w:r w:rsidR="000D7CC9" w:rsidRPr="006772FD">
        <w:t xml:space="preserve">stopping boundary for declaring statistical significance (0.0164) </w:t>
      </w:r>
      <w:r w:rsidR="00E03921">
        <w:t>had not been</w:t>
      </w:r>
      <w:r w:rsidR="000D7CC9" w:rsidRPr="006772FD">
        <w:t xml:space="preserve"> crossed </w:t>
      </w:r>
      <w:r w:rsidR="000D7CC9" w:rsidRPr="00572090">
        <w:rPr>
          <w:iCs/>
        </w:rPr>
        <w:t xml:space="preserve">and therefore statistically significant differences </w:t>
      </w:r>
      <w:r w:rsidR="00723B46">
        <w:rPr>
          <w:iCs/>
        </w:rPr>
        <w:t xml:space="preserve">in OS </w:t>
      </w:r>
      <w:r w:rsidR="000D7CC9" w:rsidRPr="00572090">
        <w:rPr>
          <w:iCs/>
        </w:rPr>
        <w:t xml:space="preserve">could not be claimed. </w:t>
      </w:r>
      <w:r w:rsidR="00BE79DE">
        <w:rPr>
          <w:iCs/>
        </w:rPr>
        <w:t xml:space="preserve">As noted in paragraph </w:t>
      </w:r>
      <w:r w:rsidR="00BE79DE">
        <w:rPr>
          <w:iCs/>
        </w:rPr>
        <w:fldChar w:fldCharType="begin"/>
      </w:r>
      <w:r w:rsidR="00BE79DE">
        <w:rPr>
          <w:iCs/>
        </w:rPr>
        <w:instrText xml:space="preserve"> REF _Ref187828655 \r \h </w:instrText>
      </w:r>
      <w:r w:rsidR="00BE79DE">
        <w:rPr>
          <w:iCs/>
        </w:rPr>
      </w:r>
      <w:r w:rsidR="00BE79DE">
        <w:rPr>
          <w:iCs/>
        </w:rPr>
        <w:fldChar w:fldCharType="separate"/>
      </w:r>
      <w:r w:rsidR="009C09C9">
        <w:rPr>
          <w:iCs/>
        </w:rPr>
        <w:t>7.6</w:t>
      </w:r>
      <w:r w:rsidR="00BE79DE">
        <w:rPr>
          <w:iCs/>
        </w:rPr>
        <w:fldChar w:fldCharType="end"/>
      </w:r>
      <w:r w:rsidR="00BE79DE">
        <w:rPr>
          <w:iCs/>
        </w:rPr>
        <w:t>, there is no OS data available for CM77T.</w:t>
      </w:r>
    </w:p>
    <w:p w14:paraId="6BE849F8" w14:textId="77777777" w:rsidR="00A0136F" w:rsidRDefault="00974409" w:rsidP="003421A0">
      <w:pPr>
        <w:widowControl w:val="0"/>
        <w:numPr>
          <w:ilvl w:val="1"/>
          <w:numId w:val="1"/>
        </w:numPr>
        <w:spacing w:after="120"/>
        <w:rPr>
          <w:bCs/>
          <w:iCs/>
        </w:rPr>
      </w:pPr>
      <w:r w:rsidRPr="003B09CE">
        <w:rPr>
          <w:iCs/>
        </w:rPr>
        <w:t xml:space="preserve">The </w:t>
      </w:r>
      <w:r>
        <w:rPr>
          <w:iCs/>
        </w:rPr>
        <w:t>PBAC</w:t>
      </w:r>
      <w:r w:rsidRPr="003B09CE">
        <w:rPr>
          <w:iCs/>
        </w:rPr>
        <w:t xml:space="preserve"> considered that the claim of noninferior safety between periNIVO and neoNIVO was not </w:t>
      </w:r>
      <w:r w:rsidR="005F3FBC">
        <w:rPr>
          <w:iCs/>
        </w:rPr>
        <w:t>supported by the data</w:t>
      </w:r>
      <w:r w:rsidRPr="003B09CE">
        <w:rPr>
          <w:iCs/>
        </w:rPr>
        <w:t xml:space="preserve"> given that a</w:t>
      </w:r>
      <w:r w:rsidRPr="003B09CE">
        <w:rPr>
          <w:bCs/>
          <w:iCs/>
        </w:rPr>
        <w:t xml:space="preserve"> higher proportion of patients treated with periNIVO in CM77T experienced any </w:t>
      </w:r>
      <w:r w:rsidR="005F3FBC">
        <w:rPr>
          <w:bCs/>
          <w:iCs/>
        </w:rPr>
        <w:t>adverse events (</w:t>
      </w:r>
      <w:r w:rsidRPr="003B09CE">
        <w:rPr>
          <w:bCs/>
          <w:iCs/>
        </w:rPr>
        <w:t>AEs</w:t>
      </w:r>
      <w:r w:rsidR="005F3FBC">
        <w:rPr>
          <w:bCs/>
          <w:iCs/>
        </w:rPr>
        <w:t>)</w:t>
      </w:r>
      <w:r w:rsidRPr="003B09CE">
        <w:rPr>
          <w:bCs/>
          <w:iCs/>
        </w:rPr>
        <w:t xml:space="preserve"> (all-causality) compared with patients treated with neoNIVO in CM816 (50% versus 43%, respectively). In addition, the proportion of patients that experienced any AEs resulting in treatment discontinuation (all-causality) in the periNIVO arm in CM77T was more than double that of the neoNIVO arm in CM816 (25% versus 10%; </w:t>
      </w:r>
      <w:r w:rsidR="005F3FBC">
        <w:rPr>
          <w:bCs/>
          <w:iCs/>
        </w:rPr>
        <w:t>relative risk [</w:t>
      </w:r>
      <w:r w:rsidRPr="003B09CE">
        <w:rPr>
          <w:bCs/>
          <w:iCs/>
        </w:rPr>
        <w:t>RR</w:t>
      </w:r>
      <w:r w:rsidR="005F3FBC">
        <w:rPr>
          <w:bCs/>
          <w:iCs/>
        </w:rPr>
        <w:t>]</w:t>
      </w:r>
      <w:r w:rsidRPr="003B09CE">
        <w:rPr>
          <w:bCs/>
          <w:iCs/>
        </w:rPr>
        <w:t>=2.3 [95%</w:t>
      </w:r>
      <w:r>
        <w:rPr>
          <w:bCs/>
          <w:iCs/>
        </w:rPr>
        <w:t xml:space="preserve"> </w:t>
      </w:r>
      <w:r w:rsidRPr="003B09CE">
        <w:rPr>
          <w:bCs/>
          <w:iCs/>
        </w:rPr>
        <w:t>CI 1.1, 2.9: p&lt;0.001]).</w:t>
      </w:r>
    </w:p>
    <w:p w14:paraId="0B470EDF" w14:textId="4DBBFE2E" w:rsidR="007A77BE" w:rsidRDefault="0001388F" w:rsidP="0036585C">
      <w:pPr>
        <w:pStyle w:val="3-BodyText"/>
        <w:rPr>
          <w:iCs/>
        </w:rPr>
      </w:pPr>
      <w:r>
        <w:rPr>
          <w:snapToGrid w:val="0"/>
          <w:lang w:val="en-GB"/>
        </w:rPr>
        <w:t xml:space="preserve">The PBAC noted that the </w:t>
      </w:r>
      <w:r w:rsidRPr="00B96B42">
        <w:t>PSCR presented a cost-minimisation for the comparison of periNIVO versus neoNIVO</w:t>
      </w:r>
      <w:r>
        <w:t xml:space="preserve">. </w:t>
      </w:r>
      <w:r w:rsidR="0071019A">
        <w:t xml:space="preserve">The PBAC considered </w:t>
      </w:r>
      <w:r w:rsidR="000740E8">
        <w:t xml:space="preserve">that </w:t>
      </w:r>
      <w:r w:rsidR="0071019A">
        <w:t xml:space="preserve">the </w:t>
      </w:r>
      <w:r w:rsidR="000E3772">
        <w:t xml:space="preserve">proposed equi-effective doses </w:t>
      </w:r>
      <w:r w:rsidR="00851740">
        <w:t>were</w:t>
      </w:r>
      <w:r w:rsidR="00425A03">
        <w:t xml:space="preserve"> likely</w:t>
      </w:r>
      <w:r w:rsidR="00851740">
        <w:t xml:space="preserve"> appropriate</w:t>
      </w:r>
      <w:r w:rsidR="007C241F" w:rsidRPr="00BE2170">
        <w:rPr>
          <w:iCs/>
        </w:rPr>
        <w:t xml:space="preserve">. </w:t>
      </w:r>
      <w:r w:rsidR="00851740" w:rsidRPr="00BE2170">
        <w:rPr>
          <w:iCs/>
        </w:rPr>
        <w:t xml:space="preserve">The PBAC noted that the </w:t>
      </w:r>
      <w:r w:rsidR="0003417F" w:rsidRPr="00BE2170">
        <w:rPr>
          <w:iCs/>
        </w:rPr>
        <w:t xml:space="preserve">updated CMA provided in the pre-PBAC Response included Q2W dosing for periNIVO, which was also </w:t>
      </w:r>
      <w:r w:rsidR="00425A03">
        <w:rPr>
          <w:iCs/>
        </w:rPr>
        <w:t xml:space="preserve">considered </w:t>
      </w:r>
      <w:r w:rsidR="0003417F" w:rsidRPr="00BE2170">
        <w:rPr>
          <w:iCs/>
        </w:rPr>
        <w:t xml:space="preserve">appropriate. </w:t>
      </w:r>
      <w:r w:rsidR="00B80D5E" w:rsidRPr="00BE2170">
        <w:rPr>
          <w:iCs/>
        </w:rPr>
        <w:t>The</w:t>
      </w:r>
      <w:r w:rsidR="001701F3" w:rsidRPr="00BE2170">
        <w:rPr>
          <w:iCs/>
        </w:rPr>
        <w:t xml:space="preserve"> PBAC noted that the revised CMA incorporated the cost of Grade 3/4 AEs that were reported in ≥2% of patients in either the periNIVO arm of CM77T or the neoNIVO arm of CM816. However, the adverse event cost</w:t>
      </w:r>
      <w:r w:rsidR="00E874AB">
        <w:rPr>
          <w:iCs/>
        </w:rPr>
        <w:t>s</w:t>
      </w:r>
      <w:r w:rsidR="001701F3" w:rsidRPr="00BE2170">
        <w:rPr>
          <w:iCs/>
        </w:rPr>
        <w:t xml:space="preserve"> for perioperative nivolumab plus neoadjuvant chemotherapy </w:t>
      </w:r>
      <w:r w:rsidR="00D82ECD">
        <w:rPr>
          <w:iCs/>
        </w:rPr>
        <w:t>were</w:t>
      </w:r>
      <w:r w:rsidR="00D82ECD" w:rsidRPr="00BE2170">
        <w:rPr>
          <w:iCs/>
        </w:rPr>
        <w:t xml:space="preserve"> </w:t>
      </w:r>
      <w:r w:rsidR="001701F3" w:rsidRPr="00BE2170">
        <w:rPr>
          <w:iCs/>
        </w:rPr>
        <w:t>calculated to be lower per patient course of treatment compared to neoadjuvant nivolumab plus chemotherapy patients</w:t>
      </w:r>
      <w:r w:rsidR="00B42A1C" w:rsidRPr="00BE2170">
        <w:rPr>
          <w:iCs/>
        </w:rPr>
        <w:t xml:space="preserve"> </w:t>
      </w:r>
      <w:r w:rsidR="001701F3" w:rsidRPr="00BE2170">
        <w:rPr>
          <w:iCs/>
        </w:rPr>
        <w:t>and considered that this was not aligned with the inferior safety profile of periNIVO versus neoNIVO</w:t>
      </w:r>
      <w:r w:rsidR="00B42A1C" w:rsidRPr="00BE2170">
        <w:rPr>
          <w:iCs/>
        </w:rPr>
        <w:t>.</w:t>
      </w:r>
      <w:r w:rsidR="00AD727C" w:rsidRPr="00BE2170">
        <w:rPr>
          <w:iCs/>
        </w:rPr>
        <w:t xml:space="preserve"> T</w:t>
      </w:r>
      <w:r w:rsidR="0009278B" w:rsidRPr="00BE2170">
        <w:rPr>
          <w:iCs/>
        </w:rPr>
        <w:t xml:space="preserve">he PBAC </w:t>
      </w:r>
      <w:r w:rsidR="008E09A3">
        <w:rPr>
          <w:iCs/>
        </w:rPr>
        <w:t xml:space="preserve">also </w:t>
      </w:r>
      <w:r w:rsidR="0009278B" w:rsidRPr="00BE2170">
        <w:rPr>
          <w:iCs/>
        </w:rPr>
        <w:t xml:space="preserve">noted that </w:t>
      </w:r>
      <w:r w:rsidR="00C95458" w:rsidRPr="00BE2170">
        <w:rPr>
          <w:iCs/>
        </w:rPr>
        <w:t>incorrect methodology had been adopted to calculate the cost-minimised price</w:t>
      </w:r>
      <w:r w:rsidR="008E09A3">
        <w:rPr>
          <w:iCs/>
        </w:rPr>
        <w:t xml:space="preserve"> of periNIVO</w:t>
      </w:r>
      <w:r w:rsidR="00C95458" w:rsidRPr="00BE2170">
        <w:rPr>
          <w:iCs/>
        </w:rPr>
        <w:t xml:space="preserve"> in the CMA</w:t>
      </w:r>
      <w:r w:rsidR="0070694A">
        <w:rPr>
          <w:iCs/>
        </w:rPr>
        <w:t xml:space="preserve"> (see paragraph </w:t>
      </w:r>
      <w:r w:rsidR="0070694A">
        <w:rPr>
          <w:iCs/>
        </w:rPr>
        <w:fldChar w:fldCharType="begin"/>
      </w:r>
      <w:r w:rsidR="0070694A">
        <w:rPr>
          <w:iCs/>
        </w:rPr>
        <w:instrText xml:space="preserve"> REF _Ref187757731 \r \h </w:instrText>
      </w:r>
      <w:r w:rsidR="0070694A">
        <w:rPr>
          <w:iCs/>
        </w:rPr>
      </w:r>
      <w:r w:rsidR="0070694A">
        <w:rPr>
          <w:iCs/>
        </w:rPr>
        <w:fldChar w:fldCharType="separate"/>
      </w:r>
      <w:r w:rsidR="009C09C9">
        <w:rPr>
          <w:iCs/>
        </w:rPr>
        <w:t>6.72</w:t>
      </w:r>
      <w:r w:rsidR="0070694A">
        <w:rPr>
          <w:iCs/>
        </w:rPr>
        <w:fldChar w:fldCharType="end"/>
      </w:r>
      <w:r w:rsidR="0070694A">
        <w:rPr>
          <w:iCs/>
        </w:rPr>
        <w:t>)</w:t>
      </w:r>
      <w:r w:rsidR="00C95458" w:rsidRPr="00BE2170">
        <w:rPr>
          <w:iCs/>
        </w:rPr>
        <w:t xml:space="preserve">, and that a lower price would be </w:t>
      </w:r>
      <w:r w:rsidR="007A192A" w:rsidRPr="00BE2170">
        <w:rPr>
          <w:iCs/>
        </w:rPr>
        <w:t xml:space="preserve">required </w:t>
      </w:r>
      <w:r w:rsidR="00D23F99" w:rsidRPr="00BE2170">
        <w:rPr>
          <w:iCs/>
        </w:rPr>
        <w:t xml:space="preserve">for </w:t>
      </w:r>
      <w:r w:rsidR="005F5F6D">
        <w:rPr>
          <w:iCs/>
        </w:rPr>
        <w:t xml:space="preserve">the </w:t>
      </w:r>
      <w:r w:rsidR="007A008F">
        <w:rPr>
          <w:iCs/>
        </w:rPr>
        <w:t xml:space="preserve">overall </w:t>
      </w:r>
      <w:r w:rsidR="005F5F6D">
        <w:rPr>
          <w:iCs/>
        </w:rPr>
        <w:t>cost of periNIVO to be the same as neoNIVO.</w:t>
      </w:r>
      <w:r w:rsidR="007D2D29">
        <w:rPr>
          <w:iCs/>
        </w:rPr>
        <w:t xml:space="preserve"> </w:t>
      </w:r>
      <w:r w:rsidR="00D26747" w:rsidRPr="0036585C">
        <w:rPr>
          <w:iCs/>
        </w:rPr>
        <w:t>However</w:t>
      </w:r>
      <w:r w:rsidR="007A77BE" w:rsidRPr="0036585C">
        <w:rPr>
          <w:iCs/>
        </w:rPr>
        <w:t xml:space="preserve">, the PBAC advised that </w:t>
      </w:r>
      <w:r w:rsidR="00003719" w:rsidRPr="0036585C">
        <w:rPr>
          <w:iCs/>
        </w:rPr>
        <w:t>given</w:t>
      </w:r>
      <w:r w:rsidR="007A77BE" w:rsidRPr="0036585C">
        <w:rPr>
          <w:iCs/>
        </w:rPr>
        <w:t xml:space="preserve"> the assumption of noninferiority, </w:t>
      </w:r>
      <w:r w:rsidR="00003719" w:rsidRPr="0036585C">
        <w:rPr>
          <w:iCs/>
        </w:rPr>
        <w:t xml:space="preserve">in terms of </w:t>
      </w:r>
      <w:r w:rsidR="007A77BE" w:rsidRPr="0036585C">
        <w:rPr>
          <w:iCs/>
        </w:rPr>
        <w:t xml:space="preserve">both effectiveness and safety, had not </w:t>
      </w:r>
      <w:r w:rsidR="00003719" w:rsidRPr="0036585C">
        <w:rPr>
          <w:iCs/>
        </w:rPr>
        <w:t xml:space="preserve">been adequately </w:t>
      </w:r>
      <w:r w:rsidR="0036585C" w:rsidRPr="0036585C">
        <w:rPr>
          <w:iCs/>
        </w:rPr>
        <w:t>justified</w:t>
      </w:r>
      <w:r w:rsidR="007A77BE" w:rsidRPr="0036585C">
        <w:rPr>
          <w:iCs/>
        </w:rPr>
        <w:t xml:space="preserve"> </w:t>
      </w:r>
      <w:r w:rsidR="00D13D12">
        <w:rPr>
          <w:iCs/>
        </w:rPr>
        <w:t xml:space="preserve">by the submission </w:t>
      </w:r>
      <w:r w:rsidR="007A77BE" w:rsidRPr="0036585C">
        <w:rPr>
          <w:iCs/>
        </w:rPr>
        <w:t>a cost-minimisation approach could not be accepted.</w:t>
      </w:r>
    </w:p>
    <w:p w14:paraId="17FC83D8" w14:textId="53502841" w:rsidR="00CD2844" w:rsidRDefault="00CD2844" w:rsidP="0036585C">
      <w:pPr>
        <w:pStyle w:val="3-BodyText"/>
        <w:rPr>
          <w:iCs/>
        </w:rPr>
      </w:pPr>
      <w:r>
        <w:rPr>
          <w:iCs/>
        </w:rPr>
        <w:t xml:space="preserve">The PBAC noted </w:t>
      </w:r>
      <w:r w:rsidR="003F5FEC">
        <w:rPr>
          <w:iCs/>
        </w:rPr>
        <w:t xml:space="preserve">that </w:t>
      </w:r>
      <w:r w:rsidR="00101F46">
        <w:rPr>
          <w:iCs/>
        </w:rPr>
        <w:t xml:space="preserve">revised financial estimates with an updated price and substitution for neoNIVO was </w:t>
      </w:r>
      <w:r w:rsidR="00896927">
        <w:rPr>
          <w:iCs/>
        </w:rPr>
        <w:t xml:space="preserve">provided in the Pre-PBAC Response. The PBAC </w:t>
      </w:r>
      <w:r w:rsidR="00896927">
        <w:rPr>
          <w:iCs/>
        </w:rPr>
        <w:lastRenderedPageBreak/>
        <w:t>considered the reduced uptake rate (</w:t>
      </w:r>
      <w:r w:rsidR="001E7429" w:rsidRPr="00DA645A">
        <w:rPr>
          <w:color w:val="000000"/>
          <w:w w:val="15"/>
          <w:shd w:val="solid" w:color="000000" w:fill="000000"/>
          <w:fitText w:val="-20" w:id="-737420792"/>
          <w14:textFill>
            <w14:solidFill>
              <w14:srgbClr w14:val="000000">
                <w14:alpha w14:val="100000"/>
              </w14:srgbClr>
            </w14:solidFill>
          </w14:textFill>
        </w:rPr>
        <w:t xml:space="preserve">|  </w:t>
      </w:r>
      <w:r w:rsidR="001E7429" w:rsidRPr="00DA645A">
        <w:rPr>
          <w:color w:val="000000"/>
          <w:spacing w:val="-69"/>
          <w:w w:val="15"/>
          <w:shd w:val="solid" w:color="000000" w:fill="000000"/>
          <w:fitText w:val="-20" w:id="-737420792"/>
          <w14:textFill>
            <w14:solidFill>
              <w14:srgbClr w14:val="000000">
                <w14:alpha w14:val="100000"/>
              </w14:srgbClr>
            </w14:solidFill>
          </w14:textFill>
        </w:rPr>
        <w:t>|</w:t>
      </w:r>
      <w:r w:rsidR="00896927">
        <w:rPr>
          <w:iCs/>
        </w:rPr>
        <w:t>%) adopted for Years 1</w:t>
      </w:r>
      <w:r w:rsidR="00896927">
        <w:rPr>
          <w:rFonts w:cstheme="minorHAnsi"/>
          <w:iCs/>
        </w:rPr>
        <w:t>−</w:t>
      </w:r>
      <w:r w:rsidR="00896927">
        <w:rPr>
          <w:iCs/>
        </w:rPr>
        <w:t>6 was likely reasonable.</w:t>
      </w:r>
      <w:r w:rsidR="008C6F49">
        <w:rPr>
          <w:iCs/>
        </w:rPr>
        <w:t xml:space="preserve"> However, the PBAC noted </w:t>
      </w:r>
      <w:r w:rsidR="00A01341">
        <w:rPr>
          <w:iCs/>
        </w:rPr>
        <w:t xml:space="preserve">that the </w:t>
      </w:r>
      <w:r w:rsidR="000D6E4F">
        <w:rPr>
          <w:iCs/>
        </w:rPr>
        <w:t>revised</w:t>
      </w:r>
      <w:r w:rsidR="002B7666">
        <w:rPr>
          <w:iCs/>
        </w:rPr>
        <w:t xml:space="preserve"> financial</w:t>
      </w:r>
      <w:r w:rsidR="008E2CE1">
        <w:rPr>
          <w:iCs/>
        </w:rPr>
        <w:t xml:space="preserve"> model</w:t>
      </w:r>
      <w:r w:rsidR="002B7666">
        <w:rPr>
          <w:iCs/>
        </w:rPr>
        <w:t xml:space="preserve"> </w:t>
      </w:r>
      <w:r w:rsidR="009C3F63">
        <w:rPr>
          <w:iCs/>
        </w:rPr>
        <w:t>estimated</w:t>
      </w:r>
      <w:r w:rsidR="002B7666">
        <w:rPr>
          <w:iCs/>
        </w:rPr>
        <w:t xml:space="preserve"> that the </w:t>
      </w:r>
      <w:r w:rsidR="008F0820">
        <w:rPr>
          <w:iCs/>
        </w:rPr>
        <w:t xml:space="preserve">net cost to the </w:t>
      </w:r>
      <w:r w:rsidR="002B7666">
        <w:rPr>
          <w:iCs/>
        </w:rPr>
        <w:t xml:space="preserve">PBS/RPBS </w:t>
      </w:r>
      <w:r w:rsidR="008F0820">
        <w:rPr>
          <w:iCs/>
        </w:rPr>
        <w:t xml:space="preserve">of </w:t>
      </w:r>
      <w:r w:rsidR="002B7666">
        <w:rPr>
          <w:iCs/>
        </w:rPr>
        <w:t>listing of periNIVO w</w:t>
      </w:r>
      <w:r w:rsidR="00915F3E">
        <w:rPr>
          <w:iCs/>
        </w:rPr>
        <w:t xml:space="preserve">ould cost </w:t>
      </w:r>
      <w:r w:rsidR="00193295">
        <w:rPr>
          <w:iCs/>
        </w:rPr>
        <w:t xml:space="preserve">over $100 million in </w:t>
      </w:r>
      <w:r w:rsidR="00D70DAC">
        <w:rPr>
          <w:iCs/>
        </w:rPr>
        <w:t xml:space="preserve">the </w:t>
      </w:r>
      <w:r w:rsidR="00193295">
        <w:rPr>
          <w:iCs/>
        </w:rPr>
        <w:t>first 6 years of listing.</w:t>
      </w:r>
      <w:r w:rsidR="00146E61">
        <w:rPr>
          <w:iCs/>
        </w:rPr>
        <w:t xml:space="preserve"> The PBAC </w:t>
      </w:r>
      <w:r w:rsidR="008E5322">
        <w:rPr>
          <w:iCs/>
        </w:rPr>
        <w:t xml:space="preserve">noted </w:t>
      </w:r>
      <w:r w:rsidR="00915F3E">
        <w:rPr>
          <w:iCs/>
        </w:rPr>
        <w:t xml:space="preserve">that </w:t>
      </w:r>
      <w:r w:rsidR="00D70DAC">
        <w:rPr>
          <w:iCs/>
        </w:rPr>
        <w:t>this</w:t>
      </w:r>
      <w:r w:rsidR="00412C86">
        <w:rPr>
          <w:iCs/>
        </w:rPr>
        <w:t xml:space="preserve"> large</w:t>
      </w:r>
      <w:r w:rsidR="00D70DAC">
        <w:rPr>
          <w:iCs/>
        </w:rPr>
        <w:t xml:space="preserve"> increment</w:t>
      </w:r>
      <w:r w:rsidR="00412C86">
        <w:rPr>
          <w:iCs/>
        </w:rPr>
        <w:t>al cost</w:t>
      </w:r>
      <w:r w:rsidR="00915F3E">
        <w:rPr>
          <w:iCs/>
        </w:rPr>
        <w:t xml:space="preserve"> </w:t>
      </w:r>
      <w:r w:rsidR="00146E61">
        <w:rPr>
          <w:iCs/>
        </w:rPr>
        <w:t xml:space="preserve">was </w:t>
      </w:r>
      <w:r w:rsidR="003713AB">
        <w:rPr>
          <w:iCs/>
        </w:rPr>
        <w:t>primarily due</w:t>
      </w:r>
      <w:r w:rsidR="00146E61">
        <w:rPr>
          <w:iCs/>
        </w:rPr>
        <w:t xml:space="preserve"> to </w:t>
      </w:r>
      <w:r w:rsidR="00267D6E">
        <w:rPr>
          <w:iCs/>
        </w:rPr>
        <w:t>an incorrect</w:t>
      </w:r>
      <w:r w:rsidR="00083D74">
        <w:rPr>
          <w:iCs/>
        </w:rPr>
        <w:t xml:space="preserve"> </w:t>
      </w:r>
      <w:r w:rsidR="003B3F6D">
        <w:rPr>
          <w:iCs/>
        </w:rPr>
        <w:t xml:space="preserve">cost-minimised </w:t>
      </w:r>
      <w:r w:rsidR="004D7552">
        <w:rPr>
          <w:iCs/>
        </w:rPr>
        <w:t xml:space="preserve">price for </w:t>
      </w:r>
      <w:r w:rsidR="00135D40">
        <w:rPr>
          <w:iCs/>
        </w:rPr>
        <w:t>periNIVO</w:t>
      </w:r>
      <w:r w:rsidR="003B3F6D">
        <w:rPr>
          <w:iCs/>
        </w:rPr>
        <w:t>.</w:t>
      </w:r>
    </w:p>
    <w:p w14:paraId="4953C928" w14:textId="77777777" w:rsidR="00A0136F" w:rsidRDefault="00116892" w:rsidP="003F3B34">
      <w:pPr>
        <w:pStyle w:val="3-BodyText"/>
      </w:pPr>
      <w:r>
        <w:rPr>
          <w:iCs/>
        </w:rPr>
        <w:t>The PBAC considered that</w:t>
      </w:r>
      <w:r w:rsidR="00187359">
        <w:rPr>
          <w:iCs/>
        </w:rPr>
        <w:t xml:space="preserve"> in the </w:t>
      </w:r>
      <w:r w:rsidR="00DA7120">
        <w:rPr>
          <w:iCs/>
        </w:rPr>
        <w:t>absence</w:t>
      </w:r>
      <w:r w:rsidR="00187359">
        <w:rPr>
          <w:iCs/>
        </w:rPr>
        <w:t xml:space="preserve"> of </w:t>
      </w:r>
      <w:r w:rsidR="00DA7120">
        <w:rPr>
          <w:iCs/>
        </w:rPr>
        <w:t xml:space="preserve">clinical </w:t>
      </w:r>
      <w:r w:rsidR="00187359">
        <w:rPr>
          <w:iCs/>
        </w:rPr>
        <w:t>evidence of</w:t>
      </w:r>
      <w:r w:rsidR="00DA7120">
        <w:rPr>
          <w:iCs/>
        </w:rPr>
        <w:t xml:space="preserve"> an</w:t>
      </w:r>
      <w:r w:rsidR="00187359">
        <w:rPr>
          <w:iCs/>
        </w:rPr>
        <w:t xml:space="preserve"> incremental </w:t>
      </w:r>
      <w:r w:rsidR="00DA7120">
        <w:rPr>
          <w:iCs/>
        </w:rPr>
        <w:t xml:space="preserve">clinical </w:t>
      </w:r>
      <w:r w:rsidR="00187359">
        <w:rPr>
          <w:iCs/>
        </w:rPr>
        <w:t>benefit</w:t>
      </w:r>
      <w:r w:rsidR="00BA3D45">
        <w:rPr>
          <w:iCs/>
        </w:rPr>
        <w:t xml:space="preserve"> associated with periNIVO versus neoNIVO</w:t>
      </w:r>
      <w:r w:rsidR="00187359">
        <w:rPr>
          <w:iCs/>
        </w:rPr>
        <w:t xml:space="preserve">, </w:t>
      </w:r>
      <w:r w:rsidR="001F1045">
        <w:rPr>
          <w:iCs/>
        </w:rPr>
        <w:t xml:space="preserve">the </w:t>
      </w:r>
      <w:r w:rsidR="00187359">
        <w:rPr>
          <w:iCs/>
        </w:rPr>
        <w:t>increas</w:t>
      </w:r>
      <w:r w:rsidR="00531090">
        <w:rPr>
          <w:iCs/>
        </w:rPr>
        <w:t>ed</w:t>
      </w:r>
      <w:r w:rsidR="00187359">
        <w:rPr>
          <w:iCs/>
        </w:rPr>
        <w:t xml:space="preserve"> </w:t>
      </w:r>
      <w:r w:rsidR="00DA7120">
        <w:rPr>
          <w:iCs/>
        </w:rPr>
        <w:t>resourc</w:t>
      </w:r>
      <w:r w:rsidR="006543F9">
        <w:rPr>
          <w:iCs/>
        </w:rPr>
        <w:t>e</w:t>
      </w:r>
      <w:r w:rsidR="00DA7120">
        <w:rPr>
          <w:iCs/>
        </w:rPr>
        <w:t xml:space="preserve"> requirements for administration in cancer units </w:t>
      </w:r>
      <w:r w:rsidR="0031315F">
        <w:rPr>
          <w:iCs/>
        </w:rPr>
        <w:t xml:space="preserve">and </w:t>
      </w:r>
      <w:r w:rsidR="00E0319F">
        <w:rPr>
          <w:iCs/>
        </w:rPr>
        <w:t xml:space="preserve">increased </w:t>
      </w:r>
      <w:r w:rsidR="0031315F">
        <w:rPr>
          <w:iCs/>
        </w:rPr>
        <w:t xml:space="preserve">patient treatment burden (with additional </w:t>
      </w:r>
      <w:r w:rsidR="00700013">
        <w:rPr>
          <w:iCs/>
        </w:rPr>
        <w:t>time</w:t>
      </w:r>
      <w:r w:rsidR="00311318">
        <w:rPr>
          <w:iCs/>
        </w:rPr>
        <w:t xml:space="preserve"> </w:t>
      </w:r>
      <w:r w:rsidR="001F1045">
        <w:rPr>
          <w:iCs/>
        </w:rPr>
        <w:t>toxicity</w:t>
      </w:r>
      <w:r w:rsidR="00BB7811">
        <w:rPr>
          <w:rStyle w:val="FootnoteReference"/>
          <w:iCs/>
        </w:rPr>
        <w:footnoteReference w:id="13"/>
      </w:r>
      <w:r w:rsidR="001F1045">
        <w:rPr>
          <w:iCs/>
        </w:rPr>
        <w:t xml:space="preserve"> </w:t>
      </w:r>
      <w:r w:rsidR="00700013">
        <w:rPr>
          <w:iCs/>
        </w:rPr>
        <w:t xml:space="preserve">and adverse event </w:t>
      </w:r>
      <w:r w:rsidR="0031315F">
        <w:rPr>
          <w:iCs/>
        </w:rPr>
        <w:t xml:space="preserve">toxicity) </w:t>
      </w:r>
      <w:r w:rsidR="00DA7120">
        <w:rPr>
          <w:iCs/>
        </w:rPr>
        <w:t xml:space="preserve">was not </w:t>
      </w:r>
      <w:r w:rsidR="00464A85">
        <w:rPr>
          <w:iCs/>
        </w:rPr>
        <w:t>justified</w:t>
      </w:r>
      <w:r w:rsidR="00DA7120">
        <w:rPr>
          <w:iCs/>
        </w:rPr>
        <w:t xml:space="preserve">. However, </w:t>
      </w:r>
      <w:r w:rsidR="00DA7120">
        <w:t>t</w:t>
      </w:r>
      <w:r w:rsidR="00970EBD">
        <w:t xml:space="preserve">he PBAC stated that it would reconsider </w:t>
      </w:r>
      <w:r w:rsidR="002B1C3E">
        <w:t>its</w:t>
      </w:r>
      <w:r w:rsidR="00970EBD">
        <w:t xml:space="preserve"> recommendation </w:t>
      </w:r>
      <w:r w:rsidR="000E022B">
        <w:t xml:space="preserve">if </w:t>
      </w:r>
      <w:r w:rsidR="003D3CCB">
        <w:t xml:space="preserve">new </w:t>
      </w:r>
      <w:r w:rsidR="00970EBD">
        <w:t>evidence</w:t>
      </w:r>
      <w:r w:rsidR="003F3B34">
        <w:t xml:space="preserve">, particularly in terms of </w:t>
      </w:r>
      <w:r w:rsidR="00464A85">
        <w:t xml:space="preserve">a clinically meaningful improvement in </w:t>
      </w:r>
      <w:r w:rsidR="003F3B34">
        <w:t>OS,</w:t>
      </w:r>
      <w:r w:rsidR="001D0C10">
        <w:t xml:space="preserve"> </w:t>
      </w:r>
      <w:r w:rsidR="00970EBD">
        <w:t xml:space="preserve">supporting </w:t>
      </w:r>
      <w:r w:rsidR="00035FE5" w:rsidRPr="00DA7120">
        <w:rPr>
          <w:snapToGrid w:val="0"/>
          <w:lang w:val="en-GB"/>
        </w:rPr>
        <w:t>the additional doses of nivolumab in the adjuvant setting</w:t>
      </w:r>
      <w:r w:rsidR="002561CC">
        <w:rPr>
          <w:snapToGrid w:val="0"/>
          <w:lang w:val="en-GB"/>
        </w:rPr>
        <w:t>,</w:t>
      </w:r>
      <w:r w:rsidR="00035FE5" w:rsidRPr="00DA7120">
        <w:rPr>
          <w:snapToGrid w:val="0"/>
          <w:lang w:val="en-GB"/>
        </w:rPr>
        <w:t xml:space="preserve"> </w:t>
      </w:r>
      <w:r w:rsidR="00970EBD">
        <w:t>become</w:t>
      </w:r>
      <w:r w:rsidR="002537EF">
        <w:t>s</w:t>
      </w:r>
      <w:r w:rsidR="00970EBD">
        <w:t xml:space="preserve"> available</w:t>
      </w:r>
      <w:r w:rsidR="00A32A05">
        <w:t>.</w:t>
      </w:r>
    </w:p>
    <w:p w14:paraId="1CCD4740" w14:textId="77777777" w:rsidR="00A0136F" w:rsidRDefault="0068604A" w:rsidP="0068604A">
      <w:pPr>
        <w:pStyle w:val="3-BodyText"/>
        <w:rPr>
          <w:snapToGrid w:val="0"/>
          <w:lang w:val="en-GB"/>
        </w:rPr>
      </w:pPr>
      <w:r w:rsidRPr="00624FA3">
        <w:rPr>
          <w:snapToGrid w:val="0"/>
          <w:lang w:val="en-GB"/>
        </w:rPr>
        <w:t>The PBAC noted that this submission is eligible for an Independent Review.</w:t>
      </w:r>
    </w:p>
    <w:bookmarkEnd w:id="91"/>
    <w:p w14:paraId="5654E9AD" w14:textId="0B4979AB" w:rsidR="006B508B" w:rsidRPr="00525B39" w:rsidRDefault="006B508B" w:rsidP="006B508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C72FDF6" w14:textId="77777777" w:rsidR="00A0136F" w:rsidRDefault="006B508B" w:rsidP="006B508B">
      <w:pPr>
        <w:rPr>
          <w:rFonts w:asciiTheme="minorHAnsi" w:hAnsiTheme="minorHAnsi"/>
          <w:bCs/>
          <w:snapToGrid w:val="0"/>
          <w:lang w:val="en-GB"/>
        </w:rPr>
      </w:pPr>
      <w:r>
        <w:rPr>
          <w:rFonts w:asciiTheme="minorHAnsi" w:hAnsiTheme="minorHAnsi"/>
          <w:bCs/>
          <w:snapToGrid w:val="0"/>
          <w:lang w:val="en-GB"/>
        </w:rPr>
        <w:t>Not recommended</w:t>
      </w:r>
    </w:p>
    <w:p w14:paraId="660928A3" w14:textId="0DA48AF1" w:rsidR="00D55D27" w:rsidRDefault="00D55D27" w:rsidP="00D55D27">
      <w:pPr>
        <w:pStyle w:val="2-SectionHeading"/>
        <w:numPr>
          <w:ilvl w:val="0"/>
          <w:numId w:val="1"/>
        </w:numPr>
        <w:rPr>
          <w:bCs/>
          <w:lang w:val="en-GB"/>
        </w:rPr>
      </w:pPr>
      <w:r w:rsidRPr="00C07617">
        <w:t>Context for Decision</w:t>
      </w:r>
    </w:p>
    <w:p w14:paraId="0868DC78" w14:textId="77777777" w:rsidR="00D55D27" w:rsidRPr="00311EEF" w:rsidRDefault="00D55D27" w:rsidP="00D55D27">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bookmarkEnd w:id="1"/>
    <w:bookmarkEnd w:id="89"/>
    <w:bookmarkEnd w:id="90"/>
    <w:p w14:paraId="71BA31E7" w14:textId="7A87DE49" w:rsidR="00572090" w:rsidRPr="00572090" w:rsidRDefault="00572090" w:rsidP="0032577B">
      <w:pPr>
        <w:spacing w:after="120"/>
        <w:ind w:left="720"/>
      </w:pPr>
    </w:p>
    <w:sectPr w:rsidR="00572090" w:rsidRPr="00572090" w:rsidSect="00560811">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9C03" w14:textId="77777777" w:rsidR="00356017" w:rsidRDefault="00356017" w:rsidP="00124A51">
      <w:r>
        <w:separator/>
      </w:r>
    </w:p>
    <w:p w14:paraId="2BAE097D" w14:textId="77777777" w:rsidR="00356017" w:rsidRDefault="00356017"/>
  </w:endnote>
  <w:endnote w:type="continuationSeparator" w:id="0">
    <w:p w14:paraId="24901F94" w14:textId="77777777" w:rsidR="00356017" w:rsidRDefault="00356017" w:rsidP="00124A51">
      <w:r>
        <w:continuationSeparator/>
      </w:r>
    </w:p>
    <w:p w14:paraId="4818450F" w14:textId="77777777" w:rsidR="00356017" w:rsidRDefault="00356017"/>
  </w:endnote>
  <w:endnote w:type="continuationNotice" w:id="1">
    <w:p w14:paraId="3045F3AA" w14:textId="77777777" w:rsidR="00356017" w:rsidRDefault="00356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21D7" w14:textId="77777777" w:rsidR="00D843F2" w:rsidRDefault="00D843F2">
    <w:pPr>
      <w:pStyle w:val="Footer"/>
    </w:pPr>
  </w:p>
  <w:p w14:paraId="226492ED" w14:textId="77777777" w:rsidR="00C60295" w:rsidRDefault="00C60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77777777" w:rsidR="00D843F2" w:rsidRDefault="00D843F2" w:rsidP="00753B29">
    <w:pPr>
      <w:pStyle w:val="Footer"/>
      <w:jc w:val="center"/>
    </w:pPr>
  </w:p>
  <w:p w14:paraId="4D4EAFB2" w14:textId="57AE62EF" w:rsidR="00C60295" w:rsidRDefault="00F67EA5" w:rsidP="00B55870">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FBF0" w14:textId="77777777" w:rsidR="00DA645A" w:rsidRDefault="00DA6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32415" w14:textId="77777777" w:rsidR="00356017" w:rsidRDefault="00356017" w:rsidP="00124A51">
      <w:r>
        <w:separator/>
      </w:r>
    </w:p>
    <w:p w14:paraId="36FC01A3" w14:textId="77777777" w:rsidR="00356017" w:rsidRDefault="00356017"/>
  </w:footnote>
  <w:footnote w:type="continuationSeparator" w:id="0">
    <w:p w14:paraId="7530FC1D" w14:textId="77777777" w:rsidR="00356017" w:rsidRDefault="00356017" w:rsidP="00124A51">
      <w:r>
        <w:continuationSeparator/>
      </w:r>
    </w:p>
    <w:p w14:paraId="7344CCC2" w14:textId="77777777" w:rsidR="00356017" w:rsidRDefault="00356017"/>
  </w:footnote>
  <w:footnote w:type="continuationNotice" w:id="1">
    <w:p w14:paraId="35CD3134" w14:textId="77777777" w:rsidR="00356017" w:rsidRDefault="00356017"/>
  </w:footnote>
  <w:footnote w:id="2">
    <w:p w14:paraId="1D0D7D10" w14:textId="77777777" w:rsidR="00E6666F" w:rsidRPr="00891FBA" w:rsidRDefault="00E6666F" w:rsidP="00E6666F">
      <w:pPr>
        <w:pStyle w:val="FootnoteText"/>
        <w:jc w:val="left"/>
        <w:rPr>
          <w:sz w:val="16"/>
          <w:szCs w:val="16"/>
          <w:lang w:val="en-US"/>
        </w:rPr>
      </w:pPr>
      <w:r w:rsidRPr="00891FBA">
        <w:rPr>
          <w:rStyle w:val="FootnoteReference"/>
          <w:sz w:val="16"/>
          <w:szCs w:val="16"/>
        </w:rPr>
        <w:footnoteRef/>
      </w:r>
      <w:r w:rsidRPr="00891FBA">
        <w:rPr>
          <w:sz w:val="16"/>
          <w:szCs w:val="16"/>
        </w:rPr>
        <w:t xml:space="preserve"> Table 2, PD-(L)1 checkpoint inhibitor stakeholder meeting, 8</w:t>
      </w:r>
      <w:r w:rsidRPr="00891FBA">
        <w:rPr>
          <w:sz w:val="16"/>
          <w:szCs w:val="16"/>
          <w:vertAlign w:val="superscript"/>
        </w:rPr>
        <w:t>th</w:t>
      </w:r>
      <w:r w:rsidRPr="00891FBA">
        <w:rPr>
          <w:sz w:val="16"/>
          <w:szCs w:val="16"/>
        </w:rPr>
        <w:t xml:space="preserve"> February 2019, https://www.pbs.gov.au/industry/listing/elements/pbac-meetings/pbac-stakeholder-meetings/pdl1-stakeholder-%20meeting-outcome-statement.pdf</w:t>
      </w:r>
    </w:p>
  </w:footnote>
  <w:footnote w:id="3">
    <w:p w14:paraId="7D63E749" w14:textId="77777777" w:rsidR="00E456E9" w:rsidRPr="00AA43F3" w:rsidRDefault="00E456E9" w:rsidP="00E456E9">
      <w:pPr>
        <w:widowControl w:val="0"/>
        <w:spacing w:after="120"/>
        <w:rPr>
          <w:rFonts w:asciiTheme="minorHAnsi" w:hAnsiTheme="minorHAnsi"/>
          <w:bCs/>
          <w:snapToGrid w:val="0"/>
          <w:sz w:val="20"/>
          <w:szCs w:val="20"/>
        </w:rPr>
      </w:pPr>
      <w:r w:rsidRPr="00AA43F3">
        <w:rPr>
          <w:rStyle w:val="FootnoteReference"/>
          <w:sz w:val="20"/>
          <w:szCs w:val="20"/>
        </w:rPr>
        <w:footnoteRef/>
      </w:r>
      <w:r w:rsidRPr="00AA43F3">
        <w:rPr>
          <w:sz w:val="20"/>
          <w:szCs w:val="20"/>
        </w:rPr>
        <w:t xml:space="preserve"> </w:t>
      </w:r>
      <w:r w:rsidRPr="00AA43F3">
        <w:rPr>
          <w:rFonts w:asciiTheme="minorHAnsi" w:hAnsiTheme="minorHAnsi"/>
          <w:bCs/>
          <w:snapToGrid w:val="0"/>
          <w:sz w:val="20"/>
          <w:szCs w:val="20"/>
        </w:rPr>
        <w:t>Cherny NI, Dafni U, Bogaerts J, et al: ESMO-Magnitude of Clinical Benefit Scale version 1.1. Annals of Oncology 28:2340-2366, 2017</w:t>
      </w:r>
    </w:p>
    <w:p w14:paraId="7CACDB58" w14:textId="77777777" w:rsidR="00E456E9" w:rsidRPr="006A3976" w:rsidRDefault="00E456E9" w:rsidP="00E456E9">
      <w:pPr>
        <w:pStyle w:val="FootnoteText"/>
      </w:pPr>
    </w:p>
  </w:footnote>
  <w:footnote w:id="4">
    <w:p w14:paraId="10948107" w14:textId="77777777" w:rsidR="00F72C31" w:rsidRPr="00891FBA" w:rsidRDefault="00F72C31" w:rsidP="00F72C31">
      <w:pPr>
        <w:pStyle w:val="FootnoteText"/>
        <w:rPr>
          <w:sz w:val="16"/>
          <w:szCs w:val="16"/>
          <w:lang w:val="en-US"/>
        </w:rPr>
      </w:pPr>
      <w:r w:rsidRPr="00891FBA">
        <w:rPr>
          <w:rStyle w:val="FootnoteReference"/>
          <w:sz w:val="16"/>
          <w:szCs w:val="16"/>
        </w:rPr>
        <w:footnoteRef/>
      </w:r>
      <w:r w:rsidRPr="00891FBA">
        <w:rPr>
          <w:sz w:val="16"/>
          <w:szCs w:val="16"/>
        </w:rPr>
        <w:t xml:space="preserve"> EFS by blinded independent central review (BICR) was a composite endpoint defined as time from randomisation to any event of progression of disease or worsening of disease precluding surgery, if surgery was attempted but gross resection was abandoned due to unresectable tumour or worsening of disease, progression or recurrence of disease after surgery, progression or recurrence of disease without surgery, or death due to any cause.</w:t>
      </w:r>
    </w:p>
  </w:footnote>
  <w:footnote w:id="5">
    <w:p w14:paraId="2C26ACC1" w14:textId="77777777" w:rsidR="00F72C31" w:rsidRPr="00891FBA" w:rsidRDefault="00F72C31" w:rsidP="00F72C31">
      <w:pPr>
        <w:pStyle w:val="FootnoteText"/>
        <w:rPr>
          <w:sz w:val="16"/>
          <w:szCs w:val="16"/>
          <w:lang w:val="en-US"/>
        </w:rPr>
      </w:pPr>
      <w:r w:rsidRPr="00891FBA">
        <w:rPr>
          <w:rStyle w:val="FootnoteReference"/>
          <w:sz w:val="16"/>
          <w:szCs w:val="16"/>
        </w:rPr>
        <w:footnoteRef/>
      </w:r>
      <w:r w:rsidRPr="00891FBA">
        <w:rPr>
          <w:sz w:val="16"/>
          <w:szCs w:val="16"/>
        </w:rPr>
        <w:t xml:space="preserve"> </w:t>
      </w:r>
      <w:r w:rsidRPr="00891FBA">
        <w:rPr>
          <w:sz w:val="16"/>
          <w:szCs w:val="16"/>
          <w:lang w:val="en-US"/>
        </w:rPr>
        <w:t xml:space="preserve"> NSCLC Meta-analyses Collaborative Group. (2014). Preoperative chemotherapy for non-small-cell lung cancer: A systematic review and meta-analysis of individual participant data. </w:t>
      </w:r>
      <w:r w:rsidRPr="00891FBA">
        <w:rPr>
          <w:i/>
          <w:iCs/>
          <w:sz w:val="16"/>
          <w:szCs w:val="16"/>
          <w:lang w:val="en-US"/>
        </w:rPr>
        <w:t>The Lancet</w:t>
      </w:r>
      <w:r w:rsidRPr="00891FBA">
        <w:rPr>
          <w:sz w:val="16"/>
          <w:szCs w:val="16"/>
          <w:lang w:val="en-US"/>
        </w:rPr>
        <w:t>, 383(9928), 1561–1571. https://doi.org/10.1016/S0140-6736(13)62159-5</w:t>
      </w:r>
    </w:p>
  </w:footnote>
  <w:footnote w:id="6">
    <w:p w14:paraId="62BE3F54" w14:textId="77777777" w:rsidR="00F72C31" w:rsidRPr="00F04514" w:rsidRDefault="00F72C31" w:rsidP="00F72C31">
      <w:pPr>
        <w:pStyle w:val="FootnoteText"/>
        <w:rPr>
          <w:lang w:val="en-US"/>
        </w:rPr>
      </w:pPr>
      <w:r>
        <w:rPr>
          <w:rStyle w:val="FootnoteReference"/>
        </w:rPr>
        <w:footnoteRef/>
      </w:r>
      <w:r>
        <w:t xml:space="preserve"> D</w:t>
      </w:r>
      <w:r w:rsidRPr="00F04514">
        <w:t>efined as the number of randomi</w:t>
      </w:r>
      <w:r>
        <w:t>s</w:t>
      </w:r>
      <w:r w:rsidRPr="00F04514">
        <w:t>ed subjects with absence of residual viable tumour in lung and lymph nodes as evaluated by BIPR, divided by the number of randomi</w:t>
      </w:r>
      <w:r>
        <w:t>s</w:t>
      </w:r>
      <w:r w:rsidRPr="00F04514">
        <w:t>ed subjects for each arm</w:t>
      </w:r>
      <w:r>
        <w:t>.</w:t>
      </w:r>
    </w:p>
  </w:footnote>
  <w:footnote w:id="7">
    <w:p w14:paraId="379063D7" w14:textId="77777777" w:rsidR="00F72C31" w:rsidRPr="000A3020" w:rsidRDefault="00F72C31" w:rsidP="00F72C31">
      <w:pPr>
        <w:pStyle w:val="FootnoteText"/>
        <w:rPr>
          <w:lang w:val="en-US"/>
        </w:rPr>
      </w:pPr>
      <w:r>
        <w:rPr>
          <w:rStyle w:val="FootnoteReference"/>
        </w:rPr>
        <w:footnoteRef/>
      </w:r>
      <w:r>
        <w:t xml:space="preserve"> </w:t>
      </w:r>
      <w:r>
        <w:rPr>
          <w:lang w:val="en-US"/>
        </w:rPr>
        <w:t>Defined as the n</w:t>
      </w:r>
      <w:r w:rsidRPr="000A3020">
        <w:rPr>
          <w:lang w:val="en-US"/>
        </w:rPr>
        <w:t>umber of randomised patients with ≤10% residual viable tumour in lung and lymph nodes as evaluated by BIPR, divided by the number of randomised patients for each treatment group. Subjects without an evaluable sample (e.g., cancelled surgery, withdrew consent) were counted as non-responders.</w:t>
      </w:r>
    </w:p>
  </w:footnote>
  <w:footnote w:id="8">
    <w:p w14:paraId="3952FF48" w14:textId="77777777" w:rsidR="00F72C31" w:rsidRPr="00401BD3" w:rsidRDefault="00F72C31" w:rsidP="00F72C31">
      <w:pPr>
        <w:pStyle w:val="FootnoteText"/>
        <w:jc w:val="left"/>
        <w:rPr>
          <w:sz w:val="16"/>
          <w:szCs w:val="16"/>
        </w:rPr>
      </w:pPr>
      <w:r w:rsidRPr="00401BD3">
        <w:rPr>
          <w:rStyle w:val="FootnoteReference"/>
          <w:sz w:val="16"/>
          <w:szCs w:val="16"/>
        </w:rPr>
        <w:footnoteRef/>
      </w:r>
      <w:r w:rsidRPr="00401BD3">
        <w:rPr>
          <w:sz w:val="16"/>
          <w:szCs w:val="16"/>
        </w:rPr>
        <w:t xml:space="preserve"> Forde</w:t>
      </w:r>
      <w:r>
        <w:rPr>
          <w:sz w:val="16"/>
          <w:szCs w:val="16"/>
        </w:rPr>
        <w:t xml:space="preserve">, P., Peters, S., Doninton, J., Meadows-Shroshire, S., Tran, P., Lucherini, S., Erdmannm C., Sun, H., Cascone, T.  2024. </w:t>
      </w:r>
      <w:r w:rsidRPr="005670E8">
        <w:rPr>
          <w:sz w:val="16"/>
          <w:szCs w:val="16"/>
        </w:rPr>
        <w:t>Perioperative vs neoadjuvant nivolumab for</w:t>
      </w:r>
      <w:r>
        <w:rPr>
          <w:sz w:val="16"/>
          <w:szCs w:val="16"/>
        </w:rPr>
        <w:t xml:space="preserve"> </w:t>
      </w:r>
      <w:r w:rsidRPr="005670E8">
        <w:rPr>
          <w:sz w:val="16"/>
          <w:szCs w:val="16"/>
        </w:rPr>
        <w:t>resectable NSCLC: patient-level data analysis of</w:t>
      </w:r>
      <w:r>
        <w:rPr>
          <w:sz w:val="16"/>
          <w:szCs w:val="16"/>
        </w:rPr>
        <w:t xml:space="preserve"> </w:t>
      </w:r>
      <w:r w:rsidRPr="005670E8">
        <w:rPr>
          <w:sz w:val="16"/>
          <w:szCs w:val="16"/>
        </w:rPr>
        <w:t>CheckMate 77T vs CheckMate 816</w:t>
      </w:r>
      <w:r>
        <w:rPr>
          <w:sz w:val="16"/>
          <w:szCs w:val="16"/>
        </w:rPr>
        <w:t>. World Conference on Lung Cancer. September 7-10; San Diego, SA, USA. Presentation number 3589.</w:t>
      </w:r>
    </w:p>
  </w:footnote>
  <w:footnote w:id="9">
    <w:p w14:paraId="201C0892" w14:textId="77777777" w:rsidR="005D61B9" w:rsidRPr="00401BD3" w:rsidRDefault="005D61B9" w:rsidP="005D61B9">
      <w:pPr>
        <w:pStyle w:val="FootnoteText"/>
        <w:jc w:val="left"/>
        <w:rPr>
          <w:sz w:val="16"/>
          <w:szCs w:val="16"/>
        </w:rPr>
      </w:pPr>
      <w:r w:rsidRPr="00401BD3">
        <w:rPr>
          <w:rStyle w:val="FootnoteReference"/>
          <w:sz w:val="16"/>
          <w:szCs w:val="16"/>
        </w:rPr>
        <w:footnoteRef/>
      </w:r>
      <w:r w:rsidRPr="00401BD3">
        <w:rPr>
          <w:sz w:val="16"/>
          <w:szCs w:val="16"/>
        </w:rPr>
        <w:t xml:space="preserve"> Forde</w:t>
      </w:r>
      <w:r>
        <w:rPr>
          <w:sz w:val="16"/>
          <w:szCs w:val="16"/>
        </w:rPr>
        <w:t xml:space="preserve">, P., Peters, S., Doninton, J., Meadows-Shroshire, S., Tran, P., Lucherini, S., Erdmannm C., Sun, H., Cascone, T.  2024. </w:t>
      </w:r>
      <w:r w:rsidRPr="005670E8">
        <w:rPr>
          <w:sz w:val="16"/>
          <w:szCs w:val="16"/>
        </w:rPr>
        <w:t>Perioperative vs neoadjuvant nivolumab for</w:t>
      </w:r>
      <w:r>
        <w:rPr>
          <w:sz w:val="16"/>
          <w:szCs w:val="16"/>
        </w:rPr>
        <w:t xml:space="preserve"> </w:t>
      </w:r>
      <w:r w:rsidRPr="005670E8">
        <w:rPr>
          <w:sz w:val="16"/>
          <w:szCs w:val="16"/>
        </w:rPr>
        <w:t>resectable NSCLC: patient-level data analysis of</w:t>
      </w:r>
      <w:r>
        <w:rPr>
          <w:sz w:val="16"/>
          <w:szCs w:val="16"/>
        </w:rPr>
        <w:t xml:space="preserve"> </w:t>
      </w:r>
      <w:r w:rsidRPr="005670E8">
        <w:rPr>
          <w:sz w:val="16"/>
          <w:szCs w:val="16"/>
        </w:rPr>
        <w:t>CheckMate 77T vs CheckMate 816</w:t>
      </w:r>
      <w:r>
        <w:rPr>
          <w:sz w:val="16"/>
          <w:szCs w:val="16"/>
        </w:rPr>
        <w:t>. World Conference on Lung Cancer. September 7-10; San Diego, SA, USA. Presentation number 3589.</w:t>
      </w:r>
    </w:p>
  </w:footnote>
  <w:footnote w:id="10">
    <w:p w14:paraId="2732AECD" w14:textId="6AB76329" w:rsidR="002205A6" w:rsidRDefault="002205A6">
      <w:pPr>
        <w:pStyle w:val="FootnoteText"/>
      </w:pPr>
      <w:r>
        <w:rPr>
          <w:rStyle w:val="FootnoteReference"/>
        </w:rPr>
        <w:footnoteRef/>
      </w:r>
      <w:r>
        <w:t xml:space="preserve"> Calculated as $</w:t>
      </w:r>
      <w:r w:rsidR="001E7429" w:rsidRPr="00392FEA">
        <w:rPr>
          <w:color w:val="000000"/>
          <w:w w:val="62"/>
          <w:shd w:val="solid" w:color="000000" w:fill="000000"/>
          <w:fitText w:val="402" w:id="-737420791"/>
          <w14:textFill>
            <w14:solidFill>
              <w14:srgbClr w14:val="000000">
                <w14:alpha w14:val="100000"/>
              </w14:srgbClr>
            </w14:solidFill>
          </w14:textFill>
        </w:rPr>
        <w:t>|||  ||</w:t>
      </w:r>
      <w:r w:rsidR="001E7429" w:rsidRPr="00392FEA">
        <w:rPr>
          <w:color w:val="000000"/>
          <w:spacing w:val="3"/>
          <w:w w:val="62"/>
          <w:shd w:val="solid" w:color="000000" w:fill="000000"/>
          <w:fitText w:val="402" w:id="-737420791"/>
          <w14:textFill>
            <w14:solidFill>
              <w14:srgbClr w14:val="000000">
                <w14:alpha w14:val="100000"/>
              </w14:srgbClr>
            </w14:solidFill>
          </w14:textFill>
        </w:rPr>
        <w:t>|</w:t>
      </w:r>
      <w:r>
        <w:t>/1,277</w:t>
      </w:r>
      <w:r w:rsidR="00FB76A1">
        <w:t xml:space="preserve"> and $</w:t>
      </w:r>
      <w:r w:rsidR="001E7429" w:rsidRPr="00392FEA">
        <w:rPr>
          <w:color w:val="000000"/>
          <w:spacing w:val="6"/>
          <w:w w:val="75"/>
          <w:shd w:val="solid" w:color="000000" w:fill="000000"/>
          <w:fitText w:val="377" w:id="-737420790"/>
          <w14:textFill>
            <w14:solidFill>
              <w14:srgbClr w14:val="000000">
                <w14:alpha w14:val="100000"/>
              </w14:srgbClr>
            </w14:solidFill>
          </w14:textFill>
        </w:rPr>
        <w:t>||  |</w:t>
      </w:r>
      <w:r w:rsidR="001E7429" w:rsidRPr="00392FEA">
        <w:rPr>
          <w:color w:val="000000"/>
          <w:spacing w:val="4"/>
          <w:w w:val="75"/>
          <w:shd w:val="solid" w:color="000000" w:fill="000000"/>
          <w:fitText w:val="377" w:id="-737420790"/>
          <w14:textFill>
            <w14:solidFill>
              <w14:srgbClr w14:val="000000">
                <w14:alpha w14:val="100000"/>
              </w14:srgbClr>
            </w14:solidFill>
          </w14:textFill>
        </w:rPr>
        <w:t>|</w:t>
      </w:r>
      <w:r w:rsidR="00FB76A1">
        <w:t xml:space="preserve">/1,277 (see </w:t>
      </w:r>
      <w:r w:rsidR="00FB76A1">
        <w:fldChar w:fldCharType="begin"/>
      </w:r>
      <w:r w:rsidR="00FB76A1">
        <w:instrText xml:space="preserve"> REF _Ref104805295 \h </w:instrText>
      </w:r>
      <w:r w:rsidR="00FB76A1">
        <w:fldChar w:fldCharType="separate"/>
      </w:r>
      <w:r w:rsidR="009C09C9" w:rsidRPr="0098262F">
        <w:t xml:space="preserve">Table </w:t>
      </w:r>
      <w:r w:rsidR="009C09C9">
        <w:rPr>
          <w:noProof/>
        </w:rPr>
        <w:t>18</w:t>
      </w:r>
      <w:r w:rsidR="00FB76A1">
        <w:fldChar w:fldCharType="end"/>
      </w:r>
      <w:r w:rsidR="00FB76A1">
        <w:t>)</w:t>
      </w:r>
    </w:p>
  </w:footnote>
  <w:footnote w:id="11">
    <w:p w14:paraId="2AD2664C" w14:textId="7E2376F0" w:rsidR="00A436F4" w:rsidRDefault="00A436F4" w:rsidP="00A436F4">
      <w:pPr>
        <w:pStyle w:val="FootnoteText"/>
      </w:pPr>
      <w:r>
        <w:rPr>
          <w:rStyle w:val="FootnoteReference"/>
        </w:rPr>
        <w:footnoteRef/>
      </w:r>
      <w:r>
        <w:t xml:space="preserve"> </w:t>
      </w:r>
      <w:hyperlink r:id="rId1" w:history="1">
        <w:r w:rsidR="00BF5293" w:rsidRPr="00473E6B">
          <w:rPr>
            <w:rStyle w:val="Hyperlink"/>
          </w:rPr>
          <w:t>https://www.nccn.org/guidelines/guidelines-detail?category=1&amp;id=1450</w:t>
        </w:r>
      </w:hyperlink>
      <w:r w:rsidR="00BF5293">
        <w:t xml:space="preserve"> </w:t>
      </w:r>
      <w:r w:rsidR="00410FDE">
        <w:t>(v11.2024)</w:t>
      </w:r>
    </w:p>
  </w:footnote>
  <w:footnote w:id="12">
    <w:p w14:paraId="7690D820" w14:textId="77777777" w:rsidR="008E6906" w:rsidRPr="00401BD3" w:rsidRDefault="008E6906" w:rsidP="008E6906">
      <w:pPr>
        <w:pStyle w:val="FootnoteText"/>
        <w:jc w:val="left"/>
        <w:rPr>
          <w:sz w:val="16"/>
          <w:szCs w:val="16"/>
        </w:rPr>
      </w:pPr>
      <w:r w:rsidRPr="00401BD3">
        <w:rPr>
          <w:rStyle w:val="FootnoteReference"/>
          <w:sz w:val="16"/>
          <w:szCs w:val="16"/>
        </w:rPr>
        <w:footnoteRef/>
      </w:r>
      <w:r w:rsidRPr="00401BD3">
        <w:rPr>
          <w:sz w:val="16"/>
          <w:szCs w:val="16"/>
        </w:rPr>
        <w:t xml:space="preserve"> Forde</w:t>
      </w:r>
      <w:r>
        <w:rPr>
          <w:sz w:val="16"/>
          <w:szCs w:val="16"/>
        </w:rPr>
        <w:t xml:space="preserve">, P., Peters, S., Doninton, J., Meadows-Shroshire, S., Tran, P., Lucherini, S., Erdmannm C., Sun, H., Cascone, T.  2024. </w:t>
      </w:r>
      <w:r w:rsidRPr="005670E8">
        <w:rPr>
          <w:sz w:val="16"/>
          <w:szCs w:val="16"/>
        </w:rPr>
        <w:t>Perioperative vs neoadjuvant nivolumab for</w:t>
      </w:r>
      <w:r>
        <w:rPr>
          <w:sz w:val="16"/>
          <w:szCs w:val="16"/>
        </w:rPr>
        <w:t xml:space="preserve"> </w:t>
      </w:r>
      <w:r w:rsidRPr="005670E8">
        <w:rPr>
          <w:sz w:val="16"/>
          <w:szCs w:val="16"/>
        </w:rPr>
        <w:t>resectable NSCLC: patient-level data analysis of</w:t>
      </w:r>
      <w:r>
        <w:rPr>
          <w:sz w:val="16"/>
          <w:szCs w:val="16"/>
        </w:rPr>
        <w:t xml:space="preserve"> </w:t>
      </w:r>
      <w:r w:rsidRPr="005670E8">
        <w:rPr>
          <w:sz w:val="16"/>
          <w:szCs w:val="16"/>
        </w:rPr>
        <w:t>CheckMate 77T vs CheckMate 816</w:t>
      </w:r>
      <w:r>
        <w:rPr>
          <w:sz w:val="16"/>
          <w:szCs w:val="16"/>
        </w:rPr>
        <w:t>. World Conference on Lung Cancer. September 7-10; San Diego, SA, USA. Presentation number 3589.</w:t>
      </w:r>
    </w:p>
  </w:footnote>
  <w:footnote w:id="13">
    <w:p w14:paraId="1D518988" w14:textId="000F645B" w:rsidR="00BB7811" w:rsidRDefault="00BB7811">
      <w:pPr>
        <w:pStyle w:val="FootnoteText"/>
      </w:pPr>
      <w:r>
        <w:rPr>
          <w:rStyle w:val="FootnoteReference"/>
        </w:rPr>
        <w:footnoteRef/>
      </w:r>
      <w:r>
        <w:t xml:space="preserve"> Gupta A, Eisenhauer EA and Booth CM. The time toxicity of cancer treatment. </w:t>
      </w:r>
      <w:r w:rsidR="007E1547">
        <w:t>Journal of Clinical Oncology; 40 (15)</w:t>
      </w:r>
      <w:r w:rsidR="002F3B09">
        <w:t xml:space="preserve">: </w:t>
      </w:r>
      <w:r w:rsidR="005E2930">
        <w:t>1611-</w:t>
      </w:r>
      <w:r w:rsidR="008F2611">
        <w:t>1615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F1A5" w14:textId="77777777" w:rsidR="00D843F2" w:rsidRDefault="00D843F2">
    <w:pPr>
      <w:pStyle w:val="Header"/>
    </w:pPr>
  </w:p>
  <w:p w14:paraId="36DED89E" w14:textId="77777777" w:rsidR="00C60295" w:rsidRDefault="00C602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3810C2F2" w:rsidR="00D843F2" w:rsidRPr="00195452" w:rsidRDefault="009E4634" w:rsidP="00D822E2">
    <w:pPr>
      <w:pStyle w:val="Header"/>
      <w:rPr>
        <w:rFonts w:asciiTheme="minorHAnsi" w:hAnsiTheme="minorHAnsi"/>
        <w:i w:val="0"/>
        <w:color w:val="808080"/>
      </w:rPr>
    </w:pPr>
    <w:r>
      <w:rPr>
        <w:rFonts w:asciiTheme="minorHAnsi" w:hAnsiTheme="minorHAnsi"/>
        <w:color w:val="808080"/>
      </w:rPr>
      <w:t>Public Summary Document</w:t>
    </w:r>
    <w:r w:rsidR="00BE0CF2">
      <w:rPr>
        <w:rFonts w:asciiTheme="minorHAnsi" w:hAnsiTheme="minorHAnsi"/>
        <w:color w:val="808080"/>
      </w:rPr>
      <w:t xml:space="preserve"> </w:t>
    </w:r>
    <w:r w:rsidR="00BE0CF2">
      <w:rPr>
        <w:rFonts w:asciiTheme="minorHAnsi" w:hAnsiTheme="minorHAnsi" w:cstheme="minorHAnsi"/>
        <w:color w:val="808080"/>
      </w:rPr>
      <w:t>−</w:t>
    </w:r>
    <w:r w:rsidR="00BE0CF2">
      <w:rPr>
        <w:rFonts w:asciiTheme="minorHAnsi" w:hAnsiTheme="minorHAnsi"/>
        <w:color w:val="808080"/>
      </w:rPr>
      <w:t xml:space="preserve"> </w:t>
    </w:r>
    <w:r w:rsidR="0066497B">
      <w:rPr>
        <w:rFonts w:asciiTheme="minorHAnsi" w:hAnsiTheme="minorHAnsi"/>
        <w:color w:val="808080"/>
      </w:rPr>
      <w:t>December</w:t>
    </w:r>
    <w:r w:rsidR="00902701">
      <w:rPr>
        <w:rFonts w:asciiTheme="minorHAnsi" w:hAnsiTheme="minorHAnsi"/>
        <w:color w:val="808080"/>
      </w:rPr>
      <w:t xml:space="preserve"> 2024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1AE4D1D2" w14:textId="77777777" w:rsidR="00C60295" w:rsidRDefault="00C602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C262" w14:textId="77777777" w:rsidR="00DA645A" w:rsidRDefault="00DA6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22C"/>
    <w:multiLevelType w:val="hybridMultilevel"/>
    <w:tmpl w:val="4D5C231C"/>
    <w:lvl w:ilvl="0" w:tplc="2CAA0024">
      <w:start w:val="1"/>
      <w:numFmt w:val="bullet"/>
      <w:lvlText w:val="–"/>
      <w:lvlJc w:val="left"/>
      <w:pPr>
        <w:tabs>
          <w:tab w:val="num" w:pos="720"/>
        </w:tabs>
        <w:ind w:left="720" w:hanging="360"/>
      </w:pPr>
      <w:rPr>
        <w:rFonts w:ascii="Arial" w:hAnsi="Arial" w:hint="default"/>
      </w:rPr>
    </w:lvl>
    <w:lvl w:ilvl="1" w:tplc="BBA8B480">
      <w:start w:val="1"/>
      <w:numFmt w:val="bullet"/>
      <w:lvlText w:val="–"/>
      <w:lvlJc w:val="left"/>
      <w:pPr>
        <w:tabs>
          <w:tab w:val="num" w:pos="1440"/>
        </w:tabs>
        <w:ind w:left="1440" w:hanging="360"/>
      </w:pPr>
      <w:rPr>
        <w:rFonts w:ascii="Arial" w:hAnsi="Arial" w:hint="default"/>
      </w:rPr>
    </w:lvl>
    <w:lvl w:ilvl="2" w:tplc="02245932" w:tentative="1">
      <w:start w:val="1"/>
      <w:numFmt w:val="bullet"/>
      <w:lvlText w:val="–"/>
      <w:lvlJc w:val="left"/>
      <w:pPr>
        <w:tabs>
          <w:tab w:val="num" w:pos="2160"/>
        </w:tabs>
        <w:ind w:left="2160" w:hanging="360"/>
      </w:pPr>
      <w:rPr>
        <w:rFonts w:ascii="Arial" w:hAnsi="Arial" w:hint="default"/>
      </w:rPr>
    </w:lvl>
    <w:lvl w:ilvl="3" w:tplc="47F03E96" w:tentative="1">
      <w:start w:val="1"/>
      <w:numFmt w:val="bullet"/>
      <w:lvlText w:val="–"/>
      <w:lvlJc w:val="left"/>
      <w:pPr>
        <w:tabs>
          <w:tab w:val="num" w:pos="2880"/>
        </w:tabs>
        <w:ind w:left="2880" w:hanging="360"/>
      </w:pPr>
      <w:rPr>
        <w:rFonts w:ascii="Arial" w:hAnsi="Arial" w:hint="default"/>
      </w:rPr>
    </w:lvl>
    <w:lvl w:ilvl="4" w:tplc="8E329CA4" w:tentative="1">
      <w:start w:val="1"/>
      <w:numFmt w:val="bullet"/>
      <w:lvlText w:val="–"/>
      <w:lvlJc w:val="left"/>
      <w:pPr>
        <w:tabs>
          <w:tab w:val="num" w:pos="3600"/>
        </w:tabs>
        <w:ind w:left="3600" w:hanging="360"/>
      </w:pPr>
      <w:rPr>
        <w:rFonts w:ascii="Arial" w:hAnsi="Arial" w:hint="default"/>
      </w:rPr>
    </w:lvl>
    <w:lvl w:ilvl="5" w:tplc="C160123E" w:tentative="1">
      <w:start w:val="1"/>
      <w:numFmt w:val="bullet"/>
      <w:lvlText w:val="–"/>
      <w:lvlJc w:val="left"/>
      <w:pPr>
        <w:tabs>
          <w:tab w:val="num" w:pos="4320"/>
        </w:tabs>
        <w:ind w:left="4320" w:hanging="360"/>
      </w:pPr>
      <w:rPr>
        <w:rFonts w:ascii="Arial" w:hAnsi="Arial" w:hint="default"/>
      </w:rPr>
    </w:lvl>
    <w:lvl w:ilvl="6" w:tplc="56DA50A8" w:tentative="1">
      <w:start w:val="1"/>
      <w:numFmt w:val="bullet"/>
      <w:lvlText w:val="–"/>
      <w:lvlJc w:val="left"/>
      <w:pPr>
        <w:tabs>
          <w:tab w:val="num" w:pos="5040"/>
        </w:tabs>
        <w:ind w:left="5040" w:hanging="360"/>
      </w:pPr>
      <w:rPr>
        <w:rFonts w:ascii="Arial" w:hAnsi="Arial" w:hint="default"/>
      </w:rPr>
    </w:lvl>
    <w:lvl w:ilvl="7" w:tplc="8D4E540A" w:tentative="1">
      <w:start w:val="1"/>
      <w:numFmt w:val="bullet"/>
      <w:lvlText w:val="–"/>
      <w:lvlJc w:val="left"/>
      <w:pPr>
        <w:tabs>
          <w:tab w:val="num" w:pos="5760"/>
        </w:tabs>
        <w:ind w:left="5760" w:hanging="360"/>
      </w:pPr>
      <w:rPr>
        <w:rFonts w:ascii="Arial" w:hAnsi="Arial" w:hint="default"/>
      </w:rPr>
    </w:lvl>
    <w:lvl w:ilvl="8" w:tplc="5DCE24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203BC2"/>
    <w:multiLevelType w:val="hybridMultilevel"/>
    <w:tmpl w:val="A8AA2C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0D522B"/>
    <w:multiLevelType w:val="hybridMultilevel"/>
    <w:tmpl w:val="ED36EFD4"/>
    <w:lvl w:ilvl="0" w:tplc="25B6FAA0">
      <w:start w:val="1"/>
      <w:numFmt w:val="bullet"/>
      <w:lvlText w:val="•"/>
      <w:lvlJc w:val="left"/>
      <w:pPr>
        <w:tabs>
          <w:tab w:val="num" w:pos="720"/>
        </w:tabs>
        <w:ind w:left="720" w:hanging="360"/>
      </w:pPr>
      <w:rPr>
        <w:rFonts w:ascii="Arial" w:hAnsi="Arial" w:hint="default"/>
      </w:rPr>
    </w:lvl>
    <w:lvl w:ilvl="1" w:tplc="84CCEB96" w:tentative="1">
      <w:start w:val="1"/>
      <w:numFmt w:val="bullet"/>
      <w:lvlText w:val="•"/>
      <w:lvlJc w:val="left"/>
      <w:pPr>
        <w:tabs>
          <w:tab w:val="num" w:pos="1440"/>
        </w:tabs>
        <w:ind w:left="1440" w:hanging="360"/>
      </w:pPr>
      <w:rPr>
        <w:rFonts w:ascii="Arial" w:hAnsi="Arial" w:hint="default"/>
      </w:rPr>
    </w:lvl>
    <w:lvl w:ilvl="2" w:tplc="781A194A" w:tentative="1">
      <w:start w:val="1"/>
      <w:numFmt w:val="bullet"/>
      <w:lvlText w:val="•"/>
      <w:lvlJc w:val="left"/>
      <w:pPr>
        <w:tabs>
          <w:tab w:val="num" w:pos="2160"/>
        </w:tabs>
        <w:ind w:left="2160" w:hanging="360"/>
      </w:pPr>
      <w:rPr>
        <w:rFonts w:ascii="Arial" w:hAnsi="Arial" w:hint="default"/>
      </w:rPr>
    </w:lvl>
    <w:lvl w:ilvl="3" w:tplc="A0243434" w:tentative="1">
      <w:start w:val="1"/>
      <w:numFmt w:val="bullet"/>
      <w:lvlText w:val="•"/>
      <w:lvlJc w:val="left"/>
      <w:pPr>
        <w:tabs>
          <w:tab w:val="num" w:pos="2880"/>
        </w:tabs>
        <w:ind w:left="2880" w:hanging="360"/>
      </w:pPr>
      <w:rPr>
        <w:rFonts w:ascii="Arial" w:hAnsi="Arial" w:hint="default"/>
      </w:rPr>
    </w:lvl>
    <w:lvl w:ilvl="4" w:tplc="0B18D66E" w:tentative="1">
      <w:start w:val="1"/>
      <w:numFmt w:val="bullet"/>
      <w:lvlText w:val="•"/>
      <w:lvlJc w:val="left"/>
      <w:pPr>
        <w:tabs>
          <w:tab w:val="num" w:pos="3600"/>
        </w:tabs>
        <w:ind w:left="3600" w:hanging="360"/>
      </w:pPr>
      <w:rPr>
        <w:rFonts w:ascii="Arial" w:hAnsi="Arial" w:hint="default"/>
      </w:rPr>
    </w:lvl>
    <w:lvl w:ilvl="5" w:tplc="C598E5EA" w:tentative="1">
      <w:start w:val="1"/>
      <w:numFmt w:val="bullet"/>
      <w:lvlText w:val="•"/>
      <w:lvlJc w:val="left"/>
      <w:pPr>
        <w:tabs>
          <w:tab w:val="num" w:pos="4320"/>
        </w:tabs>
        <w:ind w:left="4320" w:hanging="360"/>
      </w:pPr>
      <w:rPr>
        <w:rFonts w:ascii="Arial" w:hAnsi="Arial" w:hint="default"/>
      </w:rPr>
    </w:lvl>
    <w:lvl w:ilvl="6" w:tplc="F0A4499C" w:tentative="1">
      <w:start w:val="1"/>
      <w:numFmt w:val="bullet"/>
      <w:lvlText w:val="•"/>
      <w:lvlJc w:val="left"/>
      <w:pPr>
        <w:tabs>
          <w:tab w:val="num" w:pos="5040"/>
        </w:tabs>
        <w:ind w:left="5040" w:hanging="360"/>
      </w:pPr>
      <w:rPr>
        <w:rFonts w:ascii="Arial" w:hAnsi="Arial" w:hint="default"/>
      </w:rPr>
    </w:lvl>
    <w:lvl w:ilvl="7" w:tplc="57F602F0" w:tentative="1">
      <w:start w:val="1"/>
      <w:numFmt w:val="bullet"/>
      <w:lvlText w:val="•"/>
      <w:lvlJc w:val="left"/>
      <w:pPr>
        <w:tabs>
          <w:tab w:val="num" w:pos="5760"/>
        </w:tabs>
        <w:ind w:left="5760" w:hanging="360"/>
      </w:pPr>
      <w:rPr>
        <w:rFonts w:ascii="Arial" w:hAnsi="Arial" w:hint="default"/>
      </w:rPr>
    </w:lvl>
    <w:lvl w:ilvl="8" w:tplc="18C0E6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E61B2C"/>
    <w:multiLevelType w:val="hybridMultilevel"/>
    <w:tmpl w:val="47F2A3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68B74A9"/>
    <w:multiLevelType w:val="hybridMultilevel"/>
    <w:tmpl w:val="74CC1E4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1E462A02"/>
    <w:multiLevelType w:val="hybridMultilevel"/>
    <w:tmpl w:val="721C2B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326D35"/>
    <w:multiLevelType w:val="hybridMultilevel"/>
    <w:tmpl w:val="6632E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71E27"/>
    <w:multiLevelType w:val="hybridMultilevel"/>
    <w:tmpl w:val="DD6E809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8CF65B5"/>
    <w:multiLevelType w:val="hybridMultilevel"/>
    <w:tmpl w:val="4F6C4D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2A749CC"/>
    <w:multiLevelType w:val="hybridMultilevel"/>
    <w:tmpl w:val="8DE2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68481045">
    <w:abstractNumId w:val="20"/>
  </w:num>
  <w:num w:numId="2" w16cid:durableId="1483892410">
    <w:abstractNumId w:val="14"/>
  </w:num>
  <w:num w:numId="3" w16cid:durableId="526257753">
    <w:abstractNumId w:val="0"/>
  </w:num>
  <w:num w:numId="4" w16cid:durableId="432748441">
    <w:abstractNumId w:val="17"/>
  </w:num>
  <w:num w:numId="5" w16cid:durableId="138501813">
    <w:abstractNumId w:val="13"/>
  </w:num>
  <w:num w:numId="6" w16cid:durableId="342901507">
    <w:abstractNumId w:val="20"/>
  </w:num>
  <w:num w:numId="7" w16cid:durableId="1394229775">
    <w:abstractNumId w:val="19"/>
  </w:num>
  <w:num w:numId="8" w16cid:durableId="117797955">
    <w:abstractNumId w:val="11"/>
  </w:num>
  <w:num w:numId="9" w16cid:durableId="210383786">
    <w:abstractNumId w:val="7"/>
  </w:num>
  <w:num w:numId="10" w16cid:durableId="1251743042">
    <w:abstractNumId w:val="3"/>
  </w:num>
  <w:num w:numId="11" w16cid:durableId="1320305160">
    <w:abstractNumId w:val="6"/>
  </w:num>
  <w:num w:numId="12" w16cid:durableId="416828127">
    <w:abstractNumId w:val="16"/>
  </w:num>
  <w:num w:numId="13" w16cid:durableId="740064182">
    <w:abstractNumId w:val="5"/>
  </w:num>
  <w:num w:numId="14" w16cid:durableId="917592128">
    <w:abstractNumId w:val="2"/>
  </w:num>
  <w:num w:numId="15" w16cid:durableId="361901808">
    <w:abstractNumId w:val="10"/>
  </w:num>
  <w:num w:numId="16" w16cid:durableId="394936116">
    <w:abstractNumId w:val="12"/>
  </w:num>
  <w:num w:numId="17" w16cid:durableId="1280914374">
    <w:abstractNumId w:val="9"/>
  </w:num>
  <w:num w:numId="18" w16cid:durableId="1234972527">
    <w:abstractNumId w:val="18"/>
  </w:num>
  <w:num w:numId="19" w16cid:durableId="321737249">
    <w:abstractNumId w:val="8"/>
  </w:num>
  <w:num w:numId="20" w16cid:durableId="250509871">
    <w:abstractNumId w:val="15"/>
  </w:num>
  <w:num w:numId="21" w16cid:durableId="151675853">
    <w:abstractNumId w:val="1"/>
  </w:num>
  <w:num w:numId="22" w16cid:durableId="76260820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CA"/>
    <w:rsid w:val="00000118"/>
    <w:rsid w:val="000001BB"/>
    <w:rsid w:val="0000026E"/>
    <w:rsid w:val="00000790"/>
    <w:rsid w:val="0000088B"/>
    <w:rsid w:val="00000CD6"/>
    <w:rsid w:val="0000110B"/>
    <w:rsid w:val="000019A8"/>
    <w:rsid w:val="00001F6B"/>
    <w:rsid w:val="00002158"/>
    <w:rsid w:val="000033FB"/>
    <w:rsid w:val="00003499"/>
    <w:rsid w:val="00003719"/>
    <w:rsid w:val="000039B7"/>
    <w:rsid w:val="000048E5"/>
    <w:rsid w:val="00004BCF"/>
    <w:rsid w:val="000054C9"/>
    <w:rsid w:val="00005553"/>
    <w:rsid w:val="000056B9"/>
    <w:rsid w:val="0000639A"/>
    <w:rsid w:val="00006442"/>
    <w:rsid w:val="00006521"/>
    <w:rsid w:val="00006839"/>
    <w:rsid w:val="0000732F"/>
    <w:rsid w:val="000074A4"/>
    <w:rsid w:val="00007F1F"/>
    <w:rsid w:val="000106AE"/>
    <w:rsid w:val="0001103D"/>
    <w:rsid w:val="0001108C"/>
    <w:rsid w:val="000113DB"/>
    <w:rsid w:val="000114E5"/>
    <w:rsid w:val="000117D3"/>
    <w:rsid w:val="0001292C"/>
    <w:rsid w:val="00013247"/>
    <w:rsid w:val="000132BA"/>
    <w:rsid w:val="00013481"/>
    <w:rsid w:val="00013505"/>
    <w:rsid w:val="00013733"/>
    <w:rsid w:val="0001379F"/>
    <w:rsid w:val="0001388F"/>
    <w:rsid w:val="000138F2"/>
    <w:rsid w:val="00013A5C"/>
    <w:rsid w:val="00013CD7"/>
    <w:rsid w:val="000151ED"/>
    <w:rsid w:val="00015886"/>
    <w:rsid w:val="000158B5"/>
    <w:rsid w:val="00015C18"/>
    <w:rsid w:val="00015DB4"/>
    <w:rsid w:val="00015F8B"/>
    <w:rsid w:val="000162EF"/>
    <w:rsid w:val="00016A53"/>
    <w:rsid w:val="00017284"/>
    <w:rsid w:val="00017438"/>
    <w:rsid w:val="00017808"/>
    <w:rsid w:val="000201E3"/>
    <w:rsid w:val="000202F7"/>
    <w:rsid w:val="000207C9"/>
    <w:rsid w:val="00020A90"/>
    <w:rsid w:val="00021765"/>
    <w:rsid w:val="00021C20"/>
    <w:rsid w:val="0002225F"/>
    <w:rsid w:val="000224B1"/>
    <w:rsid w:val="000227C7"/>
    <w:rsid w:val="00022DF6"/>
    <w:rsid w:val="000231FB"/>
    <w:rsid w:val="00023763"/>
    <w:rsid w:val="00023C71"/>
    <w:rsid w:val="0002482F"/>
    <w:rsid w:val="00024EB5"/>
    <w:rsid w:val="000254AE"/>
    <w:rsid w:val="00025BF4"/>
    <w:rsid w:val="000264CF"/>
    <w:rsid w:val="000267F8"/>
    <w:rsid w:val="00026ED6"/>
    <w:rsid w:val="000274B8"/>
    <w:rsid w:val="000275C9"/>
    <w:rsid w:val="00027BA1"/>
    <w:rsid w:val="0003051C"/>
    <w:rsid w:val="00030B27"/>
    <w:rsid w:val="00031EEC"/>
    <w:rsid w:val="00032220"/>
    <w:rsid w:val="00032BF1"/>
    <w:rsid w:val="00032FD3"/>
    <w:rsid w:val="0003374E"/>
    <w:rsid w:val="00033863"/>
    <w:rsid w:val="000339F6"/>
    <w:rsid w:val="0003417F"/>
    <w:rsid w:val="00034188"/>
    <w:rsid w:val="00034244"/>
    <w:rsid w:val="00034A58"/>
    <w:rsid w:val="00035B6B"/>
    <w:rsid w:val="00035DC0"/>
    <w:rsid w:val="00035FE5"/>
    <w:rsid w:val="000362FF"/>
    <w:rsid w:val="000364ED"/>
    <w:rsid w:val="000364FF"/>
    <w:rsid w:val="00036829"/>
    <w:rsid w:val="00036F97"/>
    <w:rsid w:val="00037AC2"/>
    <w:rsid w:val="00037C1B"/>
    <w:rsid w:val="00037FA7"/>
    <w:rsid w:val="00040895"/>
    <w:rsid w:val="000410A0"/>
    <w:rsid w:val="000417B6"/>
    <w:rsid w:val="000419D8"/>
    <w:rsid w:val="0004297C"/>
    <w:rsid w:val="00042D25"/>
    <w:rsid w:val="000435DE"/>
    <w:rsid w:val="000435EE"/>
    <w:rsid w:val="00043C37"/>
    <w:rsid w:val="00043C3B"/>
    <w:rsid w:val="00044994"/>
    <w:rsid w:val="00045017"/>
    <w:rsid w:val="00045A2B"/>
    <w:rsid w:val="000463D0"/>
    <w:rsid w:val="00046609"/>
    <w:rsid w:val="0004698F"/>
    <w:rsid w:val="00046CFE"/>
    <w:rsid w:val="00046D64"/>
    <w:rsid w:val="0004758F"/>
    <w:rsid w:val="000505C4"/>
    <w:rsid w:val="000508C2"/>
    <w:rsid w:val="00050A1A"/>
    <w:rsid w:val="00050D85"/>
    <w:rsid w:val="00051595"/>
    <w:rsid w:val="000523C3"/>
    <w:rsid w:val="0005244A"/>
    <w:rsid w:val="00052AA3"/>
    <w:rsid w:val="00052BFF"/>
    <w:rsid w:val="0005337B"/>
    <w:rsid w:val="000539D0"/>
    <w:rsid w:val="00053A2A"/>
    <w:rsid w:val="000540A3"/>
    <w:rsid w:val="00054621"/>
    <w:rsid w:val="000546D7"/>
    <w:rsid w:val="00054A8D"/>
    <w:rsid w:val="000557BF"/>
    <w:rsid w:val="000561BF"/>
    <w:rsid w:val="000563CB"/>
    <w:rsid w:val="00056EA5"/>
    <w:rsid w:val="00056ECF"/>
    <w:rsid w:val="00057DE3"/>
    <w:rsid w:val="00057F83"/>
    <w:rsid w:val="000604DF"/>
    <w:rsid w:val="0006054A"/>
    <w:rsid w:val="0006055D"/>
    <w:rsid w:val="00062324"/>
    <w:rsid w:val="0006296A"/>
    <w:rsid w:val="00062E8D"/>
    <w:rsid w:val="00064263"/>
    <w:rsid w:val="00064342"/>
    <w:rsid w:val="00064377"/>
    <w:rsid w:val="000647F7"/>
    <w:rsid w:val="00064903"/>
    <w:rsid w:val="000653B5"/>
    <w:rsid w:val="000655C3"/>
    <w:rsid w:val="000658FA"/>
    <w:rsid w:val="00066360"/>
    <w:rsid w:val="00066820"/>
    <w:rsid w:val="00066A46"/>
    <w:rsid w:val="00066AF8"/>
    <w:rsid w:val="00066B20"/>
    <w:rsid w:val="00066D7D"/>
    <w:rsid w:val="00070B32"/>
    <w:rsid w:val="00071248"/>
    <w:rsid w:val="00071814"/>
    <w:rsid w:val="00071877"/>
    <w:rsid w:val="0007198C"/>
    <w:rsid w:val="00071F47"/>
    <w:rsid w:val="000720B9"/>
    <w:rsid w:val="000737F7"/>
    <w:rsid w:val="00073842"/>
    <w:rsid w:val="000739B5"/>
    <w:rsid w:val="000740E8"/>
    <w:rsid w:val="0007455A"/>
    <w:rsid w:val="00074A29"/>
    <w:rsid w:val="00074D09"/>
    <w:rsid w:val="0007513A"/>
    <w:rsid w:val="00075185"/>
    <w:rsid w:val="0007608A"/>
    <w:rsid w:val="0007672E"/>
    <w:rsid w:val="0007672F"/>
    <w:rsid w:val="00076756"/>
    <w:rsid w:val="00076B54"/>
    <w:rsid w:val="00077287"/>
    <w:rsid w:val="000774F0"/>
    <w:rsid w:val="000775A3"/>
    <w:rsid w:val="00077683"/>
    <w:rsid w:val="00077F11"/>
    <w:rsid w:val="00080067"/>
    <w:rsid w:val="0008024C"/>
    <w:rsid w:val="000805BE"/>
    <w:rsid w:val="00080909"/>
    <w:rsid w:val="00080C3E"/>
    <w:rsid w:val="000812CA"/>
    <w:rsid w:val="00081746"/>
    <w:rsid w:val="00081786"/>
    <w:rsid w:val="000818CA"/>
    <w:rsid w:val="00081D93"/>
    <w:rsid w:val="00081E63"/>
    <w:rsid w:val="0008258D"/>
    <w:rsid w:val="00082934"/>
    <w:rsid w:val="00082A06"/>
    <w:rsid w:val="00082A0A"/>
    <w:rsid w:val="00082CA0"/>
    <w:rsid w:val="00082F57"/>
    <w:rsid w:val="000838A7"/>
    <w:rsid w:val="00083A3B"/>
    <w:rsid w:val="00083D74"/>
    <w:rsid w:val="00083E99"/>
    <w:rsid w:val="000842C5"/>
    <w:rsid w:val="00084AF2"/>
    <w:rsid w:val="00084B34"/>
    <w:rsid w:val="00084D0A"/>
    <w:rsid w:val="00084FA8"/>
    <w:rsid w:val="00085424"/>
    <w:rsid w:val="000855E6"/>
    <w:rsid w:val="000856C5"/>
    <w:rsid w:val="00085C31"/>
    <w:rsid w:val="00086143"/>
    <w:rsid w:val="00086A24"/>
    <w:rsid w:val="00086B7C"/>
    <w:rsid w:val="00087CAE"/>
    <w:rsid w:val="000902D9"/>
    <w:rsid w:val="000905C7"/>
    <w:rsid w:val="00090C7E"/>
    <w:rsid w:val="000911A3"/>
    <w:rsid w:val="000911AC"/>
    <w:rsid w:val="00091442"/>
    <w:rsid w:val="00091ABB"/>
    <w:rsid w:val="00091BAE"/>
    <w:rsid w:val="00092600"/>
    <w:rsid w:val="0009262B"/>
    <w:rsid w:val="0009278B"/>
    <w:rsid w:val="000929CC"/>
    <w:rsid w:val="00092B81"/>
    <w:rsid w:val="00092E28"/>
    <w:rsid w:val="00092EAE"/>
    <w:rsid w:val="00092EEF"/>
    <w:rsid w:val="00093310"/>
    <w:rsid w:val="00093EBE"/>
    <w:rsid w:val="0009435F"/>
    <w:rsid w:val="0009445C"/>
    <w:rsid w:val="00094C35"/>
    <w:rsid w:val="00095200"/>
    <w:rsid w:val="00095FE5"/>
    <w:rsid w:val="00096284"/>
    <w:rsid w:val="000969AF"/>
    <w:rsid w:val="00096D67"/>
    <w:rsid w:val="00096E43"/>
    <w:rsid w:val="000A1127"/>
    <w:rsid w:val="000A161C"/>
    <w:rsid w:val="000A1A4D"/>
    <w:rsid w:val="000A1BC0"/>
    <w:rsid w:val="000A1EBE"/>
    <w:rsid w:val="000A1FC6"/>
    <w:rsid w:val="000A2F9E"/>
    <w:rsid w:val="000A3020"/>
    <w:rsid w:val="000A30FB"/>
    <w:rsid w:val="000A312F"/>
    <w:rsid w:val="000A33D3"/>
    <w:rsid w:val="000A3515"/>
    <w:rsid w:val="000A364A"/>
    <w:rsid w:val="000A38D4"/>
    <w:rsid w:val="000A3E47"/>
    <w:rsid w:val="000A42E1"/>
    <w:rsid w:val="000A42E4"/>
    <w:rsid w:val="000A44E9"/>
    <w:rsid w:val="000A517B"/>
    <w:rsid w:val="000A522B"/>
    <w:rsid w:val="000A6039"/>
    <w:rsid w:val="000A633D"/>
    <w:rsid w:val="000A6E18"/>
    <w:rsid w:val="000A7453"/>
    <w:rsid w:val="000A7C53"/>
    <w:rsid w:val="000A7D08"/>
    <w:rsid w:val="000A7D49"/>
    <w:rsid w:val="000B0121"/>
    <w:rsid w:val="000B0670"/>
    <w:rsid w:val="000B0B1B"/>
    <w:rsid w:val="000B0C81"/>
    <w:rsid w:val="000B0E75"/>
    <w:rsid w:val="000B18E7"/>
    <w:rsid w:val="000B2625"/>
    <w:rsid w:val="000B2BD9"/>
    <w:rsid w:val="000B2DCB"/>
    <w:rsid w:val="000B3126"/>
    <w:rsid w:val="000B3A8E"/>
    <w:rsid w:val="000B3EAA"/>
    <w:rsid w:val="000B5116"/>
    <w:rsid w:val="000B5661"/>
    <w:rsid w:val="000B5BA4"/>
    <w:rsid w:val="000B5CE0"/>
    <w:rsid w:val="000B5FC2"/>
    <w:rsid w:val="000B6189"/>
    <w:rsid w:val="000B6446"/>
    <w:rsid w:val="000B6CAC"/>
    <w:rsid w:val="000B7612"/>
    <w:rsid w:val="000B78AE"/>
    <w:rsid w:val="000B7F73"/>
    <w:rsid w:val="000B7FF7"/>
    <w:rsid w:val="000C0445"/>
    <w:rsid w:val="000C047B"/>
    <w:rsid w:val="000C04BE"/>
    <w:rsid w:val="000C0729"/>
    <w:rsid w:val="000C13FA"/>
    <w:rsid w:val="000C14A2"/>
    <w:rsid w:val="000C16CD"/>
    <w:rsid w:val="000C1BA0"/>
    <w:rsid w:val="000C27E6"/>
    <w:rsid w:val="000C2E1E"/>
    <w:rsid w:val="000C3196"/>
    <w:rsid w:val="000C3550"/>
    <w:rsid w:val="000C37F0"/>
    <w:rsid w:val="000C39F2"/>
    <w:rsid w:val="000C3AFB"/>
    <w:rsid w:val="000C3D54"/>
    <w:rsid w:val="000C3DF9"/>
    <w:rsid w:val="000C416C"/>
    <w:rsid w:val="000C4CF2"/>
    <w:rsid w:val="000C4EFE"/>
    <w:rsid w:val="000C5ECB"/>
    <w:rsid w:val="000C6713"/>
    <w:rsid w:val="000C6FC1"/>
    <w:rsid w:val="000D05AD"/>
    <w:rsid w:val="000D0801"/>
    <w:rsid w:val="000D0C93"/>
    <w:rsid w:val="000D17C3"/>
    <w:rsid w:val="000D1BFC"/>
    <w:rsid w:val="000D1D5D"/>
    <w:rsid w:val="000D1DAF"/>
    <w:rsid w:val="000D239F"/>
    <w:rsid w:val="000D248C"/>
    <w:rsid w:val="000D281A"/>
    <w:rsid w:val="000D2848"/>
    <w:rsid w:val="000D326A"/>
    <w:rsid w:val="000D3469"/>
    <w:rsid w:val="000D3658"/>
    <w:rsid w:val="000D3D77"/>
    <w:rsid w:val="000D3F57"/>
    <w:rsid w:val="000D4185"/>
    <w:rsid w:val="000D4756"/>
    <w:rsid w:val="000D4D3C"/>
    <w:rsid w:val="000D51FB"/>
    <w:rsid w:val="000D54C4"/>
    <w:rsid w:val="000D575A"/>
    <w:rsid w:val="000D5EF4"/>
    <w:rsid w:val="000D61B1"/>
    <w:rsid w:val="000D6E4F"/>
    <w:rsid w:val="000D7CC9"/>
    <w:rsid w:val="000D7F31"/>
    <w:rsid w:val="000E022B"/>
    <w:rsid w:val="000E0640"/>
    <w:rsid w:val="000E07CE"/>
    <w:rsid w:val="000E0D61"/>
    <w:rsid w:val="000E135D"/>
    <w:rsid w:val="000E2E54"/>
    <w:rsid w:val="000E3318"/>
    <w:rsid w:val="000E3772"/>
    <w:rsid w:val="000E3835"/>
    <w:rsid w:val="000E3CBF"/>
    <w:rsid w:val="000E42E4"/>
    <w:rsid w:val="000E45E9"/>
    <w:rsid w:val="000E49E3"/>
    <w:rsid w:val="000E4A11"/>
    <w:rsid w:val="000E717D"/>
    <w:rsid w:val="000E7281"/>
    <w:rsid w:val="000E731E"/>
    <w:rsid w:val="000E7EB4"/>
    <w:rsid w:val="000E7FCC"/>
    <w:rsid w:val="000F00BA"/>
    <w:rsid w:val="000F0B75"/>
    <w:rsid w:val="000F1E7A"/>
    <w:rsid w:val="000F258A"/>
    <w:rsid w:val="000F2711"/>
    <w:rsid w:val="000F30F3"/>
    <w:rsid w:val="000F316A"/>
    <w:rsid w:val="000F3545"/>
    <w:rsid w:val="000F3648"/>
    <w:rsid w:val="000F3989"/>
    <w:rsid w:val="000F3C74"/>
    <w:rsid w:val="000F3E2A"/>
    <w:rsid w:val="000F4BB8"/>
    <w:rsid w:val="000F4FA9"/>
    <w:rsid w:val="000F52F2"/>
    <w:rsid w:val="000F53FB"/>
    <w:rsid w:val="000F5413"/>
    <w:rsid w:val="000F5DC6"/>
    <w:rsid w:val="000F6120"/>
    <w:rsid w:val="000F6184"/>
    <w:rsid w:val="000F64EF"/>
    <w:rsid w:val="000F687D"/>
    <w:rsid w:val="000F7127"/>
    <w:rsid w:val="000F780B"/>
    <w:rsid w:val="000F7A42"/>
    <w:rsid w:val="000F7B54"/>
    <w:rsid w:val="001000B3"/>
    <w:rsid w:val="001005A5"/>
    <w:rsid w:val="0010061B"/>
    <w:rsid w:val="00100F8A"/>
    <w:rsid w:val="00101324"/>
    <w:rsid w:val="00101F46"/>
    <w:rsid w:val="00101F6D"/>
    <w:rsid w:val="00102288"/>
    <w:rsid w:val="001023F5"/>
    <w:rsid w:val="001027CA"/>
    <w:rsid w:val="001027DF"/>
    <w:rsid w:val="00103C74"/>
    <w:rsid w:val="0010452E"/>
    <w:rsid w:val="00104544"/>
    <w:rsid w:val="00104647"/>
    <w:rsid w:val="00104B0C"/>
    <w:rsid w:val="0010582D"/>
    <w:rsid w:val="00105AE2"/>
    <w:rsid w:val="001060C6"/>
    <w:rsid w:val="001063BE"/>
    <w:rsid w:val="001069AD"/>
    <w:rsid w:val="00106B80"/>
    <w:rsid w:val="00106FBF"/>
    <w:rsid w:val="001076DA"/>
    <w:rsid w:val="001077F5"/>
    <w:rsid w:val="0010797F"/>
    <w:rsid w:val="00107D74"/>
    <w:rsid w:val="0011032E"/>
    <w:rsid w:val="001113F7"/>
    <w:rsid w:val="001115CC"/>
    <w:rsid w:val="001118D8"/>
    <w:rsid w:val="00111B0F"/>
    <w:rsid w:val="00111D9C"/>
    <w:rsid w:val="00111F97"/>
    <w:rsid w:val="00112233"/>
    <w:rsid w:val="001127DF"/>
    <w:rsid w:val="0011330B"/>
    <w:rsid w:val="0011348B"/>
    <w:rsid w:val="0011367F"/>
    <w:rsid w:val="0011397F"/>
    <w:rsid w:val="00113A17"/>
    <w:rsid w:val="001142EA"/>
    <w:rsid w:val="0011468D"/>
    <w:rsid w:val="00114D35"/>
    <w:rsid w:val="00115693"/>
    <w:rsid w:val="00115982"/>
    <w:rsid w:val="001159D5"/>
    <w:rsid w:val="00115A26"/>
    <w:rsid w:val="00116892"/>
    <w:rsid w:val="00116AEB"/>
    <w:rsid w:val="00116C53"/>
    <w:rsid w:val="00116CB0"/>
    <w:rsid w:val="001202BE"/>
    <w:rsid w:val="00120457"/>
    <w:rsid w:val="00121799"/>
    <w:rsid w:val="00121B46"/>
    <w:rsid w:val="00121BA6"/>
    <w:rsid w:val="00121C27"/>
    <w:rsid w:val="001222FC"/>
    <w:rsid w:val="00122D23"/>
    <w:rsid w:val="00122E91"/>
    <w:rsid w:val="001230ED"/>
    <w:rsid w:val="00123902"/>
    <w:rsid w:val="00124A51"/>
    <w:rsid w:val="001250FF"/>
    <w:rsid w:val="00125825"/>
    <w:rsid w:val="001258D3"/>
    <w:rsid w:val="00125B45"/>
    <w:rsid w:val="00125FEF"/>
    <w:rsid w:val="00126621"/>
    <w:rsid w:val="00126B1D"/>
    <w:rsid w:val="00127AC8"/>
    <w:rsid w:val="00127AEB"/>
    <w:rsid w:val="001301E9"/>
    <w:rsid w:val="00131272"/>
    <w:rsid w:val="00131546"/>
    <w:rsid w:val="00131554"/>
    <w:rsid w:val="00131D82"/>
    <w:rsid w:val="0013212C"/>
    <w:rsid w:val="00132271"/>
    <w:rsid w:val="00132385"/>
    <w:rsid w:val="00132553"/>
    <w:rsid w:val="00132594"/>
    <w:rsid w:val="00132B22"/>
    <w:rsid w:val="0013319E"/>
    <w:rsid w:val="001334BE"/>
    <w:rsid w:val="001336E0"/>
    <w:rsid w:val="00133815"/>
    <w:rsid w:val="00133D36"/>
    <w:rsid w:val="00135C3C"/>
    <w:rsid w:val="00135D40"/>
    <w:rsid w:val="001367D6"/>
    <w:rsid w:val="00136D59"/>
    <w:rsid w:val="00137308"/>
    <w:rsid w:val="00137517"/>
    <w:rsid w:val="00137645"/>
    <w:rsid w:val="00137A7F"/>
    <w:rsid w:val="00137EA7"/>
    <w:rsid w:val="0014015A"/>
    <w:rsid w:val="0014041B"/>
    <w:rsid w:val="001405E3"/>
    <w:rsid w:val="001407F4"/>
    <w:rsid w:val="0014097E"/>
    <w:rsid w:val="00140E99"/>
    <w:rsid w:val="00141A68"/>
    <w:rsid w:val="00141DEF"/>
    <w:rsid w:val="0014239A"/>
    <w:rsid w:val="00142495"/>
    <w:rsid w:val="00142A82"/>
    <w:rsid w:val="00142D99"/>
    <w:rsid w:val="00142F3E"/>
    <w:rsid w:val="00142F88"/>
    <w:rsid w:val="0014345E"/>
    <w:rsid w:val="0014371B"/>
    <w:rsid w:val="00143F67"/>
    <w:rsid w:val="001448D0"/>
    <w:rsid w:val="001449E9"/>
    <w:rsid w:val="00145234"/>
    <w:rsid w:val="00145521"/>
    <w:rsid w:val="00145540"/>
    <w:rsid w:val="001456B0"/>
    <w:rsid w:val="001459C2"/>
    <w:rsid w:val="00146E61"/>
    <w:rsid w:val="00146F0B"/>
    <w:rsid w:val="0014708C"/>
    <w:rsid w:val="00147859"/>
    <w:rsid w:val="00147950"/>
    <w:rsid w:val="00147CD6"/>
    <w:rsid w:val="001500B3"/>
    <w:rsid w:val="00150360"/>
    <w:rsid w:val="00150FC2"/>
    <w:rsid w:val="00151462"/>
    <w:rsid w:val="00151D81"/>
    <w:rsid w:val="001521E1"/>
    <w:rsid w:val="001528F5"/>
    <w:rsid w:val="00153102"/>
    <w:rsid w:val="001547AB"/>
    <w:rsid w:val="00155382"/>
    <w:rsid w:val="00156529"/>
    <w:rsid w:val="00156F8F"/>
    <w:rsid w:val="00157130"/>
    <w:rsid w:val="001573B7"/>
    <w:rsid w:val="001573CC"/>
    <w:rsid w:val="00157474"/>
    <w:rsid w:val="001576B1"/>
    <w:rsid w:val="0015797E"/>
    <w:rsid w:val="001602B2"/>
    <w:rsid w:val="0016036C"/>
    <w:rsid w:val="0016047B"/>
    <w:rsid w:val="00160A4C"/>
    <w:rsid w:val="00160D02"/>
    <w:rsid w:val="00162564"/>
    <w:rsid w:val="00162913"/>
    <w:rsid w:val="00162A3F"/>
    <w:rsid w:val="00162CD2"/>
    <w:rsid w:val="00162CD5"/>
    <w:rsid w:val="00162D7B"/>
    <w:rsid w:val="00163A0F"/>
    <w:rsid w:val="00163EFF"/>
    <w:rsid w:val="00163F66"/>
    <w:rsid w:val="0016478E"/>
    <w:rsid w:val="00164913"/>
    <w:rsid w:val="00164C6B"/>
    <w:rsid w:val="00165CA4"/>
    <w:rsid w:val="00165EC4"/>
    <w:rsid w:val="001661F9"/>
    <w:rsid w:val="001661FB"/>
    <w:rsid w:val="00166523"/>
    <w:rsid w:val="0016654A"/>
    <w:rsid w:val="00166B4F"/>
    <w:rsid w:val="00166E32"/>
    <w:rsid w:val="0016712E"/>
    <w:rsid w:val="001671A0"/>
    <w:rsid w:val="00167239"/>
    <w:rsid w:val="00167378"/>
    <w:rsid w:val="0016767F"/>
    <w:rsid w:val="00167B66"/>
    <w:rsid w:val="00170082"/>
    <w:rsid w:val="001701F3"/>
    <w:rsid w:val="00170CA7"/>
    <w:rsid w:val="001718D9"/>
    <w:rsid w:val="00171F33"/>
    <w:rsid w:val="00172324"/>
    <w:rsid w:val="00172888"/>
    <w:rsid w:val="00172DA7"/>
    <w:rsid w:val="00172F71"/>
    <w:rsid w:val="00173565"/>
    <w:rsid w:val="00173577"/>
    <w:rsid w:val="0017394E"/>
    <w:rsid w:val="00173AD8"/>
    <w:rsid w:val="00173B07"/>
    <w:rsid w:val="001749F6"/>
    <w:rsid w:val="001751FA"/>
    <w:rsid w:val="00175926"/>
    <w:rsid w:val="00175D48"/>
    <w:rsid w:val="00176078"/>
    <w:rsid w:val="00176258"/>
    <w:rsid w:val="001763E5"/>
    <w:rsid w:val="0017671F"/>
    <w:rsid w:val="00176D03"/>
    <w:rsid w:val="0017731A"/>
    <w:rsid w:val="0017752D"/>
    <w:rsid w:val="00177D23"/>
    <w:rsid w:val="00181433"/>
    <w:rsid w:val="001817FD"/>
    <w:rsid w:val="00181C10"/>
    <w:rsid w:val="00181D9C"/>
    <w:rsid w:val="00182381"/>
    <w:rsid w:val="00182791"/>
    <w:rsid w:val="0018295F"/>
    <w:rsid w:val="00182A0F"/>
    <w:rsid w:val="00182BBE"/>
    <w:rsid w:val="0018374C"/>
    <w:rsid w:val="001837FF"/>
    <w:rsid w:val="00183A16"/>
    <w:rsid w:val="00184ADA"/>
    <w:rsid w:val="00184B0E"/>
    <w:rsid w:val="00184BBF"/>
    <w:rsid w:val="00184F4E"/>
    <w:rsid w:val="00184FD7"/>
    <w:rsid w:val="00185A37"/>
    <w:rsid w:val="00185A7C"/>
    <w:rsid w:val="00186B4B"/>
    <w:rsid w:val="00186C1C"/>
    <w:rsid w:val="00187049"/>
    <w:rsid w:val="001870A4"/>
    <w:rsid w:val="00187359"/>
    <w:rsid w:val="0018752F"/>
    <w:rsid w:val="0018798C"/>
    <w:rsid w:val="00187F90"/>
    <w:rsid w:val="00191474"/>
    <w:rsid w:val="00191AD1"/>
    <w:rsid w:val="001925AD"/>
    <w:rsid w:val="001926E2"/>
    <w:rsid w:val="00192A3A"/>
    <w:rsid w:val="00193012"/>
    <w:rsid w:val="00193295"/>
    <w:rsid w:val="00193838"/>
    <w:rsid w:val="00193877"/>
    <w:rsid w:val="00194571"/>
    <w:rsid w:val="00194688"/>
    <w:rsid w:val="001948A9"/>
    <w:rsid w:val="00194AD8"/>
    <w:rsid w:val="00194C0A"/>
    <w:rsid w:val="00195222"/>
    <w:rsid w:val="001953AC"/>
    <w:rsid w:val="00195452"/>
    <w:rsid w:val="00195E5F"/>
    <w:rsid w:val="00195F0F"/>
    <w:rsid w:val="00196105"/>
    <w:rsid w:val="00196778"/>
    <w:rsid w:val="001968AA"/>
    <w:rsid w:val="00197436"/>
    <w:rsid w:val="0019745A"/>
    <w:rsid w:val="001975D8"/>
    <w:rsid w:val="001A056F"/>
    <w:rsid w:val="001A06AC"/>
    <w:rsid w:val="001A0B8A"/>
    <w:rsid w:val="001A0E81"/>
    <w:rsid w:val="001A103F"/>
    <w:rsid w:val="001A1440"/>
    <w:rsid w:val="001A178E"/>
    <w:rsid w:val="001A1960"/>
    <w:rsid w:val="001A1AE3"/>
    <w:rsid w:val="001A1F63"/>
    <w:rsid w:val="001A2167"/>
    <w:rsid w:val="001A21AB"/>
    <w:rsid w:val="001A2B32"/>
    <w:rsid w:val="001A343D"/>
    <w:rsid w:val="001A37AB"/>
    <w:rsid w:val="001A3EFF"/>
    <w:rsid w:val="001A43FA"/>
    <w:rsid w:val="001A44AE"/>
    <w:rsid w:val="001A47C5"/>
    <w:rsid w:val="001A4BBB"/>
    <w:rsid w:val="001A5499"/>
    <w:rsid w:val="001A585C"/>
    <w:rsid w:val="001A59FB"/>
    <w:rsid w:val="001A5ACF"/>
    <w:rsid w:val="001A5C8F"/>
    <w:rsid w:val="001A5DB4"/>
    <w:rsid w:val="001A5DF4"/>
    <w:rsid w:val="001A5E9E"/>
    <w:rsid w:val="001A6354"/>
    <w:rsid w:val="001A6366"/>
    <w:rsid w:val="001A65CB"/>
    <w:rsid w:val="001A68CD"/>
    <w:rsid w:val="001A6A6E"/>
    <w:rsid w:val="001A6C82"/>
    <w:rsid w:val="001A6F80"/>
    <w:rsid w:val="001A7023"/>
    <w:rsid w:val="001A7560"/>
    <w:rsid w:val="001A7A51"/>
    <w:rsid w:val="001A7AE8"/>
    <w:rsid w:val="001B021C"/>
    <w:rsid w:val="001B03DC"/>
    <w:rsid w:val="001B04B0"/>
    <w:rsid w:val="001B0A1D"/>
    <w:rsid w:val="001B13C7"/>
    <w:rsid w:val="001B204E"/>
    <w:rsid w:val="001B2372"/>
    <w:rsid w:val="001B3380"/>
    <w:rsid w:val="001B3443"/>
    <w:rsid w:val="001B34CC"/>
    <w:rsid w:val="001B48F3"/>
    <w:rsid w:val="001B4D20"/>
    <w:rsid w:val="001B522B"/>
    <w:rsid w:val="001B59E9"/>
    <w:rsid w:val="001B5ACF"/>
    <w:rsid w:val="001B5EE5"/>
    <w:rsid w:val="001B650C"/>
    <w:rsid w:val="001B696A"/>
    <w:rsid w:val="001B6C4A"/>
    <w:rsid w:val="001B7297"/>
    <w:rsid w:val="001B73F0"/>
    <w:rsid w:val="001B7641"/>
    <w:rsid w:val="001B7F84"/>
    <w:rsid w:val="001C03B2"/>
    <w:rsid w:val="001C0BBC"/>
    <w:rsid w:val="001C0D29"/>
    <w:rsid w:val="001C106C"/>
    <w:rsid w:val="001C1494"/>
    <w:rsid w:val="001C1981"/>
    <w:rsid w:val="001C28F4"/>
    <w:rsid w:val="001C2A9B"/>
    <w:rsid w:val="001C2C6F"/>
    <w:rsid w:val="001C2E6F"/>
    <w:rsid w:val="001C3487"/>
    <w:rsid w:val="001C380C"/>
    <w:rsid w:val="001C3D11"/>
    <w:rsid w:val="001C3DD6"/>
    <w:rsid w:val="001C3F5C"/>
    <w:rsid w:val="001C40FF"/>
    <w:rsid w:val="001C4179"/>
    <w:rsid w:val="001C4299"/>
    <w:rsid w:val="001C4874"/>
    <w:rsid w:val="001C515C"/>
    <w:rsid w:val="001C59C0"/>
    <w:rsid w:val="001C5C09"/>
    <w:rsid w:val="001C5F94"/>
    <w:rsid w:val="001C61CB"/>
    <w:rsid w:val="001C6E66"/>
    <w:rsid w:val="001C77EE"/>
    <w:rsid w:val="001D022B"/>
    <w:rsid w:val="001D09C5"/>
    <w:rsid w:val="001D0C10"/>
    <w:rsid w:val="001D1100"/>
    <w:rsid w:val="001D1391"/>
    <w:rsid w:val="001D13A8"/>
    <w:rsid w:val="001D1B0D"/>
    <w:rsid w:val="001D25D7"/>
    <w:rsid w:val="001D26AE"/>
    <w:rsid w:val="001D2A42"/>
    <w:rsid w:val="001D3B3A"/>
    <w:rsid w:val="001D3B4D"/>
    <w:rsid w:val="001D3D38"/>
    <w:rsid w:val="001D3E3F"/>
    <w:rsid w:val="001D416E"/>
    <w:rsid w:val="001D433B"/>
    <w:rsid w:val="001D4CE7"/>
    <w:rsid w:val="001D50B2"/>
    <w:rsid w:val="001D518B"/>
    <w:rsid w:val="001D52C7"/>
    <w:rsid w:val="001D5AB5"/>
    <w:rsid w:val="001D5B5A"/>
    <w:rsid w:val="001D669D"/>
    <w:rsid w:val="001D6AFC"/>
    <w:rsid w:val="001D6BCD"/>
    <w:rsid w:val="001D6CD0"/>
    <w:rsid w:val="001D71B4"/>
    <w:rsid w:val="001D71F4"/>
    <w:rsid w:val="001D7645"/>
    <w:rsid w:val="001D7A43"/>
    <w:rsid w:val="001D7E46"/>
    <w:rsid w:val="001E0840"/>
    <w:rsid w:val="001E0C60"/>
    <w:rsid w:val="001E1047"/>
    <w:rsid w:val="001E1346"/>
    <w:rsid w:val="001E19A0"/>
    <w:rsid w:val="001E1B84"/>
    <w:rsid w:val="001E1E86"/>
    <w:rsid w:val="001E238E"/>
    <w:rsid w:val="001E2483"/>
    <w:rsid w:val="001E2B1E"/>
    <w:rsid w:val="001E2CFF"/>
    <w:rsid w:val="001E2F24"/>
    <w:rsid w:val="001E30D4"/>
    <w:rsid w:val="001E331A"/>
    <w:rsid w:val="001E34DF"/>
    <w:rsid w:val="001E35D9"/>
    <w:rsid w:val="001E3D09"/>
    <w:rsid w:val="001E3F88"/>
    <w:rsid w:val="001E4388"/>
    <w:rsid w:val="001E4606"/>
    <w:rsid w:val="001E46FC"/>
    <w:rsid w:val="001E473A"/>
    <w:rsid w:val="001E50A9"/>
    <w:rsid w:val="001E52EB"/>
    <w:rsid w:val="001E5E61"/>
    <w:rsid w:val="001E61D2"/>
    <w:rsid w:val="001E6450"/>
    <w:rsid w:val="001E70DA"/>
    <w:rsid w:val="001E740C"/>
    <w:rsid w:val="001E7429"/>
    <w:rsid w:val="001E78F8"/>
    <w:rsid w:val="001F068A"/>
    <w:rsid w:val="001F1045"/>
    <w:rsid w:val="001F1235"/>
    <w:rsid w:val="001F1CB3"/>
    <w:rsid w:val="001F2AA5"/>
    <w:rsid w:val="001F3457"/>
    <w:rsid w:val="001F35B2"/>
    <w:rsid w:val="001F38B5"/>
    <w:rsid w:val="001F38D0"/>
    <w:rsid w:val="001F38E6"/>
    <w:rsid w:val="001F4081"/>
    <w:rsid w:val="001F49D0"/>
    <w:rsid w:val="001F4AE1"/>
    <w:rsid w:val="001F5EB8"/>
    <w:rsid w:val="001F6750"/>
    <w:rsid w:val="001F6BD3"/>
    <w:rsid w:val="001F6E8C"/>
    <w:rsid w:val="001F7361"/>
    <w:rsid w:val="0020039D"/>
    <w:rsid w:val="00200882"/>
    <w:rsid w:val="002009C3"/>
    <w:rsid w:val="00200BF1"/>
    <w:rsid w:val="00200FFD"/>
    <w:rsid w:val="002011B0"/>
    <w:rsid w:val="002016A6"/>
    <w:rsid w:val="00201CCD"/>
    <w:rsid w:val="00201F3B"/>
    <w:rsid w:val="0020274F"/>
    <w:rsid w:val="0020284E"/>
    <w:rsid w:val="00203181"/>
    <w:rsid w:val="002031C8"/>
    <w:rsid w:val="00203783"/>
    <w:rsid w:val="0020385F"/>
    <w:rsid w:val="002039EB"/>
    <w:rsid w:val="0020529D"/>
    <w:rsid w:val="0020538D"/>
    <w:rsid w:val="00205685"/>
    <w:rsid w:val="00205AC6"/>
    <w:rsid w:val="00205BD5"/>
    <w:rsid w:val="00205F06"/>
    <w:rsid w:val="00206260"/>
    <w:rsid w:val="002068A0"/>
    <w:rsid w:val="002069D3"/>
    <w:rsid w:val="00206C5E"/>
    <w:rsid w:val="00207021"/>
    <w:rsid w:val="00207045"/>
    <w:rsid w:val="0020732F"/>
    <w:rsid w:val="00207978"/>
    <w:rsid w:val="00207D00"/>
    <w:rsid w:val="002105C1"/>
    <w:rsid w:val="002107F5"/>
    <w:rsid w:val="00210980"/>
    <w:rsid w:val="00210D94"/>
    <w:rsid w:val="002116FD"/>
    <w:rsid w:val="00211740"/>
    <w:rsid w:val="0021225D"/>
    <w:rsid w:val="00212867"/>
    <w:rsid w:val="002128ED"/>
    <w:rsid w:val="00213963"/>
    <w:rsid w:val="00213EF5"/>
    <w:rsid w:val="002142C7"/>
    <w:rsid w:val="0021483C"/>
    <w:rsid w:val="00215D69"/>
    <w:rsid w:val="00216014"/>
    <w:rsid w:val="00216BF5"/>
    <w:rsid w:val="00216D3A"/>
    <w:rsid w:val="00216E39"/>
    <w:rsid w:val="00216F0F"/>
    <w:rsid w:val="002175B3"/>
    <w:rsid w:val="00217674"/>
    <w:rsid w:val="002205A6"/>
    <w:rsid w:val="0022132F"/>
    <w:rsid w:val="0022147B"/>
    <w:rsid w:val="0022157D"/>
    <w:rsid w:val="002219FE"/>
    <w:rsid w:val="00221B75"/>
    <w:rsid w:val="00221EC6"/>
    <w:rsid w:val="00221F28"/>
    <w:rsid w:val="002224B2"/>
    <w:rsid w:val="00222751"/>
    <w:rsid w:val="00222971"/>
    <w:rsid w:val="00223374"/>
    <w:rsid w:val="00223621"/>
    <w:rsid w:val="00223B49"/>
    <w:rsid w:val="00223D5A"/>
    <w:rsid w:val="00223E8B"/>
    <w:rsid w:val="002240A8"/>
    <w:rsid w:val="00224397"/>
    <w:rsid w:val="00224745"/>
    <w:rsid w:val="00224AC6"/>
    <w:rsid w:val="00224DD4"/>
    <w:rsid w:val="00224F11"/>
    <w:rsid w:val="002250C2"/>
    <w:rsid w:val="0022522D"/>
    <w:rsid w:val="002253C8"/>
    <w:rsid w:val="00225B0C"/>
    <w:rsid w:val="00225C0E"/>
    <w:rsid w:val="00226D9D"/>
    <w:rsid w:val="00226E04"/>
    <w:rsid w:val="00227004"/>
    <w:rsid w:val="0022764A"/>
    <w:rsid w:val="002278A0"/>
    <w:rsid w:val="002309CC"/>
    <w:rsid w:val="00230B6E"/>
    <w:rsid w:val="00231242"/>
    <w:rsid w:val="00231BA9"/>
    <w:rsid w:val="0023209F"/>
    <w:rsid w:val="002323FD"/>
    <w:rsid w:val="00232568"/>
    <w:rsid w:val="00232A72"/>
    <w:rsid w:val="0023339E"/>
    <w:rsid w:val="002335BD"/>
    <w:rsid w:val="00233A11"/>
    <w:rsid w:val="00233C01"/>
    <w:rsid w:val="0023413C"/>
    <w:rsid w:val="002341BD"/>
    <w:rsid w:val="00234400"/>
    <w:rsid w:val="002346F0"/>
    <w:rsid w:val="00234CE6"/>
    <w:rsid w:val="00234ED9"/>
    <w:rsid w:val="0023504D"/>
    <w:rsid w:val="002351CC"/>
    <w:rsid w:val="002353D7"/>
    <w:rsid w:val="0023629D"/>
    <w:rsid w:val="002368AF"/>
    <w:rsid w:val="002368B7"/>
    <w:rsid w:val="00237255"/>
    <w:rsid w:val="00240C08"/>
    <w:rsid w:val="00241683"/>
    <w:rsid w:val="002424AF"/>
    <w:rsid w:val="0024328E"/>
    <w:rsid w:val="002439DC"/>
    <w:rsid w:val="002441D2"/>
    <w:rsid w:val="00244DC8"/>
    <w:rsid w:val="002450CC"/>
    <w:rsid w:val="002454EA"/>
    <w:rsid w:val="002458BA"/>
    <w:rsid w:val="00245A5B"/>
    <w:rsid w:val="00245CE9"/>
    <w:rsid w:val="00245DCF"/>
    <w:rsid w:val="0024636C"/>
    <w:rsid w:val="00246C9F"/>
    <w:rsid w:val="00246CD8"/>
    <w:rsid w:val="00247859"/>
    <w:rsid w:val="00247925"/>
    <w:rsid w:val="00250713"/>
    <w:rsid w:val="002507CE"/>
    <w:rsid w:val="00250F1A"/>
    <w:rsid w:val="00250F46"/>
    <w:rsid w:val="00251006"/>
    <w:rsid w:val="0025161F"/>
    <w:rsid w:val="00251667"/>
    <w:rsid w:val="0025194D"/>
    <w:rsid w:val="00251C5B"/>
    <w:rsid w:val="002522E0"/>
    <w:rsid w:val="002524D5"/>
    <w:rsid w:val="002525C5"/>
    <w:rsid w:val="0025314B"/>
    <w:rsid w:val="0025319A"/>
    <w:rsid w:val="0025356A"/>
    <w:rsid w:val="00253609"/>
    <w:rsid w:val="002537EF"/>
    <w:rsid w:val="00253B1D"/>
    <w:rsid w:val="00253B82"/>
    <w:rsid w:val="00253F4D"/>
    <w:rsid w:val="00254245"/>
    <w:rsid w:val="002546A1"/>
    <w:rsid w:val="00254AEA"/>
    <w:rsid w:val="00254DCF"/>
    <w:rsid w:val="0025534B"/>
    <w:rsid w:val="00255BB7"/>
    <w:rsid w:val="00255E0E"/>
    <w:rsid w:val="002561CC"/>
    <w:rsid w:val="002563D0"/>
    <w:rsid w:val="0025645A"/>
    <w:rsid w:val="00257541"/>
    <w:rsid w:val="0025754D"/>
    <w:rsid w:val="002576FB"/>
    <w:rsid w:val="002577F1"/>
    <w:rsid w:val="00257A39"/>
    <w:rsid w:val="00257AC4"/>
    <w:rsid w:val="00257BBE"/>
    <w:rsid w:val="00260485"/>
    <w:rsid w:val="002604C7"/>
    <w:rsid w:val="00260EE7"/>
    <w:rsid w:val="0026153B"/>
    <w:rsid w:val="00261EEF"/>
    <w:rsid w:val="00261F1A"/>
    <w:rsid w:val="00261FD6"/>
    <w:rsid w:val="002621F1"/>
    <w:rsid w:val="00262A1A"/>
    <w:rsid w:val="00262A35"/>
    <w:rsid w:val="00262A87"/>
    <w:rsid w:val="00262E64"/>
    <w:rsid w:val="00263D63"/>
    <w:rsid w:val="002646C0"/>
    <w:rsid w:val="00264AEF"/>
    <w:rsid w:val="00264D26"/>
    <w:rsid w:val="00264E0F"/>
    <w:rsid w:val="00265302"/>
    <w:rsid w:val="00265503"/>
    <w:rsid w:val="0026570F"/>
    <w:rsid w:val="00265831"/>
    <w:rsid w:val="0026599C"/>
    <w:rsid w:val="00265C1E"/>
    <w:rsid w:val="0026683F"/>
    <w:rsid w:val="00267642"/>
    <w:rsid w:val="00267779"/>
    <w:rsid w:val="00267AEA"/>
    <w:rsid w:val="00267BFC"/>
    <w:rsid w:val="00267D6E"/>
    <w:rsid w:val="002700E6"/>
    <w:rsid w:val="00270A50"/>
    <w:rsid w:val="00270C97"/>
    <w:rsid w:val="00270DAF"/>
    <w:rsid w:val="00271A98"/>
    <w:rsid w:val="00272049"/>
    <w:rsid w:val="0027294B"/>
    <w:rsid w:val="00272B6C"/>
    <w:rsid w:val="0027365D"/>
    <w:rsid w:val="00273EB4"/>
    <w:rsid w:val="00273FDC"/>
    <w:rsid w:val="0027415C"/>
    <w:rsid w:val="00274457"/>
    <w:rsid w:val="00274682"/>
    <w:rsid w:val="00274EAF"/>
    <w:rsid w:val="00274FAA"/>
    <w:rsid w:val="00275158"/>
    <w:rsid w:val="00275B9B"/>
    <w:rsid w:val="00275C5A"/>
    <w:rsid w:val="0027614A"/>
    <w:rsid w:val="0027710B"/>
    <w:rsid w:val="002776C2"/>
    <w:rsid w:val="002776EA"/>
    <w:rsid w:val="0027794F"/>
    <w:rsid w:val="00277DB7"/>
    <w:rsid w:val="00277E1E"/>
    <w:rsid w:val="00281014"/>
    <w:rsid w:val="00281550"/>
    <w:rsid w:val="002816A2"/>
    <w:rsid w:val="00281A9E"/>
    <w:rsid w:val="002824B9"/>
    <w:rsid w:val="0028260F"/>
    <w:rsid w:val="0028290E"/>
    <w:rsid w:val="00282FE5"/>
    <w:rsid w:val="00283751"/>
    <w:rsid w:val="0028378C"/>
    <w:rsid w:val="00285BCE"/>
    <w:rsid w:val="00285C3C"/>
    <w:rsid w:val="00286137"/>
    <w:rsid w:val="0028664D"/>
    <w:rsid w:val="0028665D"/>
    <w:rsid w:val="002876D4"/>
    <w:rsid w:val="00287E7E"/>
    <w:rsid w:val="00290050"/>
    <w:rsid w:val="002902BA"/>
    <w:rsid w:val="00290C5E"/>
    <w:rsid w:val="00290D8C"/>
    <w:rsid w:val="002913BD"/>
    <w:rsid w:val="00291B5F"/>
    <w:rsid w:val="00292389"/>
    <w:rsid w:val="00292B5D"/>
    <w:rsid w:val="00292CD2"/>
    <w:rsid w:val="00292E3B"/>
    <w:rsid w:val="00293741"/>
    <w:rsid w:val="00293E60"/>
    <w:rsid w:val="0029405B"/>
    <w:rsid w:val="002949B0"/>
    <w:rsid w:val="00294C1B"/>
    <w:rsid w:val="00294CAA"/>
    <w:rsid w:val="00295126"/>
    <w:rsid w:val="00295621"/>
    <w:rsid w:val="0029572C"/>
    <w:rsid w:val="0029575E"/>
    <w:rsid w:val="00296450"/>
    <w:rsid w:val="002965CF"/>
    <w:rsid w:val="00296B52"/>
    <w:rsid w:val="00296B84"/>
    <w:rsid w:val="00296CBE"/>
    <w:rsid w:val="00296DC4"/>
    <w:rsid w:val="0029760C"/>
    <w:rsid w:val="002A02A2"/>
    <w:rsid w:val="002A0311"/>
    <w:rsid w:val="002A09CC"/>
    <w:rsid w:val="002A0A47"/>
    <w:rsid w:val="002A0D52"/>
    <w:rsid w:val="002A0FDE"/>
    <w:rsid w:val="002A14AB"/>
    <w:rsid w:val="002A1E66"/>
    <w:rsid w:val="002A200F"/>
    <w:rsid w:val="002A2648"/>
    <w:rsid w:val="002A2ADE"/>
    <w:rsid w:val="002A2B45"/>
    <w:rsid w:val="002A2EE7"/>
    <w:rsid w:val="002A2F50"/>
    <w:rsid w:val="002A3111"/>
    <w:rsid w:val="002A364E"/>
    <w:rsid w:val="002A3F0B"/>
    <w:rsid w:val="002A45A1"/>
    <w:rsid w:val="002A4A80"/>
    <w:rsid w:val="002A557A"/>
    <w:rsid w:val="002A5ADC"/>
    <w:rsid w:val="002A6310"/>
    <w:rsid w:val="002A6621"/>
    <w:rsid w:val="002A6879"/>
    <w:rsid w:val="002A68D5"/>
    <w:rsid w:val="002A6FBA"/>
    <w:rsid w:val="002A7265"/>
    <w:rsid w:val="002A7943"/>
    <w:rsid w:val="002A7DC5"/>
    <w:rsid w:val="002B05A1"/>
    <w:rsid w:val="002B09A4"/>
    <w:rsid w:val="002B0CA8"/>
    <w:rsid w:val="002B1111"/>
    <w:rsid w:val="002B1B66"/>
    <w:rsid w:val="002B1C1F"/>
    <w:rsid w:val="002B1C3E"/>
    <w:rsid w:val="002B25D7"/>
    <w:rsid w:val="002B26DA"/>
    <w:rsid w:val="002B276E"/>
    <w:rsid w:val="002B2A82"/>
    <w:rsid w:val="002B34CB"/>
    <w:rsid w:val="002B3DE5"/>
    <w:rsid w:val="002B407C"/>
    <w:rsid w:val="002B432F"/>
    <w:rsid w:val="002B473A"/>
    <w:rsid w:val="002B52DD"/>
    <w:rsid w:val="002B5DFD"/>
    <w:rsid w:val="002B5F96"/>
    <w:rsid w:val="002B62B3"/>
    <w:rsid w:val="002B6509"/>
    <w:rsid w:val="002B6754"/>
    <w:rsid w:val="002B6CCE"/>
    <w:rsid w:val="002B7666"/>
    <w:rsid w:val="002C0005"/>
    <w:rsid w:val="002C1566"/>
    <w:rsid w:val="002C1E43"/>
    <w:rsid w:val="002C2021"/>
    <w:rsid w:val="002C2510"/>
    <w:rsid w:val="002C2775"/>
    <w:rsid w:val="002C27C1"/>
    <w:rsid w:val="002C337B"/>
    <w:rsid w:val="002C36E3"/>
    <w:rsid w:val="002C4299"/>
    <w:rsid w:val="002C4893"/>
    <w:rsid w:val="002C499B"/>
    <w:rsid w:val="002C4D06"/>
    <w:rsid w:val="002C4D3E"/>
    <w:rsid w:val="002C4E16"/>
    <w:rsid w:val="002C5099"/>
    <w:rsid w:val="002C55EF"/>
    <w:rsid w:val="002C5889"/>
    <w:rsid w:val="002C69BA"/>
    <w:rsid w:val="002C71CE"/>
    <w:rsid w:val="002C7585"/>
    <w:rsid w:val="002D007A"/>
    <w:rsid w:val="002D08F8"/>
    <w:rsid w:val="002D0A09"/>
    <w:rsid w:val="002D121B"/>
    <w:rsid w:val="002D159A"/>
    <w:rsid w:val="002D19F2"/>
    <w:rsid w:val="002D2976"/>
    <w:rsid w:val="002D3D4F"/>
    <w:rsid w:val="002D3F47"/>
    <w:rsid w:val="002D479A"/>
    <w:rsid w:val="002D4DE8"/>
    <w:rsid w:val="002D4ED1"/>
    <w:rsid w:val="002D4F35"/>
    <w:rsid w:val="002D577C"/>
    <w:rsid w:val="002D5E4E"/>
    <w:rsid w:val="002D6B9D"/>
    <w:rsid w:val="002D6C67"/>
    <w:rsid w:val="002D7832"/>
    <w:rsid w:val="002D79E7"/>
    <w:rsid w:val="002E01CF"/>
    <w:rsid w:val="002E0A89"/>
    <w:rsid w:val="002E0BAF"/>
    <w:rsid w:val="002E0F1D"/>
    <w:rsid w:val="002E1034"/>
    <w:rsid w:val="002E1071"/>
    <w:rsid w:val="002E1452"/>
    <w:rsid w:val="002E15B8"/>
    <w:rsid w:val="002E15B9"/>
    <w:rsid w:val="002E2158"/>
    <w:rsid w:val="002E2E0B"/>
    <w:rsid w:val="002E36CA"/>
    <w:rsid w:val="002E38BC"/>
    <w:rsid w:val="002E3BD4"/>
    <w:rsid w:val="002E3D77"/>
    <w:rsid w:val="002E47D6"/>
    <w:rsid w:val="002E4F02"/>
    <w:rsid w:val="002E583B"/>
    <w:rsid w:val="002E6E01"/>
    <w:rsid w:val="002E73BE"/>
    <w:rsid w:val="002E7722"/>
    <w:rsid w:val="002F07BA"/>
    <w:rsid w:val="002F0DA9"/>
    <w:rsid w:val="002F1014"/>
    <w:rsid w:val="002F1199"/>
    <w:rsid w:val="002F1248"/>
    <w:rsid w:val="002F140D"/>
    <w:rsid w:val="002F1651"/>
    <w:rsid w:val="002F1E3B"/>
    <w:rsid w:val="002F25E4"/>
    <w:rsid w:val="002F28AB"/>
    <w:rsid w:val="002F392B"/>
    <w:rsid w:val="002F3946"/>
    <w:rsid w:val="002F3B09"/>
    <w:rsid w:val="002F3D7A"/>
    <w:rsid w:val="002F42CB"/>
    <w:rsid w:val="002F47AC"/>
    <w:rsid w:val="002F55DE"/>
    <w:rsid w:val="002F59A1"/>
    <w:rsid w:val="002F620A"/>
    <w:rsid w:val="002F6384"/>
    <w:rsid w:val="002F643C"/>
    <w:rsid w:val="002F6A3A"/>
    <w:rsid w:val="002F6FB9"/>
    <w:rsid w:val="002F71C0"/>
    <w:rsid w:val="002F71F4"/>
    <w:rsid w:val="002F728D"/>
    <w:rsid w:val="002F74F1"/>
    <w:rsid w:val="0030012D"/>
    <w:rsid w:val="00300778"/>
    <w:rsid w:val="00300B12"/>
    <w:rsid w:val="00300F14"/>
    <w:rsid w:val="00300FB7"/>
    <w:rsid w:val="00301017"/>
    <w:rsid w:val="00301342"/>
    <w:rsid w:val="00301511"/>
    <w:rsid w:val="0030155F"/>
    <w:rsid w:val="00301BEF"/>
    <w:rsid w:val="00302269"/>
    <w:rsid w:val="0030509A"/>
    <w:rsid w:val="00305388"/>
    <w:rsid w:val="0030587B"/>
    <w:rsid w:val="00305E36"/>
    <w:rsid w:val="00306D98"/>
    <w:rsid w:val="00306E9C"/>
    <w:rsid w:val="00307295"/>
    <w:rsid w:val="00307479"/>
    <w:rsid w:val="0030786C"/>
    <w:rsid w:val="0031031A"/>
    <w:rsid w:val="00310981"/>
    <w:rsid w:val="00310F84"/>
    <w:rsid w:val="00311057"/>
    <w:rsid w:val="0031128A"/>
    <w:rsid w:val="00311318"/>
    <w:rsid w:val="00311CDE"/>
    <w:rsid w:val="00311D9B"/>
    <w:rsid w:val="003124D9"/>
    <w:rsid w:val="00312594"/>
    <w:rsid w:val="00312C87"/>
    <w:rsid w:val="0031315F"/>
    <w:rsid w:val="00314F5A"/>
    <w:rsid w:val="00315498"/>
    <w:rsid w:val="00315E71"/>
    <w:rsid w:val="00315F57"/>
    <w:rsid w:val="00316123"/>
    <w:rsid w:val="00316358"/>
    <w:rsid w:val="00316474"/>
    <w:rsid w:val="003169CA"/>
    <w:rsid w:val="00316D8C"/>
    <w:rsid w:val="00316EEE"/>
    <w:rsid w:val="00316F67"/>
    <w:rsid w:val="00317590"/>
    <w:rsid w:val="00320706"/>
    <w:rsid w:val="00320896"/>
    <w:rsid w:val="00321948"/>
    <w:rsid w:val="00321A0F"/>
    <w:rsid w:val="00322107"/>
    <w:rsid w:val="00322355"/>
    <w:rsid w:val="00322518"/>
    <w:rsid w:val="00322846"/>
    <w:rsid w:val="00322A27"/>
    <w:rsid w:val="00322FA7"/>
    <w:rsid w:val="00322FB4"/>
    <w:rsid w:val="0032327D"/>
    <w:rsid w:val="00323C0E"/>
    <w:rsid w:val="00324005"/>
    <w:rsid w:val="003240D9"/>
    <w:rsid w:val="00324A86"/>
    <w:rsid w:val="0032577B"/>
    <w:rsid w:val="00325C8E"/>
    <w:rsid w:val="00326AC8"/>
    <w:rsid w:val="00326DA7"/>
    <w:rsid w:val="003270E4"/>
    <w:rsid w:val="00327E69"/>
    <w:rsid w:val="003308DD"/>
    <w:rsid w:val="00330A23"/>
    <w:rsid w:val="00330DAA"/>
    <w:rsid w:val="00330F5C"/>
    <w:rsid w:val="0033151D"/>
    <w:rsid w:val="003322B9"/>
    <w:rsid w:val="00332D4E"/>
    <w:rsid w:val="00332F08"/>
    <w:rsid w:val="0033325B"/>
    <w:rsid w:val="0033358C"/>
    <w:rsid w:val="003335C4"/>
    <w:rsid w:val="003337D1"/>
    <w:rsid w:val="00333CB3"/>
    <w:rsid w:val="00334831"/>
    <w:rsid w:val="00334F0C"/>
    <w:rsid w:val="00334F15"/>
    <w:rsid w:val="00334FED"/>
    <w:rsid w:val="00335094"/>
    <w:rsid w:val="00335CBA"/>
    <w:rsid w:val="00336024"/>
    <w:rsid w:val="003362DA"/>
    <w:rsid w:val="003366C9"/>
    <w:rsid w:val="00336704"/>
    <w:rsid w:val="00336AE0"/>
    <w:rsid w:val="00336C7B"/>
    <w:rsid w:val="003371B0"/>
    <w:rsid w:val="00337237"/>
    <w:rsid w:val="00337CF1"/>
    <w:rsid w:val="003402E3"/>
    <w:rsid w:val="003407AB"/>
    <w:rsid w:val="00340CE6"/>
    <w:rsid w:val="00340DF1"/>
    <w:rsid w:val="00340E98"/>
    <w:rsid w:val="00340FA1"/>
    <w:rsid w:val="00340FA4"/>
    <w:rsid w:val="003410B6"/>
    <w:rsid w:val="00341255"/>
    <w:rsid w:val="00342193"/>
    <w:rsid w:val="003421A0"/>
    <w:rsid w:val="003424AB"/>
    <w:rsid w:val="003428BB"/>
    <w:rsid w:val="0034292B"/>
    <w:rsid w:val="00342B18"/>
    <w:rsid w:val="0034372F"/>
    <w:rsid w:val="0034395D"/>
    <w:rsid w:val="00344F62"/>
    <w:rsid w:val="00345ED9"/>
    <w:rsid w:val="0034692A"/>
    <w:rsid w:val="003469C4"/>
    <w:rsid w:val="00346ECD"/>
    <w:rsid w:val="0034791B"/>
    <w:rsid w:val="00347A07"/>
    <w:rsid w:val="00347B52"/>
    <w:rsid w:val="00347DC1"/>
    <w:rsid w:val="00350863"/>
    <w:rsid w:val="003511CD"/>
    <w:rsid w:val="003517F9"/>
    <w:rsid w:val="00351B60"/>
    <w:rsid w:val="00351BA9"/>
    <w:rsid w:val="00351CB1"/>
    <w:rsid w:val="003526EA"/>
    <w:rsid w:val="00352B4F"/>
    <w:rsid w:val="00352CE4"/>
    <w:rsid w:val="0035388C"/>
    <w:rsid w:val="00353E0E"/>
    <w:rsid w:val="003544A3"/>
    <w:rsid w:val="00354F64"/>
    <w:rsid w:val="00355CB2"/>
    <w:rsid w:val="00355CFF"/>
    <w:rsid w:val="00356017"/>
    <w:rsid w:val="0035620E"/>
    <w:rsid w:val="003567DD"/>
    <w:rsid w:val="003572E1"/>
    <w:rsid w:val="003575BE"/>
    <w:rsid w:val="003576CF"/>
    <w:rsid w:val="00360345"/>
    <w:rsid w:val="003604A0"/>
    <w:rsid w:val="00360E43"/>
    <w:rsid w:val="00361A05"/>
    <w:rsid w:val="00361DBF"/>
    <w:rsid w:val="003620E2"/>
    <w:rsid w:val="0036238E"/>
    <w:rsid w:val="003624C4"/>
    <w:rsid w:val="00362523"/>
    <w:rsid w:val="00362591"/>
    <w:rsid w:val="00362761"/>
    <w:rsid w:val="00362D9A"/>
    <w:rsid w:val="0036339D"/>
    <w:rsid w:val="00363585"/>
    <w:rsid w:val="00363B00"/>
    <w:rsid w:val="00363CC1"/>
    <w:rsid w:val="00363CD6"/>
    <w:rsid w:val="00363F1D"/>
    <w:rsid w:val="0036436A"/>
    <w:rsid w:val="003647F0"/>
    <w:rsid w:val="00364BB3"/>
    <w:rsid w:val="00364BE6"/>
    <w:rsid w:val="00364E4E"/>
    <w:rsid w:val="003654AC"/>
    <w:rsid w:val="0036585C"/>
    <w:rsid w:val="00365903"/>
    <w:rsid w:val="00365C1A"/>
    <w:rsid w:val="003663DB"/>
    <w:rsid w:val="00366590"/>
    <w:rsid w:val="003669B6"/>
    <w:rsid w:val="003705BE"/>
    <w:rsid w:val="003707CA"/>
    <w:rsid w:val="00370D15"/>
    <w:rsid w:val="00370F2E"/>
    <w:rsid w:val="003710CF"/>
    <w:rsid w:val="003713AB"/>
    <w:rsid w:val="00371514"/>
    <w:rsid w:val="003716E7"/>
    <w:rsid w:val="00371A6E"/>
    <w:rsid w:val="0037201E"/>
    <w:rsid w:val="00372AAB"/>
    <w:rsid w:val="00372DBC"/>
    <w:rsid w:val="0037358A"/>
    <w:rsid w:val="00373F74"/>
    <w:rsid w:val="0037439C"/>
    <w:rsid w:val="003746FC"/>
    <w:rsid w:val="00374993"/>
    <w:rsid w:val="003749A2"/>
    <w:rsid w:val="00374A75"/>
    <w:rsid w:val="003750F6"/>
    <w:rsid w:val="003760FC"/>
    <w:rsid w:val="0037614B"/>
    <w:rsid w:val="0037641A"/>
    <w:rsid w:val="0037652D"/>
    <w:rsid w:val="00376EB0"/>
    <w:rsid w:val="00376EB1"/>
    <w:rsid w:val="00377F1A"/>
    <w:rsid w:val="00380739"/>
    <w:rsid w:val="00381C43"/>
    <w:rsid w:val="00381F4F"/>
    <w:rsid w:val="00382781"/>
    <w:rsid w:val="00382FE3"/>
    <w:rsid w:val="0038365C"/>
    <w:rsid w:val="0038369B"/>
    <w:rsid w:val="00383B25"/>
    <w:rsid w:val="00383B78"/>
    <w:rsid w:val="00383EE9"/>
    <w:rsid w:val="00384918"/>
    <w:rsid w:val="00384D42"/>
    <w:rsid w:val="003851AA"/>
    <w:rsid w:val="003854C7"/>
    <w:rsid w:val="00385768"/>
    <w:rsid w:val="00385A9D"/>
    <w:rsid w:val="003869F0"/>
    <w:rsid w:val="00386C13"/>
    <w:rsid w:val="00387121"/>
    <w:rsid w:val="00387AA9"/>
    <w:rsid w:val="003902B1"/>
    <w:rsid w:val="00390D69"/>
    <w:rsid w:val="00390F09"/>
    <w:rsid w:val="00391137"/>
    <w:rsid w:val="003915C1"/>
    <w:rsid w:val="0039179C"/>
    <w:rsid w:val="00391C46"/>
    <w:rsid w:val="0039255A"/>
    <w:rsid w:val="003927EF"/>
    <w:rsid w:val="00392DA6"/>
    <w:rsid w:val="00392FEA"/>
    <w:rsid w:val="00392FF8"/>
    <w:rsid w:val="00393B12"/>
    <w:rsid w:val="00393B18"/>
    <w:rsid w:val="00393BB8"/>
    <w:rsid w:val="003947BC"/>
    <w:rsid w:val="00394F0F"/>
    <w:rsid w:val="0039550C"/>
    <w:rsid w:val="00395783"/>
    <w:rsid w:val="00396436"/>
    <w:rsid w:val="00396487"/>
    <w:rsid w:val="0039653A"/>
    <w:rsid w:val="00396896"/>
    <w:rsid w:val="00396B21"/>
    <w:rsid w:val="00396CCC"/>
    <w:rsid w:val="00396FD0"/>
    <w:rsid w:val="00397048"/>
    <w:rsid w:val="003978A3"/>
    <w:rsid w:val="00397946"/>
    <w:rsid w:val="003A01F3"/>
    <w:rsid w:val="003A021E"/>
    <w:rsid w:val="003A036C"/>
    <w:rsid w:val="003A0503"/>
    <w:rsid w:val="003A08EB"/>
    <w:rsid w:val="003A0BB7"/>
    <w:rsid w:val="003A1A7A"/>
    <w:rsid w:val="003A2392"/>
    <w:rsid w:val="003A2831"/>
    <w:rsid w:val="003A292F"/>
    <w:rsid w:val="003A2EB9"/>
    <w:rsid w:val="003A30ED"/>
    <w:rsid w:val="003A33FF"/>
    <w:rsid w:val="003A367F"/>
    <w:rsid w:val="003A37C5"/>
    <w:rsid w:val="003A3BAD"/>
    <w:rsid w:val="003A3CB6"/>
    <w:rsid w:val="003A3ED1"/>
    <w:rsid w:val="003A44DB"/>
    <w:rsid w:val="003A48D6"/>
    <w:rsid w:val="003A4C14"/>
    <w:rsid w:val="003A4DAD"/>
    <w:rsid w:val="003A569D"/>
    <w:rsid w:val="003A56F9"/>
    <w:rsid w:val="003A594A"/>
    <w:rsid w:val="003A6231"/>
    <w:rsid w:val="003A64E5"/>
    <w:rsid w:val="003A6749"/>
    <w:rsid w:val="003A7409"/>
    <w:rsid w:val="003A7553"/>
    <w:rsid w:val="003A7FC4"/>
    <w:rsid w:val="003B0029"/>
    <w:rsid w:val="003B09CE"/>
    <w:rsid w:val="003B1181"/>
    <w:rsid w:val="003B17AC"/>
    <w:rsid w:val="003B2308"/>
    <w:rsid w:val="003B308D"/>
    <w:rsid w:val="003B30A5"/>
    <w:rsid w:val="003B3971"/>
    <w:rsid w:val="003B3A7C"/>
    <w:rsid w:val="003B3F6D"/>
    <w:rsid w:val="003B446D"/>
    <w:rsid w:val="003B49D6"/>
    <w:rsid w:val="003B4A4A"/>
    <w:rsid w:val="003B55D1"/>
    <w:rsid w:val="003B57AD"/>
    <w:rsid w:val="003B5B61"/>
    <w:rsid w:val="003B6546"/>
    <w:rsid w:val="003B7B08"/>
    <w:rsid w:val="003C0ACF"/>
    <w:rsid w:val="003C12B4"/>
    <w:rsid w:val="003C158B"/>
    <w:rsid w:val="003C1654"/>
    <w:rsid w:val="003C18F0"/>
    <w:rsid w:val="003C19F6"/>
    <w:rsid w:val="003C3102"/>
    <w:rsid w:val="003C3195"/>
    <w:rsid w:val="003C3628"/>
    <w:rsid w:val="003C39CB"/>
    <w:rsid w:val="003C3C1C"/>
    <w:rsid w:val="003C3C55"/>
    <w:rsid w:val="003C3CEF"/>
    <w:rsid w:val="003C409C"/>
    <w:rsid w:val="003C41B5"/>
    <w:rsid w:val="003C46AC"/>
    <w:rsid w:val="003C46C8"/>
    <w:rsid w:val="003C4F7E"/>
    <w:rsid w:val="003C54F1"/>
    <w:rsid w:val="003C5542"/>
    <w:rsid w:val="003C70CD"/>
    <w:rsid w:val="003C77C0"/>
    <w:rsid w:val="003C7C15"/>
    <w:rsid w:val="003C7D19"/>
    <w:rsid w:val="003C7D2F"/>
    <w:rsid w:val="003D0C3F"/>
    <w:rsid w:val="003D0C5A"/>
    <w:rsid w:val="003D0FCA"/>
    <w:rsid w:val="003D1309"/>
    <w:rsid w:val="003D1828"/>
    <w:rsid w:val="003D1DA5"/>
    <w:rsid w:val="003D1DE4"/>
    <w:rsid w:val="003D1E9A"/>
    <w:rsid w:val="003D2422"/>
    <w:rsid w:val="003D39A1"/>
    <w:rsid w:val="003D39DA"/>
    <w:rsid w:val="003D3A4F"/>
    <w:rsid w:val="003D3CCB"/>
    <w:rsid w:val="003D3E12"/>
    <w:rsid w:val="003D3E6C"/>
    <w:rsid w:val="003D3FBF"/>
    <w:rsid w:val="003D451A"/>
    <w:rsid w:val="003D4A30"/>
    <w:rsid w:val="003D4FB0"/>
    <w:rsid w:val="003D7452"/>
    <w:rsid w:val="003D79BB"/>
    <w:rsid w:val="003D7C98"/>
    <w:rsid w:val="003D7D9D"/>
    <w:rsid w:val="003E044F"/>
    <w:rsid w:val="003E0543"/>
    <w:rsid w:val="003E09ED"/>
    <w:rsid w:val="003E13A0"/>
    <w:rsid w:val="003E14D1"/>
    <w:rsid w:val="003E1DCA"/>
    <w:rsid w:val="003E24C1"/>
    <w:rsid w:val="003E27A7"/>
    <w:rsid w:val="003E28A2"/>
    <w:rsid w:val="003E2D21"/>
    <w:rsid w:val="003E3D0F"/>
    <w:rsid w:val="003E4B61"/>
    <w:rsid w:val="003E503D"/>
    <w:rsid w:val="003E5603"/>
    <w:rsid w:val="003E5EE3"/>
    <w:rsid w:val="003E6117"/>
    <w:rsid w:val="003E611A"/>
    <w:rsid w:val="003E633E"/>
    <w:rsid w:val="003E6AE5"/>
    <w:rsid w:val="003E72A3"/>
    <w:rsid w:val="003E749E"/>
    <w:rsid w:val="003E7901"/>
    <w:rsid w:val="003F01B8"/>
    <w:rsid w:val="003F05CA"/>
    <w:rsid w:val="003F0CD0"/>
    <w:rsid w:val="003F0E30"/>
    <w:rsid w:val="003F1B1D"/>
    <w:rsid w:val="003F25F3"/>
    <w:rsid w:val="003F2862"/>
    <w:rsid w:val="003F2BCD"/>
    <w:rsid w:val="003F3196"/>
    <w:rsid w:val="003F31D6"/>
    <w:rsid w:val="003F37C5"/>
    <w:rsid w:val="003F3887"/>
    <w:rsid w:val="003F3B34"/>
    <w:rsid w:val="003F4156"/>
    <w:rsid w:val="003F4968"/>
    <w:rsid w:val="003F5355"/>
    <w:rsid w:val="003F5A15"/>
    <w:rsid w:val="003F5ADF"/>
    <w:rsid w:val="003F5D98"/>
    <w:rsid w:val="003F5FEC"/>
    <w:rsid w:val="003F61EF"/>
    <w:rsid w:val="003F6508"/>
    <w:rsid w:val="003F661E"/>
    <w:rsid w:val="003F6E7F"/>
    <w:rsid w:val="003F7A90"/>
    <w:rsid w:val="003F7AA4"/>
    <w:rsid w:val="003F7FC4"/>
    <w:rsid w:val="004000A7"/>
    <w:rsid w:val="004006D7"/>
    <w:rsid w:val="00400B29"/>
    <w:rsid w:val="00400BDA"/>
    <w:rsid w:val="00400DD7"/>
    <w:rsid w:val="004010CB"/>
    <w:rsid w:val="004016B1"/>
    <w:rsid w:val="00401966"/>
    <w:rsid w:val="00401BD3"/>
    <w:rsid w:val="00401C36"/>
    <w:rsid w:val="00402812"/>
    <w:rsid w:val="0040295B"/>
    <w:rsid w:val="00402C10"/>
    <w:rsid w:val="0040354F"/>
    <w:rsid w:val="00403D0F"/>
    <w:rsid w:val="00404912"/>
    <w:rsid w:val="00404DE0"/>
    <w:rsid w:val="00404E76"/>
    <w:rsid w:val="0040504B"/>
    <w:rsid w:val="004059F4"/>
    <w:rsid w:val="00405B75"/>
    <w:rsid w:val="00406136"/>
    <w:rsid w:val="0040646A"/>
    <w:rsid w:val="004064EE"/>
    <w:rsid w:val="00406B88"/>
    <w:rsid w:val="004072CE"/>
    <w:rsid w:val="00407C28"/>
    <w:rsid w:val="00407F4A"/>
    <w:rsid w:val="00407FE5"/>
    <w:rsid w:val="004101B0"/>
    <w:rsid w:val="004101B7"/>
    <w:rsid w:val="00410326"/>
    <w:rsid w:val="004105EB"/>
    <w:rsid w:val="00410708"/>
    <w:rsid w:val="00410A5F"/>
    <w:rsid w:val="00410EC7"/>
    <w:rsid w:val="00410FDE"/>
    <w:rsid w:val="004114B5"/>
    <w:rsid w:val="0041160A"/>
    <w:rsid w:val="00411706"/>
    <w:rsid w:val="00411B39"/>
    <w:rsid w:val="00412387"/>
    <w:rsid w:val="004127A7"/>
    <w:rsid w:val="00412C86"/>
    <w:rsid w:val="00413220"/>
    <w:rsid w:val="0041345D"/>
    <w:rsid w:val="0041374B"/>
    <w:rsid w:val="004139B2"/>
    <w:rsid w:val="00413A1E"/>
    <w:rsid w:val="00413ABE"/>
    <w:rsid w:val="00413EAF"/>
    <w:rsid w:val="0041412F"/>
    <w:rsid w:val="00414476"/>
    <w:rsid w:val="00414691"/>
    <w:rsid w:val="00414768"/>
    <w:rsid w:val="00414C2E"/>
    <w:rsid w:val="00414EB7"/>
    <w:rsid w:val="00415171"/>
    <w:rsid w:val="004151CF"/>
    <w:rsid w:val="004151E3"/>
    <w:rsid w:val="004154C9"/>
    <w:rsid w:val="00415E34"/>
    <w:rsid w:val="00416364"/>
    <w:rsid w:val="004164DA"/>
    <w:rsid w:val="004166E2"/>
    <w:rsid w:val="00416951"/>
    <w:rsid w:val="004170E9"/>
    <w:rsid w:val="004177A9"/>
    <w:rsid w:val="00417E46"/>
    <w:rsid w:val="0042047F"/>
    <w:rsid w:val="004207FE"/>
    <w:rsid w:val="00420AA6"/>
    <w:rsid w:val="00420B9F"/>
    <w:rsid w:val="00420D99"/>
    <w:rsid w:val="00421439"/>
    <w:rsid w:val="00421523"/>
    <w:rsid w:val="0042192C"/>
    <w:rsid w:val="00421C9C"/>
    <w:rsid w:val="00421EBB"/>
    <w:rsid w:val="00422260"/>
    <w:rsid w:val="00422658"/>
    <w:rsid w:val="004233D7"/>
    <w:rsid w:val="00423707"/>
    <w:rsid w:val="0042413F"/>
    <w:rsid w:val="00424628"/>
    <w:rsid w:val="00425A03"/>
    <w:rsid w:val="0042621F"/>
    <w:rsid w:val="0042675E"/>
    <w:rsid w:val="004269E1"/>
    <w:rsid w:val="00426BA6"/>
    <w:rsid w:val="0042711E"/>
    <w:rsid w:val="004273D4"/>
    <w:rsid w:val="0042777E"/>
    <w:rsid w:val="004279D5"/>
    <w:rsid w:val="00427A86"/>
    <w:rsid w:val="00427BA3"/>
    <w:rsid w:val="00430091"/>
    <w:rsid w:val="004307CC"/>
    <w:rsid w:val="00431290"/>
    <w:rsid w:val="004316A4"/>
    <w:rsid w:val="004319F8"/>
    <w:rsid w:val="00431E55"/>
    <w:rsid w:val="004321F6"/>
    <w:rsid w:val="00433044"/>
    <w:rsid w:val="00433764"/>
    <w:rsid w:val="00433864"/>
    <w:rsid w:val="00434088"/>
    <w:rsid w:val="004343A6"/>
    <w:rsid w:val="004345CA"/>
    <w:rsid w:val="00434943"/>
    <w:rsid w:val="00434E1A"/>
    <w:rsid w:val="00435854"/>
    <w:rsid w:val="0043591E"/>
    <w:rsid w:val="004359CB"/>
    <w:rsid w:val="00435B21"/>
    <w:rsid w:val="004374E2"/>
    <w:rsid w:val="004375B9"/>
    <w:rsid w:val="00437A9D"/>
    <w:rsid w:val="00440490"/>
    <w:rsid w:val="004405C0"/>
    <w:rsid w:val="004406CC"/>
    <w:rsid w:val="00440939"/>
    <w:rsid w:val="0044098E"/>
    <w:rsid w:val="004417B7"/>
    <w:rsid w:val="00441FEB"/>
    <w:rsid w:val="00442791"/>
    <w:rsid w:val="004428D0"/>
    <w:rsid w:val="004432EA"/>
    <w:rsid w:val="00443457"/>
    <w:rsid w:val="004439B9"/>
    <w:rsid w:val="00443EF1"/>
    <w:rsid w:val="00443F19"/>
    <w:rsid w:val="0044411E"/>
    <w:rsid w:val="00444185"/>
    <w:rsid w:val="004443A7"/>
    <w:rsid w:val="004443C5"/>
    <w:rsid w:val="0044442C"/>
    <w:rsid w:val="00444BEA"/>
    <w:rsid w:val="004455A7"/>
    <w:rsid w:val="00445941"/>
    <w:rsid w:val="004464EB"/>
    <w:rsid w:val="00446974"/>
    <w:rsid w:val="00446B38"/>
    <w:rsid w:val="00446E40"/>
    <w:rsid w:val="004470BC"/>
    <w:rsid w:val="00447A5E"/>
    <w:rsid w:val="00447AC4"/>
    <w:rsid w:val="00447D26"/>
    <w:rsid w:val="00447DFC"/>
    <w:rsid w:val="004502B2"/>
    <w:rsid w:val="004516D1"/>
    <w:rsid w:val="004517E7"/>
    <w:rsid w:val="004526E6"/>
    <w:rsid w:val="00452B1E"/>
    <w:rsid w:val="0045311D"/>
    <w:rsid w:val="004533CC"/>
    <w:rsid w:val="004535DC"/>
    <w:rsid w:val="004538DC"/>
    <w:rsid w:val="004545B0"/>
    <w:rsid w:val="00454654"/>
    <w:rsid w:val="0045511D"/>
    <w:rsid w:val="004559B0"/>
    <w:rsid w:val="00455CC4"/>
    <w:rsid w:val="00455D45"/>
    <w:rsid w:val="00456483"/>
    <w:rsid w:val="00456705"/>
    <w:rsid w:val="004601E6"/>
    <w:rsid w:val="004607F3"/>
    <w:rsid w:val="004635C9"/>
    <w:rsid w:val="00463D3F"/>
    <w:rsid w:val="00464595"/>
    <w:rsid w:val="00464A0B"/>
    <w:rsid w:val="00464A85"/>
    <w:rsid w:val="004658B5"/>
    <w:rsid w:val="00465E3E"/>
    <w:rsid w:val="00466075"/>
    <w:rsid w:val="0046700C"/>
    <w:rsid w:val="00467BDF"/>
    <w:rsid w:val="00467FBF"/>
    <w:rsid w:val="004707DA"/>
    <w:rsid w:val="00471000"/>
    <w:rsid w:val="00471097"/>
    <w:rsid w:val="00471268"/>
    <w:rsid w:val="00471C1C"/>
    <w:rsid w:val="00471CB7"/>
    <w:rsid w:val="00471EA5"/>
    <w:rsid w:val="00472A79"/>
    <w:rsid w:val="0047338A"/>
    <w:rsid w:val="00473F19"/>
    <w:rsid w:val="004757A2"/>
    <w:rsid w:val="00475B0B"/>
    <w:rsid w:val="00475C5D"/>
    <w:rsid w:val="00475E09"/>
    <w:rsid w:val="00475E22"/>
    <w:rsid w:val="00476A59"/>
    <w:rsid w:val="00476D9C"/>
    <w:rsid w:val="00476E6B"/>
    <w:rsid w:val="00476E9D"/>
    <w:rsid w:val="00476FBE"/>
    <w:rsid w:val="00477395"/>
    <w:rsid w:val="0048088E"/>
    <w:rsid w:val="00480B7E"/>
    <w:rsid w:val="00480F2B"/>
    <w:rsid w:val="00481156"/>
    <w:rsid w:val="0048198A"/>
    <w:rsid w:val="00482384"/>
    <w:rsid w:val="00482720"/>
    <w:rsid w:val="0048294D"/>
    <w:rsid w:val="004835E7"/>
    <w:rsid w:val="0048436B"/>
    <w:rsid w:val="004844FF"/>
    <w:rsid w:val="00484835"/>
    <w:rsid w:val="004849BB"/>
    <w:rsid w:val="00485885"/>
    <w:rsid w:val="004859E1"/>
    <w:rsid w:val="00485AAD"/>
    <w:rsid w:val="00485CFD"/>
    <w:rsid w:val="00486346"/>
    <w:rsid w:val="004867E2"/>
    <w:rsid w:val="00486C3C"/>
    <w:rsid w:val="00486E26"/>
    <w:rsid w:val="00487B0A"/>
    <w:rsid w:val="00490102"/>
    <w:rsid w:val="00490383"/>
    <w:rsid w:val="00490B17"/>
    <w:rsid w:val="00490F38"/>
    <w:rsid w:val="00490F46"/>
    <w:rsid w:val="00491A89"/>
    <w:rsid w:val="00491B3A"/>
    <w:rsid w:val="00492922"/>
    <w:rsid w:val="00492CFD"/>
    <w:rsid w:val="00493BA5"/>
    <w:rsid w:val="00493EFE"/>
    <w:rsid w:val="00494207"/>
    <w:rsid w:val="00494484"/>
    <w:rsid w:val="004945A8"/>
    <w:rsid w:val="004946BB"/>
    <w:rsid w:val="00494C09"/>
    <w:rsid w:val="00494DD5"/>
    <w:rsid w:val="004953C9"/>
    <w:rsid w:val="00495689"/>
    <w:rsid w:val="004958FD"/>
    <w:rsid w:val="00495DE3"/>
    <w:rsid w:val="004962D2"/>
    <w:rsid w:val="00496B55"/>
    <w:rsid w:val="00497289"/>
    <w:rsid w:val="0049776E"/>
    <w:rsid w:val="00497AAD"/>
    <w:rsid w:val="004A0360"/>
    <w:rsid w:val="004A0740"/>
    <w:rsid w:val="004A0D23"/>
    <w:rsid w:val="004A0DA1"/>
    <w:rsid w:val="004A100C"/>
    <w:rsid w:val="004A13D6"/>
    <w:rsid w:val="004A283D"/>
    <w:rsid w:val="004A2F34"/>
    <w:rsid w:val="004A3613"/>
    <w:rsid w:val="004A44B0"/>
    <w:rsid w:val="004A4A97"/>
    <w:rsid w:val="004A52E9"/>
    <w:rsid w:val="004A549F"/>
    <w:rsid w:val="004A5615"/>
    <w:rsid w:val="004A5A0A"/>
    <w:rsid w:val="004A6040"/>
    <w:rsid w:val="004A61A7"/>
    <w:rsid w:val="004A6597"/>
    <w:rsid w:val="004A6734"/>
    <w:rsid w:val="004A68AB"/>
    <w:rsid w:val="004A68BB"/>
    <w:rsid w:val="004A71A8"/>
    <w:rsid w:val="004A73EE"/>
    <w:rsid w:val="004A7416"/>
    <w:rsid w:val="004A7848"/>
    <w:rsid w:val="004A793B"/>
    <w:rsid w:val="004A7EF4"/>
    <w:rsid w:val="004B0ABC"/>
    <w:rsid w:val="004B0C53"/>
    <w:rsid w:val="004B113B"/>
    <w:rsid w:val="004B11EC"/>
    <w:rsid w:val="004B1528"/>
    <w:rsid w:val="004B1868"/>
    <w:rsid w:val="004B18EA"/>
    <w:rsid w:val="004B1CB4"/>
    <w:rsid w:val="004B1DC9"/>
    <w:rsid w:val="004B1E8E"/>
    <w:rsid w:val="004B2E09"/>
    <w:rsid w:val="004B2F18"/>
    <w:rsid w:val="004B3957"/>
    <w:rsid w:val="004B3A0B"/>
    <w:rsid w:val="004B3D3D"/>
    <w:rsid w:val="004B3D8C"/>
    <w:rsid w:val="004B3D97"/>
    <w:rsid w:val="004B3DDB"/>
    <w:rsid w:val="004B402D"/>
    <w:rsid w:val="004B44FD"/>
    <w:rsid w:val="004B4F3F"/>
    <w:rsid w:val="004B50D2"/>
    <w:rsid w:val="004B5986"/>
    <w:rsid w:val="004B5CFC"/>
    <w:rsid w:val="004B6F79"/>
    <w:rsid w:val="004B719C"/>
    <w:rsid w:val="004B7515"/>
    <w:rsid w:val="004B75A5"/>
    <w:rsid w:val="004B774D"/>
    <w:rsid w:val="004B7B13"/>
    <w:rsid w:val="004B7C6E"/>
    <w:rsid w:val="004B7DC0"/>
    <w:rsid w:val="004C17D5"/>
    <w:rsid w:val="004C210B"/>
    <w:rsid w:val="004C2311"/>
    <w:rsid w:val="004C2AC2"/>
    <w:rsid w:val="004C2B56"/>
    <w:rsid w:val="004C2D21"/>
    <w:rsid w:val="004C3B02"/>
    <w:rsid w:val="004C418F"/>
    <w:rsid w:val="004C436F"/>
    <w:rsid w:val="004C4797"/>
    <w:rsid w:val="004C47EA"/>
    <w:rsid w:val="004C48C0"/>
    <w:rsid w:val="004C4A27"/>
    <w:rsid w:val="004C4AED"/>
    <w:rsid w:val="004C4B7F"/>
    <w:rsid w:val="004C4C7D"/>
    <w:rsid w:val="004C4CC1"/>
    <w:rsid w:val="004C4CE5"/>
    <w:rsid w:val="004C554D"/>
    <w:rsid w:val="004C55A1"/>
    <w:rsid w:val="004C570D"/>
    <w:rsid w:val="004C5AAC"/>
    <w:rsid w:val="004C6B2F"/>
    <w:rsid w:val="004C72EE"/>
    <w:rsid w:val="004C732E"/>
    <w:rsid w:val="004C75B8"/>
    <w:rsid w:val="004C77F4"/>
    <w:rsid w:val="004D00D3"/>
    <w:rsid w:val="004D0413"/>
    <w:rsid w:val="004D048B"/>
    <w:rsid w:val="004D08E9"/>
    <w:rsid w:val="004D0FEE"/>
    <w:rsid w:val="004D18CE"/>
    <w:rsid w:val="004D1BA3"/>
    <w:rsid w:val="004D2155"/>
    <w:rsid w:val="004D23F6"/>
    <w:rsid w:val="004D2818"/>
    <w:rsid w:val="004D2C2D"/>
    <w:rsid w:val="004D3556"/>
    <w:rsid w:val="004D4502"/>
    <w:rsid w:val="004D45E5"/>
    <w:rsid w:val="004D475A"/>
    <w:rsid w:val="004D4CDE"/>
    <w:rsid w:val="004D522F"/>
    <w:rsid w:val="004D542C"/>
    <w:rsid w:val="004D56A0"/>
    <w:rsid w:val="004D5A5D"/>
    <w:rsid w:val="004D6064"/>
    <w:rsid w:val="004D69B5"/>
    <w:rsid w:val="004D7227"/>
    <w:rsid w:val="004D7552"/>
    <w:rsid w:val="004D7B5E"/>
    <w:rsid w:val="004D7D62"/>
    <w:rsid w:val="004E0E7F"/>
    <w:rsid w:val="004E0EB8"/>
    <w:rsid w:val="004E1427"/>
    <w:rsid w:val="004E18E9"/>
    <w:rsid w:val="004E190C"/>
    <w:rsid w:val="004E1A93"/>
    <w:rsid w:val="004E1DBD"/>
    <w:rsid w:val="004E2900"/>
    <w:rsid w:val="004E2ADC"/>
    <w:rsid w:val="004E3A44"/>
    <w:rsid w:val="004E3E5F"/>
    <w:rsid w:val="004E3FF9"/>
    <w:rsid w:val="004E4377"/>
    <w:rsid w:val="004E43B2"/>
    <w:rsid w:val="004E44CC"/>
    <w:rsid w:val="004E4570"/>
    <w:rsid w:val="004E4624"/>
    <w:rsid w:val="004E4C92"/>
    <w:rsid w:val="004E4E87"/>
    <w:rsid w:val="004E5019"/>
    <w:rsid w:val="004E6320"/>
    <w:rsid w:val="004E6492"/>
    <w:rsid w:val="004E6989"/>
    <w:rsid w:val="004E71BA"/>
    <w:rsid w:val="004E7359"/>
    <w:rsid w:val="004E7D16"/>
    <w:rsid w:val="004F0692"/>
    <w:rsid w:val="004F087B"/>
    <w:rsid w:val="004F0E31"/>
    <w:rsid w:val="004F171A"/>
    <w:rsid w:val="004F1B88"/>
    <w:rsid w:val="004F1D02"/>
    <w:rsid w:val="004F241A"/>
    <w:rsid w:val="004F2679"/>
    <w:rsid w:val="004F28EF"/>
    <w:rsid w:val="004F2AAA"/>
    <w:rsid w:val="004F2F21"/>
    <w:rsid w:val="004F3CEA"/>
    <w:rsid w:val="004F3D71"/>
    <w:rsid w:val="004F3D86"/>
    <w:rsid w:val="004F3DE5"/>
    <w:rsid w:val="004F3ECA"/>
    <w:rsid w:val="004F4673"/>
    <w:rsid w:val="004F4CC3"/>
    <w:rsid w:val="004F5301"/>
    <w:rsid w:val="004F5A29"/>
    <w:rsid w:val="004F5EC9"/>
    <w:rsid w:val="004F5F4D"/>
    <w:rsid w:val="004F5F51"/>
    <w:rsid w:val="004F5FAB"/>
    <w:rsid w:val="004F6736"/>
    <w:rsid w:val="004F6913"/>
    <w:rsid w:val="004F6DD4"/>
    <w:rsid w:val="004F6ED3"/>
    <w:rsid w:val="004F7865"/>
    <w:rsid w:val="00500961"/>
    <w:rsid w:val="00500FFA"/>
    <w:rsid w:val="00501058"/>
    <w:rsid w:val="0050174E"/>
    <w:rsid w:val="00501854"/>
    <w:rsid w:val="0050219B"/>
    <w:rsid w:val="0050234C"/>
    <w:rsid w:val="00502ED9"/>
    <w:rsid w:val="005031C2"/>
    <w:rsid w:val="00503401"/>
    <w:rsid w:val="005039DB"/>
    <w:rsid w:val="00503DDB"/>
    <w:rsid w:val="00503F17"/>
    <w:rsid w:val="00503F3A"/>
    <w:rsid w:val="0050450D"/>
    <w:rsid w:val="00504D16"/>
    <w:rsid w:val="00505064"/>
    <w:rsid w:val="0050533B"/>
    <w:rsid w:val="0050546B"/>
    <w:rsid w:val="00506241"/>
    <w:rsid w:val="00506815"/>
    <w:rsid w:val="00506928"/>
    <w:rsid w:val="00506BF2"/>
    <w:rsid w:val="00507536"/>
    <w:rsid w:val="0050753D"/>
    <w:rsid w:val="005077EF"/>
    <w:rsid w:val="0051012F"/>
    <w:rsid w:val="00510BB6"/>
    <w:rsid w:val="00511AD5"/>
    <w:rsid w:val="00511BDE"/>
    <w:rsid w:val="00511DC7"/>
    <w:rsid w:val="005121B1"/>
    <w:rsid w:val="00513241"/>
    <w:rsid w:val="00513284"/>
    <w:rsid w:val="005142C5"/>
    <w:rsid w:val="00514444"/>
    <w:rsid w:val="0051463E"/>
    <w:rsid w:val="005149BE"/>
    <w:rsid w:val="00514C4A"/>
    <w:rsid w:val="0051501B"/>
    <w:rsid w:val="0051525E"/>
    <w:rsid w:val="005152B5"/>
    <w:rsid w:val="00515380"/>
    <w:rsid w:val="0051550D"/>
    <w:rsid w:val="00515563"/>
    <w:rsid w:val="005156F9"/>
    <w:rsid w:val="00515886"/>
    <w:rsid w:val="00516C8A"/>
    <w:rsid w:val="00516DA0"/>
    <w:rsid w:val="00516E58"/>
    <w:rsid w:val="00517171"/>
    <w:rsid w:val="005178E2"/>
    <w:rsid w:val="005209B6"/>
    <w:rsid w:val="00521102"/>
    <w:rsid w:val="0052123C"/>
    <w:rsid w:val="005212EC"/>
    <w:rsid w:val="00521319"/>
    <w:rsid w:val="00521E4B"/>
    <w:rsid w:val="00522385"/>
    <w:rsid w:val="005228F6"/>
    <w:rsid w:val="00522BC8"/>
    <w:rsid w:val="00523285"/>
    <w:rsid w:val="00523C28"/>
    <w:rsid w:val="0052423C"/>
    <w:rsid w:val="00524BAA"/>
    <w:rsid w:val="005254F8"/>
    <w:rsid w:val="005257A7"/>
    <w:rsid w:val="005262AA"/>
    <w:rsid w:val="00526781"/>
    <w:rsid w:val="00526B0C"/>
    <w:rsid w:val="005275F3"/>
    <w:rsid w:val="0053007A"/>
    <w:rsid w:val="00530531"/>
    <w:rsid w:val="00531066"/>
    <w:rsid w:val="00531090"/>
    <w:rsid w:val="005310B9"/>
    <w:rsid w:val="0053176B"/>
    <w:rsid w:val="005319F5"/>
    <w:rsid w:val="00531CF6"/>
    <w:rsid w:val="00531D1D"/>
    <w:rsid w:val="005330F6"/>
    <w:rsid w:val="00533441"/>
    <w:rsid w:val="0053375C"/>
    <w:rsid w:val="00533969"/>
    <w:rsid w:val="005341B3"/>
    <w:rsid w:val="00534391"/>
    <w:rsid w:val="00534699"/>
    <w:rsid w:val="00534BF5"/>
    <w:rsid w:val="00534EF1"/>
    <w:rsid w:val="00535F18"/>
    <w:rsid w:val="005365FF"/>
    <w:rsid w:val="00536F42"/>
    <w:rsid w:val="00536FBD"/>
    <w:rsid w:val="00537182"/>
    <w:rsid w:val="00537458"/>
    <w:rsid w:val="005377FD"/>
    <w:rsid w:val="00540394"/>
    <w:rsid w:val="00540617"/>
    <w:rsid w:val="00540A3D"/>
    <w:rsid w:val="00540DC3"/>
    <w:rsid w:val="0054108B"/>
    <w:rsid w:val="005412A7"/>
    <w:rsid w:val="00541347"/>
    <w:rsid w:val="00541EDD"/>
    <w:rsid w:val="00542391"/>
    <w:rsid w:val="00542743"/>
    <w:rsid w:val="00542C2D"/>
    <w:rsid w:val="00542E5A"/>
    <w:rsid w:val="00543600"/>
    <w:rsid w:val="00543AD3"/>
    <w:rsid w:val="00543B27"/>
    <w:rsid w:val="00543D2E"/>
    <w:rsid w:val="00543DB1"/>
    <w:rsid w:val="005440E5"/>
    <w:rsid w:val="00544172"/>
    <w:rsid w:val="00544AC8"/>
    <w:rsid w:val="00544AE4"/>
    <w:rsid w:val="00544D17"/>
    <w:rsid w:val="00545029"/>
    <w:rsid w:val="00545185"/>
    <w:rsid w:val="00545827"/>
    <w:rsid w:val="005467F2"/>
    <w:rsid w:val="00546D32"/>
    <w:rsid w:val="005475BD"/>
    <w:rsid w:val="005478BD"/>
    <w:rsid w:val="005479E3"/>
    <w:rsid w:val="0055087C"/>
    <w:rsid w:val="00550B55"/>
    <w:rsid w:val="00550C93"/>
    <w:rsid w:val="005511E5"/>
    <w:rsid w:val="005512E7"/>
    <w:rsid w:val="00551985"/>
    <w:rsid w:val="00552295"/>
    <w:rsid w:val="005523A0"/>
    <w:rsid w:val="00552BD3"/>
    <w:rsid w:val="00553010"/>
    <w:rsid w:val="005532A0"/>
    <w:rsid w:val="00553646"/>
    <w:rsid w:val="00554D1D"/>
    <w:rsid w:val="00555109"/>
    <w:rsid w:val="005552D7"/>
    <w:rsid w:val="00555C1C"/>
    <w:rsid w:val="00556175"/>
    <w:rsid w:val="00556353"/>
    <w:rsid w:val="00556B35"/>
    <w:rsid w:val="00556C31"/>
    <w:rsid w:val="0055725E"/>
    <w:rsid w:val="0055741A"/>
    <w:rsid w:val="005577E5"/>
    <w:rsid w:val="005578A8"/>
    <w:rsid w:val="0056017E"/>
    <w:rsid w:val="0056024C"/>
    <w:rsid w:val="00560811"/>
    <w:rsid w:val="005611B7"/>
    <w:rsid w:val="005618D4"/>
    <w:rsid w:val="005618F9"/>
    <w:rsid w:val="005625F7"/>
    <w:rsid w:val="00562F30"/>
    <w:rsid w:val="005636CF"/>
    <w:rsid w:val="00564867"/>
    <w:rsid w:val="005655E1"/>
    <w:rsid w:val="00565C79"/>
    <w:rsid w:val="00565CC8"/>
    <w:rsid w:val="00565DF0"/>
    <w:rsid w:val="0056696F"/>
    <w:rsid w:val="00566980"/>
    <w:rsid w:val="0056701A"/>
    <w:rsid w:val="005670E8"/>
    <w:rsid w:val="00567DBF"/>
    <w:rsid w:val="00567F50"/>
    <w:rsid w:val="005700F9"/>
    <w:rsid w:val="00572090"/>
    <w:rsid w:val="00572269"/>
    <w:rsid w:val="0057244A"/>
    <w:rsid w:val="00572500"/>
    <w:rsid w:val="00572803"/>
    <w:rsid w:val="00572CB9"/>
    <w:rsid w:val="00572F26"/>
    <w:rsid w:val="005733CF"/>
    <w:rsid w:val="005735A6"/>
    <w:rsid w:val="00573D11"/>
    <w:rsid w:val="005749BB"/>
    <w:rsid w:val="00574B1B"/>
    <w:rsid w:val="005750C5"/>
    <w:rsid w:val="00575147"/>
    <w:rsid w:val="005752DE"/>
    <w:rsid w:val="00575568"/>
    <w:rsid w:val="00575D60"/>
    <w:rsid w:val="00575D8D"/>
    <w:rsid w:val="00575F27"/>
    <w:rsid w:val="005760FC"/>
    <w:rsid w:val="00576264"/>
    <w:rsid w:val="00576972"/>
    <w:rsid w:val="00576D16"/>
    <w:rsid w:val="00577248"/>
    <w:rsid w:val="00577A14"/>
    <w:rsid w:val="005801FE"/>
    <w:rsid w:val="00580AFA"/>
    <w:rsid w:val="00581384"/>
    <w:rsid w:val="00581F48"/>
    <w:rsid w:val="00582615"/>
    <w:rsid w:val="005830DE"/>
    <w:rsid w:val="00583699"/>
    <w:rsid w:val="00583B38"/>
    <w:rsid w:val="00583C15"/>
    <w:rsid w:val="00583D0D"/>
    <w:rsid w:val="00583FD6"/>
    <w:rsid w:val="00584710"/>
    <w:rsid w:val="00585CDD"/>
    <w:rsid w:val="00585DB0"/>
    <w:rsid w:val="00585ED2"/>
    <w:rsid w:val="00586755"/>
    <w:rsid w:val="00586893"/>
    <w:rsid w:val="005868DF"/>
    <w:rsid w:val="00586C92"/>
    <w:rsid w:val="00587058"/>
    <w:rsid w:val="00587FC3"/>
    <w:rsid w:val="005914EB"/>
    <w:rsid w:val="00591698"/>
    <w:rsid w:val="0059182E"/>
    <w:rsid w:val="00591957"/>
    <w:rsid w:val="00592097"/>
    <w:rsid w:val="0059261D"/>
    <w:rsid w:val="005928A9"/>
    <w:rsid w:val="0059305B"/>
    <w:rsid w:val="005931A8"/>
    <w:rsid w:val="00593363"/>
    <w:rsid w:val="00594E0A"/>
    <w:rsid w:val="005952AC"/>
    <w:rsid w:val="0059537E"/>
    <w:rsid w:val="005954E2"/>
    <w:rsid w:val="005958B4"/>
    <w:rsid w:val="005959CE"/>
    <w:rsid w:val="00596738"/>
    <w:rsid w:val="00596CEF"/>
    <w:rsid w:val="00596D33"/>
    <w:rsid w:val="00597BF9"/>
    <w:rsid w:val="00597F0C"/>
    <w:rsid w:val="005A01FA"/>
    <w:rsid w:val="005A0834"/>
    <w:rsid w:val="005A0A16"/>
    <w:rsid w:val="005A0C11"/>
    <w:rsid w:val="005A0C4C"/>
    <w:rsid w:val="005A1A0D"/>
    <w:rsid w:val="005A1BED"/>
    <w:rsid w:val="005A1C3A"/>
    <w:rsid w:val="005A1CB5"/>
    <w:rsid w:val="005A1D05"/>
    <w:rsid w:val="005A2283"/>
    <w:rsid w:val="005A309A"/>
    <w:rsid w:val="005A310B"/>
    <w:rsid w:val="005A373D"/>
    <w:rsid w:val="005A3AFF"/>
    <w:rsid w:val="005A3CD5"/>
    <w:rsid w:val="005A43B8"/>
    <w:rsid w:val="005A4418"/>
    <w:rsid w:val="005A4A11"/>
    <w:rsid w:val="005A5A7C"/>
    <w:rsid w:val="005A5AD9"/>
    <w:rsid w:val="005A6044"/>
    <w:rsid w:val="005A68FA"/>
    <w:rsid w:val="005A6AEC"/>
    <w:rsid w:val="005A6C7E"/>
    <w:rsid w:val="005A6E9E"/>
    <w:rsid w:val="005A74F2"/>
    <w:rsid w:val="005A7A70"/>
    <w:rsid w:val="005A7CE5"/>
    <w:rsid w:val="005A7E47"/>
    <w:rsid w:val="005A7EB7"/>
    <w:rsid w:val="005B04B1"/>
    <w:rsid w:val="005B0B58"/>
    <w:rsid w:val="005B1514"/>
    <w:rsid w:val="005B164D"/>
    <w:rsid w:val="005B25FB"/>
    <w:rsid w:val="005B28B4"/>
    <w:rsid w:val="005B2A74"/>
    <w:rsid w:val="005B3A03"/>
    <w:rsid w:val="005B419F"/>
    <w:rsid w:val="005B4E53"/>
    <w:rsid w:val="005B5857"/>
    <w:rsid w:val="005B6461"/>
    <w:rsid w:val="005B6AC6"/>
    <w:rsid w:val="005B6ED8"/>
    <w:rsid w:val="005B7A31"/>
    <w:rsid w:val="005B7AEB"/>
    <w:rsid w:val="005B7E38"/>
    <w:rsid w:val="005C0D4F"/>
    <w:rsid w:val="005C132D"/>
    <w:rsid w:val="005C19C4"/>
    <w:rsid w:val="005C1B83"/>
    <w:rsid w:val="005C24D5"/>
    <w:rsid w:val="005C25FF"/>
    <w:rsid w:val="005C2C86"/>
    <w:rsid w:val="005C2D55"/>
    <w:rsid w:val="005C3236"/>
    <w:rsid w:val="005C346B"/>
    <w:rsid w:val="005C4837"/>
    <w:rsid w:val="005C4A40"/>
    <w:rsid w:val="005C4B36"/>
    <w:rsid w:val="005C558A"/>
    <w:rsid w:val="005C5A63"/>
    <w:rsid w:val="005C5ABC"/>
    <w:rsid w:val="005C61BD"/>
    <w:rsid w:val="005C681D"/>
    <w:rsid w:val="005C6827"/>
    <w:rsid w:val="005C6A41"/>
    <w:rsid w:val="005C6D14"/>
    <w:rsid w:val="005C73C1"/>
    <w:rsid w:val="005D044D"/>
    <w:rsid w:val="005D09FD"/>
    <w:rsid w:val="005D0ABA"/>
    <w:rsid w:val="005D0ABD"/>
    <w:rsid w:val="005D15F5"/>
    <w:rsid w:val="005D18AD"/>
    <w:rsid w:val="005D18D3"/>
    <w:rsid w:val="005D198B"/>
    <w:rsid w:val="005D26B4"/>
    <w:rsid w:val="005D27FF"/>
    <w:rsid w:val="005D2D15"/>
    <w:rsid w:val="005D2F71"/>
    <w:rsid w:val="005D32E3"/>
    <w:rsid w:val="005D39E4"/>
    <w:rsid w:val="005D4EC5"/>
    <w:rsid w:val="005D54FB"/>
    <w:rsid w:val="005D5C58"/>
    <w:rsid w:val="005D61B9"/>
    <w:rsid w:val="005D63DF"/>
    <w:rsid w:val="005D67F3"/>
    <w:rsid w:val="005D7202"/>
    <w:rsid w:val="005D75E8"/>
    <w:rsid w:val="005D7CFB"/>
    <w:rsid w:val="005E0269"/>
    <w:rsid w:val="005E04DE"/>
    <w:rsid w:val="005E0D11"/>
    <w:rsid w:val="005E104E"/>
    <w:rsid w:val="005E10C4"/>
    <w:rsid w:val="005E1995"/>
    <w:rsid w:val="005E2546"/>
    <w:rsid w:val="005E2646"/>
    <w:rsid w:val="005E2930"/>
    <w:rsid w:val="005E2BEF"/>
    <w:rsid w:val="005E3543"/>
    <w:rsid w:val="005E382C"/>
    <w:rsid w:val="005E4386"/>
    <w:rsid w:val="005E4D21"/>
    <w:rsid w:val="005E536A"/>
    <w:rsid w:val="005E69C5"/>
    <w:rsid w:val="005E6CBC"/>
    <w:rsid w:val="005E72FF"/>
    <w:rsid w:val="005E73C0"/>
    <w:rsid w:val="005E75D0"/>
    <w:rsid w:val="005E78D9"/>
    <w:rsid w:val="005E7E7E"/>
    <w:rsid w:val="005F07ED"/>
    <w:rsid w:val="005F1634"/>
    <w:rsid w:val="005F1A53"/>
    <w:rsid w:val="005F1E78"/>
    <w:rsid w:val="005F2034"/>
    <w:rsid w:val="005F2706"/>
    <w:rsid w:val="005F3E50"/>
    <w:rsid w:val="005F3FBC"/>
    <w:rsid w:val="005F4F05"/>
    <w:rsid w:val="005F5F6D"/>
    <w:rsid w:val="005F6414"/>
    <w:rsid w:val="005F6A8F"/>
    <w:rsid w:val="005F6BB7"/>
    <w:rsid w:val="005F6BDA"/>
    <w:rsid w:val="005F7152"/>
    <w:rsid w:val="005F7588"/>
    <w:rsid w:val="005F7DC5"/>
    <w:rsid w:val="005F7FBB"/>
    <w:rsid w:val="00600626"/>
    <w:rsid w:val="00600BB9"/>
    <w:rsid w:val="00601D0F"/>
    <w:rsid w:val="006028D3"/>
    <w:rsid w:val="00602B2D"/>
    <w:rsid w:val="006034E6"/>
    <w:rsid w:val="006039BA"/>
    <w:rsid w:val="00603DB9"/>
    <w:rsid w:val="00604324"/>
    <w:rsid w:val="0060444A"/>
    <w:rsid w:val="0060485D"/>
    <w:rsid w:val="00605267"/>
    <w:rsid w:val="006058D8"/>
    <w:rsid w:val="00605C4A"/>
    <w:rsid w:val="00605C85"/>
    <w:rsid w:val="006065AF"/>
    <w:rsid w:val="006067C9"/>
    <w:rsid w:val="0060680F"/>
    <w:rsid w:val="006069EA"/>
    <w:rsid w:val="006069ED"/>
    <w:rsid w:val="00606D98"/>
    <w:rsid w:val="00606FBA"/>
    <w:rsid w:val="0060708D"/>
    <w:rsid w:val="006071EC"/>
    <w:rsid w:val="006073FE"/>
    <w:rsid w:val="00607669"/>
    <w:rsid w:val="006076F4"/>
    <w:rsid w:val="00607AFD"/>
    <w:rsid w:val="00607B7D"/>
    <w:rsid w:val="00607F70"/>
    <w:rsid w:val="00610683"/>
    <w:rsid w:val="006114D7"/>
    <w:rsid w:val="00611B12"/>
    <w:rsid w:val="00612F97"/>
    <w:rsid w:val="00612FE6"/>
    <w:rsid w:val="006132CA"/>
    <w:rsid w:val="0061341B"/>
    <w:rsid w:val="0061345D"/>
    <w:rsid w:val="00613B63"/>
    <w:rsid w:val="00614233"/>
    <w:rsid w:val="0061454F"/>
    <w:rsid w:val="00614817"/>
    <w:rsid w:val="0061481C"/>
    <w:rsid w:val="006149BF"/>
    <w:rsid w:val="00614E7A"/>
    <w:rsid w:val="00614EF7"/>
    <w:rsid w:val="0061513A"/>
    <w:rsid w:val="006151F3"/>
    <w:rsid w:val="00615474"/>
    <w:rsid w:val="0061549B"/>
    <w:rsid w:val="00615927"/>
    <w:rsid w:val="00615E3C"/>
    <w:rsid w:val="0061663F"/>
    <w:rsid w:val="00616772"/>
    <w:rsid w:val="00616802"/>
    <w:rsid w:val="00616B59"/>
    <w:rsid w:val="00616F57"/>
    <w:rsid w:val="006176F1"/>
    <w:rsid w:val="006178FB"/>
    <w:rsid w:val="00617E12"/>
    <w:rsid w:val="006200B1"/>
    <w:rsid w:val="00620C25"/>
    <w:rsid w:val="00620F28"/>
    <w:rsid w:val="00621023"/>
    <w:rsid w:val="006211C9"/>
    <w:rsid w:val="00621477"/>
    <w:rsid w:val="0062188F"/>
    <w:rsid w:val="00621ADA"/>
    <w:rsid w:val="00621D8F"/>
    <w:rsid w:val="006221FA"/>
    <w:rsid w:val="00622A04"/>
    <w:rsid w:val="00622FF4"/>
    <w:rsid w:val="00623A4B"/>
    <w:rsid w:val="00623F7B"/>
    <w:rsid w:val="00624070"/>
    <w:rsid w:val="006240B1"/>
    <w:rsid w:val="00624575"/>
    <w:rsid w:val="00624BD4"/>
    <w:rsid w:val="006256A6"/>
    <w:rsid w:val="0062584A"/>
    <w:rsid w:val="0062665A"/>
    <w:rsid w:val="006270A9"/>
    <w:rsid w:val="0062718B"/>
    <w:rsid w:val="00630475"/>
    <w:rsid w:val="0063158F"/>
    <w:rsid w:val="00631CF4"/>
    <w:rsid w:val="00631D6B"/>
    <w:rsid w:val="00632183"/>
    <w:rsid w:val="006321C5"/>
    <w:rsid w:val="00632B3D"/>
    <w:rsid w:val="00632DF1"/>
    <w:rsid w:val="00632EB6"/>
    <w:rsid w:val="006330A1"/>
    <w:rsid w:val="006332FA"/>
    <w:rsid w:val="0063352E"/>
    <w:rsid w:val="00633D49"/>
    <w:rsid w:val="00634002"/>
    <w:rsid w:val="0063403C"/>
    <w:rsid w:val="00634217"/>
    <w:rsid w:val="00634455"/>
    <w:rsid w:val="0063456B"/>
    <w:rsid w:val="0063479F"/>
    <w:rsid w:val="00634DBC"/>
    <w:rsid w:val="006353F0"/>
    <w:rsid w:val="006355A0"/>
    <w:rsid w:val="006357B5"/>
    <w:rsid w:val="00635905"/>
    <w:rsid w:val="00635F6E"/>
    <w:rsid w:val="006364A1"/>
    <w:rsid w:val="0063678E"/>
    <w:rsid w:val="006368BB"/>
    <w:rsid w:val="00636E23"/>
    <w:rsid w:val="00636E6D"/>
    <w:rsid w:val="006374D4"/>
    <w:rsid w:val="00637BFD"/>
    <w:rsid w:val="00637C5C"/>
    <w:rsid w:val="006400A6"/>
    <w:rsid w:val="0064030D"/>
    <w:rsid w:val="00640629"/>
    <w:rsid w:val="006408CD"/>
    <w:rsid w:val="00641231"/>
    <w:rsid w:val="0064131D"/>
    <w:rsid w:val="006414B1"/>
    <w:rsid w:val="00641C4E"/>
    <w:rsid w:val="00641FB3"/>
    <w:rsid w:val="00643153"/>
    <w:rsid w:val="0064366C"/>
    <w:rsid w:val="006439A7"/>
    <w:rsid w:val="00643A02"/>
    <w:rsid w:val="0064434C"/>
    <w:rsid w:val="006446C6"/>
    <w:rsid w:val="00645015"/>
    <w:rsid w:val="00645412"/>
    <w:rsid w:val="00645645"/>
    <w:rsid w:val="00645839"/>
    <w:rsid w:val="00645E23"/>
    <w:rsid w:val="00645F78"/>
    <w:rsid w:val="00646BEA"/>
    <w:rsid w:val="006471CC"/>
    <w:rsid w:val="006472FE"/>
    <w:rsid w:val="006474A7"/>
    <w:rsid w:val="00647A29"/>
    <w:rsid w:val="00647F05"/>
    <w:rsid w:val="0065079F"/>
    <w:rsid w:val="00650CF5"/>
    <w:rsid w:val="00650E82"/>
    <w:rsid w:val="00650F98"/>
    <w:rsid w:val="00651515"/>
    <w:rsid w:val="0065169E"/>
    <w:rsid w:val="006517F5"/>
    <w:rsid w:val="00651E49"/>
    <w:rsid w:val="00651E4E"/>
    <w:rsid w:val="00651F7F"/>
    <w:rsid w:val="0065241F"/>
    <w:rsid w:val="00652A28"/>
    <w:rsid w:val="0065379F"/>
    <w:rsid w:val="006542F5"/>
    <w:rsid w:val="006543F9"/>
    <w:rsid w:val="00654992"/>
    <w:rsid w:val="00654BDE"/>
    <w:rsid w:val="006550B3"/>
    <w:rsid w:val="006555F0"/>
    <w:rsid w:val="0065582C"/>
    <w:rsid w:val="00656188"/>
    <w:rsid w:val="00656670"/>
    <w:rsid w:val="00656C46"/>
    <w:rsid w:val="00656F77"/>
    <w:rsid w:val="0065715A"/>
    <w:rsid w:val="006606DE"/>
    <w:rsid w:val="00660749"/>
    <w:rsid w:val="00660A87"/>
    <w:rsid w:val="00660D0B"/>
    <w:rsid w:val="006610F1"/>
    <w:rsid w:val="006612BF"/>
    <w:rsid w:val="0066141A"/>
    <w:rsid w:val="006617C5"/>
    <w:rsid w:val="00661C6B"/>
    <w:rsid w:val="0066241A"/>
    <w:rsid w:val="00662880"/>
    <w:rsid w:val="00662D3E"/>
    <w:rsid w:val="006635F6"/>
    <w:rsid w:val="00663C17"/>
    <w:rsid w:val="00664691"/>
    <w:rsid w:val="00664789"/>
    <w:rsid w:val="00664792"/>
    <w:rsid w:val="0066497B"/>
    <w:rsid w:val="00665347"/>
    <w:rsid w:val="006653D3"/>
    <w:rsid w:val="00665E1C"/>
    <w:rsid w:val="00666775"/>
    <w:rsid w:val="00666CF6"/>
    <w:rsid w:val="00667BE3"/>
    <w:rsid w:val="00670596"/>
    <w:rsid w:val="00670DA7"/>
    <w:rsid w:val="00671004"/>
    <w:rsid w:val="00671659"/>
    <w:rsid w:val="00671943"/>
    <w:rsid w:val="00671BEB"/>
    <w:rsid w:val="0067221E"/>
    <w:rsid w:val="006723CA"/>
    <w:rsid w:val="00672646"/>
    <w:rsid w:val="006726A5"/>
    <w:rsid w:val="00672920"/>
    <w:rsid w:val="00672A2E"/>
    <w:rsid w:val="00673489"/>
    <w:rsid w:val="00673504"/>
    <w:rsid w:val="0067379B"/>
    <w:rsid w:val="00674154"/>
    <w:rsid w:val="00674157"/>
    <w:rsid w:val="006741A0"/>
    <w:rsid w:val="00674E42"/>
    <w:rsid w:val="006753B0"/>
    <w:rsid w:val="00676563"/>
    <w:rsid w:val="006769AC"/>
    <w:rsid w:val="006772FD"/>
    <w:rsid w:val="006800C0"/>
    <w:rsid w:val="00680236"/>
    <w:rsid w:val="00680698"/>
    <w:rsid w:val="006806BB"/>
    <w:rsid w:val="006807E1"/>
    <w:rsid w:val="00680AE6"/>
    <w:rsid w:val="00680B64"/>
    <w:rsid w:val="006812AB"/>
    <w:rsid w:val="006813F8"/>
    <w:rsid w:val="00681E17"/>
    <w:rsid w:val="00682112"/>
    <w:rsid w:val="00682300"/>
    <w:rsid w:val="0068237B"/>
    <w:rsid w:val="006825A4"/>
    <w:rsid w:val="00682679"/>
    <w:rsid w:val="006827FB"/>
    <w:rsid w:val="00682BA6"/>
    <w:rsid w:val="00683AB5"/>
    <w:rsid w:val="006844D9"/>
    <w:rsid w:val="00684A13"/>
    <w:rsid w:val="00685B17"/>
    <w:rsid w:val="00685C92"/>
    <w:rsid w:val="0068604A"/>
    <w:rsid w:val="0068673B"/>
    <w:rsid w:val="00686957"/>
    <w:rsid w:val="00686CD9"/>
    <w:rsid w:val="006872BA"/>
    <w:rsid w:val="006873B1"/>
    <w:rsid w:val="00687E4F"/>
    <w:rsid w:val="00690795"/>
    <w:rsid w:val="00691195"/>
    <w:rsid w:val="006915EB"/>
    <w:rsid w:val="00691648"/>
    <w:rsid w:val="006917D7"/>
    <w:rsid w:val="00691D75"/>
    <w:rsid w:val="00692592"/>
    <w:rsid w:val="00692858"/>
    <w:rsid w:val="00693144"/>
    <w:rsid w:val="00693A8D"/>
    <w:rsid w:val="00693BFE"/>
    <w:rsid w:val="00693D49"/>
    <w:rsid w:val="00693E31"/>
    <w:rsid w:val="0069434C"/>
    <w:rsid w:val="006948B7"/>
    <w:rsid w:val="006948BC"/>
    <w:rsid w:val="006948C0"/>
    <w:rsid w:val="00694EFF"/>
    <w:rsid w:val="00694F44"/>
    <w:rsid w:val="00695371"/>
    <w:rsid w:val="006955EC"/>
    <w:rsid w:val="0069628D"/>
    <w:rsid w:val="00696436"/>
    <w:rsid w:val="006966AF"/>
    <w:rsid w:val="00696770"/>
    <w:rsid w:val="00696B70"/>
    <w:rsid w:val="00696EF9"/>
    <w:rsid w:val="00696F51"/>
    <w:rsid w:val="006970EB"/>
    <w:rsid w:val="00697118"/>
    <w:rsid w:val="006979A5"/>
    <w:rsid w:val="00697ABF"/>
    <w:rsid w:val="006A016F"/>
    <w:rsid w:val="006A071E"/>
    <w:rsid w:val="006A073E"/>
    <w:rsid w:val="006A0DF7"/>
    <w:rsid w:val="006A1157"/>
    <w:rsid w:val="006A1549"/>
    <w:rsid w:val="006A1574"/>
    <w:rsid w:val="006A2B09"/>
    <w:rsid w:val="006A2B90"/>
    <w:rsid w:val="006A31AB"/>
    <w:rsid w:val="006A3B06"/>
    <w:rsid w:val="006A3DFA"/>
    <w:rsid w:val="006A4200"/>
    <w:rsid w:val="006A4321"/>
    <w:rsid w:val="006A43D9"/>
    <w:rsid w:val="006A481E"/>
    <w:rsid w:val="006A5E35"/>
    <w:rsid w:val="006A6B99"/>
    <w:rsid w:val="006A7081"/>
    <w:rsid w:val="006A7906"/>
    <w:rsid w:val="006A7D31"/>
    <w:rsid w:val="006A7E5F"/>
    <w:rsid w:val="006B007A"/>
    <w:rsid w:val="006B0497"/>
    <w:rsid w:val="006B0B19"/>
    <w:rsid w:val="006B0FA5"/>
    <w:rsid w:val="006B148E"/>
    <w:rsid w:val="006B1634"/>
    <w:rsid w:val="006B1895"/>
    <w:rsid w:val="006B1902"/>
    <w:rsid w:val="006B21A5"/>
    <w:rsid w:val="006B248E"/>
    <w:rsid w:val="006B2503"/>
    <w:rsid w:val="006B261B"/>
    <w:rsid w:val="006B2C90"/>
    <w:rsid w:val="006B3446"/>
    <w:rsid w:val="006B35E6"/>
    <w:rsid w:val="006B3907"/>
    <w:rsid w:val="006B465A"/>
    <w:rsid w:val="006B4B2B"/>
    <w:rsid w:val="006B4B86"/>
    <w:rsid w:val="006B4C61"/>
    <w:rsid w:val="006B508B"/>
    <w:rsid w:val="006B5571"/>
    <w:rsid w:val="006B596C"/>
    <w:rsid w:val="006B6DD0"/>
    <w:rsid w:val="006B6EE6"/>
    <w:rsid w:val="006B7C0F"/>
    <w:rsid w:val="006B7FB8"/>
    <w:rsid w:val="006C00B6"/>
    <w:rsid w:val="006C0138"/>
    <w:rsid w:val="006C0399"/>
    <w:rsid w:val="006C140A"/>
    <w:rsid w:val="006C1A36"/>
    <w:rsid w:val="006C1AB4"/>
    <w:rsid w:val="006C1E3F"/>
    <w:rsid w:val="006C2A8E"/>
    <w:rsid w:val="006C3255"/>
    <w:rsid w:val="006C3F26"/>
    <w:rsid w:val="006C4293"/>
    <w:rsid w:val="006C5E36"/>
    <w:rsid w:val="006C62AF"/>
    <w:rsid w:val="006C6765"/>
    <w:rsid w:val="006C7265"/>
    <w:rsid w:val="006D0024"/>
    <w:rsid w:val="006D026F"/>
    <w:rsid w:val="006D07E8"/>
    <w:rsid w:val="006D0A6D"/>
    <w:rsid w:val="006D0D17"/>
    <w:rsid w:val="006D1236"/>
    <w:rsid w:val="006D12CE"/>
    <w:rsid w:val="006D1979"/>
    <w:rsid w:val="006D1AD7"/>
    <w:rsid w:val="006D22E9"/>
    <w:rsid w:val="006D23C6"/>
    <w:rsid w:val="006D2426"/>
    <w:rsid w:val="006D274A"/>
    <w:rsid w:val="006D3A83"/>
    <w:rsid w:val="006D3C7D"/>
    <w:rsid w:val="006D4659"/>
    <w:rsid w:val="006D4B38"/>
    <w:rsid w:val="006D4CE8"/>
    <w:rsid w:val="006D4D1E"/>
    <w:rsid w:val="006D4E15"/>
    <w:rsid w:val="006D5C0B"/>
    <w:rsid w:val="006D5D5F"/>
    <w:rsid w:val="006D678B"/>
    <w:rsid w:val="006D68FB"/>
    <w:rsid w:val="006D75D3"/>
    <w:rsid w:val="006D788E"/>
    <w:rsid w:val="006D7B6D"/>
    <w:rsid w:val="006D7D90"/>
    <w:rsid w:val="006E0320"/>
    <w:rsid w:val="006E08C4"/>
    <w:rsid w:val="006E0F45"/>
    <w:rsid w:val="006E1DC7"/>
    <w:rsid w:val="006E2453"/>
    <w:rsid w:val="006E2868"/>
    <w:rsid w:val="006E305D"/>
    <w:rsid w:val="006E33F6"/>
    <w:rsid w:val="006E35AD"/>
    <w:rsid w:val="006E3729"/>
    <w:rsid w:val="006E3AEF"/>
    <w:rsid w:val="006E43B9"/>
    <w:rsid w:val="006E484D"/>
    <w:rsid w:val="006E55A6"/>
    <w:rsid w:val="006E70AF"/>
    <w:rsid w:val="006F0D3B"/>
    <w:rsid w:val="006F1652"/>
    <w:rsid w:val="006F16FC"/>
    <w:rsid w:val="006F178A"/>
    <w:rsid w:val="006F1DD4"/>
    <w:rsid w:val="006F2617"/>
    <w:rsid w:val="006F2FE6"/>
    <w:rsid w:val="006F306C"/>
    <w:rsid w:val="006F348F"/>
    <w:rsid w:val="006F3E0F"/>
    <w:rsid w:val="006F4CBE"/>
    <w:rsid w:val="006F4CDA"/>
    <w:rsid w:val="006F5C90"/>
    <w:rsid w:val="006F635E"/>
    <w:rsid w:val="006F63A5"/>
    <w:rsid w:val="006F649E"/>
    <w:rsid w:val="006F6B1C"/>
    <w:rsid w:val="006F7021"/>
    <w:rsid w:val="006F72DF"/>
    <w:rsid w:val="006F784F"/>
    <w:rsid w:val="006F7A08"/>
    <w:rsid w:val="00700013"/>
    <w:rsid w:val="00700134"/>
    <w:rsid w:val="0070039D"/>
    <w:rsid w:val="007005F0"/>
    <w:rsid w:val="00700CEA"/>
    <w:rsid w:val="0070142B"/>
    <w:rsid w:val="007017B0"/>
    <w:rsid w:val="00701863"/>
    <w:rsid w:val="007019A4"/>
    <w:rsid w:val="00701A0A"/>
    <w:rsid w:val="007025D8"/>
    <w:rsid w:val="00702684"/>
    <w:rsid w:val="0070276E"/>
    <w:rsid w:val="007029B4"/>
    <w:rsid w:val="00702F2C"/>
    <w:rsid w:val="00702F8F"/>
    <w:rsid w:val="00703881"/>
    <w:rsid w:val="007041F6"/>
    <w:rsid w:val="00704380"/>
    <w:rsid w:val="00704543"/>
    <w:rsid w:val="007050CC"/>
    <w:rsid w:val="007054EA"/>
    <w:rsid w:val="00705EAB"/>
    <w:rsid w:val="0070653C"/>
    <w:rsid w:val="0070694A"/>
    <w:rsid w:val="007069E3"/>
    <w:rsid w:val="007079FC"/>
    <w:rsid w:val="00707DFC"/>
    <w:rsid w:val="0071019A"/>
    <w:rsid w:val="00710348"/>
    <w:rsid w:val="00710360"/>
    <w:rsid w:val="007107E2"/>
    <w:rsid w:val="00710ED4"/>
    <w:rsid w:val="007111B0"/>
    <w:rsid w:val="007112AD"/>
    <w:rsid w:val="0071138E"/>
    <w:rsid w:val="00711555"/>
    <w:rsid w:val="00711A36"/>
    <w:rsid w:val="00711B4C"/>
    <w:rsid w:val="007120B5"/>
    <w:rsid w:val="007120C6"/>
    <w:rsid w:val="007125D3"/>
    <w:rsid w:val="007127F8"/>
    <w:rsid w:val="0071284A"/>
    <w:rsid w:val="007138C4"/>
    <w:rsid w:val="007139D1"/>
    <w:rsid w:val="00713DBE"/>
    <w:rsid w:val="007140E3"/>
    <w:rsid w:val="00714481"/>
    <w:rsid w:val="007144B9"/>
    <w:rsid w:val="00714A41"/>
    <w:rsid w:val="00714C26"/>
    <w:rsid w:val="00715137"/>
    <w:rsid w:val="0071529C"/>
    <w:rsid w:val="00715A46"/>
    <w:rsid w:val="0071622E"/>
    <w:rsid w:val="007163C4"/>
    <w:rsid w:val="0071674F"/>
    <w:rsid w:val="007168C4"/>
    <w:rsid w:val="00716A0B"/>
    <w:rsid w:val="007170DA"/>
    <w:rsid w:val="007171EE"/>
    <w:rsid w:val="007172AD"/>
    <w:rsid w:val="00717546"/>
    <w:rsid w:val="00720038"/>
    <w:rsid w:val="00720784"/>
    <w:rsid w:val="00720801"/>
    <w:rsid w:val="007218F7"/>
    <w:rsid w:val="007223F0"/>
    <w:rsid w:val="00722B1B"/>
    <w:rsid w:val="00723365"/>
    <w:rsid w:val="0072359D"/>
    <w:rsid w:val="00723B46"/>
    <w:rsid w:val="00723FE8"/>
    <w:rsid w:val="0072414D"/>
    <w:rsid w:val="0072416F"/>
    <w:rsid w:val="00724222"/>
    <w:rsid w:val="007246FC"/>
    <w:rsid w:val="00724A50"/>
    <w:rsid w:val="00724DE2"/>
    <w:rsid w:val="00725289"/>
    <w:rsid w:val="00725458"/>
    <w:rsid w:val="007259DD"/>
    <w:rsid w:val="00726763"/>
    <w:rsid w:val="007267BD"/>
    <w:rsid w:val="00726C8A"/>
    <w:rsid w:val="00726E9E"/>
    <w:rsid w:val="007276E1"/>
    <w:rsid w:val="00727C60"/>
    <w:rsid w:val="00727C94"/>
    <w:rsid w:val="00727DB2"/>
    <w:rsid w:val="00730927"/>
    <w:rsid w:val="00730A54"/>
    <w:rsid w:val="00730BD5"/>
    <w:rsid w:val="00731B0A"/>
    <w:rsid w:val="00731EAE"/>
    <w:rsid w:val="00731FDF"/>
    <w:rsid w:val="00732357"/>
    <w:rsid w:val="00732831"/>
    <w:rsid w:val="00732ECD"/>
    <w:rsid w:val="00733073"/>
    <w:rsid w:val="00733BB3"/>
    <w:rsid w:val="0073442E"/>
    <w:rsid w:val="00734495"/>
    <w:rsid w:val="00734CED"/>
    <w:rsid w:val="00735033"/>
    <w:rsid w:val="00735328"/>
    <w:rsid w:val="00735368"/>
    <w:rsid w:val="007360EF"/>
    <w:rsid w:val="0073685B"/>
    <w:rsid w:val="007407DA"/>
    <w:rsid w:val="00740CCA"/>
    <w:rsid w:val="007414E5"/>
    <w:rsid w:val="00741899"/>
    <w:rsid w:val="0074197B"/>
    <w:rsid w:val="00742C4E"/>
    <w:rsid w:val="007433F5"/>
    <w:rsid w:val="00743F85"/>
    <w:rsid w:val="0074403F"/>
    <w:rsid w:val="007449BF"/>
    <w:rsid w:val="007457AF"/>
    <w:rsid w:val="00745D8C"/>
    <w:rsid w:val="007463FE"/>
    <w:rsid w:val="007469E9"/>
    <w:rsid w:val="00746BC0"/>
    <w:rsid w:val="00746E04"/>
    <w:rsid w:val="0074715F"/>
    <w:rsid w:val="00747602"/>
    <w:rsid w:val="0074760D"/>
    <w:rsid w:val="00747913"/>
    <w:rsid w:val="00747F04"/>
    <w:rsid w:val="00747F17"/>
    <w:rsid w:val="00750686"/>
    <w:rsid w:val="00750B43"/>
    <w:rsid w:val="00750FE8"/>
    <w:rsid w:val="007510B4"/>
    <w:rsid w:val="00752142"/>
    <w:rsid w:val="007523F9"/>
    <w:rsid w:val="007527EB"/>
    <w:rsid w:val="00753367"/>
    <w:rsid w:val="00753445"/>
    <w:rsid w:val="0075357E"/>
    <w:rsid w:val="007535DF"/>
    <w:rsid w:val="0075360C"/>
    <w:rsid w:val="00753752"/>
    <w:rsid w:val="0075375B"/>
    <w:rsid w:val="00753B29"/>
    <w:rsid w:val="00754552"/>
    <w:rsid w:val="007548C7"/>
    <w:rsid w:val="0075493E"/>
    <w:rsid w:val="00754C71"/>
    <w:rsid w:val="0075523D"/>
    <w:rsid w:val="00755330"/>
    <w:rsid w:val="00755705"/>
    <w:rsid w:val="00755C75"/>
    <w:rsid w:val="00756188"/>
    <w:rsid w:val="0075656B"/>
    <w:rsid w:val="00756773"/>
    <w:rsid w:val="00756BD0"/>
    <w:rsid w:val="00757058"/>
    <w:rsid w:val="00757343"/>
    <w:rsid w:val="00757387"/>
    <w:rsid w:val="007573E8"/>
    <w:rsid w:val="00760462"/>
    <w:rsid w:val="00760C4E"/>
    <w:rsid w:val="00760F9E"/>
    <w:rsid w:val="00761276"/>
    <w:rsid w:val="0076150A"/>
    <w:rsid w:val="007616E6"/>
    <w:rsid w:val="00761894"/>
    <w:rsid w:val="00761984"/>
    <w:rsid w:val="00761B90"/>
    <w:rsid w:val="00761E13"/>
    <w:rsid w:val="007627BE"/>
    <w:rsid w:val="00762ED5"/>
    <w:rsid w:val="00764927"/>
    <w:rsid w:val="00764F03"/>
    <w:rsid w:val="00765B1A"/>
    <w:rsid w:val="00765DC1"/>
    <w:rsid w:val="00765EEE"/>
    <w:rsid w:val="007660D0"/>
    <w:rsid w:val="00766E60"/>
    <w:rsid w:val="0076709A"/>
    <w:rsid w:val="007676B8"/>
    <w:rsid w:val="00767A75"/>
    <w:rsid w:val="00770A63"/>
    <w:rsid w:val="00770B05"/>
    <w:rsid w:val="00771DE4"/>
    <w:rsid w:val="0077264D"/>
    <w:rsid w:val="00772B65"/>
    <w:rsid w:val="007731A1"/>
    <w:rsid w:val="00773F27"/>
    <w:rsid w:val="007744F9"/>
    <w:rsid w:val="007745A8"/>
    <w:rsid w:val="0077462C"/>
    <w:rsid w:val="007748CC"/>
    <w:rsid w:val="0077543F"/>
    <w:rsid w:val="00775541"/>
    <w:rsid w:val="00775848"/>
    <w:rsid w:val="007758D7"/>
    <w:rsid w:val="00775F87"/>
    <w:rsid w:val="007764F0"/>
    <w:rsid w:val="00776A29"/>
    <w:rsid w:val="00776C83"/>
    <w:rsid w:val="00777335"/>
    <w:rsid w:val="007804A0"/>
    <w:rsid w:val="007806C0"/>
    <w:rsid w:val="00780BC5"/>
    <w:rsid w:val="00781760"/>
    <w:rsid w:val="00781B23"/>
    <w:rsid w:val="007820F0"/>
    <w:rsid w:val="0078212C"/>
    <w:rsid w:val="007821EB"/>
    <w:rsid w:val="007836C9"/>
    <w:rsid w:val="00784146"/>
    <w:rsid w:val="00784296"/>
    <w:rsid w:val="0078436F"/>
    <w:rsid w:val="007843F2"/>
    <w:rsid w:val="007845AE"/>
    <w:rsid w:val="007846FA"/>
    <w:rsid w:val="00784B13"/>
    <w:rsid w:val="00784E06"/>
    <w:rsid w:val="00785315"/>
    <w:rsid w:val="00785A9F"/>
    <w:rsid w:val="00785C09"/>
    <w:rsid w:val="0078688D"/>
    <w:rsid w:val="007870B5"/>
    <w:rsid w:val="007905D0"/>
    <w:rsid w:val="00790C3D"/>
    <w:rsid w:val="00790C5E"/>
    <w:rsid w:val="00791182"/>
    <w:rsid w:val="0079252C"/>
    <w:rsid w:val="007925DF"/>
    <w:rsid w:val="00792ACA"/>
    <w:rsid w:val="00792B71"/>
    <w:rsid w:val="00793206"/>
    <w:rsid w:val="007937FB"/>
    <w:rsid w:val="007939CD"/>
    <w:rsid w:val="00793FCF"/>
    <w:rsid w:val="007942F6"/>
    <w:rsid w:val="007947D6"/>
    <w:rsid w:val="007948CE"/>
    <w:rsid w:val="00794E2D"/>
    <w:rsid w:val="00794F68"/>
    <w:rsid w:val="0079620E"/>
    <w:rsid w:val="00797515"/>
    <w:rsid w:val="007977F6"/>
    <w:rsid w:val="007978D2"/>
    <w:rsid w:val="007979BB"/>
    <w:rsid w:val="00797DC6"/>
    <w:rsid w:val="007A008F"/>
    <w:rsid w:val="007A0153"/>
    <w:rsid w:val="007A0509"/>
    <w:rsid w:val="007A08AA"/>
    <w:rsid w:val="007A0A12"/>
    <w:rsid w:val="007A0DEC"/>
    <w:rsid w:val="007A0F61"/>
    <w:rsid w:val="007A132D"/>
    <w:rsid w:val="007A1345"/>
    <w:rsid w:val="007A1564"/>
    <w:rsid w:val="007A192A"/>
    <w:rsid w:val="007A291B"/>
    <w:rsid w:val="007A2A17"/>
    <w:rsid w:val="007A2C34"/>
    <w:rsid w:val="007A2DDB"/>
    <w:rsid w:val="007A4855"/>
    <w:rsid w:val="007A52DF"/>
    <w:rsid w:val="007A53EB"/>
    <w:rsid w:val="007A5489"/>
    <w:rsid w:val="007A5CF0"/>
    <w:rsid w:val="007A63C1"/>
    <w:rsid w:val="007A6437"/>
    <w:rsid w:val="007A6A25"/>
    <w:rsid w:val="007A70BA"/>
    <w:rsid w:val="007A7381"/>
    <w:rsid w:val="007A77BE"/>
    <w:rsid w:val="007A7C78"/>
    <w:rsid w:val="007B0344"/>
    <w:rsid w:val="007B0610"/>
    <w:rsid w:val="007B07EC"/>
    <w:rsid w:val="007B0D68"/>
    <w:rsid w:val="007B112F"/>
    <w:rsid w:val="007B1996"/>
    <w:rsid w:val="007B1E74"/>
    <w:rsid w:val="007B1F45"/>
    <w:rsid w:val="007B251D"/>
    <w:rsid w:val="007B32CC"/>
    <w:rsid w:val="007B3533"/>
    <w:rsid w:val="007B3F80"/>
    <w:rsid w:val="007B41F9"/>
    <w:rsid w:val="007B4867"/>
    <w:rsid w:val="007B4F58"/>
    <w:rsid w:val="007B5138"/>
    <w:rsid w:val="007B528D"/>
    <w:rsid w:val="007B586E"/>
    <w:rsid w:val="007B59C0"/>
    <w:rsid w:val="007B5EA7"/>
    <w:rsid w:val="007B61D5"/>
    <w:rsid w:val="007B63CA"/>
    <w:rsid w:val="007B65B8"/>
    <w:rsid w:val="007B6DB3"/>
    <w:rsid w:val="007B77D1"/>
    <w:rsid w:val="007B77E4"/>
    <w:rsid w:val="007C003E"/>
    <w:rsid w:val="007C02AD"/>
    <w:rsid w:val="007C02C9"/>
    <w:rsid w:val="007C07C7"/>
    <w:rsid w:val="007C18AD"/>
    <w:rsid w:val="007C1AEE"/>
    <w:rsid w:val="007C1CD9"/>
    <w:rsid w:val="007C2125"/>
    <w:rsid w:val="007C241F"/>
    <w:rsid w:val="007C2687"/>
    <w:rsid w:val="007C2AEF"/>
    <w:rsid w:val="007C2C88"/>
    <w:rsid w:val="007C32EF"/>
    <w:rsid w:val="007C341D"/>
    <w:rsid w:val="007C348E"/>
    <w:rsid w:val="007C361D"/>
    <w:rsid w:val="007C3D6F"/>
    <w:rsid w:val="007C3F48"/>
    <w:rsid w:val="007C404B"/>
    <w:rsid w:val="007C460F"/>
    <w:rsid w:val="007C4635"/>
    <w:rsid w:val="007C4844"/>
    <w:rsid w:val="007C4B84"/>
    <w:rsid w:val="007C51CF"/>
    <w:rsid w:val="007C532E"/>
    <w:rsid w:val="007C5A08"/>
    <w:rsid w:val="007C5C8A"/>
    <w:rsid w:val="007C5F9A"/>
    <w:rsid w:val="007C70FF"/>
    <w:rsid w:val="007C74A5"/>
    <w:rsid w:val="007C7C25"/>
    <w:rsid w:val="007C7D2C"/>
    <w:rsid w:val="007C7F4A"/>
    <w:rsid w:val="007D004F"/>
    <w:rsid w:val="007D035F"/>
    <w:rsid w:val="007D06B2"/>
    <w:rsid w:val="007D0B38"/>
    <w:rsid w:val="007D203E"/>
    <w:rsid w:val="007D2525"/>
    <w:rsid w:val="007D25C6"/>
    <w:rsid w:val="007D2D29"/>
    <w:rsid w:val="007D2D2C"/>
    <w:rsid w:val="007D3F86"/>
    <w:rsid w:val="007D41A5"/>
    <w:rsid w:val="007D4D7C"/>
    <w:rsid w:val="007D5440"/>
    <w:rsid w:val="007D58DA"/>
    <w:rsid w:val="007D5BB2"/>
    <w:rsid w:val="007D649B"/>
    <w:rsid w:val="007D65D7"/>
    <w:rsid w:val="007D687E"/>
    <w:rsid w:val="007D69EB"/>
    <w:rsid w:val="007D7260"/>
    <w:rsid w:val="007D7F60"/>
    <w:rsid w:val="007E01F9"/>
    <w:rsid w:val="007E0B80"/>
    <w:rsid w:val="007E0D6D"/>
    <w:rsid w:val="007E128F"/>
    <w:rsid w:val="007E14A8"/>
    <w:rsid w:val="007E1547"/>
    <w:rsid w:val="007E15FF"/>
    <w:rsid w:val="007E2107"/>
    <w:rsid w:val="007E2FAF"/>
    <w:rsid w:val="007E31B9"/>
    <w:rsid w:val="007E40A5"/>
    <w:rsid w:val="007E41D3"/>
    <w:rsid w:val="007E42F7"/>
    <w:rsid w:val="007E4409"/>
    <w:rsid w:val="007E4432"/>
    <w:rsid w:val="007E59BC"/>
    <w:rsid w:val="007E5B66"/>
    <w:rsid w:val="007E5CBA"/>
    <w:rsid w:val="007E6123"/>
    <w:rsid w:val="007E62AC"/>
    <w:rsid w:val="007E6648"/>
    <w:rsid w:val="007E6923"/>
    <w:rsid w:val="007E78C3"/>
    <w:rsid w:val="007E7FF5"/>
    <w:rsid w:val="007F077F"/>
    <w:rsid w:val="007F1017"/>
    <w:rsid w:val="007F17F0"/>
    <w:rsid w:val="007F1B72"/>
    <w:rsid w:val="007F1C44"/>
    <w:rsid w:val="007F25E6"/>
    <w:rsid w:val="007F262C"/>
    <w:rsid w:val="007F382F"/>
    <w:rsid w:val="007F3E7E"/>
    <w:rsid w:val="007F482E"/>
    <w:rsid w:val="007F4927"/>
    <w:rsid w:val="007F4A3F"/>
    <w:rsid w:val="007F4A61"/>
    <w:rsid w:val="007F4D15"/>
    <w:rsid w:val="007F5059"/>
    <w:rsid w:val="007F5107"/>
    <w:rsid w:val="007F5153"/>
    <w:rsid w:val="007F5255"/>
    <w:rsid w:val="007F56CC"/>
    <w:rsid w:val="007F5787"/>
    <w:rsid w:val="007F5C4E"/>
    <w:rsid w:val="007F61C2"/>
    <w:rsid w:val="007F63F4"/>
    <w:rsid w:val="007F71C4"/>
    <w:rsid w:val="007F7523"/>
    <w:rsid w:val="0080039B"/>
    <w:rsid w:val="00801877"/>
    <w:rsid w:val="00802370"/>
    <w:rsid w:val="00802647"/>
    <w:rsid w:val="00802761"/>
    <w:rsid w:val="00802827"/>
    <w:rsid w:val="00802EA5"/>
    <w:rsid w:val="00804448"/>
    <w:rsid w:val="00805142"/>
    <w:rsid w:val="0080566B"/>
    <w:rsid w:val="00805A59"/>
    <w:rsid w:val="00805FCE"/>
    <w:rsid w:val="00806AFE"/>
    <w:rsid w:val="00806CE7"/>
    <w:rsid w:val="00807141"/>
    <w:rsid w:val="00807A8B"/>
    <w:rsid w:val="00807E7A"/>
    <w:rsid w:val="00811383"/>
    <w:rsid w:val="00811C43"/>
    <w:rsid w:val="00811DA8"/>
    <w:rsid w:val="00811FD3"/>
    <w:rsid w:val="00812149"/>
    <w:rsid w:val="008121F2"/>
    <w:rsid w:val="0081257F"/>
    <w:rsid w:val="00812CA6"/>
    <w:rsid w:val="00812CAC"/>
    <w:rsid w:val="00813FA5"/>
    <w:rsid w:val="00814A6D"/>
    <w:rsid w:val="00814AF5"/>
    <w:rsid w:val="00814F0E"/>
    <w:rsid w:val="00815255"/>
    <w:rsid w:val="00815ACD"/>
    <w:rsid w:val="00816361"/>
    <w:rsid w:val="008166EF"/>
    <w:rsid w:val="008168C6"/>
    <w:rsid w:val="00816F5C"/>
    <w:rsid w:val="00816FEF"/>
    <w:rsid w:val="008176CF"/>
    <w:rsid w:val="00817D39"/>
    <w:rsid w:val="0082009D"/>
    <w:rsid w:val="0082073E"/>
    <w:rsid w:val="0082079B"/>
    <w:rsid w:val="00820A8C"/>
    <w:rsid w:val="00820C01"/>
    <w:rsid w:val="00820C8C"/>
    <w:rsid w:val="00820D85"/>
    <w:rsid w:val="00821468"/>
    <w:rsid w:val="008215FB"/>
    <w:rsid w:val="008220CC"/>
    <w:rsid w:val="00822707"/>
    <w:rsid w:val="00822CBE"/>
    <w:rsid w:val="00823174"/>
    <w:rsid w:val="00823467"/>
    <w:rsid w:val="00823896"/>
    <w:rsid w:val="00824149"/>
    <w:rsid w:val="00825202"/>
    <w:rsid w:val="00825229"/>
    <w:rsid w:val="008254AB"/>
    <w:rsid w:val="00825751"/>
    <w:rsid w:val="008264EB"/>
    <w:rsid w:val="008268CE"/>
    <w:rsid w:val="00826BC0"/>
    <w:rsid w:val="00826F00"/>
    <w:rsid w:val="00826F0C"/>
    <w:rsid w:val="008271D0"/>
    <w:rsid w:val="00827AFC"/>
    <w:rsid w:val="00827C23"/>
    <w:rsid w:val="008300A3"/>
    <w:rsid w:val="008302FF"/>
    <w:rsid w:val="0083098C"/>
    <w:rsid w:val="00830BDF"/>
    <w:rsid w:val="008310ED"/>
    <w:rsid w:val="00831F22"/>
    <w:rsid w:val="0083256B"/>
    <w:rsid w:val="008327E8"/>
    <w:rsid w:val="00832B8E"/>
    <w:rsid w:val="0083364F"/>
    <w:rsid w:val="00833780"/>
    <w:rsid w:val="00833B05"/>
    <w:rsid w:val="00834174"/>
    <w:rsid w:val="008344CF"/>
    <w:rsid w:val="008349D0"/>
    <w:rsid w:val="008362B4"/>
    <w:rsid w:val="008363C5"/>
    <w:rsid w:val="008365DA"/>
    <w:rsid w:val="00840480"/>
    <w:rsid w:val="00840CA2"/>
    <w:rsid w:val="00840CD5"/>
    <w:rsid w:val="00840EA2"/>
    <w:rsid w:val="0084115D"/>
    <w:rsid w:val="008417F5"/>
    <w:rsid w:val="00842007"/>
    <w:rsid w:val="008425F4"/>
    <w:rsid w:val="00842939"/>
    <w:rsid w:val="00842C18"/>
    <w:rsid w:val="0084374F"/>
    <w:rsid w:val="008437BD"/>
    <w:rsid w:val="00843A21"/>
    <w:rsid w:val="00843F9B"/>
    <w:rsid w:val="00844378"/>
    <w:rsid w:val="00844A22"/>
    <w:rsid w:val="00844A4F"/>
    <w:rsid w:val="00844AC5"/>
    <w:rsid w:val="00844B1A"/>
    <w:rsid w:val="00844C7A"/>
    <w:rsid w:val="00844DD7"/>
    <w:rsid w:val="00846EFF"/>
    <w:rsid w:val="008470DF"/>
    <w:rsid w:val="008474A3"/>
    <w:rsid w:val="008474A7"/>
    <w:rsid w:val="00847703"/>
    <w:rsid w:val="00847DF5"/>
    <w:rsid w:val="00847FDE"/>
    <w:rsid w:val="0085059D"/>
    <w:rsid w:val="00850E01"/>
    <w:rsid w:val="0085134F"/>
    <w:rsid w:val="00851740"/>
    <w:rsid w:val="00851821"/>
    <w:rsid w:val="008529AB"/>
    <w:rsid w:val="0085309D"/>
    <w:rsid w:val="008530B2"/>
    <w:rsid w:val="00853CC2"/>
    <w:rsid w:val="00853E73"/>
    <w:rsid w:val="0085440A"/>
    <w:rsid w:val="00854E22"/>
    <w:rsid w:val="00854E26"/>
    <w:rsid w:val="00854EEF"/>
    <w:rsid w:val="00855BC9"/>
    <w:rsid w:val="00855D02"/>
    <w:rsid w:val="00856229"/>
    <w:rsid w:val="00856603"/>
    <w:rsid w:val="00856897"/>
    <w:rsid w:val="00856BF2"/>
    <w:rsid w:val="00856E9A"/>
    <w:rsid w:val="00857661"/>
    <w:rsid w:val="00860091"/>
    <w:rsid w:val="0086075D"/>
    <w:rsid w:val="00860FBC"/>
    <w:rsid w:val="00862269"/>
    <w:rsid w:val="00862502"/>
    <w:rsid w:val="0086271A"/>
    <w:rsid w:val="008628A9"/>
    <w:rsid w:val="0086296B"/>
    <w:rsid w:val="0086299C"/>
    <w:rsid w:val="00862CC1"/>
    <w:rsid w:val="00862DD1"/>
    <w:rsid w:val="00863BDE"/>
    <w:rsid w:val="00863F9E"/>
    <w:rsid w:val="008642A7"/>
    <w:rsid w:val="008645B1"/>
    <w:rsid w:val="00864A42"/>
    <w:rsid w:val="008656D4"/>
    <w:rsid w:val="00865F50"/>
    <w:rsid w:val="008660D4"/>
    <w:rsid w:val="008665EF"/>
    <w:rsid w:val="00866AF5"/>
    <w:rsid w:val="00866C93"/>
    <w:rsid w:val="00867401"/>
    <w:rsid w:val="008700C6"/>
    <w:rsid w:val="00871FA9"/>
    <w:rsid w:val="00872328"/>
    <w:rsid w:val="008728E9"/>
    <w:rsid w:val="008729A5"/>
    <w:rsid w:val="00872D0F"/>
    <w:rsid w:val="00873E8C"/>
    <w:rsid w:val="00873EEF"/>
    <w:rsid w:val="008743CD"/>
    <w:rsid w:val="00874B70"/>
    <w:rsid w:val="008754C8"/>
    <w:rsid w:val="008756EF"/>
    <w:rsid w:val="00875A4D"/>
    <w:rsid w:val="00876A7A"/>
    <w:rsid w:val="0087786B"/>
    <w:rsid w:val="008778AE"/>
    <w:rsid w:val="00880B00"/>
    <w:rsid w:val="0088123E"/>
    <w:rsid w:val="00881616"/>
    <w:rsid w:val="0088220B"/>
    <w:rsid w:val="008826D1"/>
    <w:rsid w:val="00882874"/>
    <w:rsid w:val="00882E3C"/>
    <w:rsid w:val="0088308A"/>
    <w:rsid w:val="00883787"/>
    <w:rsid w:val="008838E2"/>
    <w:rsid w:val="00883D8C"/>
    <w:rsid w:val="0088408F"/>
    <w:rsid w:val="00884D32"/>
    <w:rsid w:val="0088533C"/>
    <w:rsid w:val="008855E4"/>
    <w:rsid w:val="00885C97"/>
    <w:rsid w:val="00886501"/>
    <w:rsid w:val="00886549"/>
    <w:rsid w:val="00886CD2"/>
    <w:rsid w:val="0088749F"/>
    <w:rsid w:val="00887C3C"/>
    <w:rsid w:val="00887F2E"/>
    <w:rsid w:val="00890203"/>
    <w:rsid w:val="00890AE7"/>
    <w:rsid w:val="008910D3"/>
    <w:rsid w:val="0089130B"/>
    <w:rsid w:val="0089138F"/>
    <w:rsid w:val="00891911"/>
    <w:rsid w:val="0089195F"/>
    <w:rsid w:val="00891E5A"/>
    <w:rsid w:val="00891E6F"/>
    <w:rsid w:val="00891FBA"/>
    <w:rsid w:val="0089210F"/>
    <w:rsid w:val="008924EF"/>
    <w:rsid w:val="0089275D"/>
    <w:rsid w:val="008927F7"/>
    <w:rsid w:val="00892A36"/>
    <w:rsid w:val="00892F7D"/>
    <w:rsid w:val="00893119"/>
    <w:rsid w:val="00893239"/>
    <w:rsid w:val="00893400"/>
    <w:rsid w:val="008936C6"/>
    <w:rsid w:val="0089420E"/>
    <w:rsid w:val="00894489"/>
    <w:rsid w:val="00894B6F"/>
    <w:rsid w:val="00894C05"/>
    <w:rsid w:val="00894CD6"/>
    <w:rsid w:val="00895CA4"/>
    <w:rsid w:val="008963A5"/>
    <w:rsid w:val="00896927"/>
    <w:rsid w:val="00896D5D"/>
    <w:rsid w:val="00896ED3"/>
    <w:rsid w:val="00897359"/>
    <w:rsid w:val="00897545"/>
    <w:rsid w:val="008A00D9"/>
    <w:rsid w:val="008A0C9A"/>
    <w:rsid w:val="008A1033"/>
    <w:rsid w:val="008A13BB"/>
    <w:rsid w:val="008A16C4"/>
    <w:rsid w:val="008A1943"/>
    <w:rsid w:val="008A1F48"/>
    <w:rsid w:val="008A25D5"/>
    <w:rsid w:val="008A2709"/>
    <w:rsid w:val="008A2E32"/>
    <w:rsid w:val="008A3158"/>
    <w:rsid w:val="008A3363"/>
    <w:rsid w:val="008A3371"/>
    <w:rsid w:val="008A3652"/>
    <w:rsid w:val="008A37C5"/>
    <w:rsid w:val="008A3B1E"/>
    <w:rsid w:val="008A3C3E"/>
    <w:rsid w:val="008A41E6"/>
    <w:rsid w:val="008A46CC"/>
    <w:rsid w:val="008A5181"/>
    <w:rsid w:val="008A5D48"/>
    <w:rsid w:val="008A6290"/>
    <w:rsid w:val="008A667D"/>
    <w:rsid w:val="008A66A8"/>
    <w:rsid w:val="008A6AA1"/>
    <w:rsid w:val="008A700E"/>
    <w:rsid w:val="008A72E1"/>
    <w:rsid w:val="008A7749"/>
    <w:rsid w:val="008A77A4"/>
    <w:rsid w:val="008A79DE"/>
    <w:rsid w:val="008B0D24"/>
    <w:rsid w:val="008B0D2D"/>
    <w:rsid w:val="008B0F36"/>
    <w:rsid w:val="008B108C"/>
    <w:rsid w:val="008B1176"/>
    <w:rsid w:val="008B1757"/>
    <w:rsid w:val="008B1C1E"/>
    <w:rsid w:val="008B1C33"/>
    <w:rsid w:val="008B20A8"/>
    <w:rsid w:val="008B22F2"/>
    <w:rsid w:val="008B27CF"/>
    <w:rsid w:val="008B2954"/>
    <w:rsid w:val="008B2B81"/>
    <w:rsid w:val="008B30DB"/>
    <w:rsid w:val="008B4642"/>
    <w:rsid w:val="008B4B6F"/>
    <w:rsid w:val="008B4BC0"/>
    <w:rsid w:val="008B4E8B"/>
    <w:rsid w:val="008B582A"/>
    <w:rsid w:val="008B5BC6"/>
    <w:rsid w:val="008B5DD9"/>
    <w:rsid w:val="008B6023"/>
    <w:rsid w:val="008B6897"/>
    <w:rsid w:val="008B6BE6"/>
    <w:rsid w:val="008B6DFF"/>
    <w:rsid w:val="008B6FA0"/>
    <w:rsid w:val="008B6FD8"/>
    <w:rsid w:val="008B714C"/>
    <w:rsid w:val="008B7992"/>
    <w:rsid w:val="008B7D7E"/>
    <w:rsid w:val="008C199B"/>
    <w:rsid w:val="008C228B"/>
    <w:rsid w:val="008C27FB"/>
    <w:rsid w:val="008C2B8C"/>
    <w:rsid w:val="008C34BD"/>
    <w:rsid w:val="008C3AE8"/>
    <w:rsid w:val="008C4147"/>
    <w:rsid w:val="008C4580"/>
    <w:rsid w:val="008C5610"/>
    <w:rsid w:val="008C5739"/>
    <w:rsid w:val="008C6202"/>
    <w:rsid w:val="008C67DF"/>
    <w:rsid w:val="008C6C04"/>
    <w:rsid w:val="008C6F49"/>
    <w:rsid w:val="008C70C5"/>
    <w:rsid w:val="008C7282"/>
    <w:rsid w:val="008C7B44"/>
    <w:rsid w:val="008C7ECB"/>
    <w:rsid w:val="008D01F1"/>
    <w:rsid w:val="008D1BFC"/>
    <w:rsid w:val="008D1D39"/>
    <w:rsid w:val="008D28B7"/>
    <w:rsid w:val="008D3B86"/>
    <w:rsid w:val="008D40E6"/>
    <w:rsid w:val="008D426D"/>
    <w:rsid w:val="008D4301"/>
    <w:rsid w:val="008D43FD"/>
    <w:rsid w:val="008D4755"/>
    <w:rsid w:val="008D4781"/>
    <w:rsid w:val="008D4C3D"/>
    <w:rsid w:val="008D545B"/>
    <w:rsid w:val="008D5BD9"/>
    <w:rsid w:val="008D61F3"/>
    <w:rsid w:val="008D65C6"/>
    <w:rsid w:val="008D674B"/>
    <w:rsid w:val="008D690A"/>
    <w:rsid w:val="008D69DC"/>
    <w:rsid w:val="008D6E0C"/>
    <w:rsid w:val="008D6F7F"/>
    <w:rsid w:val="008D70EF"/>
    <w:rsid w:val="008D72E0"/>
    <w:rsid w:val="008D743C"/>
    <w:rsid w:val="008D74A8"/>
    <w:rsid w:val="008D75BC"/>
    <w:rsid w:val="008E09A3"/>
    <w:rsid w:val="008E0D3C"/>
    <w:rsid w:val="008E127D"/>
    <w:rsid w:val="008E178E"/>
    <w:rsid w:val="008E1B9E"/>
    <w:rsid w:val="008E2117"/>
    <w:rsid w:val="008E2326"/>
    <w:rsid w:val="008E2CE1"/>
    <w:rsid w:val="008E3915"/>
    <w:rsid w:val="008E4273"/>
    <w:rsid w:val="008E4673"/>
    <w:rsid w:val="008E4889"/>
    <w:rsid w:val="008E5322"/>
    <w:rsid w:val="008E55AB"/>
    <w:rsid w:val="008E5889"/>
    <w:rsid w:val="008E58A6"/>
    <w:rsid w:val="008E59C4"/>
    <w:rsid w:val="008E5E79"/>
    <w:rsid w:val="008E6906"/>
    <w:rsid w:val="008E6FE9"/>
    <w:rsid w:val="008E71EF"/>
    <w:rsid w:val="008E7D95"/>
    <w:rsid w:val="008F03CE"/>
    <w:rsid w:val="008F041B"/>
    <w:rsid w:val="008F0495"/>
    <w:rsid w:val="008F0820"/>
    <w:rsid w:val="008F0AF3"/>
    <w:rsid w:val="008F0EE1"/>
    <w:rsid w:val="008F1124"/>
    <w:rsid w:val="008F120A"/>
    <w:rsid w:val="008F1ABD"/>
    <w:rsid w:val="008F1D34"/>
    <w:rsid w:val="008F1FD8"/>
    <w:rsid w:val="008F2611"/>
    <w:rsid w:val="008F27E0"/>
    <w:rsid w:val="008F28B6"/>
    <w:rsid w:val="008F2CE5"/>
    <w:rsid w:val="008F3497"/>
    <w:rsid w:val="008F4621"/>
    <w:rsid w:val="008F4801"/>
    <w:rsid w:val="008F48EB"/>
    <w:rsid w:val="008F4A3C"/>
    <w:rsid w:val="008F4AD9"/>
    <w:rsid w:val="008F4CC9"/>
    <w:rsid w:val="008F4DEE"/>
    <w:rsid w:val="008F4E56"/>
    <w:rsid w:val="008F4F0B"/>
    <w:rsid w:val="008F5094"/>
    <w:rsid w:val="008F5895"/>
    <w:rsid w:val="008F59CC"/>
    <w:rsid w:val="008F5E3F"/>
    <w:rsid w:val="008F601D"/>
    <w:rsid w:val="008F6AD4"/>
    <w:rsid w:val="008F70D5"/>
    <w:rsid w:val="008F721B"/>
    <w:rsid w:val="008F76E5"/>
    <w:rsid w:val="008F7FF0"/>
    <w:rsid w:val="0090065D"/>
    <w:rsid w:val="00900C09"/>
    <w:rsid w:val="00900D88"/>
    <w:rsid w:val="00900F1D"/>
    <w:rsid w:val="00901799"/>
    <w:rsid w:val="0090231C"/>
    <w:rsid w:val="00902586"/>
    <w:rsid w:val="00902701"/>
    <w:rsid w:val="00902DBB"/>
    <w:rsid w:val="00902ECC"/>
    <w:rsid w:val="009037C9"/>
    <w:rsid w:val="009046C4"/>
    <w:rsid w:val="00904860"/>
    <w:rsid w:val="00904AE9"/>
    <w:rsid w:val="00904E06"/>
    <w:rsid w:val="00904E81"/>
    <w:rsid w:val="0090547A"/>
    <w:rsid w:val="00905749"/>
    <w:rsid w:val="00905A40"/>
    <w:rsid w:val="009062A5"/>
    <w:rsid w:val="00906A29"/>
    <w:rsid w:val="00906C8D"/>
    <w:rsid w:val="0090702F"/>
    <w:rsid w:val="00907699"/>
    <w:rsid w:val="00907C1A"/>
    <w:rsid w:val="00907E51"/>
    <w:rsid w:val="00910491"/>
    <w:rsid w:val="009107A9"/>
    <w:rsid w:val="00910FA7"/>
    <w:rsid w:val="00911272"/>
    <w:rsid w:val="00911339"/>
    <w:rsid w:val="009114BA"/>
    <w:rsid w:val="00911617"/>
    <w:rsid w:val="009116D2"/>
    <w:rsid w:val="009117DB"/>
    <w:rsid w:val="009118E7"/>
    <w:rsid w:val="00911A65"/>
    <w:rsid w:val="00911B1A"/>
    <w:rsid w:val="00911D46"/>
    <w:rsid w:val="00911D7C"/>
    <w:rsid w:val="009120C9"/>
    <w:rsid w:val="00912A42"/>
    <w:rsid w:val="00912B9E"/>
    <w:rsid w:val="009135D6"/>
    <w:rsid w:val="00913635"/>
    <w:rsid w:val="009137CB"/>
    <w:rsid w:val="00913CC7"/>
    <w:rsid w:val="009141AB"/>
    <w:rsid w:val="00914C77"/>
    <w:rsid w:val="009158EA"/>
    <w:rsid w:val="00915F3E"/>
    <w:rsid w:val="00916745"/>
    <w:rsid w:val="00916C59"/>
    <w:rsid w:val="00917226"/>
    <w:rsid w:val="0092006F"/>
    <w:rsid w:val="00920308"/>
    <w:rsid w:val="009208C5"/>
    <w:rsid w:val="00920A39"/>
    <w:rsid w:val="00921630"/>
    <w:rsid w:val="00921702"/>
    <w:rsid w:val="00921ACB"/>
    <w:rsid w:val="00921B95"/>
    <w:rsid w:val="00922B4B"/>
    <w:rsid w:val="0092369B"/>
    <w:rsid w:val="00923FB7"/>
    <w:rsid w:val="009242AD"/>
    <w:rsid w:val="009249C3"/>
    <w:rsid w:val="00924A82"/>
    <w:rsid w:val="0092658E"/>
    <w:rsid w:val="009265B2"/>
    <w:rsid w:val="00927BB0"/>
    <w:rsid w:val="00930B6D"/>
    <w:rsid w:val="00930D9D"/>
    <w:rsid w:val="009312DF"/>
    <w:rsid w:val="00931491"/>
    <w:rsid w:val="00931C29"/>
    <w:rsid w:val="00931E84"/>
    <w:rsid w:val="00932091"/>
    <w:rsid w:val="009320CB"/>
    <w:rsid w:val="00932638"/>
    <w:rsid w:val="00932A7D"/>
    <w:rsid w:val="00932B31"/>
    <w:rsid w:val="009330B5"/>
    <w:rsid w:val="009339C1"/>
    <w:rsid w:val="00933E88"/>
    <w:rsid w:val="00934131"/>
    <w:rsid w:val="009345FE"/>
    <w:rsid w:val="00934988"/>
    <w:rsid w:val="0093508C"/>
    <w:rsid w:val="00935EC8"/>
    <w:rsid w:val="00936D47"/>
    <w:rsid w:val="00937089"/>
    <w:rsid w:val="0093766F"/>
    <w:rsid w:val="0093791E"/>
    <w:rsid w:val="00940145"/>
    <w:rsid w:val="0094089B"/>
    <w:rsid w:val="00940BDA"/>
    <w:rsid w:val="00940C6A"/>
    <w:rsid w:val="00941245"/>
    <w:rsid w:val="00941D02"/>
    <w:rsid w:val="00942564"/>
    <w:rsid w:val="00942C16"/>
    <w:rsid w:val="00942FFF"/>
    <w:rsid w:val="0094397F"/>
    <w:rsid w:val="00943AE1"/>
    <w:rsid w:val="009440B0"/>
    <w:rsid w:val="00944709"/>
    <w:rsid w:val="009449AA"/>
    <w:rsid w:val="00944F8A"/>
    <w:rsid w:val="00945084"/>
    <w:rsid w:val="009458E1"/>
    <w:rsid w:val="009459C6"/>
    <w:rsid w:val="00946B64"/>
    <w:rsid w:val="00946D3D"/>
    <w:rsid w:val="00946D70"/>
    <w:rsid w:val="009470A9"/>
    <w:rsid w:val="0094785C"/>
    <w:rsid w:val="0094792F"/>
    <w:rsid w:val="00947D6C"/>
    <w:rsid w:val="00947FC0"/>
    <w:rsid w:val="00950C47"/>
    <w:rsid w:val="00950FFF"/>
    <w:rsid w:val="00951027"/>
    <w:rsid w:val="009510A2"/>
    <w:rsid w:val="009511B0"/>
    <w:rsid w:val="00951805"/>
    <w:rsid w:val="0095245D"/>
    <w:rsid w:val="0095246B"/>
    <w:rsid w:val="00952580"/>
    <w:rsid w:val="00953257"/>
    <w:rsid w:val="00953802"/>
    <w:rsid w:val="0095386D"/>
    <w:rsid w:val="00953E71"/>
    <w:rsid w:val="0095423C"/>
    <w:rsid w:val="0095474C"/>
    <w:rsid w:val="00954F00"/>
    <w:rsid w:val="00955786"/>
    <w:rsid w:val="0095596C"/>
    <w:rsid w:val="00955DB9"/>
    <w:rsid w:val="00956A74"/>
    <w:rsid w:val="00956EE1"/>
    <w:rsid w:val="00957D92"/>
    <w:rsid w:val="00960B79"/>
    <w:rsid w:val="00960D98"/>
    <w:rsid w:val="0096175D"/>
    <w:rsid w:val="00961C38"/>
    <w:rsid w:val="00961FE8"/>
    <w:rsid w:val="0096248E"/>
    <w:rsid w:val="00962CB9"/>
    <w:rsid w:val="00962DC6"/>
    <w:rsid w:val="0096303A"/>
    <w:rsid w:val="00963D14"/>
    <w:rsid w:val="00964312"/>
    <w:rsid w:val="00964444"/>
    <w:rsid w:val="009648B6"/>
    <w:rsid w:val="009653A8"/>
    <w:rsid w:val="009653CC"/>
    <w:rsid w:val="00965B8A"/>
    <w:rsid w:val="00965F2F"/>
    <w:rsid w:val="0096701D"/>
    <w:rsid w:val="0096723A"/>
    <w:rsid w:val="0097014E"/>
    <w:rsid w:val="0097016E"/>
    <w:rsid w:val="009704A4"/>
    <w:rsid w:val="0097071F"/>
    <w:rsid w:val="00970ABD"/>
    <w:rsid w:val="00970B07"/>
    <w:rsid w:val="00970EBD"/>
    <w:rsid w:val="00970FD9"/>
    <w:rsid w:val="0097144D"/>
    <w:rsid w:val="009717AC"/>
    <w:rsid w:val="00972B36"/>
    <w:rsid w:val="00972F03"/>
    <w:rsid w:val="00973627"/>
    <w:rsid w:val="009737E0"/>
    <w:rsid w:val="009741CB"/>
    <w:rsid w:val="00974409"/>
    <w:rsid w:val="00974BD3"/>
    <w:rsid w:val="009751C1"/>
    <w:rsid w:val="009753AC"/>
    <w:rsid w:val="00975616"/>
    <w:rsid w:val="009759B4"/>
    <w:rsid w:val="00975A3E"/>
    <w:rsid w:val="0097648E"/>
    <w:rsid w:val="009778B7"/>
    <w:rsid w:val="00980FBD"/>
    <w:rsid w:val="009811F1"/>
    <w:rsid w:val="009812F8"/>
    <w:rsid w:val="009818C8"/>
    <w:rsid w:val="009821CE"/>
    <w:rsid w:val="0098262F"/>
    <w:rsid w:val="00982643"/>
    <w:rsid w:val="009827C1"/>
    <w:rsid w:val="00982814"/>
    <w:rsid w:val="009828AC"/>
    <w:rsid w:val="00982985"/>
    <w:rsid w:val="009829AA"/>
    <w:rsid w:val="00982A14"/>
    <w:rsid w:val="00982CF6"/>
    <w:rsid w:val="00983A27"/>
    <w:rsid w:val="00983E57"/>
    <w:rsid w:val="00984995"/>
    <w:rsid w:val="009852E3"/>
    <w:rsid w:val="00985719"/>
    <w:rsid w:val="00985C1B"/>
    <w:rsid w:val="00985DE2"/>
    <w:rsid w:val="0098675D"/>
    <w:rsid w:val="00986F00"/>
    <w:rsid w:val="0098799D"/>
    <w:rsid w:val="00987BA4"/>
    <w:rsid w:val="00987EED"/>
    <w:rsid w:val="00990A8F"/>
    <w:rsid w:val="00991389"/>
    <w:rsid w:val="00991999"/>
    <w:rsid w:val="009926E0"/>
    <w:rsid w:val="00992CAC"/>
    <w:rsid w:val="00992F12"/>
    <w:rsid w:val="009934F3"/>
    <w:rsid w:val="00993874"/>
    <w:rsid w:val="0099451E"/>
    <w:rsid w:val="009955F5"/>
    <w:rsid w:val="0099574A"/>
    <w:rsid w:val="00995A60"/>
    <w:rsid w:val="00995CCB"/>
    <w:rsid w:val="00995D57"/>
    <w:rsid w:val="009960AC"/>
    <w:rsid w:val="00996310"/>
    <w:rsid w:val="00996840"/>
    <w:rsid w:val="00996B01"/>
    <w:rsid w:val="00996B1A"/>
    <w:rsid w:val="00996CFE"/>
    <w:rsid w:val="00996D79"/>
    <w:rsid w:val="009976AF"/>
    <w:rsid w:val="00997A80"/>
    <w:rsid w:val="009A0377"/>
    <w:rsid w:val="009A0561"/>
    <w:rsid w:val="009A0595"/>
    <w:rsid w:val="009A07ED"/>
    <w:rsid w:val="009A18F6"/>
    <w:rsid w:val="009A215A"/>
    <w:rsid w:val="009A2DCC"/>
    <w:rsid w:val="009A30E1"/>
    <w:rsid w:val="009A387D"/>
    <w:rsid w:val="009A3E06"/>
    <w:rsid w:val="009A3E9F"/>
    <w:rsid w:val="009A449C"/>
    <w:rsid w:val="009A4536"/>
    <w:rsid w:val="009A5367"/>
    <w:rsid w:val="009A54ED"/>
    <w:rsid w:val="009A5ABC"/>
    <w:rsid w:val="009A6524"/>
    <w:rsid w:val="009A6950"/>
    <w:rsid w:val="009A6C57"/>
    <w:rsid w:val="009A6E66"/>
    <w:rsid w:val="009A79FB"/>
    <w:rsid w:val="009A7F10"/>
    <w:rsid w:val="009B0865"/>
    <w:rsid w:val="009B0CD8"/>
    <w:rsid w:val="009B1862"/>
    <w:rsid w:val="009B1C19"/>
    <w:rsid w:val="009B29EB"/>
    <w:rsid w:val="009B2E34"/>
    <w:rsid w:val="009B3467"/>
    <w:rsid w:val="009B37B8"/>
    <w:rsid w:val="009B3E26"/>
    <w:rsid w:val="009B4235"/>
    <w:rsid w:val="009B48C4"/>
    <w:rsid w:val="009B4978"/>
    <w:rsid w:val="009B5A00"/>
    <w:rsid w:val="009B6A19"/>
    <w:rsid w:val="009C012B"/>
    <w:rsid w:val="009C09C9"/>
    <w:rsid w:val="009C0B85"/>
    <w:rsid w:val="009C0B94"/>
    <w:rsid w:val="009C0DDC"/>
    <w:rsid w:val="009C0E51"/>
    <w:rsid w:val="009C1271"/>
    <w:rsid w:val="009C163C"/>
    <w:rsid w:val="009C2122"/>
    <w:rsid w:val="009C2B8A"/>
    <w:rsid w:val="009C339C"/>
    <w:rsid w:val="009C355D"/>
    <w:rsid w:val="009C36C4"/>
    <w:rsid w:val="009C3706"/>
    <w:rsid w:val="009C3A3A"/>
    <w:rsid w:val="009C3BAF"/>
    <w:rsid w:val="009C3F63"/>
    <w:rsid w:val="009C426B"/>
    <w:rsid w:val="009C4754"/>
    <w:rsid w:val="009C57FF"/>
    <w:rsid w:val="009C5EB2"/>
    <w:rsid w:val="009C6B63"/>
    <w:rsid w:val="009C6CEA"/>
    <w:rsid w:val="009C6E26"/>
    <w:rsid w:val="009C6FA8"/>
    <w:rsid w:val="009C749D"/>
    <w:rsid w:val="009C75F2"/>
    <w:rsid w:val="009C7B85"/>
    <w:rsid w:val="009D0254"/>
    <w:rsid w:val="009D030F"/>
    <w:rsid w:val="009D0590"/>
    <w:rsid w:val="009D08B7"/>
    <w:rsid w:val="009D0B18"/>
    <w:rsid w:val="009D0C03"/>
    <w:rsid w:val="009D100E"/>
    <w:rsid w:val="009D1099"/>
    <w:rsid w:val="009D1A64"/>
    <w:rsid w:val="009D1E6C"/>
    <w:rsid w:val="009D24B1"/>
    <w:rsid w:val="009D2F88"/>
    <w:rsid w:val="009D31EA"/>
    <w:rsid w:val="009D4914"/>
    <w:rsid w:val="009D4ABD"/>
    <w:rsid w:val="009D4BDD"/>
    <w:rsid w:val="009D4EE9"/>
    <w:rsid w:val="009D505F"/>
    <w:rsid w:val="009D544F"/>
    <w:rsid w:val="009D56FA"/>
    <w:rsid w:val="009D5B91"/>
    <w:rsid w:val="009D5F24"/>
    <w:rsid w:val="009D63D2"/>
    <w:rsid w:val="009D6C0A"/>
    <w:rsid w:val="009D6CC7"/>
    <w:rsid w:val="009D6D8E"/>
    <w:rsid w:val="009D7218"/>
    <w:rsid w:val="009D7557"/>
    <w:rsid w:val="009D792E"/>
    <w:rsid w:val="009E01CF"/>
    <w:rsid w:val="009E07FA"/>
    <w:rsid w:val="009E0DFE"/>
    <w:rsid w:val="009E18CC"/>
    <w:rsid w:val="009E2643"/>
    <w:rsid w:val="009E2790"/>
    <w:rsid w:val="009E2AB9"/>
    <w:rsid w:val="009E31F6"/>
    <w:rsid w:val="009E4041"/>
    <w:rsid w:val="009E459F"/>
    <w:rsid w:val="009E4634"/>
    <w:rsid w:val="009E480E"/>
    <w:rsid w:val="009E4AE3"/>
    <w:rsid w:val="009E4C07"/>
    <w:rsid w:val="009E5895"/>
    <w:rsid w:val="009E58D1"/>
    <w:rsid w:val="009E6C76"/>
    <w:rsid w:val="009E6CA7"/>
    <w:rsid w:val="009E777F"/>
    <w:rsid w:val="009E7A49"/>
    <w:rsid w:val="009E7F9E"/>
    <w:rsid w:val="009F048C"/>
    <w:rsid w:val="009F0BDF"/>
    <w:rsid w:val="009F10F0"/>
    <w:rsid w:val="009F15D2"/>
    <w:rsid w:val="009F1B33"/>
    <w:rsid w:val="009F1DDF"/>
    <w:rsid w:val="009F20E4"/>
    <w:rsid w:val="009F2E03"/>
    <w:rsid w:val="009F2FA3"/>
    <w:rsid w:val="009F2FD7"/>
    <w:rsid w:val="009F309E"/>
    <w:rsid w:val="009F317E"/>
    <w:rsid w:val="009F3593"/>
    <w:rsid w:val="009F3B80"/>
    <w:rsid w:val="009F3EDD"/>
    <w:rsid w:val="009F42AC"/>
    <w:rsid w:val="009F467D"/>
    <w:rsid w:val="009F52B1"/>
    <w:rsid w:val="009F5B08"/>
    <w:rsid w:val="009F5E63"/>
    <w:rsid w:val="009F6120"/>
    <w:rsid w:val="009F6A3D"/>
    <w:rsid w:val="009F6DF4"/>
    <w:rsid w:val="009F6E4A"/>
    <w:rsid w:val="009F7CD0"/>
    <w:rsid w:val="009F7CD6"/>
    <w:rsid w:val="00A00403"/>
    <w:rsid w:val="00A00832"/>
    <w:rsid w:val="00A00989"/>
    <w:rsid w:val="00A00C91"/>
    <w:rsid w:val="00A00D76"/>
    <w:rsid w:val="00A00FF4"/>
    <w:rsid w:val="00A01184"/>
    <w:rsid w:val="00A01341"/>
    <w:rsid w:val="00A0136F"/>
    <w:rsid w:val="00A01449"/>
    <w:rsid w:val="00A01E8F"/>
    <w:rsid w:val="00A0230C"/>
    <w:rsid w:val="00A024F6"/>
    <w:rsid w:val="00A02761"/>
    <w:rsid w:val="00A027E8"/>
    <w:rsid w:val="00A02BFB"/>
    <w:rsid w:val="00A031FC"/>
    <w:rsid w:val="00A03611"/>
    <w:rsid w:val="00A0362C"/>
    <w:rsid w:val="00A037C2"/>
    <w:rsid w:val="00A03D25"/>
    <w:rsid w:val="00A03D43"/>
    <w:rsid w:val="00A03D48"/>
    <w:rsid w:val="00A03EC0"/>
    <w:rsid w:val="00A04380"/>
    <w:rsid w:val="00A04786"/>
    <w:rsid w:val="00A048D4"/>
    <w:rsid w:val="00A04EEF"/>
    <w:rsid w:val="00A05472"/>
    <w:rsid w:val="00A05C32"/>
    <w:rsid w:val="00A0643A"/>
    <w:rsid w:val="00A064C2"/>
    <w:rsid w:val="00A064F0"/>
    <w:rsid w:val="00A0653F"/>
    <w:rsid w:val="00A0707D"/>
    <w:rsid w:val="00A071A2"/>
    <w:rsid w:val="00A11156"/>
    <w:rsid w:val="00A111AF"/>
    <w:rsid w:val="00A118CA"/>
    <w:rsid w:val="00A11CD0"/>
    <w:rsid w:val="00A11D27"/>
    <w:rsid w:val="00A11FE5"/>
    <w:rsid w:val="00A12173"/>
    <w:rsid w:val="00A122C6"/>
    <w:rsid w:val="00A1337A"/>
    <w:rsid w:val="00A1360F"/>
    <w:rsid w:val="00A13670"/>
    <w:rsid w:val="00A13948"/>
    <w:rsid w:val="00A1398A"/>
    <w:rsid w:val="00A14126"/>
    <w:rsid w:val="00A15394"/>
    <w:rsid w:val="00A1555B"/>
    <w:rsid w:val="00A155C5"/>
    <w:rsid w:val="00A16034"/>
    <w:rsid w:val="00A16446"/>
    <w:rsid w:val="00A167EF"/>
    <w:rsid w:val="00A16940"/>
    <w:rsid w:val="00A16A04"/>
    <w:rsid w:val="00A16AD8"/>
    <w:rsid w:val="00A17348"/>
    <w:rsid w:val="00A174DE"/>
    <w:rsid w:val="00A17D73"/>
    <w:rsid w:val="00A17F86"/>
    <w:rsid w:val="00A2021E"/>
    <w:rsid w:val="00A203F9"/>
    <w:rsid w:val="00A206C8"/>
    <w:rsid w:val="00A20A50"/>
    <w:rsid w:val="00A21438"/>
    <w:rsid w:val="00A21C95"/>
    <w:rsid w:val="00A21CF3"/>
    <w:rsid w:val="00A220EF"/>
    <w:rsid w:val="00A22107"/>
    <w:rsid w:val="00A2228B"/>
    <w:rsid w:val="00A22526"/>
    <w:rsid w:val="00A22873"/>
    <w:rsid w:val="00A233D5"/>
    <w:rsid w:val="00A23793"/>
    <w:rsid w:val="00A239E4"/>
    <w:rsid w:val="00A23B6E"/>
    <w:rsid w:val="00A23DF1"/>
    <w:rsid w:val="00A24813"/>
    <w:rsid w:val="00A24DFD"/>
    <w:rsid w:val="00A24E48"/>
    <w:rsid w:val="00A24FD8"/>
    <w:rsid w:val="00A254CF"/>
    <w:rsid w:val="00A25CD3"/>
    <w:rsid w:val="00A27689"/>
    <w:rsid w:val="00A276AB"/>
    <w:rsid w:val="00A27AEC"/>
    <w:rsid w:val="00A27D36"/>
    <w:rsid w:val="00A305D4"/>
    <w:rsid w:val="00A31390"/>
    <w:rsid w:val="00A320DB"/>
    <w:rsid w:val="00A3241A"/>
    <w:rsid w:val="00A32A05"/>
    <w:rsid w:val="00A32CA2"/>
    <w:rsid w:val="00A32FCB"/>
    <w:rsid w:val="00A32FD1"/>
    <w:rsid w:val="00A33117"/>
    <w:rsid w:val="00A333BE"/>
    <w:rsid w:val="00A33884"/>
    <w:rsid w:val="00A3393E"/>
    <w:rsid w:val="00A33A41"/>
    <w:rsid w:val="00A33E89"/>
    <w:rsid w:val="00A34764"/>
    <w:rsid w:val="00A34873"/>
    <w:rsid w:val="00A34A4C"/>
    <w:rsid w:val="00A35CE1"/>
    <w:rsid w:val="00A35D16"/>
    <w:rsid w:val="00A3621E"/>
    <w:rsid w:val="00A36D38"/>
    <w:rsid w:val="00A372E4"/>
    <w:rsid w:val="00A37BCD"/>
    <w:rsid w:val="00A40375"/>
    <w:rsid w:val="00A41019"/>
    <w:rsid w:val="00A41689"/>
    <w:rsid w:val="00A4173D"/>
    <w:rsid w:val="00A417A8"/>
    <w:rsid w:val="00A41EAA"/>
    <w:rsid w:val="00A42308"/>
    <w:rsid w:val="00A423B0"/>
    <w:rsid w:val="00A42592"/>
    <w:rsid w:val="00A43211"/>
    <w:rsid w:val="00A436F4"/>
    <w:rsid w:val="00A43765"/>
    <w:rsid w:val="00A43935"/>
    <w:rsid w:val="00A43C25"/>
    <w:rsid w:val="00A43C59"/>
    <w:rsid w:val="00A43C81"/>
    <w:rsid w:val="00A43F74"/>
    <w:rsid w:val="00A44399"/>
    <w:rsid w:val="00A44944"/>
    <w:rsid w:val="00A44B16"/>
    <w:rsid w:val="00A45422"/>
    <w:rsid w:val="00A45880"/>
    <w:rsid w:val="00A45980"/>
    <w:rsid w:val="00A46022"/>
    <w:rsid w:val="00A46060"/>
    <w:rsid w:val="00A46C3C"/>
    <w:rsid w:val="00A47366"/>
    <w:rsid w:val="00A4792F"/>
    <w:rsid w:val="00A47C3B"/>
    <w:rsid w:val="00A50878"/>
    <w:rsid w:val="00A50D7A"/>
    <w:rsid w:val="00A50ECD"/>
    <w:rsid w:val="00A51404"/>
    <w:rsid w:val="00A5171F"/>
    <w:rsid w:val="00A518F3"/>
    <w:rsid w:val="00A52406"/>
    <w:rsid w:val="00A5263F"/>
    <w:rsid w:val="00A52729"/>
    <w:rsid w:val="00A527A6"/>
    <w:rsid w:val="00A52ECE"/>
    <w:rsid w:val="00A5356E"/>
    <w:rsid w:val="00A53637"/>
    <w:rsid w:val="00A53675"/>
    <w:rsid w:val="00A53E90"/>
    <w:rsid w:val="00A5411C"/>
    <w:rsid w:val="00A54C81"/>
    <w:rsid w:val="00A550D7"/>
    <w:rsid w:val="00A554E3"/>
    <w:rsid w:val="00A558D0"/>
    <w:rsid w:val="00A564D7"/>
    <w:rsid w:val="00A56B6A"/>
    <w:rsid w:val="00A56F3C"/>
    <w:rsid w:val="00A578DC"/>
    <w:rsid w:val="00A6039E"/>
    <w:rsid w:val="00A60640"/>
    <w:rsid w:val="00A607DF"/>
    <w:rsid w:val="00A60A36"/>
    <w:rsid w:val="00A61357"/>
    <w:rsid w:val="00A61FA8"/>
    <w:rsid w:val="00A622DD"/>
    <w:rsid w:val="00A6245A"/>
    <w:rsid w:val="00A62476"/>
    <w:rsid w:val="00A624EA"/>
    <w:rsid w:val="00A62B4C"/>
    <w:rsid w:val="00A63234"/>
    <w:rsid w:val="00A6364E"/>
    <w:rsid w:val="00A63673"/>
    <w:rsid w:val="00A640E2"/>
    <w:rsid w:val="00A6425E"/>
    <w:rsid w:val="00A64674"/>
    <w:rsid w:val="00A64AB6"/>
    <w:rsid w:val="00A64D65"/>
    <w:rsid w:val="00A657A1"/>
    <w:rsid w:val="00A65DD4"/>
    <w:rsid w:val="00A6659F"/>
    <w:rsid w:val="00A66639"/>
    <w:rsid w:val="00A66BFF"/>
    <w:rsid w:val="00A67125"/>
    <w:rsid w:val="00A6725B"/>
    <w:rsid w:val="00A6726E"/>
    <w:rsid w:val="00A6733D"/>
    <w:rsid w:val="00A6766D"/>
    <w:rsid w:val="00A67931"/>
    <w:rsid w:val="00A67BBD"/>
    <w:rsid w:val="00A67BC3"/>
    <w:rsid w:val="00A67C14"/>
    <w:rsid w:val="00A70605"/>
    <w:rsid w:val="00A70C41"/>
    <w:rsid w:val="00A720EF"/>
    <w:rsid w:val="00A72454"/>
    <w:rsid w:val="00A72693"/>
    <w:rsid w:val="00A72AC3"/>
    <w:rsid w:val="00A72DFA"/>
    <w:rsid w:val="00A72FB2"/>
    <w:rsid w:val="00A73134"/>
    <w:rsid w:val="00A7358D"/>
    <w:rsid w:val="00A7365A"/>
    <w:rsid w:val="00A7373C"/>
    <w:rsid w:val="00A73FD0"/>
    <w:rsid w:val="00A7428B"/>
    <w:rsid w:val="00A74399"/>
    <w:rsid w:val="00A754AE"/>
    <w:rsid w:val="00A754CD"/>
    <w:rsid w:val="00A75534"/>
    <w:rsid w:val="00A75B8A"/>
    <w:rsid w:val="00A76001"/>
    <w:rsid w:val="00A76301"/>
    <w:rsid w:val="00A76986"/>
    <w:rsid w:val="00A77578"/>
    <w:rsid w:val="00A777B2"/>
    <w:rsid w:val="00A80095"/>
    <w:rsid w:val="00A806E9"/>
    <w:rsid w:val="00A81111"/>
    <w:rsid w:val="00A814C9"/>
    <w:rsid w:val="00A81B74"/>
    <w:rsid w:val="00A8216E"/>
    <w:rsid w:val="00A825D4"/>
    <w:rsid w:val="00A8278C"/>
    <w:rsid w:val="00A828F6"/>
    <w:rsid w:val="00A82B73"/>
    <w:rsid w:val="00A8324D"/>
    <w:rsid w:val="00A837A8"/>
    <w:rsid w:val="00A83C7D"/>
    <w:rsid w:val="00A83C80"/>
    <w:rsid w:val="00A844EF"/>
    <w:rsid w:val="00A84E82"/>
    <w:rsid w:val="00A85742"/>
    <w:rsid w:val="00A8698F"/>
    <w:rsid w:val="00A86E8B"/>
    <w:rsid w:val="00A87076"/>
    <w:rsid w:val="00A870AD"/>
    <w:rsid w:val="00A87164"/>
    <w:rsid w:val="00A871A9"/>
    <w:rsid w:val="00A8768D"/>
    <w:rsid w:val="00A87DFE"/>
    <w:rsid w:val="00A900DE"/>
    <w:rsid w:val="00A90310"/>
    <w:rsid w:val="00A90604"/>
    <w:rsid w:val="00A90F0E"/>
    <w:rsid w:val="00A913CD"/>
    <w:rsid w:val="00A915DD"/>
    <w:rsid w:val="00A91623"/>
    <w:rsid w:val="00A91633"/>
    <w:rsid w:val="00A916E5"/>
    <w:rsid w:val="00A916E8"/>
    <w:rsid w:val="00A918AF"/>
    <w:rsid w:val="00A91E49"/>
    <w:rsid w:val="00A923ED"/>
    <w:rsid w:val="00A925CC"/>
    <w:rsid w:val="00A92665"/>
    <w:rsid w:val="00A93072"/>
    <w:rsid w:val="00A93592"/>
    <w:rsid w:val="00A938BD"/>
    <w:rsid w:val="00A93953"/>
    <w:rsid w:val="00A939CB"/>
    <w:rsid w:val="00A93DE2"/>
    <w:rsid w:val="00A94251"/>
    <w:rsid w:val="00A9501B"/>
    <w:rsid w:val="00A959D8"/>
    <w:rsid w:val="00A95E94"/>
    <w:rsid w:val="00A97101"/>
    <w:rsid w:val="00A97C32"/>
    <w:rsid w:val="00A97E7C"/>
    <w:rsid w:val="00AA1098"/>
    <w:rsid w:val="00AA113D"/>
    <w:rsid w:val="00AA147A"/>
    <w:rsid w:val="00AA1D57"/>
    <w:rsid w:val="00AA24AB"/>
    <w:rsid w:val="00AA28B2"/>
    <w:rsid w:val="00AA3987"/>
    <w:rsid w:val="00AA4484"/>
    <w:rsid w:val="00AA4797"/>
    <w:rsid w:val="00AA49CE"/>
    <w:rsid w:val="00AA5489"/>
    <w:rsid w:val="00AA6255"/>
    <w:rsid w:val="00AA64F0"/>
    <w:rsid w:val="00AA66AF"/>
    <w:rsid w:val="00AA6BD5"/>
    <w:rsid w:val="00AA6BD8"/>
    <w:rsid w:val="00AA6C7D"/>
    <w:rsid w:val="00AA6D2F"/>
    <w:rsid w:val="00AA73E4"/>
    <w:rsid w:val="00AA78B0"/>
    <w:rsid w:val="00AA7F61"/>
    <w:rsid w:val="00AA7FD6"/>
    <w:rsid w:val="00AB0055"/>
    <w:rsid w:val="00AB02A8"/>
    <w:rsid w:val="00AB042A"/>
    <w:rsid w:val="00AB0A2C"/>
    <w:rsid w:val="00AB0E1A"/>
    <w:rsid w:val="00AB11AD"/>
    <w:rsid w:val="00AB1254"/>
    <w:rsid w:val="00AB19EF"/>
    <w:rsid w:val="00AB1BF2"/>
    <w:rsid w:val="00AB22F2"/>
    <w:rsid w:val="00AB2495"/>
    <w:rsid w:val="00AB2D34"/>
    <w:rsid w:val="00AB3430"/>
    <w:rsid w:val="00AB37B9"/>
    <w:rsid w:val="00AB3AB9"/>
    <w:rsid w:val="00AB3BCF"/>
    <w:rsid w:val="00AB4348"/>
    <w:rsid w:val="00AB4AD1"/>
    <w:rsid w:val="00AB541E"/>
    <w:rsid w:val="00AB5920"/>
    <w:rsid w:val="00AB5E07"/>
    <w:rsid w:val="00AB6120"/>
    <w:rsid w:val="00AB79BD"/>
    <w:rsid w:val="00AB7CFA"/>
    <w:rsid w:val="00AC04EA"/>
    <w:rsid w:val="00AC09E2"/>
    <w:rsid w:val="00AC1813"/>
    <w:rsid w:val="00AC1912"/>
    <w:rsid w:val="00AC1DD6"/>
    <w:rsid w:val="00AC211C"/>
    <w:rsid w:val="00AC295B"/>
    <w:rsid w:val="00AC2A82"/>
    <w:rsid w:val="00AC2D15"/>
    <w:rsid w:val="00AC2E79"/>
    <w:rsid w:val="00AC3061"/>
    <w:rsid w:val="00AC3189"/>
    <w:rsid w:val="00AC3A90"/>
    <w:rsid w:val="00AC438D"/>
    <w:rsid w:val="00AC4813"/>
    <w:rsid w:val="00AC5275"/>
    <w:rsid w:val="00AC52D2"/>
    <w:rsid w:val="00AC5856"/>
    <w:rsid w:val="00AC5B42"/>
    <w:rsid w:val="00AC5B48"/>
    <w:rsid w:val="00AC5E2A"/>
    <w:rsid w:val="00AC6F57"/>
    <w:rsid w:val="00AC7410"/>
    <w:rsid w:val="00AC78E1"/>
    <w:rsid w:val="00AC7CD7"/>
    <w:rsid w:val="00AD0D75"/>
    <w:rsid w:val="00AD0E91"/>
    <w:rsid w:val="00AD132B"/>
    <w:rsid w:val="00AD1450"/>
    <w:rsid w:val="00AD15E8"/>
    <w:rsid w:val="00AD1AE0"/>
    <w:rsid w:val="00AD1ED1"/>
    <w:rsid w:val="00AD2D44"/>
    <w:rsid w:val="00AD2ECA"/>
    <w:rsid w:val="00AD356D"/>
    <w:rsid w:val="00AD388B"/>
    <w:rsid w:val="00AD45BB"/>
    <w:rsid w:val="00AD486F"/>
    <w:rsid w:val="00AD5CFA"/>
    <w:rsid w:val="00AD6502"/>
    <w:rsid w:val="00AD727C"/>
    <w:rsid w:val="00AD738C"/>
    <w:rsid w:val="00AD7777"/>
    <w:rsid w:val="00AD7A25"/>
    <w:rsid w:val="00AD7E1E"/>
    <w:rsid w:val="00AE0695"/>
    <w:rsid w:val="00AE0C24"/>
    <w:rsid w:val="00AE0E54"/>
    <w:rsid w:val="00AE101E"/>
    <w:rsid w:val="00AE122D"/>
    <w:rsid w:val="00AE15D4"/>
    <w:rsid w:val="00AE1790"/>
    <w:rsid w:val="00AE2176"/>
    <w:rsid w:val="00AE2446"/>
    <w:rsid w:val="00AE3988"/>
    <w:rsid w:val="00AE3E7E"/>
    <w:rsid w:val="00AE4064"/>
    <w:rsid w:val="00AE4405"/>
    <w:rsid w:val="00AE4977"/>
    <w:rsid w:val="00AE49C5"/>
    <w:rsid w:val="00AE52AF"/>
    <w:rsid w:val="00AE5DBC"/>
    <w:rsid w:val="00AE5DE4"/>
    <w:rsid w:val="00AE5F95"/>
    <w:rsid w:val="00AE6DB1"/>
    <w:rsid w:val="00AE6E98"/>
    <w:rsid w:val="00AE6F03"/>
    <w:rsid w:val="00AE747C"/>
    <w:rsid w:val="00AE79B2"/>
    <w:rsid w:val="00AE7E53"/>
    <w:rsid w:val="00AE7FC8"/>
    <w:rsid w:val="00AF0531"/>
    <w:rsid w:val="00AF0BC0"/>
    <w:rsid w:val="00AF0DC8"/>
    <w:rsid w:val="00AF1315"/>
    <w:rsid w:val="00AF17BD"/>
    <w:rsid w:val="00AF19BF"/>
    <w:rsid w:val="00AF2C25"/>
    <w:rsid w:val="00AF2DC3"/>
    <w:rsid w:val="00AF2FB0"/>
    <w:rsid w:val="00AF3718"/>
    <w:rsid w:val="00AF38D6"/>
    <w:rsid w:val="00AF3C03"/>
    <w:rsid w:val="00AF409B"/>
    <w:rsid w:val="00AF4E8B"/>
    <w:rsid w:val="00AF4EF0"/>
    <w:rsid w:val="00AF5032"/>
    <w:rsid w:val="00AF5077"/>
    <w:rsid w:val="00AF5852"/>
    <w:rsid w:val="00AF6741"/>
    <w:rsid w:val="00AF7B21"/>
    <w:rsid w:val="00B01874"/>
    <w:rsid w:val="00B01FB3"/>
    <w:rsid w:val="00B02A35"/>
    <w:rsid w:val="00B02E5C"/>
    <w:rsid w:val="00B0332B"/>
    <w:rsid w:val="00B033E5"/>
    <w:rsid w:val="00B03A63"/>
    <w:rsid w:val="00B03DA9"/>
    <w:rsid w:val="00B058F9"/>
    <w:rsid w:val="00B106F4"/>
    <w:rsid w:val="00B10C75"/>
    <w:rsid w:val="00B1113A"/>
    <w:rsid w:val="00B11681"/>
    <w:rsid w:val="00B11A77"/>
    <w:rsid w:val="00B12591"/>
    <w:rsid w:val="00B12972"/>
    <w:rsid w:val="00B129A4"/>
    <w:rsid w:val="00B12A0A"/>
    <w:rsid w:val="00B12F25"/>
    <w:rsid w:val="00B130CA"/>
    <w:rsid w:val="00B130F1"/>
    <w:rsid w:val="00B134F4"/>
    <w:rsid w:val="00B15A51"/>
    <w:rsid w:val="00B15B6F"/>
    <w:rsid w:val="00B15EA5"/>
    <w:rsid w:val="00B16036"/>
    <w:rsid w:val="00B17716"/>
    <w:rsid w:val="00B17FF6"/>
    <w:rsid w:val="00B201A4"/>
    <w:rsid w:val="00B201D1"/>
    <w:rsid w:val="00B213A6"/>
    <w:rsid w:val="00B219BD"/>
    <w:rsid w:val="00B2205A"/>
    <w:rsid w:val="00B22261"/>
    <w:rsid w:val="00B229A0"/>
    <w:rsid w:val="00B23290"/>
    <w:rsid w:val="00B235B0"/>
    <w:rsid w:val="00B235B2"/>
    <w:rsid w:val="00B23C1B"/>
    <w:rsid w:val="00B23CBE"/>
    <w:rsid w:val="00B2422C"/>
    <w:rsid w:val="00B243A0"/>
    <w:rsid w:val="00B243D9"/>
    <w:rsid w:val="00B24552"/>
    <w:rsid w:val="00B24DF6"/>
    <w:rsid w:val="00B24E5F"/>
    <w:rsid w:val="00B24F77"/>
    <w:rsid w:val="00B252E7"/>
    <w:rsid w:val="00B25476"/>
    <w:rsid w:val="00B257A2"/>
    <w:rsid w:val="00B269B2"/>
    <w:rsid w:val="00B26AA8"/>
    <w:rsid w:val="00B2760F"/>
    <w:rsid w:val="00B27A61"/>
    <w:rsid w:val="00B27D4D"/>
    <w:rsid w:val="00B30791"/>
    <w:rsid w:val="00B31106"/>
    <w:rsid w:val="00B313F3"/>
    <w:rsid w:val="00B3155F"/>
    <w:rsid w:val="00B31737"/>
    <w:rsid w:val="00B32269"/>
    <w:rsid w:val="00B32C3B"/>
    <w:rsid w:val="00B339A4"/>
    <w:rsid w:val="00B33DBC"/>
    <w:rsid w:val="00B33E46"/>
    <w:rsid w:val="00B344FE"/>
    <w:rsid w:val="00B34953"/>
    <w:rsid w:val="00B34FE2"/>
    <w:rsid w:val="00B3515D"/>
    <w:rsid w:val="00B35166"/>
    <w:rsid w:val="00B357D8"/>
    <w:rsid w:val="00B36098"/>
    <w:rsid w:val="00B360F4"/>
    <w:rsid w:val="00B36383"/>
    <w:rsid w:val="00B36A00"/>
    <w:rsid w:val="00B36B4D"/>
    <w:rsid w:val="00B3710D"/>
    <w:rsid w:val="00B3714B"/>
    <w:rsid w:val="00B3792B"/>
    <w:rsid w:val="00B37939"/>
    <w:rsid w:val="00B37BFC"/>
    <w:rsid w:val="00B37F42"/>
    <w:rsid w:val="00B37FA1"/>
    <w:rsid w:val="00B37FD9"/>
    <w:rsid w:val="00B40358"/>
    <w:rsid w:val="00B40598"/>
    <w:rsid w:val="00B41614"/>
    <w:rsid w:val="00B41D4F"/>
    <w:rsid w:val="00B41EC6"/>
    <w:rsid w:val="00B427CE"/>
    <w:rsid w:val="00B42851"/>
    <w:rsid w:val="00B42914"/>
    <w:rsid w:val="00B4297B"/>
    <w:rsid w:val="00B42A1C"/>
    <w:rsid w:val="00B42C12"/>
    <w:rsid w:val="00B42F80"/>
    <w:rsid w:val="00B4319B"/>
    <w:rsid w:val="00B435CB"/>
    <w:rsid w:val="00B4454A"/>
    <w:rsid w:val="00B44A18"/>
    <w:rsid w:val="00B44B45"/>
    <w:rsid w:val="00B453C0"/>
    <w:rsid w:val="00B45B58"/>
    <w:rsid w:val="00B45D79"/>
    <w:rsid w:val="00B465EC"/>
    <w:rsid w:val="00B46610"/>
    <w:rsid w:val="00B46612"/>
    <w:rsid w:val="00B47064"/>
    <w:rsid w:val="00B47B8F"/>
    <w:rsid w:val="00B47C8B"/>
    <w:rsid w:val="00B505C8"/>
    <w:rsid w:val="00B50653"/>
    <w:rsid w:val="00B5066C"/>
    <w:rsid w:val="00B5084D"/>
    <w:rsid w:val="00B50BFF"/>
    <w:rsid w:val="00B50DB8"/>
    <w:rsid w:val="00B51660"/>
    <w:rsid w:val="00B51783"/>
    <w:rsid w:val="00B51A27"/>
    <w:rsid w:val="00B523D9"/>
    <w:rsid w:val="00B5281A"/>
    <w:rsid w:val="00B5283E"/>
    <w:rsid w:val="00B5348B"/>
    <w:rsid w:val="00B53654"/>
    <w:rsid w:val="00B536C5"/>
    <w:rsid w:val="00B53905"/>
    <w:rsid w:val="00B546DB"/>
    <w:rsid w:val="00B548A7"/>
    <w:rsid w:val="00B54B5B"/>
    <w:rsid w:val="00B54CDB"/>
    <w:rsid w:val="00B551BA"/>
    <w:rsid w:val="00B552F0"/>
    <w:rsid w:val="00B5562E"/>
    <w:rsid w:val="00B557C1"/>
    <w:rsid w:val="00B557CB"/>
    <w:rsid w:val="00B55862"/>
    <w:rsid w:val="00B55870"/>
    <w:rsid w:val="00B55D65"/>
    <w:rsid w:val="00B56305"/>
    <w:rsid w:val="00B5650D"/>
    <w:rsid w:val="00B56662"/>
    <w:rsid w:val="00B566A4"/>
    <w:rsid w:val="00B56925"/>
    <w:rsid w:val="00B56DFE"/>
    <w:rsid w:val="00B57000"/>
    <w:rsid w:val="00B5737E"/>
    <w:rsid w:val="00B60939"/>
    <w:rsid w:val="00B60AFD"/>
    <w:rsid w:val="00B60F3C"/>
    <w:rsid w:val="00B61D17"/>
    <w:rsid w:val="00B623A4"/>
    <w:rsid w:val="00B62715"/>
    <w:rsid w:val="00B63359"/>
    <w:rsid w:val="00B6367D"/>
    <w:rsid w:val="00B63A99"/>
    <w:rsid w:val="00B63C10"/>
    <w:rsid w:val="00B64763"/>
    <w:rsid w:val="00B64D54"/>
    <w:rsid w:val="00B65277"/>
    <w:rsid w:val="00B65462"/>
    <w:rsid w:val="00B6558E"/>
    <w:rsid w:val="00B65611"/>
    <w:rsid w:val="00B65926"/>
    <w:rsid w:val="00B65AA8"/>
    <w:rsid w:val="00B65DFE"/>
    <w:rsid w:val="00B66094"/>
    <w:rsid w:val="00B6662E"/>
    <w:rsid w:val="00B66A2A"/>
    <w:rsid w:val="00B67383"/>
    <w:rsid w:val="00B7055C"/>
    <w:rsid w:val="00B70E8E"/>
    <w:rsid w:val="00B7104D"/>
    <w:rsid w:val="00B7168B"/>
    <w:rsid w:val="00B72575"/>
    <w:rsid w:val="00B7324D"/>
    <w:rsid w:val="00B73C36"/>
    <w:rsid w:val="00B744AF"/>
    <w:rsid w:val="00B75296"/>
    <w:rsid w:val="00B75B52"/>
    <w:rsid w:val="00B75C70"/>
    <w:rsid w:val="00B76849"/>
    <w:rsid w:val="00B76A0F"/>
    <w:rsid w:val="00B76B74"/>
    <w:rsid w:val="00B76C92"/>
    <w:rsid w:val="00B7792F"/>
    <w:rsid w:val="00B77D8B"/>
    <w:rsid w:val="00B80496"/>
    <w:rsid w:val="00B8096E"/>
    <w:rsid w:val="00B80D5E"/>
    <w:rsid w:val="00B80EFD"/>
    <w:rsid w:val="00B812E7"/>
    <w:rsid w:val="00B818A4"/>
    <w:rsid w:val="00B825E9"/>
    <w:rsid w:val="00B82AA9"/>
    <w:rsid w:val="00B82C4E"/>
    <w:rsid w:val="00B82C8D"/>
    <w:rsid w:val="00B82D11"/>
    <w:rsid w:val="00B8303E"/>
    <w:rsid w:val="00B831BA"/>
    <w:rsid w:val="00B83739"/>
    <w:rsid w:val="00B83C6C"/>
    <w:rsid w:val="00B84117"/>
    <w:rsid w:val="00B843E8"/>
    <w:rsid w:val="00B84747"/>
    <w:rsid w:val="00B855CB"/>
    <w:rsid w:val="00B858F0"/>
    <w:rsid w:val="00B85AA2"/>
    <w:rsid w:val="00B85BF4"/>
    <w:rsid w:val="00B85C75"/>
    <w:rsid w:val="00B85E7D"/>
    <w:rsid w:val="00B8609A"/>
    <w:rsid w:val="00B8649C"/>
    <w:rsid w:val="00B865F5"/>
    <w:rsid w:val="00B868D0"/>
    <w:rsid w:val="00B8695D"/>
    <w:rsid w:val="00B87382"/>
    <w:rsid w:val="00B87B97"/>
    <w:rsid w:val="00B87BFA"/>
    <w:rsid w:val="00B87F0A"/>
    <w:rsid w:val="00B9063C"/>
    <w:rsid w:val="00B90952"/>
    <w:rsid w:val="00B90E48"/>
    <w:rsid w:val="00B91185"/>
    <w:rsid w:val="00B91BC1"/>
    <w:rsid w:val="00B922C5"/>
    <w:rsid w:val="00B92A91"/>
    <w:rsid w:val="00B92AA3"/>
    <w:rsid w:val="00B92D01"/>
    <w:rsid w:val="00B92D0B"/>
    <w:rsid w:val="00B92F80"/>
    <w:rsid w:val="00B936B0"/>
    <w:rsid w:val="00B93CFE"/>
    <w:rsid w:val="00B93E49"/>
    <w:rsid w:val="00B9423C"/>
    <w:rsid w:val="00B94240"/>
    <w:rsid w:val="00B943A8"/>
    <w:rsid w:val="00B94448"/>
    <w:rsid w:val="00B94945"/>
    <w:rsid w:val="00B94DD6"/>
    <w:rsid w:val="00B94E6A"/>
    <w:rsid w:val="00B961A8"/>
    <w:rsid w:val="00B96299"/>
    <w:rsid w:val="00B96B42"/>
    <w:rsid w:val="00B978C1"/>
    <w:rsid w:val="00B97B6F"/>
    <w:rsid w:val="00B97C95"/>
    <w:rsid w:val="00B97F6B"/>
    <w:rsid w:val="00BA002E"/>
    <w:rsid w:val="00BA1311"/>
    <w:rsid w:val="00BA1345"/>
    <w:rsid w:val="00BA1521"/>
    <w:rsid w:val="00BA25AD"/>
    <w:rsid w:val="00BA2606"/>
    <w:rsid w:val="00BA2A6A"/>
    <w:rsid w:val="00BA2B4A"/>
    <w:rsid w:val="00BA2BCF"/>
    <w:rsid w:val="00BA314B"/>
    <w:rsid w:val="00BA322D"/>
    <w:rsid w:val="00BA36AF"/>
    <w:rsid w:val="00BA3727"/>
    <w:rsid w:val="00BA3D45"/>
    <w:rsid w:val="00BA41EA"/>
    <w:rsid w:val="00BA51D9"/>
    <w:rsid w:val="00BA5481"/>
    <w:rsid w:val="00BA5A2F"/>
    <w:rsid w:val="00BA5B6F"/>
    <w:rsid w:val="00BA5C2E"/>
    <w:rsid w:val="00BA63FA"/>
    <w:rsid w:val="00BA69CD"/>
    <w:rsid w:val="00BA6D69"/>
    <w:rsid w:val="00BA6EEE"/>
    <w:rsid w:val="00BA783B"/>
    <w:rsid w:val="00BB00B3"/>
    <w:rsid w:val="00BB0483"/>
    <w:rsid w:val="00BB0B4E"/>
    <w:rsid w:val="00BB0BDD"/>
    <w:rsid w:val="00BB0FBE"/>
    <w:rsid w:val="00BB1333"/>
    <w:rsid w:val="00BB176C"/>
    <w:rsid w:val="00BB19AB"/>
    <w:rsid w:val="00BB1E82"/>
    <w:rsid w:val="00BB28C2"/>
    <w:rsid w:val="00BB2A73"/>
    <w:rsid w:val="00BB2BF6"/>
    <w:rsid w:val="00BB3A45"/>
    <w:rsid w:val="00BB3CFF"/>
    <w:rsid w:val="00BB3D6C"/>
    <w:rsid w:val="00BB3DC0"/>
    <w:rsid w:val="00BB40AD"/>
    <w:rsid w:val="00BB41B2"/>
    <w:rsid w:val="00BB42A8"/>
    <w:rsid w:val="00BB4447"/>
    <w:rsid w:val="00BB45A2"/>
    <w:rsid w:val="00BB474E"/>
    <w:rsid w:val="00BB4989"/>
    <w:rsid w:val="00BB4ACC"/>
    <w:rsid w:val="00BB5546"/>
    <w:rsid w:val="00BB5F84"/>
    <w:rsid w:val="00BB672B"/>
    <w:rsid w:val="00BB6CAE"/>
    <w:rsid w:val="00BB7035"/>
    <w:rsid w:val="00BB703E"/>
    <w:rsid w:val="00BB732D"/>
    <w:rsid w:val="00BB7405"/>
    <w:rsid w:val="00BB7610"/>
    <w:rsid w:val="00BB7811"/>
    <w:rsid w:val="00BB7C1F"/>
    <w:rsid w:val="00BB7D2F"/>
    <w:rsid w:val="00BC0703"/>
    <w:rsid w:val="00BC091E"/>
    <w:rsid w:val="00BC09FF"/>
    <w:rsid w:val="00BC1A9F"/>
    <w:rsid w:val="00BC1C88"/>
    <w:rsid w:val="00BC2118"/>
    <w:rsid w:val="00BC258D"/>
    <w:rsid w:val="00BC271F"/>
    <w:rsid w:val="00BC2B95"/>
    <w:rsid w:val="00BC33DE"/>
    <w:rsid w:val="00BC33FD"/>
    <w:rsid w:val="00BC3631"/>
    <w:rsid w:val="00BC366D"/>
    <w:rsid w:val="00BC3E88"/>
    <w:rsid w:val="00BC4E6E"/>
    <w:rsid w:val="00BC52F9"/>
    <w:rsid w:val="00BC582B"/>
    <w:rsid w:val="00BC591F"/>
    <w:rsid w:val="00BC5B2C"/>
    <w:rsid w:val="00BC5BB5"/>
    <w:rsid w:val="00BC5CB6"/>
    <w:rsid w:val="00BC60E6"/>
    <w:rsid w:val="00BC7292"/>
    <w:rsid w:val="00BC7540"/>
    <w:rsid w:val="00BC7A78"/>
    <w:rsid w:val="00BC7B78"/>
    <w:rsid w:val="00BC7D6D"/>
    <w:rsid w:val="00BD072F"/>
    <w:rsid w:val="00BD07A7"/>
    <w:rsid w:val="00BD2108"/>
    <w:rsid w:val="00BD25DF"/>
    <w:rsid w:val="00BD2BF4"/>
    <w:rsid w:val="00BD31CA"/>
    <w:rsid w:val="00BD3624"/>
    <w:rsid w:val="00BD3768"/>
    <w:rsid w:val="00BD4005"/>
    <w:rsid w:val="00BD412B"/>
    <w:rsid w:val="00BD530E"/>
    <w:rsid w:val="00BD5691"/>
    <w:rsid w:val="00BD56B8"/>
    <w:rsid w:val="00BD58C3"/>
    <w:rsid w:val="00BD5986"/>
    <w:rsid w:val="00BD68A3"/>
    <w:rsid w:val="00BD68AC"/>
    <w:rsid w:val="00BD6938"/>
    <w:rsid w:val="00BD6CF3"/>
    <w:rsid w:val="00BD6EA4"/>
    <w:rsid w:val="00BD6FDE"/>
    <w:rsid w:val="00BD78D2"/>
    <w:rsid w:val="00BD7ADB"/>
    <w:rsid w:val="00BD7DA7"/>
    <w:rsid w:val="00BD7F72"/>
    <w:rsid w:val="00BE045F"/>
    <w:rsid w:val="00BE0664"/>
    <w:rsid w:val="00BE08DC"/>
    <w:rsid w:val="00BE09EF"/>
    <w:rsid w:val="00BE0B78"/>
    <w:rsid w:val="00BE0CF2"/>
    <w:rsid w:val="00BE0E2A"/>
    <w:rsid w:val="00BE0ECA"/>
    <w:rsid w:val="00BE14C1"/>
    <w:rsid w:val="00BE1A5E"/>
    <w:rsid w:val="00BE2170"/>
    <w:rsid w:val="00BE2180"/>
    <w:rsid w:val="00BE21F2"/>
    <w:rsid w:val="00BE2D22"/>
    <w:rsid w:val="00BE31EA"/>
    <w:rsid w:val="00BE359D"/>
    <w:rsid w:val="00BE41C9"/>
    <w:rsid w:val="00BE4275"/>
    <w:rsid w:val="00BE5040"/>
    <w:rsid w:val="00BE50D3"/>
    <w:rsid w:val="00BE554B"/>
    <w:rsid w:val="00BE5F06"/>
    <w:rsid w:val="00BE68B9"/>
    <w:rsid w:val="00BE6E13"/>
    <w:rsid w:val="00BE7025"/>
    <w:rsid w:val="00BE79DE"/>
    <w:rsid w:val="00BF06AE"/>
    <w:rsid w:val="00BF0970"/>
    <w:rsid w:val="00BF0F95"/>
    <w:rsid w:val="00BF1C7A"/>
    <w:rsid w:val="00BF2335"/>
    <w:rsid w:val="00BF2433"/>
    <w:rsid w:val="00BF2A8A"/>
    <w:rsid w:val="00BF2C11"/>
    <w:rsid w:val="00BF2C30"/>
    <w:rsid w:val="00BF2E6E"/>
    <w:rsid w:val="00BF32C4"/>
    <w:rsid w:val="00BF372D"/>
    <w:rsid w:val="00BF489C"/>
    <w:rsid w:val="00BF5036"/>
    <w:rsid w:val="00BF5293"/>
    <w:rsid w:val="00BF5404"/>
    <w:rsid w:val="00BF5868"/>
    <w:rsid w:val="00BF61C9"/>
    <w:rsid w:val="00BF6723"/>
    <w:rsid w:val="00BF67B8"/>
    <w:rsid w:val="00BF69AA"/>
    <w:rsid w:val="00BF6C94"/>
    <w:rsid w:val="00BF7365"/>
    <w:rsid w:val="00BF7396"/>
    <w:rsid w:val="00BF7A14"/>
    <w:rsid w:val="00BF7C7D"/>
    <w:rsid w:val="00C00376"/>
    <w:rsid w:val="00C00424"/>
    <w:rsid w:val="00C004CA"/>
    <w:rsid w:val="00C00BB0"/>
    <w:rsid w:val="00C018EE"/>
    <w:rsid w:val="00C038BE"/>
    <w:rsid w:val="00C04582"/>
    <w:rsid w:val="00C04E14"/>
    <w:rsid w:val="00C057BD"/>
    <w:rsid w:val="00C0602E"/>
    <w:rsid w:val="00C063B8"/>
    <w:rsid w:val="00C067F9"/>
    <w:rsid w:val="00C06B98"/>
    <w:rsid w:val="00C0733D"/>
    <w:rsid w:val="00C074E0"/>
    <w:rsid w:val="00C0786F"/>
    <w:rsid w:val="00C07A47"/>
    <w:rsid w:val="00C1002A"/>
    <w:rsid w:val="00C10EA2"/>
    <w:rsid w:val="00C1155E"/>
    <w:rsid w:val="00C1179F"/>
    <w:rsid w:val="00C11E02"/>
    <w:rsid w:val="00C11FD6"/>
    <w:rsid w:val="00C122EF"/>
    <w:rsid w:val="00C125DA"/>
    <w:rsid w:val="00C126D7"/>
    <w:rsid w:val="00C127B9"/>
    <w:rsid w:val="00C128FA"/>
    <w:rsid w:val="00C12C14"/>
    <w:rsid w:val="00C13DD6"/>
    <w:rsid w:val="00C14F1F"/>
    <w:rsid w:val="00C14F2D"/>
    <w:rsid w:val="00C15281"/>
    <w:rsid w:val="00C155D1"/>
    <w:rsid w:val="00C15EE2"/>
    <w:rsid w:val="00C15F04"/>
    <w:rsid w:val="00C16027"/>
    <w:rsid w:val="00C163CF"/>
    <w:rsid w:val="00C179B3"/>
    <w:rsid w:val="00C17E3F"/>
    <w:rsid w:val="00C17F10"/>
    <w:rsid w:val="00C20030"/>
    <w:rsid w:val="00C200AA"/>
    <w:rsid w:val="00C20533"/>
    <w:rsid w:val="00C20F90"/>
    <w:rsid w:val="00C21799"/>
    <w:rsid w:val="00C219A6"/>
    <w:rsid w:val="00C21C60"/>
    <w:rsid w:val="00C22532"/>
    <w:rsid w:val="00C22B84"/>
    <w:rsid w:val="00C22FB0"/>
    <w:rsid w:val="00C2338F"/>
    <w:rsid w:val="00C237ED"/>
    <w:rsid w:val="00C23A42"/>
    <w:rsid w:val="00C23E83"/>
    <w:rsid w:val="00C24632"/>
    <w:rsid w:val="00C249C7"/>
    <w:rsid w:val="00C24A50"/>
    <w:rsid w:val="00C24E10"/>
    <w:rsid w:val="00C252E6"/>
    <w:rsid w:val="00C25418"/>
    <w:rsid w:val="00C25B43"/>
    <w:rsid w:val="00C25D9C"/>
    <w:rsid w:val="00C25F05"/>
    <w:rsid w:val="00C264DA"/>
    <w:rsid w:val="00C26676"/>
    <w:rsid w:val="00C2778B"/>
    <w:rsid w:val="00C27BAD"/>
    <w:rsid w:val="00C27D32"/>
    <w:rsid w:val="00C300F9"/>
    <w:rsid w:val="00C30865"/>
    <w:rsid w:val="00C30A10"/>
    <w:rsid w:val="00C30E47"/>
    <w:rsid w:val="00C31649"/>
    <w:rsid w:val="00C3164B"/>
    <w:rsid w:val="00C316D4"/>
    <w:rsid w:val="00C31C98"/>
    <w:rsid w:val="00C32BC1"/>
    <w:rsid w:val="00C32CF6"/>
    <w:rsid w:val="00C334FD"/>
    <w:rsid w:val="00C3396F"/>
    <w:rsid w:val="00C33E32"/>
    <w:rsid w:val="00C34329"/>
    <w:rsid w:val="00C3434C"/>
    <w:rsid w:val="00C345D6"/>
    <w:rsid w:val="00C34F68"/>
    <w:rsid w:val="00C3571E"/>
    <w:rsid w:val="00C35F68"/>
    <w:rsid w:val="00C36DCC"/>
    <w:rsid w:val="00C40385"/>
    <w:rsid w:val="00C4058B"/>
    <w:rsid w:val="00C405F6"/>
    <w:rsid w:val="00C410D2"/>
    <w:rsid w:val="00C41768"/>
    <w:rsid w:val="00C41842"/>
    <w:rsid w:val="00C426E9"/>
    <w:rsid w:val="00C42838"/>
    <w:rsid w:val="00C42909"/>
    <w:rsid w:val="00C42A93"/>
    <w:rsid w:val="00C42A96"/>
    <w:rsid w:val="00C42BA3"/>
    <w:rsid w:val="00C42BD6"/>
    <w:rsid w:val="00C42EA8"/>
    <w:rsid w:val="00C43337"/>
    <w:rsid w:val="00C4354E"/>
    <w:rsid w:val="00C43905"/>
    <w:rsid w:val="00C43C0D"/>
    <w:rsid w:val="00C44CBA"/>
    <w:rsid w:val="00C453AE"/>
    <w:rsid w:val="00C46029"/>
    <w:rsid w:val="00C460BA"/>
    <w:rsid w:val="00C475AA"/>
    <w:rsid w:val="00C477A0"/>
    <w:rsid w:val="00C47D9B"/>
    <w:rsid w:val="00C47E1E"/>
    <w:rsid w:val="00C50612"/>
    <w:rsid w:val="00C50A7B"/>
    <w:rsid w:val="00C50CB3"/>
    <w:rsid w:val="00C51019"/>
    <w:rsid w:val="00C5109C"/>
    <w:rsid w:val="00C518F9"/>
    <w:rsid w:val="00C51B38"/>
    <w:rsid w:val="00C52060"/>
    <w:rsid w:val="00C522BD"/>
    <w:rsid w:val="00C527C7"/>
    <w:rsid w:val="00C53944"/>
    <w:rsid w:val="00C53C98"/>
    <w:rsid w:val="00C541B0"/>
    <w:rsid w:val="00C54332"/>
    <w:rsid w:val="00C54706"/>
    <w:rsid w:val="00C54E3F"/>
    <w:rsid w:val="00C54EA8"/>
    <w:rsid w:val="00C55312"/>
    <w:rsid w:val="00C5575A"/>
    <w:rsid w:val="00C55B54"/>
    <w:rsid w:val="00C567E0"/>
    <w:rsid w:val="00C5685E"/>
    <w:rsid w:val="00C56B5F"/>
    <w:rsid w:val="00C56E31"/>
    <w:rsid w:val="00C56FCF"/>
    <w:rsid w:val="00C572F6"/>
    <w:rsid w:val="00C57B6C"/>
    <w:rsid w:val="00C60295"/>
    <w:rsid w:val="00C605B7"/>
    <w:rsid w:val="00C60EB8"/>
    <w:rsid w:val="00C61A59"/>
    <w:rsid w:val="00C621C7"/>
    <w:rsid w:val="00C62394"/>
    <w:rsid w:val="00C628A6"/>
    <w:rsid w:val="00C628D2"/>
    <w:rsid w:val="00C639AF"/>
    <w:rsid w:val="00C63BF3"/>
    <w:rsid w:val="00C63CCB"/>
    <w:rsid w:val="00C64344"/>
    <w:rsid w:val="00C65108"/>
    <w:rsid w:val="00C653DB"/>
    <w:rsid w:val="00C65576"/>
    <w:rsid w:val="00C65B4B"/>
    <w:rsid w:val="00C65EF3"/>
    <w:rsid w:val="00C66165"/>
    <w:rsid w:val="00C66852"/>
    <w:rsid w:val="00C669B6"/>
    <w:rsid w:val="00C67977"/>
    <w:rsid w:val="00C7060A"/>
    <w:rsid w:val="00C710FA"/>
    <w:rsid w:val="00C71256"/>
    <w:rsid w:val="00C7151A"/>
    <w:rsid w:val="00C717E3"/>
    <w:rsid w:val="00C71F5F"/>
    <w:rsid w:val="00C71F60"/>
    <w:rsid w:val="00C72241"/>
    <w:rsid w:val="00C72410"/>
    <w:rsid w:val="00C72E29"/>
    <w:rsid w:val="00C733E1"/>
    <w:rsid w:val="00C736FE"/>
    <w:rsid w:val="00C743F6"/>
    <w:rsid w:val="00C744DB"/>
    <w:rsid w:val="00C747C7"/>
    <w:rsid w:val="00C750C8"/>
    <w:rsid w:val="00C7560F"/>
    <w:rsid w:val="00C75BF0"/>
    <w:rsid w:val="00C76718"/>
    <w:rsid w:val="00C76E7F"/>
    <w:rsid w:val="00C77683"/>
    <w:rsid w:val="00C778CA"/>
    <w:rsid w:val="00C77B90"/>
    <w:rsid w:val="00C80A0E"/>
    <w:rsid w:val="00C816E4"/>
    <w:rsid w:val="00C8194C"/>
    <w:rsid w:val="00C819F4"/>
    <w:rsid w:val="00C81DDF"/>
    <w:rsid w:val="00C8213F"/>
    <w:rsid w:val="00C824E2"/>
    <w:rsid w:val="00C82A57"/>
    <w:rsid w:val="00C82E9F"/>
    <w:rsid w:val="00C8303F"/>
    <w:rsid w:val="00C835FA"/>
    <w:rsid w:val="00C83654"/>
    <w:rsid w:val="00C83E3E"/>
    <w:rsid w:val="00C84B14"/>
    <w:rsid w:val="00C84BDE"/>
    <w:rsid w:val="00C85154"/>
    <w:rsid w:val="00C8520D"/>
    <w:rsid w:val="00C85A70"/>
    <w:rsid w:val="00C85ACA"/>
    <w:rsid w:val="00C86F67"/>
    <w:rsid w:val="00C87852"/>
    <w:rsid w:val="00C8797A"/>
    <w:rsid w:val="00C8799E"/>
    <w:rsid w:val="00C900B8"/>
    <w:rsid w:val="00C900CB"/>
    <w:rsid w:val="00C90197"/>
    <w:rsid w:val="00C905FF"/>
    <w:rsid w:val="00C909BF"/>
    <w:rsid w:val="00C90C71"/>
    <w:rsid w:val="00C91290"/>
    <w:rsid w:val="00C919EE"/>
    <w:rsid w:val="00C91FD1"/>
    <w:rsid w:val="00C923C5"/>
    <w:rsid w:val="00C92720"/>
    <w:rsid w:val="00C931CF"/>
    <w:rsid w:val="00C938CF"/>
    <w:rsid w:val="00C938D6"/>
    <w:rsid w:val="00C93FF1"/>
    <w:rsid w:val="00C94053"/>
    <w:rsid w:val="00C943DA"/>
    <w:rsid w:val="00C946B9"/>
    <w:rsid w:val="00C94F8F"/>
    <w:rsid w:val="00C95458"/>
    <w:rsid w:val="00C9624D"/>
    <w:rsid w:val="00C969DA"/>
    <w:rsid w:val="00C9727D"/>
    <w:rsid w:val="00C9729E"/>
    <w:rsid w:val="00C97F65"/>
    <w:rsid w:val="00CA058E"/>
    <w:rsid w:val="00CA0875"/>
    <w:rsid w:val="00CA1084"/>
    <w:rsid w:val="00CA1269"/>
    <w:rsid w:val="00CA1420"/>
    <w:rsid w:val="00CA1AF7"/>
    <w:rsid w:val="00CA2387"/>
    <w:rsid w:val="00CA28DD"/>
    <w:rsid w:val="00CA2C77"/>
    <w:rsid w:val="00CA41AD"/>
    <w:rsid w:val="00CA444F"/>
    <w:rsid w:val="00CA44BB"/>
    <w:rsid w:val="00CA4507"/>
    <w:rsid w:val="00CA47FE"/>
    <w:rsid w:val="00CA4824"/>
    <w:rsid w:val="00CA492B"/>
    <w:rsid w:val="00CA4C71"/>
    <w:rsid w:val="00CA4ED2"/>
    <w:rsid w:val="00CA4FB6"/>
    <w:rsid w:val="00CA5245"/>
    <w:rsid w:val="00CA56F6"/>
    <w:rsid w:val="00CA5A6E"/>
    <w:rsid w:val="00CA5DA8"/>
    <w:rsid w:val="00CA61F8"/>
    <w:rsid w:val="00CA628B"/>
    <w:rsid w:val="00CA708F"/>
    <w:rsid w:val="00CA71F4"/>
    <w:rsid w:val="00CA7942"/>
    <w:rsid w:val="00CA7B09"/>
    <w:rsid w:val="00CA7BE5"/>
    <w:rsid w:val="00CA7F17"/>
    <w:rsid w:val="00CB0431"/>
    <w:rsid w:val="00CB04A2"/>
    <w:rsid w:val="00CB0856"/>
    <w:rsid w:val="00CB102C"/>
    <w:rsid w:val="00CB11D1"/>
    <w:rsid w:val="00CB12A5"/>
    <w:rsid w:val="00CB1562"/>
    <w:rsid w:val="00CB1957"/>
    <w:rsid w:val="00CB1CAC"/>
    <w:rsid w:val="00CB24F6"/>
    <w:rsid w:val="00CB28E9"/>
    <w:rsid w:val="00CB2D59"/>
    <w:rsid w:val="00CB2DDA"/>
    <w:rsid w:val="00CB2F2A"/>
    <w:rsid w:val="00CB4C5F"/>
    <w:rsid w:val="00CB575C"/>
    <w:rsid w:val="00CB5B1A"/>
    <w:rsid w:val="00CB6038"/>
    <w:rsid w:val="00CB6B22"/>
    <w:rsid w:val="00CB6CAB"/>
    <w:rsid w:val="00CB743D"/>
    <w:rsid w:val="00CB7495"/>
    <w:rsid w:val="00CB7F13"/>
    <w:rsid w:val="00CB7F5F"/>
    <w:rsid w:val="00CC0327"/>
    <w:rsid w:val="00CC0916"/>
    <w:rsid w:val="00CC1171"/>
    <w:rsid w:val="00CC1A24"/>
    <w:rsid w:val="00CC1B39"/>
    <w:rsid w:val="00CC1BFA"/>
    <w:rsid w:val="00CC1C23"/>
    <w:rsid w:val="00CC2269"/>
    <w:rsid w:val="00CC226D"/>
    <w:rsid w:val="00CC2C9E"/>
    <w:rsid w:val="00CC2E9F"/>
    <w:rsid w:val="00CC35EA"/>
    <w:rsid w:val="00CC3848"/>
    <w:rsid w:val="00CC3A1E"/>
    <w:rsid w:val="00CC4F5B"/>
    <w:rsid w:val="00CC5119"/>
    <w:rsid w:val="00CC54A5"/>
    <w:rsid w:val="00CC59C6"/>
    <w:rsid w:val="00CC5B0B"/>
    <w:rsid w:val="00CC5F3C"/>
    <w:rsid w:val="00CC67E3"/>
    <w:rsid w:val="00CC6D1C"/>
    <w:rsid w:val="00CC6D5E"/>
    <w:rsid w:val="00CC72E3"/>
    <w:rsid w:val="00CC751E"/>
    <w:rsid w:val="00CC7818"/>
    <w:rsid w:val="00CD0200"/>
    <w:rsid w:val="00CD0607"/>
    <w:rsid w:val="00CD086D"/>
    <w:rsid w:val="00CD12E3"/>
    <w:rsid w:val="00CD147C"/>
    <w:rsid w:val="00CD183B"/>
    <w:rsid w:val="00CD27D6"/>
    <w:rsid w:val="00CD2844"/>
    <w:rsid w:val="00CD2FF7"/>
    <w:rsid w:val="00CD339F"/>
    <w:rsid w:val="00CD34A2"/>
    <w:rsid w:val="00CD3A43"/>
    <w:rsid w:val="00CD3F77"/>
    <w:rsid w:val="00CD4A18"/>
    <w:rsid w:val="00CD53F4"/>
    <w:rsid w:val="00CD55C9"/>
    <w:rsid w:val="00CD5DEE"/>
    <w:rsid w:val="00CD6879"/>
    <w:rsid w:val="00CD6ADC"/>
    <w:rsid w:val="00CD6E79"/>
    <w:rsid w:val="00CD6FA3"/>
    <w:rsid w:val="00CD7174"/>
    <w:rsid w:val="00CD7193"/>
    <w:rsid w:val="00CD76AA"/>
    <w:rsid w:val="00CD7B51"/>
    <w:rsid w:val="00CE03FE"/>
    <w:rsid w:val="00CE0433"/>
    <w:rsid w:val="00CE048E"/>
    <w:rsid w:val="00CE0C26"/>
    <w:rsid w:val="00CE0D80"/>
    <w:rsid w:val="00CE124E"/>
    <w:rsid w:val="00CE16C6"/>
    <w:rsid w:val="00CE24EA"/>
    <w:rsid w:val="00CE27AD"/>
    <w:rsid w:val="00CE280F"/>
    <w:rsid w:val="00CE2E1E"/>
    <w:rsid w:val="00CE3404"/>
    <w:rsid w:val="00CE38C8"/>
    <w:rsid w:val="00CE3CA3"/>
    <w:rsid w:val="00CE4800"/>
    <w:rsid w:val="00CE4F46"/>
    <w:rsid w:val="00CE505B"/>
    <w:rsid w:val="00CE524F"/>
    <w:rsid w:val="00CE58CC"/>
    <w:rsid w:val="00CE5E5C"/>
    <w:rsid w:val="00CE6274"/>
    <w:rsid w:val="00CE645C"/>
    <w:rsid w:val="00CE7634"/>
    <w:rsid w:val="00CE77B6"/>
    <w:rsid w:val="00CE798E"/>
    <w:rsid w:val="00CF0766"/>
    <w:rsid w:val="00CF08E5"/>
    <w:rsid w:val="00CF102C"/>
    <w:rsid w:val="00CF2778"/>
    <w:rsid w:val="00CF2B8D"/>
    <w:rsid w:val="00CF2B9A"/>
    <w:rsid w:val="00CF2F4A"/>
    <w:rsid w:val="00CF316A"/>
    <w:rsid w:val="00CF31A4"/>
    <w:rsid w:val="00CF3349"/>
    <w:rsid w:val="00CF3A1B"/>
    <w:rsid w:val="00CF456B"/>
    <w:rsid w:val="00CF5543"/>
    <w:rsid w:val="00CF5A22"/>
    <w:rsid w:val="00CF5F32"/>
    <w:rsid w:val="00CF6F53"/>
    <w:rsid w:val="00D013FA"/>
    <w:rsid w:val="00D01912"/>
    <w:rsid w:val="00D01A8E"/>
    <w:rsid w:val="00D0262E"/>
    <w:rsid w:val="00D02D1C"/>
    <w:rsid w:val="00D034AB"/>
    <w:rsid w:val="00D034BD"/>
    <w:rsid w:val="00D03623"/>
    <w:rsid w:val="00D03679"/>
    <w:rsid w:val="00D038DA"/>
    <w:rsid w:val="00D0390A"/>
    <w:rsid w:val="00D04A3B"/>
    <w:rsid w:val="00D04AF7"/>
    <w:rsid w:val="00D050D8"/>
    <w:rsid w:val="00D054A1"/>
    <w:rsid w:val="00D05C6E"/>
    <w:rsid w:val="00D05E3D"/>
    <w:rsid w:val="00D06139"/>
    <w:rsid w:val="00D06AA3"/>
    <w:rsid w:val="00D06BDB"/>
    <w:rsid w:val="00D071DE"/>
    <w:rsid w:val="00D10791"/>
    <w:rsid w:val="00D10951"/>
    <w:rsid w:val="00D10A16"/>
    <w:rsid w:val="00D10A7F"/>
    <w:rsid w:val="00D10D0C"/>
    <w:rsid w:val="00D110BD"/>
    <w:rsid w:val="00D11868"/>
    <w:rsid w:val="00D1187B"/>
    <w:rsid w:val="00D11A4A"/>
    <w:rsid w:val="00D13675"/>
    <w:rsid w:val="00D138CE"/>
    <w:rsid w:val="00D13D12"/>
    <w:rsid w:val="00D13E1B"/>
    <w:rsid w:val="00D1410F"/>
    <w:rsid w:val="00D141E1"/>
    <w:rsid w:val="00D146D5"/>
    <w:rsid w:val="00D147D4"/>
    <w:rsid w:val="00D14A12"/>
    <w:rsid w:val="00D14AC5"/>
    <w:rsid w:val="00D14B95"/>
    <w:rsid w:val="00D14C3B"/>
    <w:rsid w:val="00D14C69"/>
    <w:rsid w:val="00D14D9F"/>
    <w:rsid w:val="00D151A9"/>
    <w:rsid w:val="00D15314"/>
    <w:rsid w:val="00D15377"/>
    <w:rsid w:val="00D15B48"/>
    <w:rsid w:val="00D1603B"/>
    <w:rsid w:val="00D16A8C"/>
    <w:rsid w:val="00D171E2"/>
    <w:rsid w:val="00D17D6C"/>
    <w:rsid w:val="00D20095"/>
    <w:rsid w:val="00D202D1"/>
    <w:rsid w:val="00D20545"/>
    <w:rsid w:val="00D205C3"/>
    <w:rsid w:val="00D2155B"/>
    <w:rsid w:val="00D21E27"/>
    <w:rsid w:val="00D22024"/>
    <w:rsid w:val="00D22647"/>
    <w:rsid w:val="00D22975"/>
    <w:rsid w:val="00D23195"/>
    <w:rsid w:val="00D23D11"/>
    <w:rsid w:val="00D23F99"/>
    <w:rsid w:val="00D244B6"/>
    <w:rsid w:val="00D24D6A"/>
    <w:rsid w:val="00D25430"/>
    <w:rsid w:val="00D25CC3"/>
    <w:rsid w:val="00D25CE6"/>
    <w:rsid w:val="00D262C8"/>
    <w:rsid w:val="00D26747"/>
    <w:rsid w:val="00D2754D"/>
    <w:rsid w:val="00D278FE"/>
    <w:rsid w:val="00D27B27"/>
    <w:rsid w:val="00D301E8"/>
    <w:rsid w:val="00D30266"/>
    <w:rsid w:val="00D3062A"/>
    <w:rsid w:val="00D30D5B"/>
    <w:rsid w:val="00D3131B"/>
    <w:rsid w:val="00D31D4B"/>
    <w:rsid w:val="00D32372"/>
    <w:rsid w:val="00D32849"/>
    <w:rsid w:val="00D32EDE"/>
    <w:rsid w:val="00D32F50"/>
    <w:rsid w:val="00D33984"/>
    <w:rsid w:val="00D339F9"/>
    <w:rsid w:val="00D33AA7"/>
    <w:rsid w:val="00D33BE9"/>
    <w:rsid w:val="00D33F93"/>
    <w:rsid w:val="00D34CBF"/>
    <w:rsid w:val="00D34D5F"/>
    <w:rsid w:val="00D352A4"/>
    <w:rsid w:val="00D357FF"/>
    <w:rsid w:val="00D3598D"/>
    <w:rsid w:val="00D35A0E"/>
    <w:rsid w:val="00D35B9A"/>
    <w:rsid w:val="00D35D5E"/>
    <w:rsid w:val="00D36695"/>
    <w:rsid w:val="00D366A7"/>
    <w:rsid w:val="00D36C17"/>
    <w:rsid w:val="00D37037"/>
    <w:rsid w:val="00D3703F"/>
    <w:rsid w:val="00D377AD"/>
    <w:rsid w:val="00D37C3E"/>
    <w:rsid w:val="00D4089D"/>
    <w:rsid w:val="00D40C88"/>
    <w:rsid w:val="00D41039"/>
    <w:rsid w:val="00D4209B"/>
    <w:rsid w:val="00D424C7"/>
    <w:rsid w:val="00D43455"/>
    <w:rsid w:val="00D43618"/>
    <w:rsid w:val="00D436E5"/>
    <w:rsid w:val="00D43941"/>
    <w:rsid w:val="00D43B2A"/>
    <w:rsid w:val="00D43CF1"/>
    <w:rsid w:val="00D43D83"/>
    <w:rsid w:val="00D44029"/>
    <w:rsid w:val="00D446C4"/>
    <w:rsid w:val="00D44B19"/>
    <w:rsid w:val="00D44E66"/>
    <w:rsid w:val="00D44F6E"/>
    <w:rsid w:val="00D45807"/>
    <w:rsid w:val="00D45CB4"/>
    <w:rsid w:val="00D45FC1"/>
    <w:rsid w:val="00D46193"/>
    <w:rsid w:val="00D469B4"/>
    <w:rsid w:val="00D46A01"/>
    <w:rsid w:val="00D46B71"/>
    <w:rsid w:val="00D46FD3"/>
    <w:rsid w:val="00D47117"/>
    <w:rsid w:val="00D47575"/>
    <w:rsid w:val="00D47C73"/>
    <w:rsid w:val="00D47D84"/>
    <w:rsid w:val="00D47E49"/>
    <w:rsid w:val="00D50C30"/>
    <w:rsid w:val="00D50D2E"/>
    <w:rsid w:val="00D516EC"/>
    <w:rsid w:val="00D5243B"/>
    <w:rsid w:val="00D52A42"/>
    <w:rsid w:val="00D5305C"/>
    <w:rsid w:val="00D533EC"/>
    <w:rsid w:val="00D53AC0"/>
    <w:rsid w:val="00D53DBA"/>
    <w:rsid w:val="00D53ECA"/>
    <w:rsid w:val="00D542EE"/>
    <w:rsid w:val="00D54A4F"/>
    <w:rsid w:val="00D54FEF"/>
    <w:rsid w:val="00D5529A"/>
    <w:rsid w:val="00D55D27"/>
    <w:rsid w:val="00D56081"/>
    <w:rsid w:val="00D56533"/>
    <w:rsid w:val="00D56A95"/>
    <w:rsid w:val="00D5765F"/>
    <w:rsid w:val="00D57A4B"/>
    <w:rsid w:val="00D57C24"/>
    <w:rsid w:val="00D6076E"/>
    <w:rsid w:val="00D610D2"/>
    <w:rsid w:val="00D62425"/>
    <w:rsid w:val="00D62A2C"/>
    <w:rsid w:val="00D62CA9"/>
    <w:rsid w:val="00D63023"/>
    <w:rsid w:val="00D63451"/>
    <w:rsid w:val="00D638DA"/>
    <w:rsid w:val="00D63BE6"/>
    <w:rsid w:val="00D64180"/>
    <w:rsid w:val="00D644E3"/>
    <w:rsid w:val="00D64A25"/>
    <w:rsid w:val="00D659FB"/>
    <w:rsid w:val="00D65B80"/>
    <w:rsid w:val="00D66585"/>
    <w:rsid w:val="00D66D2B"/>
    <w:rsid w:val="00D67109"/>
    <w:rsid w:val="00D672EF"/>
    <w:rsid w:val="00D67981"/>
    <w:rsid w:val="00D67A1D"/>
    <w:rsid w:val="00D67BDA"/>
    <w:rsid w:val="00D67CE1"/>
    <w:rsid w:val="00D67E1E"/>
    <w:rsid w:val="00D7050C"/>
    <w:rsid w:val="00D70AB4"/>
    <w:rsid w:val="00D70DAC"/>
    <w:rsid w:val="00D70F16"/>
    <w:rsid w:val="00D719CD"/>
    <w:rsid w:val="00D71CD7"/>
    <w:rsid w:val="00D721CE"/>
    <w:rsid w:val="00D72617"/>
    <w:rsid w:val="00D7269F"/>
    <w:rsid w:val="00D72B71"/>
    <w:rsid w:val="00D72E37"/>
    <w:rsid w:val="00D72F57"/>
    <w:rsid w:val="00D73709"/>
    <w:rsid w:val="00D740F3"/>
    <w:rsid w:val="00D74B43"/>
    <w:rsid w:val="00D74F42"/>
    <w:rsid w:val="00D75217"/>
    <w:rsid w:val="00D759B1"/>
    <w:rsid w:val="00D75BD7"/>
    <w:rsid w:val="00D764B3"/>
    <w:rsid w:val="00D7655B"/>
    <w:rsid w:val="00D766C8"/>
    <w:rsid w:val="00D76A44"/>
    <w:rsid w:val="00D76AF2"/>
    <w:rsid w:val="00D76EB3"/>
    <w:rsid w:val="00D7739B"/>
    <w:rsid w:val="00D77F47"/>
    <w:rsid w:val="00D8033B"/>
    <w:rsid w:val="00D80654"/>
    <w:rsid w:val="00D80DFA"/>
    <w:rsid w:val="00D815EF"/>
    <w:rsid w:val="00D81949"/>
    <w:rsid w:val="00D81D4B"/>
    <w:rsid w:val="00D81F26"/>
    <w:rsid w:val="00D820CE"/>
    <w:rsid w:val="00D822E2"/>
    <w:rsid w:val="00D823AB"/>
    <w:rsid w:val="00D827F5"/>
    <w:rsid w:val="00D82B4B"/>
    <w:rsid w:val="00D82ECD"/>
    <w:rsid w:val="00D82F61"/>
    <w:rsid w:val="00D830F4"/>
    <w:rsid w:val="00D835F3"/>
    <w:rsid w:val="00D83616"/>
    <w:rsid w:val="00D8423D"/>
    <w:rsid w:val="00D843F2"/>
    <w:rsid w:val="00D85705"/>
    <w:rsid w:val="00D85A33"/>
    <w:rsid w:val="00D85CA6"/>
    <w:rsid w:val="00D86231"/>
    <w:rsid w:val="00D8636A"/>
    <w:rsid w:val="00D864CC"/>
    <w:rsid w:val="00D866AC"/>
    <w:rsid w:val="00D86709"/>
    <w:rsid w:val="00D8673B"/>
    <w:rsid w:val="00D86F3B"/>
    <w:rsid w:val="00D87287"/>
    <w:rsid w:val="00D874F7"/>
    <w:rsid w:val="00D87538"/>
    <w:rsid w:val="00D878C0"/>
    <w:rsid w:val="00D912AB"/>
    <w:rsid w:val="00D9159B"/>
    <w:rsid w:val="00D91923"/>
    <w:rsid w:val="00D92749"/>
    <w:rsid w:val="00D92D9D"/>
    <w:rsid w:val="00D931C4"/>
    <w:rsid w:val="00D93753"/>
    <w:rsid w:val="00D93BE1"/>
    <w:rsid w:val="00D93F3A"/>
    <w:rsid w:val="00D9478A"/>
    <w:rsid w:val="00D9485B"/>
    <w:rsid w:val="00D949EA"/>
    <w:rsid w:val="00D94A19"/>
    <w:rsid w:val="00D94E3C"/>
    <w:rsid w:val="00D95264"/>
    <w:rsid w:val="00D95D69"/>
    <w:rsid w:val="00D9651F"/>
    <w:rsid w:val="00D966FA"/>
    <w:rsid w:val="00DA0A3D"/>
    <w:rsid w:val="00DA150A"/>
    <w:rsid w:val="00DA2133"/>
    <w:rsid w:val="00DA2998"/>
    <w:rsid w:val="00DA3167"/>
    <w:rsid w:val="00DA364E"/>
    <w:rsid w:val="00DA496C"/>
    <w:rsid w:val="00DA4DC3"/>
    <w:rsid w:val="00DA5EF9"/>
    <w:rsid w:val="00DA645A"/>
    <w:rsid w:val="00DA687E"/>
    <w:rsid w:val="00DA69D4"/>
    <w:rsid w:val="00DA6B86"/>
    <w:rsid w:val="00DA7120"/>
    <w:rsid w:val="00DA77A5"/>
    <w:rsid w:val="00DA7AC2"/>
    <w:rsid w:val="00DA7EA8"/>
    <w:rsid w:val="00DB0E36"/>
    <w:rsid w:val="00DB0FFB"/>
    <w:rsid w:val="00DB1121"/>
    <w:rsid w:val="00DB17E0"/>
    <w:rsid w:val="00DB1F59"/>
    <w:rsid w:val="00DB2075"/>
    <w:rsid w:val="00DB2723"/>
    <w:rsid w:val="00DB27A9"/>
    <w:rsid w:val="00DB3242"/>
    <w:rsid w:val="00DB32AD"/>
    <w:rsid w:val="00DB334F"/>
    <w:rsid w:val="00DB3504"/>
    <w:rsid w:val="00DB3CE1"/>
    <w:rsid w:val="00DB3DBF"/>
    <w:rsid w:val="00DB442E"/>
    <w:rsid w:val="00DB484F"/>
    <w:rsid w:val="00DB48B7"/>
    <w:rsid w:val="00DB54E1"/>
    <w:rsid w:val="00DB5C07"/>
    <w:rsid w:val="00DB5DD5"/>
    <w:rsid w:val="00DB6095"/>
    <w:rsid w:val="00DB60B0"/>
    <w:rsid w:val="00DB686C"/>
    <w:rsid w:val="00DB692E"/>
    <w:rsid w:val="00DB6AEC"/>
    <w:rsid w:val="00DB7080"/>
    <w:rsid w:val="00DB709C"/>
    <w:rsid w:val="00DB754E"/>
    <w:rsid w:val="00DB7611"/>
    <w:rsid w:val="00DB77B6"/>
    <w:rsid w:val="00DB7B1A"/>
    <w:rsid w:val="00DB7BA0"/>
    <w:rsid w:val="00DC02F2"/>
    <w:rsid w:val="00DC04F6"/>
    <w:rsid w:val="00DC0690"/>
    <w:rsid w:val="00DC0C50"/>
    <w:rsid w:val="00DC1A64"/>
    <w:rsid w:val="00DC1D65"/>
    <w:rsid w:val="00DC244F"/>
    <w:rsid w:val="00DC2C55"/>
    <w:rsid w:val="00DC3C57"/>
    <w:rsid w:val="00DC4489"/>
    <w:rsid w:val="00DC45D6"/>
    <w:rsid w:val="00DC471C"/>
    <w:rsid w:val="00DC53DE"/>
    <w:rsid w:val="00DC5501"/>
    <w:rsid w:val="00DC5B46"/>
    <w:rsid w:val="00DC5DE4"/>
    <w:rsid w:val="00DC613D"/>
    <w:rsid w:val="00DC6631"/>
    <w:rsid w:val="00DC6C1C"/>
    <w:rsid w:val="00DC7009"/>
    <w:rsid w:val="00DC7154"/>
    <w:rsid w:val="00DC716C"/>
    <w:rsid w:val="00DC7BD4"/>
    <w:rsid w:val="00DC7C9E"/>
    <w:rsid w:val="00DC7D94"/>
    <w:rsid w:val="00DC7E86"/>
    <w:rsid w:val="00DC7E8A"/>
    <w:rsid w:val="00DD008E"/>
    <w:rsid w:val="00DD02C1"/>
    <w:rsid w:val="00DD0779"/>
    <w:rsid w:val="00DD0C41"/>
    <w:rsid w:val="00DD0EA7"/>
    <w:rsid w:val="00DD0F78"/>
    <w:rsid w:val="00DD13B8"/>
    <w:rsid w:val="00DD2000"/>
    <w:rsid w:val="00DD228D"/>
    <w:rsid w:val="00DD273C"/>
    <w:rsid w:val="00DD2DD0"/>
    <w:rsid w:val="00DD38D6"/>
    <w:rsid w:val="00DD3A9E"/>
    <w:rsid w:val="00DD3AE8"/>
    <w:rsid w:val="00DD3F28"/>
    <w:rsid w:val="00DD43D3"/>
    <w:rsid w:val="00DD4446"/>
    <w:rsid w:val="00DD4537"/>
    <w:rsid w:val="00DD48E9"/>
    <w:rsid w:val="00DD4E15"/>
    <w:rsid w:val="00DD5198"/>
    <w:rsid w:val="00DD5436"/>
    <w:rsid w:val="00DD60F5"/>
    <w:rsid w:val="00DD74F6"/>
    <w:rsid w:val="00DD7911"/>
    <w:rsid w:val="00DD79ED"/>
    <w:rsid w:val="00DE0620"/>
    <w:rsid w:val="00DE0FD5"/>
    <w:rsid w:val="00DE13D3"/>
    <w:rsid w:val="00DE2304"/>
    <w:rsid w:val="00DE2664"/>
    <w:rsid w:val="00DE3138"/>
    <w:rsid w:val="00DE34AC"/>
    <w:rsid w:val="00DE34BA"/>
    <w:rsid w:val="00DE37F8"/>
    <w:rsid w:val="00DE40CC"/>
    <w:rsid w:val="00DE4273"/>
    <w:rsid w:val="00DE44BF"/>
    <w:rsid w:val="00DE45E0"/>
    <w:rsid w:val="00DE4A9B"/>
    <w:rsid w:val="00DE4ACF"/>
    <w:rsid w:val="00DE4C7E"/>
    <w:rsid w:val="00DE4FCB"/>
    <w:rsid w:val="00DE5A2F"/>
    <w:rsid w:val="00DE5C9D"/>
    <w:rsid w:val="00DE5D07"/>
    <w:rsid w:val="00DE6326"/>
    <w:rsid w:val="00DE681E"/>
    <w:rsid w:val="00DE6B06"/>
    <w:rsid w:val="00DE6BC1"/>
    <w:rsid w:val="00DE7026"/>
    <w:rsid w:val="00DE72A7"/>
    <w:rsid w:val="00DE7312"/>
    <w:rsid w:val="00DE7832"/>
    <w:rsid w:val="00DE7A1A"/>
    <w:rsid w:val="00DE7A81"/>
    <w:rsid w:val="00DE7EED"/>
    <w:rsid w:val="00DF03D5"/>
    <w:rsid w:val="00DF03DE"/>
    <w:rsid w:val="00DF10BE"/>
    <w:rsid w:val="00DF180E"/>
    <w:rsid w:val="00DF18FC"/>
    <w:rsid w:val="00DF1BBF"/>
    <w:rsid w:val="00DF1F99"/>
    <w:rsid w:val="00DF2877"/>
    <w:rsid w:val="00DF2A9D"/>
    <w:rsid w:val="00DF2F14"/>
    <w:rsid w:val="00DF3E91"/>
    <w:rsid w:val="00DF3F28"/>
    <w:rsid w:val="00DF3F36"/>
    <w:rsid w:val="00DF4061"/>
    <w:rsid w:val="00DF4308"/>
    <w:rsid w:val="00DF4891"/>
    <w:rsid w:val="00DF4E72"/>
    <w:rsid w:val="00DF4FFA"/>
    <w:rsid w:val="00DF57E9"/>
    <w:rsid w:val="00DF5D2B"/>
    <w:rsid w:val="00DF5EDC"/>
    <w:rsid w:val="00DF5EEA"/>
    <w:rsid w:val="00DF60C7"/>
    <w:rsid w:val="00DF6341"/>
    <w:rsid w:val="00DF6591"/>
    <w:rsid w:val="00DF6757"/>
    <w:rsid w:val="00DF6AD0"/>
    <w:rsid w:val="00DF6BC0"/>
    <w:rsid w:val="00DF6D2D"/>
    <w:rsid w:val="00DF6D48"/>
    <w:rsid w:val="00DF74F7"/>
    <w:rsid w:val="00DF7D64"/>
    <w:rsid w:val="00E00233"/>
    <w:rsid w:val="00E00E8E"/>
    <w:rsid w:val="00E01073"/>
    <w:rsid w:val="00E0135A"/>
    <w:rsid w:val="00E02268"/>
    <w:rsid w:val="00E0262C"/>
    <w:rsid w:val="00E026C4"/>
    <w:rsid w:val="00E02766"/>
    <w:rsid w:val="00E02AE1"/>
    <w:rsid w:val="00E02B7F"/>
    <w:rsid w:val="00E0307C"/>
    <w:rsid w:val="00E0319F"/>
    <w:rsid w:val="00E03921"/>
    <w:rsid w:val="00E03DE7"/>
    <w:rsid w:val="00E04038"/>
    <w:rsid w:val="00E04992"/>
    <w:rsid w:val="00E04AD3"/>
    <w:rsid w:val="00E04DB7"/>
    <w:rsid w:val="00E04FD0"/>
    <w:rsid w:val="00E05486"/>
    <w:rsid w:val="00E05630"/>
    <w:rsid w:val="00E05BDB"/>
    <w:rsid w:val="00E05D04"/>
    <w:rsid w:val="00E06575"/>
    <w:rsid w:val="00E06DBB"/>
    <w:rsid w:val="00E076A6"/>
    <w:rsid w:val="00E07EB2"/>
    <w:rsid w:val="00E10149"/>
    <w:rsid w:val="00E111F8"/>
    <w:rsid w:val="00E11340"/>
    <w:rsid w:val="00E11D63"/>
    <w:rsid w:val="00E122A1"/>
    <w:rsid w:val="00E12AB4"/>
    <w:rsid w:val="00E134A1"/>
    <w:rsid w:val="00E137C3"/>
    <w:rsid w:val="00E13AE7"/>
    <w:rsid w:val="00E142F9"/>
    <w:rsid w:val="00E157F9"/>
    <w:rsid w:val="00E15802"/>
    <w:rsid w:val="00E16372"/>
    <w:rsid w:val="00E169A7"/>
    <w:rsid w:val="00E16AD8"/>
    <w:rsid w:val="00E16FC4"/>
    <w:rsid w:val="00E171F2"/>
    <w:rsid w:val="00E17801"/>
    <w:rsid w:val="00E17844"/>
    <w:rsid w:val="00E17FFA"/>
    <w:rsid w:val="00E208A3"/>
    <w:rsid w:val="00E20CC1"/>
    <w:rsid w:val="00E20D0B"/>
    <w:rsid w:val="00E20E4D"/>
    <w:rsid w:val="00E20ED6"/>
    <w:rsid w:val="00E21358"/>
    <w:rsid w:val="00E215B8"/>
    <w:rsid w:val="00E2160E"/>
    <w:rsid w:val="00E21813"/>
    <w:rsid w:val="00E2249B"/>
    <w:rsid w:val="00E22A0D"/>
    <w:rsid w:val="00E236F0"/>
    <w:rsid w:val="00E23996"/>
    <w:rsid w:val="00E244F6"/>
    <w:rsid w:val="00E24686"/>
    <w:rsid w:val="00E24896"/>
    <w:rsid w:val="00E24F47"/>
    <w:rsid w:val="00E258DB"/>
    <w:rsid w:val="00E25C81"/>
    <w:rsid w:val="00E268B5"/>
    <w:rsid w:val="00E2708A"/>
    <w:rsid w:val="00E2771E"/>
    <w:rsid w:val="00E3006B"/>
    <w:rsid w:val="00E300D7"/>
    <w:rsid w:val="00E30134"/>
    <w:rsid w:val="00E30840"/>
    <w:rsid w:val="00E30BAC"/>
    <w:rsid w:val="00E311EF"/>
    <w:rsid w:val="00E31842"/>
    <w:rsid w:val="00E31B55"/>
    <w:rsid w:val="00E32169"/>
    <w:rsid w:val="00E32180"/>
    <w:rsid w:val="00E333AF"/>
    <w:rsid w:val="00E34083"/>
    <w:rsid w:val="00E340EC"/>
    <w:rsid w:val="00E34948"/>
    <w:rsid w:val="00E35FA2"/>
    <w:rsid w:val="00E36111"/>
    <w:rsid w:val="00E36748"/>
    <w:rsid w:val="00E36BB9"/>
    <w:rsid w:val="00E36DEA"/>
    <w:rsid w:val="00E37569"/>
    <w:rsid w:val="00E401B2"/>
    <w:rsid w:val="00E40561"/>
    <w:rsid w:val="00E4085F"/>
    <w:rsid w:val="00E40A18"/>
    <w:rsid w:val="00E41E30"/>
    <w:rsid w:val="00E41FAF"/>
    <w:rsid w:val="00E4253C"/>
    <w:rsid w:val="00E42F73"/>
    <w:rsid w:val="00E435B5"/>
    <w:rsid w:val="00E43D70"/>
    <w:rsid w:val="00E45094"/>
    <w:rsid w:val="00E456E9"/>
    <w:rsid w:val="00E45B01"/>
    <w:rsid w:val="00E45E0B"/>
    <w:rsid w:val="00E4620B"/>
    <w:rsid w:val="00E466F3"/>
    <w:rsid w:val="00E46790"/>
    <w:rsid w:val="00E46D8F"/>
    <w:rsid w:val="00E47B2C"/>
    <w:rsid w:val="00E50438"/>
    <w:rsid w:val="00E5108E"/>
    <w:rsid w:val="00E51560"/>
    <w:rsid w:val="00E51821"/>
    <w:rsid w:val="00E51B16"/>
    <w:rsid w:val="00E51B90"/>
    <w:rsid w:val="00E51E0D"/>
    <w:rsid w:val="00E522DA"/>
    <w:rsid w:val="00E525D0"/>
    <w:rsid w:val="00E535FC"/>
    <w:rsid w:val="00E53766"/>
    <w:rsid w:val="00E53AAD"/>
    <w:rsid w:val="00E53E17"/>
    <w:rsid w:val="00E53E8D"/>
    <w:rsid w:val="00E53FC8"/>
    <w:rsid w:val="00E54347"/>
    <w:rsid w:val="00E54863"/>
    <w:rsid w:val="00E54FDF"/>
    <w:rsid w:val="00E55424"/>
    <w:rsid w:val="00E5554D"/>
    <w:rsid w:val="00E55915"/>
    <w:rsid w:val="00E55A9A"/>
    <w:rsid w:val="00E55BB5"/>
    <w:rsid w:val="00E55DFF"/>
    <w:rsid w:val="00E55E87"/>
    <w:rsid w:val="00E5627D"/>
    <w:rsid w:val="00E563CB"/>
    <w:rsid w:val="00E56B2E"/>
    <w:rsid w:val="00E57803"/>
    <w:rsid w:val="00E57FD3"/>
    <w:rsid w:val="00E6008D"/>
    <w:rsid w:val="00E60DFE"/>
    <w:rsid w:val="00E6101E"/>
    <w:rsid w:val="00E61047"/>
    <w:rsid w:val="00E611DF"/>
    <w:rsid w:val="00E61660"/>
    <w:rsid w:val="00E61852"/>
    <w:rsid w:val="00E61F43"/>
    <w:rsid w:val="00E62124"/>
    <w:rsid w:val="00E62507"/>
    <w:rsid w:val="00E62D97"/>
    <w:rsid w:val="00E6336B"/>
    <w:rsid w:val="00E639DF"/>
    <w:rsid w:val="00E63DD6"/>
    <w:rsid w:val="00E642D5"/>
    <w:rsid w:val="00E65E79"/>
    <w:rsid w:val="00E66031"/>
    <w:rsid w:val="00E6666F"/>
    <w:rsid w:val="00E667A8"/>
    <w:rsid w:val="00E66BA2"/>
    <w:rsid w:val="00E67416"/>
    <w:rsid w:val="00E67996"/>
    <w:rsid w:val="00E679E4"/>
    <w:rsid w:val="00E7003C"/>
    <w:rsid w:val="00E70922"/>
    <w:rsid w:val="00E70C95"/>
    <w:rsid w:val="00E718B6"/>
    <w:rsid w:val="00E71906"/>
    <w:rsid w:val="00E719FA"/>
    <w:rsid w:val="00E71A2F"/>
    <w:rsid w:val="00E71CCB"/>
    <w:rsid w:val="00E723BA"/>
    <w:rsid w:val="00E72C2A"/>
    <w:rsid w:val="00E72C32"/>
    <w:rsid w:val="00E73581"/>
    <w:rsid w:val="00E7377E"/>
    <w:rsid w:val="00E73EB5"/>
    <w:rsid w:val="00E7432B"/>
    <w:rsid w:val="00E74BBA"/>
    <w:rsid w:val="00E76045"/>
    <w:rsid w:val="00E76081"/>
    <w:rsid w:val="00E76412"/>
    <w:rsid w:val="00E7785E"/>
    <w:rsid w:val="00E778F9"/>
    <w:rsid w:val="00E77945"/>
    <w:rsid w:val="00E77D45"/>
    <w:rsid w:val="00E80490"/>
    <w:rsid w:val="00E80E9A"/>
    <w:rsid w:val="00E81387"/>
    <w:rsid w:val="00E81967"/>
    <w:rsid w:val="00E819F2"/>
    <w:rsid w:val="00E81DBB"/>
    <w:rsid w:val="00E81F64"/>
    <w:rsid w:val="00E8213F"/>
    <w:rsid w:val="00E8298F"/>
    <w:rsid w:val="00E82D6F"/>
    <w:rsid w:val="00E833F7"/>
    <w:rsid w:val="00E8382A"/>
    <w:rsid w:val="00E839D3"/>
    <w:rsid w:val="00E83B0C"/>
    <w:rsid w:val="00E83BDF"/>
    <w:rsid w:val="00E856BF"/>
    <w:rsid w:val="00E85771"/>
    <w:rsid w:val="00E85E2E"/>
    <w:rsid w:val="00E8600B"/>
    <w:rsid w:val="00E86FCC"/>
    <w:rsid w:val="00E87340"/>
    <w:rsid w:val="00E874AB"/>
    <w:rsid w:val="00E87718"/>
    <w:rsid w:val="00E87A1D"/>
    <w:rsid w:val="00E90009"/>
    <w:rsid w:val="00E90733"/>
    <w:rsid w:val="00E9094A"/>
    <w:rsid w:val="00E90BD9"/>
    <w:rsid w:val="00E916E6"/>
    <w:rsid w:val="00E9170A"/>
    <w:rsid w:val="00E91D35"/>
    <w:rsid w:val="00E926A5"/>
    <w:rsid w:val="00E9308C"/>
    <w:rsid w:val="00E934F7"/>
    <w:rsid w:val="00E934FE"/>
    <w:rsid w:val="00E93E54"/>
    <w:rsid w:val="00E9440C"/>
    <w:rsid w:val="00E946BE"/>
    <w:rsid w:val="00E94C83"/>
    <w:rsid w:val="00E94E5D"/>
    <w:rsid w:val="00E94F04"/>
    <w:rsid w:val="00E95046"/>
    <w:rsid w:val="00E962CC"/>
    <w:rsid w:val="00E962F2"/>
    <w:rsid w:val="00E96AC6"/>
    <w:rsid w:val="00E9710C"/>
    <w:rsid w:val="00E9730C"/>
    <w:rsid w:val="00E97750"/>
    <w:rsid w:val="00E979A1"/>
    <w:rsid w:val="00E97BF1"/>
    <w:rsid w:val="00EA0519"/>
    <w:rsid w:val="00EA0A0C"/>
    <w:rsid w:val="00EA1453"/>
    <w:rsid w:val="00EA176A"/>
    <w:rsid w:val="00EA17C3"/>
    <w:rsid w:val="00EA195A"/>
    <w:rsid w:val="00EA22A9"/>
    <w:rsid w:val="00EA260C"/>
    <w:rsid w:val="00EA2C08"/>
    <w:rsid w:val="00EA2CAA"/>
    <w:rsid w:val="00EA343B"/>
    <w:rsid w:val="00EA344C"/>
    <w:rsid w:val="00EA36C2"/>
    <w:rsid w:val="00EA3864"/>
    <w:rsid w:val="00EA3A56"/>
    <w:rsid w:val="00EA3B00"/>
    <w:rsid w:val="00EA3C26"/>
    <w:rsid w:val="00EA43A1"/>
    <w:rsid w:val="00EA4FA6"/>
    <w:rsid w:val="00EA4FE1"/>
    <w:rsid w:val="00EA502D"/>
    <w:rsid w:val="00EA515C"/>
    <w:rsid w:val="00EA59EE"/>
    <w:rsid w:val="00EA6A3E"/>
    <w:rsid w:val="00EA7F1C"/>
    <w:rsid w:val="00EB0CB3"/>
    <w:rsid w:val="00EB0CBC"/>
    <w:rsid w:val="00EB15B6"/>
    <w:rsid w:val="00EB190F"/>
    <w:rsid w:val="00EB2191"/>
    <w:rsid w:val="00EB2274"/>
    <w:rsid w:val="00EB286F"/>
    <w:rsid w:val="00EB2AFC"/>
    <w:rsid w:val="00EB33C6"/>
    <w:rsid w:val="00EB3D06"/>
    <w:rsid w:val="00EB4471"/>
    <w:rsid w:val="00EB4916"/>
    <w:rsid w:val="00EB75C7"/>
    <w:rsid w:val="00EB798B"/>
    <w:rsid w:val="00EB7DC0"/>
    <w:rsid w:val="00EC00BF"/>
    <w:rsid w:val="00EC00C9"/>
    <w:rsid w:val="00EC048C"/>
    <w:rsid w:val="00EC0DD9"/>
    <w:rsid w:val="00EC2649"/>
    <w:rsid w:val="00EC2735"/>
    <w:rsid w:val="00EC2828"/>
    <w:rsid w:val="00EC2945"/>
    <w:rsid w:val="00EC2FB0"/>
    <w:rsid w:val="00EC31ED"/>
    <w:rsid w:val="00EC3B5F"/>
    <w:rsid w:val="00EC41B0"/>
    <w:rsid w:val="00EC5836"/>
    <w:rsid w:val="00EC5BD0"/>
    <w:rsid w:val="00EC6353"/>
    <w:rsid w:val="00EC66BC"/>
    <w:rsid w:val="00EC6721"/>
    <w:rsid w:val="00EC6855"/>
    <w:rsid w:val="00EC688C"/>
    <w:rsid w:val="00EC7B77"/>
    <w:rsid w:val="00ED061E"/>
    <w:rsid w:val="00ED084C"/>
    <w:rsid w:val="00ED0CBB"/>
    <w:rsid w:val="00ED12E3"/>
    <w:rsid w:val="00ED15B4"/>
    <w:rsid w:val="00ED1738"/>
    <w:rsid w:val="00ED24EC"/>
    <w:rsid w:val="00ED281C"/>
    <w:rsid w:val="00ED2EF2"/>
    <w:rsid w:val="00ED3EA2"/>
    <w:rsid w:val="00ED3F80"/>
    <w:rsid w:val="00ED41CF"/>
    <w:rsid w:val="00ED464C"/>
    <w:rsid w:val="00ED4B04"/>
    <w:rsid w:val="00ED55D0"/>
    <w:rsid w:val="00ED57EA"/>
    <w:rsid w:val="00ED5BB9"/>
    <w:rsid w:val="00ED5BD4"/>
    <w:rsid w:val="00ED5D9C"/>
    <w:rsid w:val="00ED6F56"/>
    <w:rsid w:val="00ED7010"/>
    <w:rsid w:val="00EE077B"/>
    <w:rsid w:val="00EE07D3"/>
    <w:rsid w:val="00EE0895"/>
    <w:rsid w:val="00EE0C38"/>
    <w:rsid w:val="00EE11CD"/>
    <w:rsid w:val="00EE11F4"/>
    <w:rsid w:val="00EE1652"/>
    <w:rsid w:val="00EE168C"/>
    <w:rsid w:val="00EE17BF"/>
    <w:rsid w:val="00EE1996"/>
    <w:rsid w:val="00EE1C01"/>
    <w:rsid w:val="00EE1D7C"/>
    <w:rsid w:val="00EE2055"/>
    <w:rsid w:val="00EE22AF"/>
    <w:rsid w:val="00EE245A"/>
    <w:rsid w:val="00EE2534"/>
    <w:rsid w:val="00EE3995"/>
    <w:rsid w:val="00EE3A98"/>
    <w:rsid w:val="00EE4D25"/>
    <w:rsid w:val="00EE58F3"/>
    <w:rsid w:val="00EE5A92"/>
    <w:rsid w:val="00EE6041"/>
    <w:rsid w:val="00EE60B4"/>
    <w:rsid w:val="00EE69E4"/>
    <w:rsid w:val="00EE6A07"/>
    <w:rsid w:val="00EE6B3E"/>
    <w:rsid w:val="00EE6C6B"/>
    <w:rsid w:val="00EE7096"/>
    <w:rsid w:val="00EE7C7D"/>
    <w:rsid w:val="00EF0171"/>
    <w:rsid w:val="00EF0A11"/>
    <w:rsid w:val="00EF0BE0"/>
    <w:rsid w:val="00EF1037"/>
    <w:rsid w:val="00EF1B25"/>
    <w:rsid w:val="00EF1DA0"/>
    <w:rsid w:val="00EF223B"/>
    <w:rsid w:val="00EF2DBA"/>
    <w:rsid w:val="00EF3EF8"/>
    <w:rsid w:val="00EF3F06"/>
    <w:rsid w:val="00EF401D"/>
    <w:rsid w:val="00EF46CC"/>
    <w:rsid w:val="00EF4747"/>
    <w:rsid w:val="00EF4BF8"/>
    <w:rsid w:val="00EF533A"/>
    <w:rsid w:val="00EF55F5"/>
    <w:rsid w:val="00EF606E"/>
    <w:rsid w:val="00EF6530"/>
    <w:rsid w:val="00EF69B1"/>
    <w:rsid w:val="00EF6DA8"/>
    <w:rsid w:val="00EF753E"/>
    <w:rsid w:val="00EF7930"/>
    <w:rsid w:val="00EF7AFF"/>
    <w:rsid w:val="00EF7B4F"/>
    <w:rsid w:val="00F01773"/>
    <w:rsid w:val="00F01919"/>
    <w:rsid w:val="00F01A85"/>
    <w:rsid w:val="00F02253"/>
    <w:rsid w:val="00F02738"/>
    <w:rsid w:val="00F02C05"/>
    <w:rsid w:val="00F02D64"/>
    <w:rsid w:val="00F03217"/>
    <w:rsid w:val="00F03440"/>
    <w:rsid w:val="00F03C2E"/>
    <w:rsid w:val="00F04514"/>
    <w:rsid w:val="00F045B0"/>
    <w:rsid w:val="00F0474C"/>
    <w:rsid w:val="00F04793"/>
    <w:rsid w:val="00F04A66"/>
    <w:rsid w:val="00F04B4B"/>
    <w:rsid w:val="00F0516C"/>
    <w:rsid w:val="00F059E6"/>
    <w:rsid w:val="00F05ABF"/>
    <w:rsid w:val="00F067A2"/>
    <w:rsid w:val="00F06C85"/>
    <w:rsid w:val="00F0726D"/>
    <w:rsid w:val="00F073CF"/>
    <w:rsid w:val="00F07B9E"/>
    <w:rsid w:val="00F07E76"/>
    <w:rsid w:val="00F1059D"/>
    <w:rsid w:val="00F1082C"/>
    <w:rsid w:val="00F1116F"/>
    <w:rsid w:val="00F112F7"/>
    <w:rsid w:val="00F1263A"/>
    <w:rsid w:val="00F12687"/>
    <w:rsid w:val="00F1299E"/>
    <w:rsid w:val="00F132C7"/>
    <w:rsid w:val="00F13610"/>
    <w:rsid w:val="00F1366F"/>
    <w:rsid w:val="00F139C5"/>
    <w:rsid w:val="00F14774"/>
    <w:rsid w:val="00F15648"/>
    <w:rsid w:val="00F15780"/>
    <w:rsid w:val="00F15A02"/>
    <w:rsid w:val="00F15B77"/>
    <w:rsid w:val="00F16407"/>
    <w:rsid w:val="00F165F4"/>
    <w:rsid w:val="00F167ED"/>
    <w:rsid w:val="00F16AEC"/>
    <w:rsid w:val="00F17049"/>
    <w:rsid w:val="00F170DA"/>
    <w:rsid w:val="00F176A6"/>
    <w:rsid w:val="00F17D37"/>
    <w:rsid w:val="00F20094"/>
    <w:rsid w:val="00F21236"/>
    <w:rsid w:val="00F21292"/>
    <w:rsid w:val="00F21320"/>
    <w:rsid w:val="00F21485"/>
    <w:rsid w:val="00F218E4"/>
    <w:rsid w:val="00F21F4E"/>
    <w:rsid w:val="00F22035"/>
    <w:rsid w:val="00F22459"/>
    <w:rsid w:val="00F22885"/>
    <w:rsid w:val="00F228DE"/>
    <w:rsid w:val="00F22D11"/>
    <w:rsid w:val="00F22FCE"/>
    <w:rsid w:val="00F239DF"/>
    <w:rsid w:val="00F24837"/>
    <w:rsid w:val="00F24F16"/>
    <w:rsid w:val="00F2575F"/>
    <w:rsid w:val="00F2577F"/>
    <w:rsid w:val="00F25AF9"/>
    <w:rsid w:val="00F25FF4"/>
    <w:rsid w:val="00F262E3"/>
    <w:rsid w:val="00F263F1"/>
    <w:rsid w:val="00F27565"/>
    <w:rsid w:val="00F276F4"/>
    <w:rsid w:val="00F300D2"/>
    <w:rsid w:val="00F30164"/>
    <w:rsid w:val="00F30C35"/>
    <w:rsid w:val="00F30C44"/>
    <w:rsid w:val="00F310D4"/>
    <w:rsid w:val="00F31ABB"/>
    <w:rsid w:val="00F31D5A"/>
    <w:rsid w:val="00F31EF3"/>
    <w:rsid w:val="00F3227E"/>
    <w:rsid w:val="00F33083"/>
    <w:rsid w:val="00F33624"/>
    <w:rsid w:val="00F33975"/>
    <w:rsid w:val="00F33A28"/>
    <w:rsid w:val="00F33DE9"/>
    <w:rsid w:val="00F34078"/>
    <w:rsid w:val="00F340BC"/>
    <w:rsid w:val="00F34848"/>
    <w:rsid w:val="00F35B7B"/>
    <w:rsid w:val="00F35E6D"/>
    <w:rsid w:val="00F35FE2"/>
    <w:rsid w:val="00F36141"/>
    <w:rsid w:val="00F3619A"/>
    <w:rsid w:val="00F361F9"/>
    <w:rsid w:val="00F36281"/>
    <w:rsid w:val="00F36455"/>
    <w:rsid w:val="00F3649A"/>
    <w:rsid w:val="00F3701B"/>
    <w:rsid w:val="00F37918"/>
    <w:rsid w:val="00F40738"/>
    <w:rsid w:val="00F4075B"/>
    <w:rsid w:val="00F40AAA"/>
    <w:rsid w:val="00F40BA7"/>
    <w:rsid w:val="00F40C01"/>
    <w:rsid w:val="00F40F9D"/>
    <w:rsid w:val="00F41332"/>
    <w:rsid w:val="00F415FB"/>
    <w:rsid w:val="00F41733"/>
    <w:rsid w:val="00F4182C"/>
    <w:rsid w:val="00F418AB"/>
    <w:rsid w:val="00F418BC"/>
    <w:rsid w:val="00F41ACD"/>
    <w:rsid w:val="00F41FDE"/>
    <w:rsid w:val="00F421DC"/>
    <w:rsid w:val="00F4228F"/>
    <w:rsid w:val="00F42291"/>
    <w:rsid w:val="00F4332A"/>
    <w:rsid w:val="00F441FA"/>
    <w:rsid w:val="00F45858"/>
    <w:rsid w:val="00F45EE1"/>
    <w:rsid w:val="00F4686C"/>
    <w:rsid w:val="00F46C56"/>
    <w:rsid w:val="00F46CB6"/>
    <w:rsid w:val="00F4756D"/>
    <w:rsid w:val="00F47A44"/>
    <w:rsid w:val="00F47D56"/>
    <w:rsid w:val="00F47DE8"/>
    <w:rsid w:val="00F512BB"/>
    <w:rsid w:val="00F5152D"/>
    <w:rsid w:val="00F515D7"/>
    <w:rsid w:val="00F51AE2"/>
    <w:rsid w:val="00F51C37"/>
    <w:rsid w:val="00F5360E"/>
    <w:rsid w:val="00F5379A"/>
    <w:rsid w:val="00F53D02"/>
    <w:rsid w:val="00F542C1"/>
    <w:rsid w:val="00F550E3"/>
    <w:rsid w:val="00F5535F"/>
    <w:rsid w:val="00F554FE"/>
    <w:rsid w:val="00F558D4"/>
    <w:rsid w:val="00F558E4"/>
    <w:rsid w:val="00F55E73"/>
    <w:rsid w:val="00F55EDA"/>
    <w:rsid w:val="00F5610A"/>
    <w:rsid w:val="00F56150"/>
    <w:rsid w:val="00F56452"/>
    <w:rsid w:val="00F56C80"/>
    <w:rsid w:val="00F56DF9"/>
    <w:rsid w:val="00F571D1"/>
    <w:rsid w:val="00F5749F"/>
    <w:rsid w:val="00F57907"/>
    <w:rsid w:val="00F57CC1"/>
    <w:rsid w:val="00F60053"/>
    <w:rsid w:val="00F60092"/>
    <w:rsid w:val="00F606B2"/>
    <w:rsid w:val="00F60C92"/>
    <w:rsid w:val="00F61078"/>
    <w:rsid w:val="00F6109D"/>
    <w:rsid w:val="00F6110F"/>
    <w:rsid w:val="00F615B3"/>
    <w:rsid w:val="00F616A1"/>
    <w:rsid w:val="00F6170E"/>
    <w:rsid w:val="00F6178B"/>
    <w:rsid w:val="00F61C18"/>
    <w:rsid w:val="00F62952"/>
    <w:rsid w:val="00F62FA0"/>
    <w:rsid w:val="00F63635"/>
    <w:rsid w:val="00F63685"/>
    <w:rsid w:val="00F63BCC"/>
    <w:rsid w:val="00F64207"/>
    <w:rsid w:val="00F643E7"/>
    <w:rsid w:val="00F6453E"/>
    <w:rsid w:val="00F64D52"/>
    <w:rsid w:val="00F64E70"/>
    <w:rsid w:val="00F65F4B"/>
    <w:rsid w:val="00F660B8"/>
    <w:rsid w:val="00F67123"/>
    <w:rsid w:val="00F6765D"/>
    <w:rsid w:val="00F67A69"/>
    <w:rsid w:val="00F67D54"/>
    <w:rsid w:val="00F70BFF"/>
    <w:rsid w:val="00F70C4B"/>
    <w:rsid w:val="00F70C9D"/>
    <w:rsid w:val="00F713AE"/>
    <w:rsid w:val="00F714D0"/>
    <w:rsid w:val="00F71EE5"/>
    <w:rsid w:val="00F72C31"/>
    <w:rsid w:val="00F72C56"/>
    <w:rsid w:val="00F72C8C"/>
    <w:rsid w:val="00F72FA9"/>
    <w:rsid w:val="00F73E08"/>
    <w:rsid w:val="00F73F7C"/>
    <w:rsid w:val="00F74447"/>
    <w:rsid w:val="00F746E5"/>
    <w:rsid w:val="00F7476A"/>
    <w:rsid w:val="00F74CD9"/>
    <w:rsid w:val="00F7589F"/>
    <w:rsid w:val="00F77997"/>
    <w:rsid w:val="00F77DC6"/>
    <w:rsid w:val="00F80319"/>
    <w:rsid w:val="00F80A7B"/>
    <w:rsid w:val="00F80B46"/>
    <w:rsid w:val="00F80E5D"/>
    <w:rsid w:val="00F81638"/>
    <w:rsid w:val="00F81640"/>
    <w:rsid w:val="00F81718"/>
    <w:rsid w:val="00F8184C"/>
    <w:rsid w:val="00F81C2F"/>
    <w:rsid w:val="00F81E78"/>
    <w:rsid w:val="00F82774"/>
    <w:rsid w:val="00F832F9"/>
    <w:rsid w:val="00F83916"/>
    <w:rsid w:val="00F84838"/>
    <w:rsid w:val="00F84E49"/>
    <w:rsid w:val="00F851CE"/>
    <w:rsid w:val="00F861AB"/>
    <w:rsid w:val="00F90AFC"/>
    <w:rsid w:val="00F90CC9"/>
    <w:rsid w:val="00F91219"/>
    <w:rsid w:val="00F921ED"/>
    <w:rsid w:val="00F92444"/>
    <w:rsid w:val="00F925BC"/>
    <w:rsid w:val="00F92CF0"/>
    <w:rsid w:val="00F92EB0"/>
    <w:rsid w:val="00F937A6"/>
    <w:rsid w:val="00F9393E"/>
    <w:rsid w:val="00F93F78"/>
    <w:rsid w:val="00F9412C"/>
    <w:rsid w:val="00F941A8"/>
    <w:rsid w:val="00F945B7"/>
    <w:rsid w:val="00F94E61"/>
    <w:rsid w:val="00F94FFA"/>
    <w:rsid w:val="00F95AE0"/>
    <w:rsid w:val="00F95F92"/>
    <w:rsid w:val="00F96B71"/>
    <w:rsid w:val="00F96D58"/>
    <w:rsid w:val="00F96FD0"/>
    <w:rsid w:val="00F96FD8"/>
    <w:rsid w:val="00F97A78"/>
    <w:rsid w:val="00FA0111"/>
    <w:rsid w:val="00FA0B20"/>
    <w:rsid w:val="00FA1202"/>
    <w:rsid w:val="00FA16D0"/>
    <w:rsid w:val="00FA1754"/>
    <w:rsid w:val="00FA1D99"/>
    <w:rsid w:val="00FA2122"/>
    <w:rsid w:val="00FA24E7"/>
    <w:rsid w:val="00FA25BD"/>
    <w:rsid w:val="00FA29C6"/>
    <w:rsid w:val="00FA2A1A"/>
    <w:rsid w:val="00FA30AD"/>
    <w:rsid w:val="00FA398F"/>
    <w:rsid w:val="00FA49FA"/>
    <w:rsid w:val="00FA5EE6"/>
    <w:rsid w:val="00FA7149"/>
    <w:rsid w:val="00FA7956"/>
    <w:rsid w:val="00FA7F68"/>
    <w:rsid w:val="00FB0339"/>
    <w:rsid w:val="00FB0824"/>
    <w:rsid w:val="00FB165B"/>
    <w:rsid w:val="00FB2342"/>
    <w:rsid w:val="00FB2600"/>
    <w:rsid w:val="00FB2B69"/>
    <w:rsid w:val="00FB2FCB"/>
    <w:rsid w:val="00FB3B69"/>
    <w:rsid w:val="00FB3F84"/>
    <w:rsid w:val="00FB4C9C"/>
    <w:rsid w:val="00FB5918"/>
    <w:rsid w:val="00FB5E58"/>
    <w:rsid w:val="00FB6180"/>
    <w:rsid w:val="00FB646F"/>
    <w:rsid w:val="00FB6DB5"/>
    <w:rsid w:val="00FB6EDD"/>
    <w:rsid w:val="00FB7224"/>
    <w:rsid w:val="00FB76A1"/>
    <w:rsid w:val="00FB78B6"/>
    <w:rsid w:val="00FB7BF2"/>
    <w:rsid w:val="00FB7C55"/>
    <w:rsid w:val="00FC06A4"/>
    <w:rsid w:val="00FC0DB2"/>
    <w:rsid w:val="00FC0FF1"/>
    <w:rsid w:val="00FC1074"/>
    <w:rsid w:val="00FC10AC"/>
    <w:rsid w:val="00FC10EB"/>
    <w:rsid w:val="00FC16C3"/>
    <w:rsid w:val="00FC173F"/>
    <w:rsid w:val="00FC1884"/>
    <w:rsid w:val="00FC22DD"/>
    <w:rsid w:val="00FC2E5C"/>
    <w:rsid w:val="00FC34F6"/>
    <w:rsid w:val="00FC36F3"/>
    <w:rsid w:val="00FC371D"/>
    <w:rsid w:val="00FC3785"/>
    <w:rsid w:val="00FC3FE3"/>
    <w:rsid w:val="00FC4177"/>
    <w:rsid w:val="00FC4685"/>
    <w:rsid w:val="00FC562A"/>
    <w:rsid w:val="00FC5F0B"/>
    <w:rsid w:val="00FC6223"/>
    <w:rsid w:val="00FC6B0F"/>
    <w:rsid w:val="00FC6FCF"/>
    <w:rsid w:val="00FC7391"/>
    <w:rsid w:val="00FC73F4"/>
    <w:rsid w:val="00FC79D8"/>
    <w:rsid w:val="00FC7C4D"/>
    <w:rsid w:val="00FD03AB"/>
    <w:rsid w:val="00FD0B00"/>
    <w:rsid w:val="00FD0B64"/>
    <w:rsid w:val="00FD0FF5"/>
    <w:rsid w:val="00FD1926"/>
    <w:rsid w:val="00FD2100"/>
    <w:rsid w:val="00FD2C94"/>
    <w:rsid w:val="00FD2CD3"/>
    <w:rsid w:val="00FD38E5"/>
    <w:rsid w:val="00FD3DCC"/>
    <w:rsid w:val="00FD3FA2"/>
    <w:rsid w:val="00FD4042"/>
    <w:rsid w:val="00FD436C"/>
    <w:rsid w:val="00FD446D"/>
    <w:rsid w:val="00FD4511"/>
    <w:rsid w:val="00FD4F2C"/>
    <w:rsid w:val="00FD61DB"/>
    <w:rsid w:val="00FD6394"/>
    <w:rsid w:val="00FD6616"/>
    <w:rsid w:val="00FD67F7"/>
    <w:rsid w:val="00FD7E83"/>
    <w:rsid w:val="00FD7F68"/>
    <w:rsid w:val="00FE035D"/>
    <w:rsid w:val="00FE03DE"/>
    <w:rsid w:val="00FE0E6C"/>
    <w:rsid w:val="00FE1A20"/>
    <w:rsid w:val="00FE1A54"/>
    <w:rsid w:val="00FE1B63"/>
    <w:rsid w:val="00FE1CDC"/>
    <w:rsid w:val="00FE1DA6"/>
    <w:rsid w:val="00FE21FA"/>
    <w:rsid w:val="00FE2660"/>
    <w:rsid w:val="00FE30FE"/>
    <w:rsid w:val="00FE3C8F"/>
    <w:rsid w:val="00FE3CF2"/>
    <w:rsid w:val="00FE3FB5"/>
    <w:rsid w:val="00FE4353"/>
    <w:rsid w:val="00FE46E8"/>
    <w:rsid w:val="00FE513C"/>
    <w:rsid w:val="00FE53CC"/>
    <w:rsid w:val="00FE5832"/>
    <w:rsid w:val="00FE59D6"/>
    <w:rsid w:val="00FE5E11"/>
    <w:rsid w:val="00FE5F4D"/>
    <w:rsid w:val="00FE6119"/>
    <w:rsid w:val="00FE6199"/>
    <w:rsid w:val="00FE6905"/>
    <w:rsid w:val="00FE70C3"/>
    <w:rsid w:val="00FE734B"/>
    <w:rsid w:val="00FF056A"/>
    <w:rsid w:val="00FF0DB0"/>
    <w:rsid w:val="00FF1A8B"/>
    <w:rsid w:val="00FF1B81"/>
    <w:rsid w:val="00FF28D8"/>
    <w:rsid w:val="00FF2AD9"/>
    <w:rsid w:val="00FF2F56"/>
    <w:rsid w:val="00FF2FA9"/>
    <w:rsid w:val="00FF31CC"/>
    <w:rsid w:val="00FF328F"/>
    <w:rsid w:val="00FF359F"/>
    <w:rsid w:val="00FF366E"/>
    <w:rsid w:val="00FF3DCF"/>
    <w:rsid w:val="00FF492C"/>
    <w:rsid w:val="00FF4956"/>
    <w:rsid w:val="00FF49DE"/>
    <w:rsid w:val="00FF4A21"/>
    <w:rsid w:val="00FF5096"/>
    <w:rsid w:val="00FF5853"/>
    <w:rsid w:val="00FF5AA3"/>
    <w:rsid w:val="00FF5AD8"/>
    <w:rsid w:val="00FF5D91"/>
    <w:rsid w:val="00FF6149"/>
    <w:rsid w:val="00FF61BE"/>
    <w:rsid w:val="00FF752E"/>
    <w:rsid w:val="00FF753F"/>
    <w:rsid w:val="00FF78B7"/>
    <w:rsid w:val="013D64E2"/>
    <w:rsid w:val="02EE94FC"/>
    <w:rsid w:val="032726F9"/>
    <w:rsid w:val="04659AB8"/>
    <w:rsid w:val="05708A76"/>
    <w:rsid w:val="070884AD"/>
    <w:rsid w:val="081CF48D"/>
    <w:rsid w:val="09E14FA1"/>
    <w:rsid w:val="0A08DBB5"/>
    <w:rsid w:val="0C3DF408"/>
    <w:rsid w:val="0E2E7BDE"/>
    <w:rsid w:val="10F2450F"/>
    <w:rsid w:val="12CC21B8"/>
    <w:rsid w:val="144FC740"/>
    <w:rsid w:val="1852A7E8"/>
    <w:rsid w:val="18C59AD0"/>
    <w:rsid w:val="1A45142D"/>
    <w:rsid w:val="1A712525"/>
    <w:rsid w:val="1A9EF67B"/>
    <w:rsid w:val="1C0D87A3"/>
    <w:rsid w:val="2089475E"/>
    <w:rsid w:val="2096BCB8"/>
    <w:rsid w:val="25B8CEE3"/>
    <w:rsid w:val="2855DCE9"/>
    <w:rsid w:val="28CBFD48"/>
    <w:rsid w:val="292796E6"/>
    <w:rsid w:val="2A983559"/>
    <w:rsid w:val="2AC1FF69"/>
    <w:rsid w:val="2AE01631"/>
    <w:rsid w:val="2F0AF58A"/>
    <w:rsid w:val="2F6212AD"/>
    <w:rsid w:val="2FB85A2E"/>
    <w:rsid w:val="316CCCA7"/>
    <w:rsid w:val="32C15930"/>
    <w:rsid w:val="394A22FB"/>
    <w:rsid w:val="3A4AA865"/>
    <w:rsid w:val="3BB38FF8"/>
    <w:rsid w:val="3BC1D0A2"/>
    <w:rsid w:val="3CAE1F88"/>
    <w:rsid w:val="3D653D4C"/>
    <w:rsid w:val="3F3C454E"/>
    <w:rsid w:val="46FD2AB8"/>
    <w:rsid w:val="496A9FF4"/>
    <w:rsid w:val="4AC6D213"/>
    <w:rsid w:val="4D86D5D8"/>
    <w:rsid w:val="4DE697F5"/>
    <w:rsid w:val="4ED2B505"/>
    <w:rsid w:val="50326218"/>
    <w:rsid w:val="5481B208"/>
    <w:rsid w:val="554CFFA2"/>
    <w:rsid w:val="557E804A"/>
    <w:rsid w:val="566E9355"/>
    <w:rsid w:val="591294EE"/>
    <w:rsid w:val="5A2C12F9"/>
    <w:rsid w:val="5C2081AB"/>
    <w:rsid w:val="5E432425"/>
    <w:rsid w:val="5E8F0394"/>
    <w:rsid w:val="5E974FF7"/>
    <w:rsid w:val="5F04F36A"/>
    <w:rsid w:val="623B51DC"/>
    <w:rsid w:val="629B7B49"/>
    <w:rsid w:val="62F18E62"/>
    <w:rsid w:val="63500D73"/>
    <w:rsid w:val="639D5618"/>
    <w:rsid w:val="64FD3073"/>
    <w:rsid w:val="66FF8A76"/>
    <w:rsid w:val="680548E2"/>
    <w:rsid w:val="683482F0"/>
    <w:rsid w:val="6ABBFDEC"/>
    <w:rsid w:val="6BF3A49E"/>
    <w:rsid w:val="6D40EDC2"/>
    <w:rsid w:val="6F6A7F4B"/>
    <w:rsid w:val="70027EB8"/>
    <w:rsid w:val="7036F24E"/>
    <w:rsid w:val="72218226"/>
    <w:rsid w:val="732669F1"/>
    <w:rsid w:val="738E645A"/>
    <w:rsid w:val="789BE8CE"/>
    <w:rsid w:val="7AD5CC04"/>
    <w:rsid w:val="7D193A96"/>
    <w:rsid w:val="7E93238F"/>
    <w:rsid w:val="7F912B8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3D9"/>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MSD Table Grid,Header Table,NICE instructions,Source table_,HealthConsult,Dossier table,PBAC table,HTAtableplain,Lash Style Table,PHE Table Grid,Section 3- footnotes"/>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60680F"/>
    <w:pPr>
      <w:keepNext/>
      <w:keepLines/>
    </w:pPr>
    <w:rPr>
      <w:rFonts w:ascii="Arial Narrow" w:eastAsiaTheme="majorEastAsia" w:hAnsi="Arial Narrow" w:cstheme="majorBidi"/>
      <w:bC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245DCF"/>
    <w:pPr>
      <w:keepNext/>
      <w:keepLines/>
      <w:jc w:val="both"/>
    </w:pPr>
    <w:rPr>
      <w:rFonts w:ascii="Arial Narrow" w:eastAsiaTheme="majorEastAsia" w:hAnsi="Arial Narrow"/>
      <w:b/>
      <w:snapToGrid w:val="0"/>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60680F"/>
    <w:rPr>
      <w:rFonts w:ascii="Arial Narrow" w:eastAsiaTheme="majorEastAsia" w:hAnsi="Arial Narrow" w:cstheme="majorBidi"/>
      <w:bC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70653C"/>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70653C"/>
    <w:rPr>
      <w:rFonts w:ascii="Arial Narrow" w:hAnsi="Arial Narrow" w:cs="Arial"/>
      <w:snapToGrid w:val="0"/>
      <w:sz w:val="18"/>
      <w:szCs w:val="22"/>
    </w:rPr>
  </w:style>
  <w:style w:type="paragraph" w:styleId="FootnoteText">
    <w:name w:val="footnote text"/>
    <w:aliases w:val="Footnote Text Char Char,Footnote Text Char2,Footnote Text Char Char1,Footnote Text Char1"/>
    <w:basedOn w:val="Normal"/>
    <w:link w:val="FootnoteTextChar"/>
    <w:uiPriority w:val="99"/>
    <w:unhideWhenUsed/>
    <w:rsid w:val="009F5B08"/>
    <w:rPr>
      <w:sz w:val="20"/>
      <w:szCs w:val="20"/>
    </w:rPr>
  </w:style>
  <w:style w:type="character" w:customStyle="1" w:styleId="FootnoteTextChar">
    <w:name w:val="Footnote Text Char"/>
    <w:aliases w:val="Footnote Text Char Char Char,Footnote Text Char2 Char,Footnote Text Char Char1 Char,Footnote Text Char1 Char"/>
    <w:basedOn w:val="DefaultParagraphFont"/>
    <w:link w:val="FootnoteText"/>
    <w:uiPriority w:val="99"/>
    <w:rsid w:val="009F5B08"/>
    <w:rPr>
      <w:rFonts w:ascii="Calibri" w:hAnsi="Calibri" w:cs="Arial"/>
    </w:rPr>
  </w:style>
  <w:style w:type="character" w:styleId="FootnoteReference">
    <w:name w:val="footnote reference"/>
    <w:basedOn w:val="DefaultParagraphFont"/>
    <w:unhideWhenUsed/>
    <w:rsid w:val="009F5B08"/>
    <w:rPr>
      <w:vertAlign w:val="superscript"/>
    </w:rPr>
  </w:style>
  <w:style w:type="character" w:styleId="UnresolvedMention">
    <w:name w:val="Unresolved Mention"/>
    <w:basedOn w:val="DefaultParagraphFont"/>
    <w:uiPriority w:val="99"/>
    <w:semiHidden/>
    <w:unhideWhenUsed/>
    <w:rsid w:val="00D74F42"/>
    <w:rPr>
      <w:color w:val="605E5C"/>
      <w:shd w:val="clear" w:color="auto" w:fill="E1DFDD"/>
    </w:rPr>
  </w:style>
  <w:style w:type="character" w:styleId="PlaceholderText">
    <w:name w:val="Placeholder Text"/>
    <w:basedOn w:val="DefaultParagraphFont"/>
    <w:uiPriority w:val="99"/>
    <w:semiHidden/>
    <w:rsid w:val="009511B0"/>
    <w:rPr>
      <w:color w:val="666666"/>
    </w:rPr>
  </w:style>
  <w:style w:type="paragraph" w:customStyle="1" w:styleId="TableFootnotesAbbreviations">
    <w:name w:val="Table Footnotes/Abbreviations"/>
    <w:basedOn w:val="Normal"/>
    <w:link w:val="TableFootnotesAbbreviationsChar"/>
    <w:rsid w:val="00AB0E1A"/>
    <w:pPr>
      <w:spacing w:before="60"/>
      <w:jc w:val="left"/>
    </w:pPr>
    <w:rPr>
      <w:rFonts w:ascii="Trebuchet MS" w:hAnsi="Trebuchet MS" w:cs="Times New Roman"/>
      <w:sz w:val="18"/>
      <w:szCs w:val="20"/>
      <w:lang w:eastAsia="en-US"/>
    </w:rPr>
  </w:style>
  <w:style w:type="character" w:customStyle="1" w:styleId="TableFootnotesAbbreviationsChar">
    <w:name w:val="Table Footnotes/Abbreviations Char"/>
    <w:basedOn w:val="DefaultParagraphFont"/>
    <w:link w:val="TableFootnotesAbbreviations"/>
    <w:rsid w:val="00AB0E1A"/>
    <w:rPr>
      <w:rFonts w:ascii="Trebuchet MS" w:hAnsi="Trebuchet MS"/>
      <w:sz w:val="18"/>
      <w:lang w:eastAsia="en-US"/>
    </w:rPr>
  </w:style>
  <w:style w:type="character" w:customStyle="1" w:styleId="Heading1Char">
    <w:name w:val="Heading 1 Char"/>
    <w:basedOn w:val="DefaultParagraphFont"/>
    <w:link w:val="Heading1"/>
    <w:uiPriority w:val="1"/>
    <w:rsid w:val="002A1E66"/>
    <w:rPr>
      <w:rFonts w:ascii="Calibri" w:hAnsi="Calibri" w:cs="Arial"/>
      <w:b/>
      <w:caps/>
      <w:sz w:val="32"/>
      <w:szCs w:val="24"/>
    </w:rPr>
  </w:style>
  <w:style w:type="character" w:customStyle="1" w:styleId="Heading3Char">
    <w:name w:val="Heading 3 Char"/>
    <w:basedOn w:val="DefaultParagraphFont"/>
    <w:link w:val="Heading3"/>
    <w:rsid w:val="002A1E66"/>
    <w:rPr>
      <w:rFonts w:ascii="Calibri" w:hAnsi="Calibri" w:cs="Arial"/>
      <w:sz w:val="24"/>
      <w:szCs w:val="24"/>
      <w:u w:val="single"/>
    </w:rPr>
  </w:style>
  <w:style w:type="character" w:customStyle="1" w:styleId="Heading4Char">
    <w:name w:val="Heading 4 Char"/>
    <w:basedOn w:val="DefaultParagraphFont"/>
    <w:link w:val="Heading4"/>
    <w:rsid w:val="002A1E66"/>
    <w:rPr>
      <w:rFonts w:ascii="Calibri" w:hAnsi="Calibri" w:cs="Arial"/>
      <w:b/>
      <w:bCs/>
      <w:i/>
      <w:sz w:val="26"/>
      <w:szCs w:val="28"/>
    </w:rPr>
  </w:style>
  <w:style w:type="character" w:customStyle="1" w:styleId="Heading5Char">
    <w:name w:val="Heading 5 Char"/>
    <w:basedOn w:val="DefaultParagraphFont"/>
    <w:link w:val="Heading5"/>
    <w:rsid w:val="002A1E66"/>
    <w:rPr>
      <w:rFonts w:ascii="Calibri" w:hAnsi="Calibri" w:cs="Arial"/>
      <w:b/>
      <w:bCs/>
      <w:iCs/>
      <w:sz w:val="26"/>
      <w:szCs w:val="26"/>
    </w:rPr>
  </w:style>
  <w:style w:type="character" w:customStyle="1" w:styleId="Heading6Char">
    <w:name w:val="Heading 6 Char"/>
    <w:basedOn w:val="DefaultParagraphFont"/>
    <w:link w:val="Heading6"/>
    <w:rsid w:val="002A1E66"/>
    <w:rPr>
      <w:rFonts w:ascii="Calibri" w:hAnsi="Calibri" w:cs="Arial"/>
      <w:b/>
      <w:bCs/>
      <w:i/>
      <w:sz w:val="24"/>
      <w:szCs w:val="24"/>
    </w:rPr>
  </w:style>
  <w:style w:type="paragraph" w:customStyle="1" w:styleId="Tablenotes">
    <w:name w:val="Table notes"/>
    <w:basedOn w:val="Normal"/>
    <w:link w:val="TablenotesChar"/>
    <w:qFormat/>
    <w:rsid w:val="00413ABE"/>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413ABE"/>
    <w:rPr>
      <w:rFonts w:ascii="Trebuchet MS" w:hAnsi="Trebuchet MS"/>
      <w:sz w:val="16"/>
      <w:lang w:eastAsia="en-US"/>
    </w:rPr>
  </w:style>
  <w:style w:type="paragraph" w:customStyle="1" w:styleId="Tableheadingleft">
    <w:name w:val="Table heading left"/>
    <w:basedOn w:val="TableText0"/>
    <w:qFormat/>
    <w:rsid w:val="00413ABE"/>
    <w:pPr>
      <w:keepNext w:val="0"/>
      <w:keepLines w:val="0"/>
    </w:pPr>
    <w:rPr>
      <w:rFonts w:ascii="Trebuchet MS" w:eastAsiaTheme="minorHAnsi" w:hAnsi="Trebuchet MS" w:cs="Arial"/>
      <w:b/>
      <w:bCs w:val="0"/>
      <w:color w:val="000000"/>
      <w:szCs w:val="18"/>
      <w:lang w:eastAsia="en-US"/>
    </w:rPr>
  </w:style>
  <w:style w:type="paragraph" w:customStyle="1" w:styleId="Tablebold">
    <w:name w:val="Table bold"/>
    <w:basedOn w:val="Tabletext"/>
    <w:uiPriority w:val="99"/>
    <w:qFormat/>
    <w:rsid w:val="00413ABE"/>
    <w:pPr>
      <w:keepNext/>
      <w:keepLines/>
      <w:spacing w:before="60" w:after="60"/>
    </w:pPr>
    <w:rPr>
      <w:rFonts w:ascii="Verdana" w:eastAsia="Calibri" w:hAnsi="Verdana"/>
      <w:b/>
      <w:snapToGrid/>
      <w:sz w:val="18"/>
      <w:szCs w:val="22"/>
      <w:lang w:eastAsia="en-US"/>
    </w:rPr>
  </w:style>
  <w:style w:type="paragraph" w:customStyle="1" w:styleId="BMSBodyText">
    <w:name w:val="BMS_Body Text"/>
    <w:basedOn w:val="Normal"/>
    <w:link w:val="BMSBodyTextChar"/>
    <w:qFormat/>
    <w:rsid w:val="00BD25DF"/>
    <w:pPr>
      <w:spacing w:before="60" w:after="180" w:line="360" w:lineRule="auto"/>
      <w:jc w:val="left"/>
    </w:pPr>
    <w:rPr>
      <w:rFonts w:ascii="Times New Roman" w:hAnsi="Times New Roman" w:cs="Times New Roman"/>
      <w:lang w:val="en-GB" w:eastAsia="en-US"/>
    </w:rPr>
  </w:style>
  <w:style w:type="character" w:customStyle="1" w:styleId="BMSBodyTextChar">
    <w:name w:val="BMS_Body Text Char"/>
    <w:basedOn w:val="DefaultParagraphFont"/>
    <w:link w:val="BMSBodyText"/>
    <w:rsid w:val="00BD25DF"/>
    <w:rPr>
      <w:sz w:val="24"/>
      <w:szCs w:val="24"/>
      <w:lang w:val="en-GB" w:eastAsia="en-US"/>
    </w:rPr>
  </w:style>
  <w:style w:type="table" w:customStyle="1" w:styleId="newstyle1">
    <w:name w:val="new style1"/>
    <w:basedOn w:val="TableNormal"/>
    <w:next w:val="TableGrid"/>
    <w:rsid w:val="00113A17"/>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01BD3"/>
    <w:rPr>
      <w:sz w:val="20"/>
      <w:szCs w:val="20"/>
    </w:rPr>
  </w:style>
  <w:style w:type="character" w:customStyle="1" w:styleId="EndnoteTextChar">
    <w:name w:val="Endnote Text Char"/>
    <w:basedOn w:val="DefaultParagraphFont"/>
    <w:link w:val="EndnoteText"/>
    <w:semiHidden/>
    <w:rsid w:val="00401BD3"/>
    <w:rPr>
      <w:rFonts w:ascii="Calibri" w:hAnsi="Calibri" w:cs="Arial"/>
    </w:rPr>
  </w:style>
  <w:style w:type="character" w:styleId="EndnoteReference">
    <w:name w:val="endnote reference"/>
    <w:basedOn w:val="DefaultParagraphFont"/>
    <w:semiHidden/>
    <w:unhideWhenUsed/>
    <w:rsid w:val="00401BD3"/>
    <w:rPr>
      <w:vertAlign w:val="superscript"/>
    </w:rPr>
  </w:style>
  <w:style w:type="character" w:customStyle="1" w:styleId="cf01">
    <w:name w:val="cf01"/>
    <w:basedOn w:val="DefaultParagraphFont"/>
    <w:rsid w:val="00920308"/>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28664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8664D"/>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3C4F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048">
      <w:bodyDiv w:val="1"/>
      <w:marLeft w:val="0"/>
      <w:marRight w:val="0"/>
      <w:marTop w:val="0"/>
      <w:marBottom w:val="0"/>
      <w:divBdr>
        <w:top w:val="none" w:sz="0" w:space="0" w:color="auto"/>
        <w:left w:val="none" w:sz="0" w:space="0" w:color="auto"/>
        <w:bottom w:val="none" w:sz="0" w:space="0" w:color="auto"/>
        <w:right w:val="none" w:sz="0" w:space="0" w:color="auto"/>
      </w:divBdr>
    </w:div>
    <w:div w:id="8087391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6657391">
      <w:bodyDiv w:val="1"/>
      <w:marLeft w:val="0"/>
      <w:marRight w:val="0"/>
      <w:marTop w:val="0"/>
      <w:marBottom w:val="0"/>
      <w:divBdr>
        <w:top w:val="none" w:sz="0" w:space="0" w:color="auto"/>
        <w:left w:val="none" w:sz="0" w:space="0" w:color="auto"/>
        <w:bottom w:val="none" w:sz="0" w:space="0" w:color="auto"/>
        <w:right w:val="none" w:sz="0" w:space="0" w:color="auto"/>
      </w:divBdr>
      <w:divsChild>
        <w:div w:id="845946455">
          <w:marLeft w:val="1166"/>
          <w:marRight w:val="0"/>
          <w:marTop w:val="120"/>
          <w:marBottom w:val="0"/>
          <w:divBdr>
            <w:top w:val="none" w:sz="0" w:space="0" w:color="auto"/>
            <w:left w:val="none" w:sz="0" w:space="0" w:color="auto"/>
            <w:bottom w:val="none" w:sz="0" w:space="0" w:color="auto"/>
            <w:right w:val="none" w:sz="0" w:space="0" w:color="auto"/>
          </w:divBdr>
        </w:div>
        <w:div w:id="1774864229">
          <w:marLeft w:val="1166"/>
          <w:marRight w:val="0"/>
          <w:marTop w:val="120"/>
          <w:marBottom w:val="0"/>
          <w:divBdr>
            <w:top w:val="none" w:sz="0" w:space="0" w:color="auto"/>
            <w:left w:val="none" w:sz="0" w:space="0" w:color="auto"/>
            <w:bottom w:val="none" w:sz="0" w:space="0" w:color="auto"/>
            <w:right w:val="none" w:sz="0" w:space="0" w:color="auto"/>
          </w:divBdr>
        </w:div>
        <w:div w:id="1831753464">
          <w:marLeft w:val="1166"/>
          <w:marRight w:val="0"/>
          <w:marTop w:val="120"/>
          <w:marBottom w:val="0"/>
          <w:divBdr>
            <w:top w:val="none" w:sz="0" w:space="0" w:color="auto"/>
            <w:left w:val="none" w:sz="0" w:space="0" w:color="auto"/>
            <w:bottom w:val="none" w:sz="0" w:space="0" w:color="auto"/>
            <w:right w:val="none" w:sz="0" w:space="0" w:color="auto"/>
          </w:divBdr>
        </w:div>
      </w:divsChild>
    </w:div>
    <w:div w:id="200098814">
      <w:bodyDiv w:val="1"/>
      <w:marLeft w:val="0"/>
      <w:marRight w:val="0"/>
      <w:marTop w:val="0"/>
      <w:marBottom w:val="0"/>
      <w:divBdr>
        <w:top w:val="none" w:sz="0" w:space="0" w:color="auto"/>
        <w:left w:val="none" w:sz="0" w:space="0" w:color="auto"/>
        <w:bottom w:val="none" w:sz="0" w:space="0" w:color="auto"/>
        <w:right w:val="none" w:sz="0" w:space="0" w:color="auto"/>
      </w:divBdr>
    </w:div>
    <w:div w:id="21967922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19907922">
      <w:bodyDiv w:val="1"/>
      <w:marLeft w:val="0"/>
      <w:marRight w:val="0"/>
      <w:marTop w:val="0"/>
      <w:marBottom w:val="0"/>
      <w:divBdr>
        <w:top w:val="none" w:sz="0" w:space="0" w:color="auto"/>
        <w:left w:val="none" w:sz="0" w:space="0" w:color="auto"/>
        <w:bottom w:val="none" w:sz="0" w:space="0" w:color="auto"/>
        <w:right w:val="none" w:sz="0" w:space="0" w:color="auto"/>
      </w:divBdr>
    </w:div>
    <w:div w:id="528957141">
      <w:bodyDiv w:val="1"/>
      <w:marLeft w:val="0"/>
      <w:marRight w:val="0"/>
      <w:marTop w:val="0"/>
      <w:marBottom w:val="0"/>
      <w:divBdr>
        <w:top w:val="none" w:sz="0" w:space="0" w:color="auto"/>
        <w:left w:val="none" w:sz="0" w:space="0" w:color="auto"/>
        <w:bottom w:val="none" w:sz="0" w:space="0" w:color="auto"/>
        <w:right w:val="none" w:sz="0" w:space="0" w:color="auto"/>
      </w:divBdr>
    </w:div>
    <w:div w:id="537011120">
      <w:bodyDiv w:val="1"/>
      <w:marLeft w:val="0"/>
      <w:marRight w:val="0"/>
      <w:marTop w:val="0"/>
      <w:marBottom w:val="0"/>
      <w:divBdr>
        <w:top w:val="none" w:sz="0" w:space="0" w:color="auto"/>
        <w:left w:val="none" w:sz="0" w:space="0" w:color="auto"/>
        <w:bottom w:val="none" w:sz="0" w:space="0" w:color="auto"/>
        <w:right w:val="none" w:sz="0" w:space="0" w:color="auto"/>
      </w:divBdr>
    </w:div>
    <w:div w:id="552808883">
      <w:bodyDiv w:val="1"/>
      <w:marLeft w:val="0"/>
      <w:marRight w:val="0"/>
      <w:marTop w:val="0"/>
      <w:marBottom w:val="0"/>
      <w:divBdr>
        <w:top w:val="none" w:sz="0" w:space="0" w:color="auto"/>
        <w:left w:val="none" w:sz="0" w:space="0" w:color="auto"/>
        <w:bottom w:val="none" w:sz="0" w:space="0" w:color="auto"/>
        <w:right w:val="none" w:sz="0" w:space="0" w:color="auto"/>
      </w:divBdr>
    </w:div>
    <w:div w:id="589197609">
      <w:bodyDiv w:val="1"/>
      <w:marLeft w:val="0"/>
      <w:marRight w:val="0"/>
      <w:marTop w:val="0"/>
      <w:marBottom w:val="0"/>
      <w:divBdr>
        <w:top w:val="none" w:sz="0" w:space="0" w:color="auto"/>
        <w:left w:val="none" w:sz="0" w:space="0" w:color="auto"/>
        <w:bottom w:val="none" w:sz="0" w:space="0" w:color="auto"/>
        <w:right w:val="none" w:sz="0" w:space="0" w:color="auto"/>
      </w:divBdr>
    </w:div>
    <w:div w:id="737241780">
      <w:bodyDiv w:val="1"/>
      <w:marLeft w:val="0"/>
      <w:marRight w:val="0"/>
      <w:marTop w:val="0"/>
      <w:marBottom w:val="0"/>
      <w:divBdr>
        <w:top w:val="none" w:sz="0" w:space="0" w:color="auto"/>
        <w:left w:val="none" w:sz="0" w:space="0" w:color="auto"/>
        <w:bottom w:val="none" w:sz="0" w:space="0" w:color="auto"/>
        <w:right w:val="none" w:sz="0" w:space="0" w:color="auto"/>
      </w:divBdr>
    </w:div>
    <w:div w:id="78751196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07429064">
      <w:bodyDiv w:val="1"/>
      <w:marLeft w:val="0"/>
      <w:marRight w:val="0"/>
      <w:marTop w:val="0"/>
      <w:marBottom w:val="0"/>
      <w:divBdr>
        <w:top w:val="none" w:sz="0" w:space="0" w:color="auto"/>
        <w:left w:val="none" w:sz="0" w:space="0" w:color="auto"/>
        <w:bottom w:val="none" w:sz="0" w:space="0" w:color="auto"/>
        <w:right w:val="none" w:sz="0" w:space="0" w:color="auto"/>
      </w:divBdr>
    </w:div>
    <w:div w:id="112901145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5724623">
      <w:bodyDiv w:val="1"/>
      <w:marLeft w:val="0"/>
      <w:marRight w:val="0"/>
      <w:marTop w:val="0"/>
      <w:marBottom w:val="0"/>
      <w:divBdr>
        <w:top w:val="none" w:sz="0" w:space="0" w:color="auto"/>
        <w:left w:val="none" w:sz="0" w:space="0" w:color="auto"/>
        <w:bottom w:val="none" w:sz="0" w:space="0" w:color="auto"/>
        <w:right w:val="none" w:sz="0" w:space="0" w:color="auto"/>
      </w:divBdr>
    </w:div>
    <w:div w:id="1330019298">
      <w:bodyDiv w:val="1"/>
      <w:marLeft w:val="0"/>
      <w:marRight w:val="0"/>
      <w:marTop w:val="0"/>
      <w:marBottom w:val="0"/>
      <w:divBdr>
        <w:top w:val="none" w:sz="0" w:space="0" w:color="auto"/>
        <w:left w:val="none" w:sz="0" w:space="0" w:color="auto"/>
        <w:bottom w:val="none" w:sz="0" w:space="0" w:color="auto"/>
        <w:right w:val="none" w:sz="0" w:space="0" w:color="auto"/>
      </w:divBdr>
    </w:div>
    <w:div w:id="1579050926">
      <w:bodyDiv w:val="1"/>
      <w:marLeft w:val="0"/>
      <w:marRight w:val="0"/>
      <w:marTop w:val="0"/>
      <w:marBottom w:val="0"/>
      <w:divBdr>
        <w:top w:val="none" w:sz="0" w:space="0" w:color="auto"/>
        <w:left w:val="none" w:sz="0" w:space="0" w:color="auto"/>
        <w:bottom w:val="none" w:sz="0" w:space="0" w:color="auto"/>
        <w:right w:val="none" w:sz="0" w:space="0" w:color="auto"/>
      </w:divBdr>
    </w:div>
    <w:div w:id="1601797666">
      <w:bodyDiv w:val="1"/>
      <w:marLeft w:val="0"/>
      <w:marRight w:val="0"/>
      <w:marTop w:val="0"/>
      <w:marBottom w:val="0"/>
      <w:divBdr>
        <w:top w:val="none" w:sz="0" w:space="0" w:color="auto"/>
        <w:left w:val="none" w:sz="0" w:space="0" w:color="auto"/>
        <w:bottom w:val="none" w:sz="0" w:space="0" w:color="auto"/>
        <w:right w:val="none" w:sz="0" w:space="0" w:color="auto"/>
      </w:divBdr>
    </w:div>
    <w:div w:id="171870304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1693001">
      <w:bodyDiv w:val="1"/>
      <w:marLeft w:val="0"/>
      <w:marRight w:val="0"/>
      <w:marTop w:val="0"/>
      <w:marBottom w:val="0"/>
      <w:divBdr>
        <w:top w:val="none" w:sz="0" w:space="0" w:color="auto"/>
        <w:left w:val="none" w:sz="0" w:space="0" w:color="auto"/>
        <w:bottom w:val="none" w:sz="0" w:space="0" w:color="auto"/>
        <w:right w:val="none" w:sz="0" w:space="0" w:color="auto"/>
      </w:divBdr>
      <w:divsChild>
        <w:div w:id="1721783799">
          <w:marLeft w:val="547"/>
          <w:marRight w:val="0"/>
          <w:marTop w:val="120"/>
          <w:marBottom w:val="0"/>
          <w:divBdr>
            <w:top w:val="none" w:sz="0" w:space="0" w:color="auto"/>
            <w:left w:val="none" w:sz="0" w:space="0" w:color="auto"/>
            <w:bottom w:val="none" w:sz="0" w:space="0" w:color="auto"/>
            <w:right w:val="none" w:sz="0" w:space="0" w:color="auto"/>
          </w:divBdr>
        </w:div>
      </w:divsChild>
    </w:div>
    <w:div w:id="208714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nccn.org/guidelines/guidelines-detail?category=1&amp;id=14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5465A203-4CA9-433B-B44B-B3254C2D775F}">
  <ds:schemaRefs>
    <ds:schemaRef ds:uri="http://schemas.openxmlformats.org/officeDocument/2006/bibliography"/>
  </ds:schemaRefs>
</ds:datastoreItem>
</file>

<file path=customXml/itemProps2.xml><?xml version="1.0" encoding="utf-8"?>
<ds:datastoreItem xmlns:ds="http://schemas.openxmlformats.org/officeDocument/2006/customXml" ds:itemID="{E65E13DC-EE9C-411D-B93D-6BEBB4FED4AA}"/>
</file>

<file path=customXml/itemProps3.xml><?xml version="1.0" encoding="utf-8"?>
<ds:datastoreItem xmlns:ds="http://schemas.openxmlformats.org/officeDocument/2006/customXml" ds:itemID="{A21CB9D4-0F00-4586-B399-A2D4E9AEC0CD}"/>
</file>

<file path=customXml/itemProps4.xml><?xml version="1.0" encoding="utf-8"?>
<ds:datastoreItem xmlns:ds="http://schemas.openxmlformats.org/officeDocument/2006/customXml" ds:itemID="{98D11F80-F44F-4DD7-BAB1-6837D1AB8AD7}"/>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15196</Words>
  <Characters>86623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2025-04-07T23:54:00Z</dcterms:created>
  <dcterms:modified xsi:type="dcterms:W3CDTF">2025-04-07T23:54:00Z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