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54550DB" w:rsidR="00B60939" w:rsidRPr="002106BA" w:rsidRDefault="588F3CE2" w:rsidP="004A6040">
      <w:pPr>
        <w:pStyle w:val="COMexecsummheadings"/>
      </w:pPr>
      <w:r w:rsidRPr="002106BA">
        <w:t>5</w:t>
      </w:r>
      <w:r w:rsidR="00433044" w:rsidRPr="002106BA">
        <w:t>.</w:t>
      </w:r>
      <w:r w:rsidR="4715206F" w:rsidRPr="002106BA">
        <w:t>24</w:t>
      </w:r>
      <w:r w:rsidR="00433044" w:rsidRPr="002106BA">
        <w:tab/>
      </w:r>
      <w:r w:rsidR="005A64AA" w:rsidRPr="002106BA">
        <w:t>VUTRISIRAN</w:t>
      </w:r>
      <w:r w:rsidR="00163F66" w:rsidRPr="002106BA">
        <w:t>,</w:t>
      </w:r>
      <w:r w:rsidR="00433044" w:rsidRPr="002106BA">
        <w:br/>
      </w:r>
      <w:r w:rsidR="00BF368E" w:rsidRPr="002106BA">
        <w:t>I</w:t>
      </w:r>
      <w:r w:rsidR="00AB04FD" w:rsidRPr="002106BA">
        <w:t>njection</w:t>
      </w:r>
      <w:r w:rsidR="006C196F" w:rsidRPr="002106BA">
        <w:t xml:space="preserve"> </w:t>
      </w:r>
      <w:r w:rsidR="00503C06" w:rsidRPr="002106BA">
        <w:t>25</w:t>
      </w:r>
      <w:r w:rsidR="00EC6561" w:rsidRPr="002106BA">
        <w:t> </w:t>
      </w:r>
      <w:r w:rsidR="00AB04FD" w:rsidRPr="002106BA">
        <w:t xml:space="preserve">mg </w:t>
      </w:r>
      <w:r w:rsidR="00EC6561" w:rsidRPr="002106BA">
        <w:t xml:space="preserve">(as sodium) </w:t>
      </w:r>
      <w:r w:rsidR="00AB04FD" w:rsidRPr="002106BA">
        <w:t>in 0.</w:t>
      </w:r>
      <w:r w:rsidR="00503C06" w:rsidRPr="002106BA">
        <w:t>5</w:t>
      </w:r>
      <w:r w:rsidR="00EC6561" w:rsidRPr="002106BA">
        <w:t> </w:t>
      </w:r>
      <w:r w:rsidR="00AB04FD" w:rsidRPr="002106BA">
        <w:t>mL pre-filled syringe</w:t>
      </w:r>
      <w:r w:rsidR="00163F66" w:rsidRPr="002106BA">
        <w:t>,</w:t>
      </w:r>
      <w:r w:rsidR="00433044" w:rsidRPr="002106BA">
        <w:br/>
      </w:r>
      <w:proofErr w:type="spellStart"/>
      <w:r w:rsidR="006471DA" w:rsidRPr="002106BA">
        <w:t>Amvuttra</w:t>
      </w:r>
      <w:proofErr w:type="spellEnd"/>
      <w:r w:rsidR="00B60939" w:rsidRPr="002106BA">
        <w:rPr>
          <w:vertAlign w:val="superscript"/>
        </w:rPr>
        <w:t>®</w:t>
      </w:r>
      <w:r w:rsidR="004A6040" w:rsidRPr="002106BA">
        <w:t>,</w:t>
      </w:r>
      <w:r w:rsidR="00433044" w:rsidRPr="002106BA">
        <w:br/>
      </w:r>
      <w:proofErr w:type="spellStart"/>
      <w:r w:rsidR="0081543B" w:rsidRPr="002106BA">
        <w:t>Medison</w:t>
      </w:r>
      <w:proofErr w:type="spellEnd"/>
      <w:r w:rsidR="0081543B" w:rsidRPr="002106BA">
        <w:t xml:space="preserve"> </w:t>
      </w:r>
      <w:r w:rsidR="00BF368E" w:rsidRPr="002106BA">
        <w:t>Pharma Australia</w:t>
      </w:r>
      <w:r w:rsidR="00235286" w:rsidRPr="002106BA">
        <w:t xml:space="preserve"> P</w:t>
      </w:r>
      <w:r w:rsidR="00A53C5B" w:rsidRPr="002106BA">
        <w:t>ty</w:t>
      </w:r>
      <w:r w:rsidR="00235286" w:rsidRPr="002106BA">
        <w:t xml:space="preserve"> Limited</w:t>
      </w:r>
      <w:r w:rsidR="00B60939" w:rsidRPr="002106BA">
        <w:t>.</w:t>
      </w:r>
      <w:r w:rsidR="00F73E08" w:rsidRPr="002106BA">
        <w:t xml:space="preserve"> </w:t>
      </w:r>
    </w:p>
    <w:p w14:paraId="11C00795" w14:textId="3DFB6D23" w:rsidR="00B50DB8" w:rsidRPr="002106BA" w:rsidRDefault="00B50DB8" w:rsidP="004A6040">
      <w:pPr>
        <w:pStyle w:val="COMH1-numbered"/>
      </w:pPr>
      <w:bookmarkStart w:id="0" w:name="_Toc177559170"/>
      <w:r w:rsidRPr="002106BA">
        <w:t xml:space="preserve">Purpose of </w:t>
      </w:r>
      <w:r w:rsidR="00CD7193" w:rsidRPr="002106BA">
        <w:t>s</w:t>
      </w:r>
      <w:r w:rsidR="00BB3A45" w:rsidRPr="002106BA">
        <w:t>ubmission</w:t>
      </w:r>
      <w:bookmarkEnd w:id="0"/>
    </w:p>
    <w:p w14:paraId="19414AA1" w14:textId="6B96ABB0" w:rsidR="002C2775" w:rsidRPr="002106BA" w:rsidRDefault="007170DA" w:rsidP="004E18E9">
      <w:pPr>
        <w:pStyle w:val="COMexecsummnumbered"/>
      </w:pPr>
      <w:r w:rsidRPr="002106BA">
        <w:t xml:space="preserve">The </w:t>
      </w:r>
      <w:r w:rsidR="00F73E08" w:rsidRPr="002106BA">
        <w:t xml:space="preserve">Category </w:t>
      </w:r>
      <w:r w:rsidR="00EC6561" w:rsidRPr="002106BA">
        <w:t>2</w:t>
      </w:r>
      <w:r w:rsidR="000548FF" w:rsidRPr="002106BA">
        <w:t xml:space="preserve"> submission</w:t>
      </w:r>
      <w:r w:rsidR="003C7C15" w:rsidRPr="002106BA">
        <w:t xml:space="preserve"> </w:t>
      </w:r>
      <w:r w:rsidR="000548FF" w:rsidRPr="002106BA">
        <w:t>for vutrisiran requested</w:t>
      </w:r>
      <w:r w:rsidR="00B354D6" w:rsidRPr="002106BA">
        <w:t xml:space="preserve"> a General Schedule</w:t>
      </w:r>
      <w:r w:rsidR="34734F96" w:rsidRPr="002106BA">
        <w:t>,</w:t>
      </w:r>
      <w:r w:rsidR="00B354D6" w:rsidRPr="002106BA">
        <w:t xml:space="preserve"> Authority Required (Written) listing for the treatment of</w:t>
      </w:r>
      <w:r w:rsidR="000E7E6F" w:rsidRPr="002106BA">
        <w:t xml:space="preserve"> hereditary transthyretin mediated</w:t>
      </w:r>
      <w:r w:rsidR="00B354D6" w:rsidRPr="002106BA">
        <w:t xml:space="preserve"> </w:t>
      </w:r>
      <w:r w:rsidR="000E7E6F" w:rsidRPr="002106BA">
        <w:t>(</w:t>
      </w:r>
      <w:r w:rsidR="00B354D6" w:rsidRPr="002106BA">
        <w:t>hATTR</w:t>
      </w:r>
      <w:r w:rsidR="000E7E6F" w:rsidRPr="002106BA">
        <w:t>)</w:t>
      </w:r>
      <w:r w:rsidR="00B354D6" w:rsidRPr="002106BA">
        <w:t xml:space="preserve"> amyloidosis in adult patients with stage 1 or stage 2 polyneuropathy</w:t>
      </w:r>
      <w:r w:rsidR="001353A2" w:rsidRPr="002106BA">
        <w:t>, defined by Familial Amyloid Neuropathy (FAP) stage</w:t>
      </w:r>
      <w:r w:rsidR="000548FF" w:rsidRPr="002106BA">
        <w:t>.</w:t>
      </w:r>
    </w:p>
    <w:p w14:paraId="4E9FBCB5" w14:textId="5B00BB09" w:rsidR="00C2778B" w:rsidRPr="002106BA" w:rsidRDefault="00385B6C" w:rsidP="004E18E9">
      <w:pPr>
        <w:pStyle w:val="COMexecsummnumbered"/>
      </w:pPr>
      <w:r w:rsidRPr="002106BA">
        <w:t>L</w:t>
      </w:r>
      <w:r w:rsidR="005750C5" w:rsidRPr="002106BA">
        <w:t xml:space="preserve">isting was requested </w:t>
      </w:r>
      <w:proofErr w:type="gramStart"/>
      <w:r w:rsidR="005750C5" w:rsidRPr="002106BA">
        <w:t xml:space="preserve">on </w:t>
      </w:r>
      <w:r w:rsidR="00041355" w:rsidRPr="002106BA">
        <w:t>the basis of</w:t>
      </w:r>
      <w:proofErr w:type="gramEnd"/>
      <w:r w:rsidR="00041355" w:rsidRPr="002106BA">
        <w:t xml:space="preserve"> </w:t>
      </w:r>
      <w:r w:rsidR="005750C5" w:rsidRPr="002106BA">
        <w:t>a cost-minimisation</w:t>
      </w:r>
      <w:r w:rsidR="001D71F4" w:rsidRPr="002106BA">
        <w:t xml:space="preserve"> </w:t>
      </w:r>
      <w:r w:rsidR="00041355" w:rsidRPr="002106BA">
        <w:t>approach</w:t>
      </w:r>
      <w:r w:rsidR="000548FF" w:rsidRPr="002106BA">
        <w:t xml:space="preserve"> </w:t>
      </w:r>
      <w:r w:rsidR="005750C5" w:rsidRPr="002106BA">
        <w:t xml:space="preserve">versus </w:t>
      </w:r>
      <w:r w:rsidR="000548FF" w:rsidRPr="002106BA">
        <w:t>patisiran</w:t>
      </w:r>
      <w:r w:rsidR="005750C5" w:rsidRPr="002106BA">
        <w:t xml:space="preserve">. </w:t>
      </w:r>
    </w:p>
    <w:p w14:paraId="3718DE61" w14:textId="5C7B01D1" w:rsidR="008B1757" w:rsidRPr="002106BA" w:rsidRDefault="00696EF9" w:rsidP="00B50F7F">
      <w:pPr>
        <w:pStyle w:val="COMtablefigcaption"/>
      </w:pPr>
      <w:r w:rsidRPr="002106BA">
        <w:t xml:space="preserve">Table </w:t>
      </w:r>
      <w:r w:rsidR="0027304F">
        <w:fldChar w:fldCharType="begin"/>
      </w:r>
      <w:r w:rsidR="0027304F">
        <w:instrText xml:space="preserve"> SEQ Table \* ARABIC </w:instrText>
      </w:r>
      <w:r w:rsidR="0027304F">
        <w:fldChar w:fldCharType="separate"/>
      </w:r>
      <w:r w:rsidR="00DB6E9D">
        <w:rPr>
          <w:noProof/>
        </w:rPr>
        <w:t>1</w:t>
      </w:r>
      <w:r w:rsidR="0027304F">
        <w:fldChar w:fldCharType="end"/>
      </w:r>
      <w:r w:rsidRPr="002106BA">
        <w:t>:</w:t>
      </w:r>
      <w:r w:rsidR="00BC591F" w:rsidRPr="002106BA">
        <w:t xml:space="preserve"> </w:t>
      </w:r>
      <w:r w:rsidR="008B1757" w:rsidRPr="002106BA">
        <w:t xml:space="preserve">Key components of the clinical issue addressed </w:t>
      </w:r>
      <w:r w:rsidR="002812CE" w:rsidRPr="002106BA">
        <w:t>in</w:t>
      </w:r>
      <w:r w:rsidR="008B1757" w:rsidRPr="002106BA">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2106BA" w14:paraId="569F5103" w14:textId="77777777" w:rsidTr="002A2ADE">
        <w:trPr>
          <w:cantSplit/>
          <w:tblHeader/>
        </w:trPr>
        <w:tc>
          <w:tcPr>
            <w:tcW w:w="924" w:type="pct"/>
            <w:shd w:val="clear" w:color="auto" w:fill="auto"/>
          </w:tcPr>
          <w:p w14:paraId="501803FB" w14:textId="77777777" w:rsidR="008B1757" w:rsidRPr="002106BA" w:rsidRDefault="008B1757" w:rsidP="00514691">
            <w:pPr>
              <w:pStyle w:val="COMTableheadingrow"/>
              <w:rPr>
                <w:szCs w:val="20"/>
                <w:lang w:val="en-AU"/>
              </w:rPr>
            </w:pPr>
            <w:r w:rsidRPr="002106BA">
              <w:rPr>
                <w:lang w:val="en-AU"/>
              </w:rPr>
              <w:t>Component</w:t>
            </w:r>
          </w:p>
        </w:tc>
        <w:tc>
          <w:tcPr>
            <w:tcW w:w="4076" w:type="pct"/>
            <w:shd w:val="clear" w:color="auto" w:fill="auto"/>
          </w:tcPr>
          <w:p w14:paraId="445D9EBB" w14:textId="77777777" w:rsidR="008B1757" w:rsidRPr="002106BA" w:rsidRDefault="008B1757" w:rsidP="00514691">
            <w:pPr>
              <w:pStyle w:val="COMTableheadingrow"/>
              <w:rPr>
                <w:lang w:val="en-AU"/>
              </w:rPr>
            </w:pPr>
            <w:r w:rsidRPr="002106BA">
              <w:rPr>
                <w:lang w:val="en-AU"/>
              </w:rPr>
              <w:t>Description</w:t>
            </w:r>
          </w:p>
        </w:tc>
      </w:tr>
      <w:tr w:rsidR="002E4257" w:rsidRPr="002106BA" w14:paraId="2EB546E2" w14:textId="77777777" w:rsidTr="009B1087">
        <w:trPr>
          <w:cantSplit/>
        </w:trPr>
        <w:tc>
          <w:tcPr>
            <w:tcW w:w="924" w:type="pct"/>
            <w:shd w:val="clear" w:color="auto" w:fill="auto"/>
          </w:tcPr>
          <w:p w14:paraId="38F3BB34" w14:textId="77777777" w:rsidR="002E4257" w:rsidRPr="002106BA" w:rsidRDefault="002E4257" w:rsidP="002E4257">
            <w:pPr>
              <w:pStyle w:val="COMTabletext"/>
            </w:pPr>
            <w:r w:rsidRPr="002106BA">
              <w:t>Population</w:t>
            </w:r>
          </w:p>
        </w:tc>
        <w:tc>
          <w:tcPr>
            <w:tcW w:w="4076" w:type="pct"/>
            <w:shd w:val="clear" w:color="auto" w:fill="auto"/>
            <w:vAlign w:val="center"/>
          </w:tcPr>
          <w:p w14:paraId="79618EEE" w14:textId="77BD63ED" w:rsidR="002E4257" w:rsidRPr="002106BA" w:rsidRDefault="002E4257" w:rsidP="002E4257">
            <w:pPr>
              <w:pStyle w:val="COMTabletext"/>
            </w:pPr>
            <w:r w:rsidRPr="002106BA">
              <w:t>Adult patients with hATTR amyloidosis and stage 1 or 2 polyneuropathy, defined by FAP stage.</w:t>
            </w:r>
          </w:p>
        </w:tc>
      </w:tr>
      <w:tr w:rsidR="002E4257" w:rsidRPr="002106BA" w14:paraId="0CA523AF" w14:textId="77777777" w:rsidTr="009B1087">
        <w:trPr>
          <w:cantSplit/>
        </w:trPr>
        <w:tc>
          <w:tcPr>
            <w:tcW w:w="924" w:type="pct"/>
            <w:shd w:val="clear" w:color="auto" w:fill="auto"/>
          </w:tcPr>
          <w:p w14:paraId="7B6D20D8" w14:textId="77777777" w:rsidR="002E4257" w:rsidRPr="002106BA" w:rsidRDefault="002E4257" w:rsidP="002E4257">
            <w:pPr>
              <w:pStyle w:val="COMTabletext"/>
            </w:pPr>
            <w:r w:rsidRPr="002106BA">
              <w:t>Intervention</w:t>
            </w:r>
          </w:p>
        </w:tc>
        <w:tc>
          <w:tcPr>
            <w:tcW w:w="4076" w:type="pct"/>
            <w:shd w:val="clear" w:color="auto" w:fill="auto"/>
            <w:vAlign w:val="center"/>
          </w:tcPr>
          <w:p w14:paraId="2491E905" w14:textId="63535C8C" w:rsidR="002E4257" w:rsidRPr="002106BA" w:rsidRDefault="002E4257" w:rsidP="002E4257">
            <w:pPr>
              <w:pStyle w:val="COMTabletext"/>
            </w:pPr>
            <w:r w:rsidRPr="002106BA">
              <w:t>Vutrisiran (25 mg in 0.5 mL prefilled syringe) 3 monthly by subcutaneous injection.</w:t>
            </w:r>
          </w:p>
        </w:tc>
      </w:tr>
      <w:tr w:rsidR="002E4257" w:rsidRPr="002106BA" w14:paraId="0F81EBE4" w14:textId="77777777" w:rsidTr="009B1087">
        <w:trPr>
          <w:cantSplit/>
        </w:trPr>
        <w:tc>
          <w:tcPr>
            <w:tcW w:w="924" w:type="pct"/>
            <w:shd w:val="clear" w:color="auto" w:fill="auto"/>
          </w:tcPr>
          <w:p w14:paraId="3656B343" w14:textId="77777777" w:rsidR="002E4257" w:rsidRPr="002106BA" w:rsidRDefault="002E4257" w:rsidP="002E4257">
            <w:pPr>
              <w:pStyle w:val="COMTabletext"/>
            </w:pPr>
            <w:r w:rsidRPr="002106BA">
              <w:t>Comparator</w:t>
            </w:r>
          </w:p>
        </w:tc>
        <w:tc>
          <w:tcPr>
            <w:tcW w:w="4076" w:type="pct"/>
            <w:shd w:val="clear" w:color="auto" w:fill="auto"/>
            <w:vAlign w:val="center"/>
          </w:tcPr>
          <w:p w14:paraId="3727DE24" w14:textId="28E3F235" w:rsidR="002E4257" w:rsidRPr="002106BA" w:rsidRDefault="002E4257" w:rsidP="002E4257">
            <w:pPr>
              <w:pStyle w:val="COMTabletext"/>
            </w:pPr>
            <w:r w:rsidRPr="002106BA">
              <w:t>Patisiran (0.3 mg/kg solution for injection) 3 weekly by intravenous infusion.</w:t>
            </w:r>
          </w:p>
        </w:tc>
      </w:tr>
      <w:tr w:rsidR="002E4257" w:rsidRPr="002106BA" w14:paraId="02F86F0D" w14:textId="77777777" w:rsidTr="009B1087">
        <w:trPr>
          <w:cantSplit/>
        </w:trPr>
        <w:tc>
          <w:tcPr>
            <w:tcW w:w="924" w:type="pct"/>
            <w:shd w:val="clear" w:color="auto" w:fill="auto"/>
          </w:tcPr>
          <w:p w14:paraId="06433105" w14:textId="77777777" w:rsidR="002E4257" w:rsidRPr="002106BA" w:rsidRDefault="002E4257" w:rsidP="002E4257">
            <w:pPr>
              <w:pStyle w:val="COMTabletext"/>
            </w:pPr>
            <w:r w:rsidRPr="002106BA">
              <w:t>Outcomes</w:t>
            </w:r>
          </w:p>
        </w:tc>
        <w:tc>
          <w:tcPr>
            <w:tcW w:w="4076" w:type="pct"/>
            <w:shd w:val="clear" w:color="auto" w:fill="auto"/>
            <w:vAlign w:val="center"/>
          </w:tcPr>
          <w:p w14:paraId="5ABC4037" w14:textId="25F4E5C9" w:rsidR="002E4257" w:rsidRPr="002106BA" w:rsidRDefault="002E4257" w:rsidP="002E4257">
            <w:pPr>
              <w:pStyle w:val="COMTabletext"/>
              <w:rPr>
                <w:snapToGrid w:val="0"/>
              </w:rPr>
            </w:pPr>
            <w:r w:rsidRPr="002106BA">
              <w:t xml:space="preserve">Changes in neurological impairment (mNIS+7 composite score), </w:t>
            </w:r>
            <w:r w:rsidRPr="002106BA">
              <w:rPr>
                <w:rFonts w:cstheme="minorHAnsi"/>
                <w:bCs w:val="0"/>
              </w:rPr>
              <w:t>patient-reported</w:t>
            </w:r>
            <w:r w:rsidRPr="002106BA">
              <w:rPr>
                <w:rFonts w:asciiTheme="minorHAnsi" w:hAnsiTheme="minorHAnsi" w:cstheme="minorHAnsi"/>
              </w:rPr>
              <w:t xml:space="preserve"> </w:t>
            </w:r>
            <w:r w:rsidRPr="002106BA">
              <w:t>HRQoL (Norfolk QoL-DN), polyneuropathy progression (PND score), ambulatory ability (10-MWT), ability to perform everyday activities (R-ODS), nutritional status (</w:t>
            </w:r>
            <w:proofErr w:type="spellStart"/>
            <w:r w:rsidRPr="002106BA">
              <w:t>mBMI</w:t>
            </w:r>
            <w:proofErr w:type="spellEnd"/>
            <w:r w:rsidRPr="002106BA">
              <w:t>), health related quality of life (EQ</w:t>
            </w:r>
            <w:r w:rsidR="00543962" w:rsidRPr="002106BA">
              <w:noBreakHyphen/>
            </w:r>
            <w:r w:rsidRPr="002106BA">
              <w:t>5D)</w:t>
            </w:r>
            <w:r w:rsidR="001438ED" w:rsidRPr="002106BA">
              <w:t>, serum TTR,</w:t>
            </w:r>
            <w:r w:rsidRPr="002106BA">
              <w:t xml:space="preserve"> and adverse events.</w:t>
            </w:r>
          </w:p>
        </w:tc>
      </w:tr>
      <w:tr w:rsidR="002E4257" w:rsidRPr="002106BA" w14:paraId="22223890" w14:textId="77777777" w:rsidTr="009B1087">
        <w:trPr>
          <w:cantSplit/>
        </w:trPr>
        <w:tc>
          <w:tcPr>
            <w:tcW w:w="924" w:type="pct"/>
            <w:shd w:val="clear" w:color="auto" w:fill="auto"/>
          </w:tcPr>
          <w:p w14:paraId="0FC8FCE0" w14:textId="77777777" w:rsidR="002E4257" w:rsidRPr="002106BA" w:rsidRDefault="002E4257" w:rsidP="002E4257">
            <w:pPr>
              <w:pStyle w:val="COMTabletext"/>
            </w:pPr>
            <w:r w:rsidRPr="002106BA">
              <w:t>Clinical claim</w:t>
            </w:r>
          </w:p>
        </w:tc>
        <w:tc>
          <w:tcPr>
            <w:tcW w:w="4076" w:type="pct"/>
            <w:shd w:val="clear" w:color="auto" w:fill="auto"/>
            <w:vAlign w:val="center"/>
          </w:tcPr>
          <w:p w14:paraId="2C99C4DE" w14:textId="038EAE7F" w:rsidR="002E4257" w:rsidRPr="002106BA" w:rsidRDefault="002E4257" w:rsidP="002E4257">
            <w:pPr>
              <w:pStyle w:val="COMTabletext"/>
              <w:rPr>
                <w:snapToGrid w:val="0"/>
              </w:rPr>
            </w:pPr>
            <w:r w:rsidRPr="002106BA">
              <w:t>Vutrisiran has a comparable efficacy profile and comparable/superior safety profile compared to patisiran, with less burdensome administration.</w:t>
            </w:r>
          </w:p>
        </w:tc>
      </w:tr>
    </w:tbl>
    <w:p w14:paraId="534C2D95" w14:textId="77777777" w:rsidR="002E4257" w:rsidRPr="002106BA" w:rsidRDefault="002E4257" w:rsidP="002E4257">
      <w:pPr>
        <w:pStyle w:val="COMTablefooter"/>
      </w:pPr>
      <w:r w:rsidRPr="002106BA">
        <w:t>Source: Table 1.1, p13 of the submission.</w:t>
      </w:r>
    </w:p>
    <w:p w14:paraId="6B74F0B1" w14:textId="331C33F2" w:rsidR="00F737BC" w:rsidRPr="002106BA" w:rsidRDefault="002E4257" w:rsidP="00DF5D34">
      <w:pPr>
        <w:pStyle w:val="COMTablefooter"/>
      </w:pPr>
      <w:r w:rsidRPr="002106BA">
        <w:t xml:space="preserve">Abbreviations: 10-MWT, 10-metre walk test; FAP, familial amyloid polyneuropathy; hATTR, hereditary transthyretin mediated amyloidosis; HRQoL, health related quality of life; </w:t>
      </w:r>
      <w:proofErr w:type="spellStart"/>
      <w:r w:rsidRPr="002106BA">
        <w:t>mBMI</w:t>
      </w:r>
      <w:proofErr w:type="spellEnd"/>
      <w:r w:rsidRPr="002106BA">
        <w:t>, modified body mass index; PND, polyneuropathy disability</w:t>
      </w:r>
      <w:r w:rsidR="00F737BC" w:rsidRPr="002106BA">
        <w:t>; Norfolk</w:t>
      </w:r>
      <w:r w:rsidRPr="002106BA">
        <w:t xml:space="preserve"> QoL-DN, </w:t>
      </w:r>
      <w:r w:rsidR="00F737BC" w:rsidRPr="002106BA">
        <w:rPr>
          <w:rFonts w:cstheme="minorHAnsi"/>
        </w:rPr>
        <w:t>Norfolk Quality of Life–Diabetic Neuropathy</w:t>
      </w:r>
      <w:r w:rsidRPr="002106BA">
        <w:t>; R-ODS, Rasch-built overall disability score</w:t>
      </w:r>
      <w:r w:rsidR="001438ED" w:rsidRPr="002106BA">
        <w:t xml:space="preserve">; TTR, </w:t>
      </w:r>
      <w:r w:rsidR="001438ED" w:rsidRPr="002106BA">
        <w:rPr>
          <w:color w:val="000000" w:themeColor="text1"/>
        </w:rPr>
        <w:t>transthyretin</w:t>
      </w:r>
      <w:r w:rsidRPr="002106BA">
        <w:t>.</w:t>
      </w:r>
    </w:p>
    <w:p w14:paraId="6B4AB6C2" w14:textId="7F01D731" w:rsidR="005C25FF" w:rsidRPr="002106BA" w:rsidRDefault="005C25FF" w:rsidP="004A6040">
      <w:pPr>
        <w:pStyle w:val="COMH1-numbered"/>
      </w:pPr>
      <w:bookmarkStart w:id="1" w:name="_Toc177559171"/>
      <w:r w:rsidRPr="002106BA">
        <w:t>Background</w:t>
      </w:r>
      <w:bookmarkEnd w:id="1"/>
    </w:p>
    <w:p w14:paraId="2C521D6D" w14:textId="78CF03EE" w:rsidR="005C25FF" w:rsidRPr="002106BA" w:rsidRDefault="005C25FF" w:rsidP="003D5DE7">
      <w:pPr>
        <w:pStyle w:val="COMH2-non-numbered"/>
      </w:pPr>
      <w:bookmarkStart w:id="2" w:name="_Toc22897638"/>
      <w:bookmarkStart w:id="3" w:name="_Toc177559172"/>
      <w:r w:rsidRPr="002106BA">
        <w:t>Registration status</w:t>
      </w:r>
      <w:bookmarkEnd w:id="2"/>
      <w:bookmarkEnd w:id="3"/>
    </w:p>
    <w:p w14:paraId="311C58E0" w14:textId="04194927" w:rsidR="004504F1" w:rsidRPr="002106BA" w:rsidRDefault="009E745E" w:rsidP="009E745E">
      <w:pPr>
        <w:pStyle w:val="COMexecsummnumbered"/>
      </w:pPr>
      <w:r w:rsidRPr="002106BA">
        <w:t xml:space="preserve">Vutrisiran </w:t>
      </w:r>
      <w:r w:rsidR="00313658" w:rsidRPr="002106BA">
        <w:t xml:space="preserve">25 mg </w:t>
      </w:r>
      <w:r w:rsidR="003C6131" w:rsidRPr="002106BA">
        <w:t>every</w:t>
      </w:r>
      <w:r w:rsidR="00313658" w:rsidRPr="002106BA">
        <w:t xml:space="preserve"> 3 month</w:t>
      </w:r>
      <w:r w:rsidR="003C6131" w:rsidRPr="002106BA">
        <w:t>s</w:t>
      </w:r>
      <w:r w:rsidR="00313658" w:rsidRPr="002106BA">
        <w:t xml:space="preserve"> </w:t>
      </w:r>
      <w:r w:rsidRPr="002106BA">
        <w:t>was registered by the TGA on 21 June 2024, for the treatment of hATTR amyloidosis in adult patients with stage 1 or stage 2 polyneuropathy</w:t>
      </w:r>
      <w:r w:rsidR="005C25FF" w:rsidRPr="002106BA">
        <w:t>.</w:t>
      </w:r>
      <w:r w:rsidR="00D43D83" w:rsidRPr="002106BA">
        <w:t xml:space="preserve"> </w:t>
      </w:r>
    </w:p>
    <w:p w14:paraId="6B7E9934" w14:textId="6BD24E18" w:rsidR="00B0409C" w:rsidRPr="002106BA" w:rsidRDefault="00B50DB8" w:rsidP="00B0409C">
      <w:pPr>
        <w:pStyle w:val="COMH1-numbered"/>
        <w:keepNext w:val="0"/>
      </w:pPr>
      <w:bookmarkStart w:id="4" w:name="_Toc107902078"/>
      <w:bookmarkStart w:id="5" w:name="_Toc177559173"/>
      <w:bookmarkEnd w:id="4"/>
      <w:r w:rsidRPr="002106BA">
        <w:t>Requested listing</w:t>
      </w:r>
      <w:bookmarkEnd w:id="5"/>
    </w:p>
    <w:p w14:paraId="2E7256B7" w14:textId="287377D0" w:rsidR="00B0409C" w:rsidRPr="002106BA" w:rsidRDefault="00B0409C" w:rsidP="00B0409C">
      <w:pPr>
        <w:pStyle w:val="COMexecsummnumbered"/>
      </w:pPr>
      <w:r w:rsidRPr="002106BA">
        <w:t>Suggested additions are in italics and deletions are in strikethrough.</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332"/>
        <w:gridCol w:w="777"/>
        <w:gridCol w:w="777"/>
        <w:gridCol w:w="778"/>
        <w:gridCol w:w="1020"/>
      </w:tblGrid>
      <w:tr w:rsidR="000D1348" w:rsidRPr="002106BA" w14:paraId="6550A781" w14:textId="77777777" w:rsidTr="000E7A25">
        <w:trPr>
          <w:cantSplit/>
        </w:trPr>
        <w:tc>
          <w:tcPr>
            <w:tcW w:w="3246" w:type="dxa"/>
            <w:vAlign w:val="center"/>
          </w:tcPr>
          <w:p w14:paraId="1A47E194" w14:textId="77777777" w:rsidR="000D1348" w:rsidRPr="002106BA" w:rsidRDefault="000D1348" w:rsidP="00C0792A">
            <w:pPr>
              <w:pStyle w:val="COMTableheadingrow"/>
              <w:ind w:right="-57"/>
              <w:rPr>
                <w:lang w:val="en-AU"/>
              </w:rPr>
            </w:pPr>
            <w:r w:rsidRPr="002106BA">
              <w:rPr>
                <w:lang w:val="en-AU"/>
              </w:rPr>
              <w:lastRenderedPageBreak/>
              <w:t>MEDICINAL PRODUCT</w:t>
            </w:r>
          </w:p>
          <w:p w14:paraId="52A59FF7" w14:textId="77777777" w:rsidR="000D1348" w:rsidRPr="002106BA" w:rsidRDefault="000D1348" w:rsidP="00C0792A">
            <w:pPr>
              <w:pStyle w:val="COMTableheadingrow"/>
              <w:ind w:right="-57"/>
              <w:rPr>
                <w:lang w:val="en-AU"/>
              </w:rPr>
            </w:pPr>
            <w:r w:rsidRPr="002106BA">
              <w:rPr>
                <w:lang w:val="en-AU"/>
              </w:rPr>
              <w:t>medicinal product pack</w:t>
            </w:r>
          </w:p>
        </w:tc>
        <w:tc>
          <w:tcPr>
            <w:tcW w:w="2332" w:type="dxa"/>
            <w:vAlign w:val="center"/>
          </w:tcPr>
          <w:p w14:paraId="36F69F39" w14:textId="2322D042" w:rsidR="000D1348" w:rsidRPr="002106BA" w:rsidRDefault="000D1348" w:rsidP="00C0792A">
            <w:pPr>
              <w:pStyle w:val="COMTableheadingrow"/>
              <w:ind w:left="-56" w:right="-57"/>
              <w:jc w:val="center"/>
              <w:rPr>
                <w:lang w:val="en-AU"/>
              </w:rPr>
            </w:pPr>
            <w:r w:rsidRPr="002106BA">
              <w:rPr>
                <w:lang w:val="en-AU"/>
              </w:rPr>
              <w:t>Dispensed Price for Max. Qty</w:t>
            </w:r>
          </w:p>
        </w:tc>
        <w:tc>
          <w:tcPr>
            <w:tcW w:w="777" w:type="dxa"/>
            <w:vAlign w:val="center"/>
          </w:tcPr>
          <w:p w14:paraId="2E47150A" w14:textId="77777777" w:rsidR="000D1348" w:rsidRPr="002106BA" w:rsidRDefault="000D1348" w:rsidP="00C0792A">
            <w:pPr>
              <w:pStyle w:val="COMTableheadingrow"/>
              <w:ind w:left="-56" w:right="-57"/>
              <w:jc w:val="center"/>
              <w:rPr>
                <w:szCs w:val="20"/>
                <w:lang w:val="en-AU"/>
              </w:rPr>
            </w:pPr>
            <w:r w:rsidRPr="002106BA">
              <w:rPr>
                <w:szCs w:val="20"/>
                <w:lang w:val="en-AU"/>
              </w:rPr>
              <w:t>Max. qty packs</w:t>
            </w:r>
          </w:p>
        </w:tc>
        <w:tc>
          <w:tcPr>
            <w:tcW w:w="777" w:type="dxa"/>
            <w:vAlign w:val="center"/>
          </w:tcPr>
          <w:p w14:paraId="77FEF779" w14:textId="77777777" w:rsidR="000D1348" w:rsidRPr="002106BA" w:rsidRDefault="000D1348" w:rsidP="00C0792A">
            <w:pPr>
              <w:pStyle w:val="COMTableheadingrow"/>
              <w:ind w:left="-56" w:right="-57"/>
              <w:jc w:val="center"/>
              <w:rPr>
                <w:szCs w:val="20"/>
                <w:lang w:val="en-AU"/>
              </w:rPr>
            </w:pPr>
            <w:r w:rsidRPr="002106BA">
              <w:rPr>
                <w:szCs w:val="20"/>
                <w:lang w:val="en-AU"/>
              </w:rPr>
              <w:t>Max. qty units</w:t>
            </w:r>
          </w:p>
        </w:tc>
        <w:tc>
          <w:tcPr>
            <w:tcW w:w="778" w:type="dxa"/>
            <w:vAlign w:val="center"/>
          </w:tcPr>
          <w:p w14:paraId="0B68CACE" w14:textId="77777777" w:rsidR="000D1348" w:rsidRPr="002106BA" w:rsidRDefault="000D1348" w:rsidP="00C0792A">
            <w:pPr>
              <w:pStyle w:val="COMTableheadingrow"/>
              <w:ind w:left="-56" w:right="-57"/>
              <w:jc w:val="center"/>
              <w:rPr>
                <w:szCs w:val="20"/>
                <w:lang w:val="en-AU"/>
              </w:rPr>
            </w:pPr>
            <w:r w:rsidRPr="002106BA">
              <w:rPr>
                <w:szCs w:val="20"/>
                <w:lang w:val="en-AU"/>
              </w:rPr>
              <w:t>№. of</w:t>
            </w:r>
          </w:p>
          <w:p w14:paraId="4E38FF67" w14:textId="77777777" w:rsidR="000D1348" w:rsidRPr="002106BA" w:rsidRDefault="000D1348" w:rsidP="00C0792A">
            <w:pPr>
              <w:pStyle w:val="COMTableheadingrow"/>
              <w:ind w:left="-56" w:right="-57"/>
              <w:jc w:val="center"/>
              <w:rPr>
                <w:szCs w:val="20"/>
                <w:lang w:val="en-AU"/>
              </w:rPr>
            </w:pPr>
            <w:r w:rsidRPr="002106BA">
              <w:rPr>
                <w:szCs w:val="20"/>
                <w:lang w:val="en-AU"/>
              </w:rPr>
              <w:t>Rpts</w:t>
            </w:r>
          </w:p>
        </w:tc>
        <w:tc>
          <w:tcPr>
            <w:tcW w:w="1020" w:type="dxa"/>
            <w:vAlign w:val="center"/>
          </w:tcPr>
          <w:p w14:paraId="7BAADF97" w14:textId="77777777" w:rsidR="000D1348" w:rsidRPr="002106BA" w:rsidRDefault="000D1348" w:rsidP="00C0792A">
            <w:pPr>
              <w:pStyle w:val="COMTableheadingrow"/>
              <w:ind w:left="-56" w:right="-57"/>
              <w:jc w:val="center"/>
              <w:rPr>
                <w:szCs w:val="20"/>
                <w:lang w:val="en-AU"/>
              </w:rPr>
            </w:pPr>
            <w:r w:rsidRPr="002106BA">
              <w:rPr>
                <w:szCs w:val="20"/>
                <w:lang w:val="en-AU"/>
              </w:rPr>
              <w:t>Available brands</w:t>
            </w:r>
          </w:p>
        </w:tc>
      </w:tr>
      <w:tr w:rsidR="000D1348" w:rsidRPr="002106BA" w14:paraId="6E1F567D" w14:textId="77777777" w:rsidTr="000E7A25">
        <w:trPr>
          <w:cantSplit/>
        </w:trPr>
        <w:tc>
          <w:tcPr>
            <w:tcW w:w="8930" w:type="dxa"/>
            <w:gridSpan w:val="6"/>
            <w:vAlign w:val="center"/>
          </w:tcPr>
          <w:p w14:paraId="6236DF3F" w14:textId="77777777" w:rsidR="000D1348" w:rsidRPr="002106BA" w:rsidRDefault="000D1348" w:rsidP="00C0792A">
            <w:pPr>
              <w:pStyle w:val="COMTabletext"/>
              <w:ind w:right="-57"/>
              <w:rPr>
                <w:rFonts w:cs="Arial"/>
                <w:szCs w:val="20"/>
              </w:rPr>
            </w:pPr>
            <w:r w:rsidRPr="002106BA">
              <w:t>VUTRISIRAN</w:t>
            </w:r>
          </w:p>
        </w:tc>
      </w:tr>
      <w:tr w:rsidR="000D1348" w:rsidRPr="002106BA" w14:paraId="4FC7EB82" w14:textId="77777777" w:rsidTr="000E7A25">
        <w:trPr>
          <w:cantSplit/>
        </w:trPr>
        <w:tc>
          <w:tcPr>
            <w:tcW w:w="3246" w:type="dxa"/>
            <w:vAlign w:val="center"/>
          </w:tcPr>
          <w:p w14:paraId="4345FB1C" w14:textId="77777777" w:rsidR="000D1348" w:rsidRPr="002106BA" w:rsidRDefault="000D1348" w:rsidP="000E7A25">
            <w:pPr>
              <w:pStyle w:val="COMTabletext"/>
              <w:keepNext w:val="0"/>
              <w:ind w:right="-56"/>
              <w:rPr>
                <w:color w:val="0066FF"/>
                <w:szCs w:val="20"/>
              </w:rPr>
            </w:pPr>
            <w:r w:rsidRPr="002106BA">
              <w:t>Vutrisiran, prefilled syringe for subcutaneous injection (25 mg in 0.5 mL)</w:t>
            </w:r>
            <w:r w:rsidRPr="002106BA">
              <w:rPr>
                <w:color w:val="0066FF"/>
                <w:szCs w:val="20"/>
              </w:rPr>
              <w:t xml:space="preserve"> </w:t>
            </w:r>
          </w:p>
        </w:tc>
        <w:tc>
          <w:tcPr>
            <w:tcW w:w="2332" w:type="dxa"/>
          </w:tcPr>
          <w:p w14:paraId="3D24E3DA" w14:textId="5D3C037B" w:rsidR="0048585B" w:rsidRPr="002106BA" w:rsidRDefault="0048585B" w:rsidP="000E7A25">
            <w:pPr>
              <w:pStyle w:val="COMTabletext"/>
              <w:keepNext w:val="0"/>
              <w:ind w:left="-56" w:right="-56"/>
              <w:jc w:val="center"/>
            </w:pPr>
            <w:r w:rsidRPr="002106BA">
              <w:t>General Schedule as requested by submission:</w:t>
            </w:r>
          </w:p>
          <w:p w14:paraId="6EBF4B31" w14:textId="47FBC593" w:rsidR="000D1348" w:rsidRPr="002106BA" w:rsidRDefault="000D1348" w:rsidP="000E7A25">
            <w:pPr>
              <w:pStyle w:val="COMTabletext"/>
              <w:keepNext w:val="0"/>
              <w:ind w:left="-56" w:right="-56"/>
              <w:jc w:val="center"/>
            </w:pPr>
            <w:r w:rsidRPr="002106BA">
              <w:t>$</w:t>
            </w:r>
            <w:r w:rsidR="00DD7F0E" w:rsidRPr="00DD7F0E">
              <w:rPr>
                <w:color w:val="000000"/>
                <w:shd w:val="solid" w:color="000000" w:fill="000000"/>
                <w14:textFill>
                  <w14:solidFill>
                    <w14:srgbClr w14:val="000000">
                      <w14:alpha w14:val="100000"/>
                    </w14:srgbClr>
                  </w14:solidFill>
                </w14:textFill>
              </w:rPr>
              <w:t>|</w:t>
            </w:r>
            <w:r w:rsidRPr="002106BA">
              <w:t xml:space="preserve"> </w:t>
            </w:r>
            <w:r w:rsidR="00FC7ED6" w:rsidRPr="002106BA">
              <w:t>(</w:t>
            </w:r>
            <w:r w:rsidRPr="002106BA">
              <w:t>published</w:t>
            </w:r>
            <w:r w:rsidR="00FC7ED6" w:rsidRPr="002106BA">
              <w:t>)</w:t>
            </w:r>
          </w:p>
          <w:p w14:paraId="3BB497D4" w14:textId="06035494" w:rsidR="0048585B" w:rsidRPr="002106BA" w:rsidRDefault="000D1348" w:rsidP="0048585B">
            <w:pPr>
              <w:pStyle w:val="COMTabletext"/>
              <w:keepNext w:val="0"/>
              <w:ind w:left="-56" w:right="-56"/>
              <w:jc w:val="center"/>
              <w:rPr>
                <w:szCs w:val="20"/>
              </w:rPr>
            </w:pPr>
            <w:r w:rsidRPr="002106BA">
              <w:t>$</w:t>
            </w:r>
            <w:r w:rsidR="00DD7F0E" w:rsidRPr="00DD7F0E">
              <w:rPr>
                <w:color w:val="000000"/>
                <w:shd w:val="solid" w:color="000000" w:fill="000000"/>
                <w14:textFill>
                  <w14:solidFill>
                    <w14:srgbClr w14:val="000000">
                      <w14:alpha w14:val="100000"/>
                    </w14:srgbClr>
                  </w14:solidFill>
                </w14:textFill>
              </w:rPr>
              <w:t>|</w:t>
            </w:r>
            <w:r w:rsidRPr="002106BA">
              <w:t xml:space="preserve"> </w:t>
            </w:r>
            <w:r w:rsidR="00FC7ED6" w:rsidRPr="002106BA">
              <w:t>(</w:t>
            </w:r>
            <w:r w:rsidRPr="002106BA">
              <w:t>effective</w:t>
            </w:r>
            <w:r w:rsidR="00FC7ED6" w:rsidRPr="002106BA">
              <w:t>)</w:t>
            </w:r>
          </w:p>
        </w:tc>
        <w:tc>
          <w:tcPr>
            <w:tcW w:w="777" w:type="dxa"/>
            <w:vAlign w:val="center"/>
          </w:tcPr>
          <w:p w14:paraId="1A3171C4" w14:textId="77777777" w:rsidR="000D1348" w:rsidRPr="002106BA" w:rsidRDefault="000D1348" w:rsidP="000E7A25">
            <w:pPr>
              <w:ind w:left="-56" w:right="-56"/>
              <w:jc w:val="center"/>
              <w:rPr>
                <w:rFonts w:ascii="Arial Narrow" w:hAnsi="Arial Narrow"/>
                <w:sz w:val="20"/>
                <w:szCs w:val="20"/>
              </w:rPr>
            </w:pPr>
            <w:r w:rsidRPr="002106BA">
              <w:rPr>
                <w:rFonts w:ascii="Arial Narrow" w:hAnsi="Arial Narrow"/>
                <w:sz w:val="20"/>
              </w:rPr>
              <w:t>1</w:t>
            </w:r>
          </w:p>
        </w:tc>
        <w:tc>
          <w:tcPr>
            <w:tcW w:w="777" w:type="dxa"/>
            <w:vAlign w:val="center"/>
          </w:tcPr>
          <w:p w14:paraId="75E62632" w14:textId="77777777" w:rsidR="000D1348" w:rsidRPr="002106BA" w:rsidRDefault="000D1348" w:rsidP="000E7A25">
            <w:pPr>
              <w:ind w:left="-56" w:right="-56"/>
              <w:jc w:val="center"/>
              <w:rPr>
                <w:rFonts w:ascii="Arial Narrow" w:hAnsi="Arial Narrow"/>
                <w:sz w:val="20"/>
                <w:szCs w:val="20"/>
              </w:rPr>
            </w:pPr>
            <w:r w:rsidRPr="002106BA">
              <w:rPr>
                <w:rFonts w:ascii="Arial Narrow" w:hAnsi="Arial Narrow"/>
                <w:sz w:val="20"/>
              </w:rPr>
              <w:t>1</w:t>
            </w:r>
          </w:p>
        </w:tc>
        <w:tc>
          <w:tcPr>
            <w:tcW w:w="778" w:type="dxa"/>
            <w:vAlign w:val="center"/>
          </w:tcPr>
          <w:p w14:paraId="19543CA2" w14:textId="77777777" w:rsidR="000D1348" w:rsidRPr="002106BA" w:rsidRDefault="000D1348" w:rsidP="000E7A25">
            <w:pPr>
              <w:ind w:left="-56" w:right="-56"/>
              <w:jc w:val="center"/>
              <w:rPr>
                <w:rFonts w:ascii="Arial Narrow" w:hAnsi="Arial Narrow"/>
                <w:sz w:val="20"/>
                <w:szCs w:val="20"/>
              </w:rPr>
            </w:pPr>
            <w:r w:rsidRPr="002106BA">
              <w:rPr>
                <w:rFonts w:ascii="Arial Narrow" w:hAnsi="Arial Narrow"/>
                <w:sz w:val="20"/>
              </w:rPr>
              <w:t>1</w:t>
            </w:r>
          </w:p>
        </w:tc>
        <w:tc>
          <w:tcPr>
            <w:tcW w:w="1020" w:type="dxa"/>
            <w:vAlign w:val="center"/>
          </w:tcPr>
          <w:p w14:paraId="4FA6DF0E" w14:textId="77777777" w:rsidR="000D1348" w:rsidRPr="002106BA" w:rsidRDefault="000D1348" w:rsidP="000E7A25">
            <w:pPr>
              <w:ind w:left="-56" w:right="-56"/>
              <w:jc w:val="center"/>
              <w:rPr>
                <w:rFonts w:ascii="Arial Narrow" w:hAnsi="Arial Narrow"/>
                <w:color w:val="0066FF"/>
                <w:sz w:val="20"/>
                <w:szCs w:val="20"/>
              </w:rPr>
            </w:pPr>
            <w:proofErr w:type="spellStart"/>
            <w:r w:rsidRPr="002106BA">
              <w:rPr>
                <w:rFonts w:ascii="Arial Narrow" w:hAnsi="Arial Narrow"/>
                <w:sz w:val="20"/>
                <w:szCs w:val="20"/>
              </w:rPr>
              <w:t>Amvuttra</w:t>
            </w:r>
            <w:proofErr w:type="spellEnd"/>
          </w:p>
        </w:tc>
      </w:tr>
    </w:tbl>
    <w:p w14:paraId="60FE68D0" w14:textId="672ECAEF" w:rsidR="000D1348" w:rsidRPr="002106BA" w:rsidRDefault="000D1348" w:rsidP="001D6BA9">
      <w:pPr>
        <w:pStyle w:val="COMexecsummnumbered"/>
        <w:numPr>
          <w:ilvl w:val="0"/>
          <w:numId w:val="0"/>
        </w:numPr>
        <w:spacing w:after="0"/>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30"/>
      </w:tblGrid>
      <w:tr w:rsidR="008135C8" w:rsidRPr="002106BA" w14:paraId="1C28AE6D" w14:textId="77777777" w:rsidTr="00F65EFC">
        <w:trPr>
          <w:cantSplit/>
          <w:trHeight w:val="20"/>
        </w:trPr>
        <w:tc>
          <w:tcPr>
            <w:tcW w:w="8930" w:type="dxa"/>
          </w:tcPr>
          <w:p w14:paraId="2610AF35" w14:textId="77777777" w:rsidR="008135C8" w:rsidRPr="002106BA" w:rsidRDefault="008135C8" w:rsidP="0006576F">
            <w:pPr>
              <w:pStyle w:val="COMTabletext"/>
              <w:keepNext w:val="0"/>
            </w:pPr>
            <w:r w:rsidRPr="002106BA">
              <w:rPr>
                <w:b/>
              </w:rPr>
              <w:t xml:space="preserve">Category / Program: </w:t>
            </w:r>
            <w:r w:rsidRPr="002106BA">
              <w:rPr>
                <w:strike/>
              </w:rPr>
              <w:t>General Schedule</w:t>
            </w:r>
            <w:r w:rsidRPr="002106BA">
              <w:t xml:space="preserve"> </w:t>
            </w:r>
          </w:p>
          <w:p w14:paraId="253C7A33" w14:textId="51F8229F" w:rsidR="00B0409C" w:rsidRPr="002106BA" w:rsidRDefault="00B0409C" w:rsidP="0006576F">
            <w:pPr>
              <w:pStyle w:val="COMTabletext"/>
              <w:keepNext w:val="0"/>
              <w:rPr>
                <w:i/>
                <w:iCs/>
              </w:rPr>
            </w:pPr>
            <w:r w:rsidRPr="002106BA">
              <w:rPr>
                <w:i/>
                <w:iCs/>
              </w:rPr>
              <w:t>Section 100 – Highly Specialised Drugs Program – Public and Private Hospitals</w:t>
            </w:r>
          </w:p>
        </w:tc>
      </w:tr>
      <w:tr w:rsidR="008135C8" w:rsidRPr="002106BA" w14:paraId="3D3E2C35" w14:textId="77777777" w:rsidTr="00F65EFC">
        <w:trPr>
          <w:cantSplit/>
          <w:trHeight w:val="20"/>
        </w:trPr>
        <w:tc>
          <w:tcPr>
            <w:tcW w:w="8930" w:type="dxa"/>
          </w:tcPr>
          <w:p w14:paraId="5FB85267" w14:textId="7B5B6256" w:rsidR="008135C8" w:rsidRPr="002106BA" w:rsidRDefault="008135C8" w:rsidP="0006576F">
            <w:pPr>
              <w:pStyle w:val="COMTabletext"/>
              <w:keepNext w:val="0"/>
              <w:rPr>
                <w:b/>
              </w:rPr>
            </w:pPr>
            <w:r w:rsidRPr="002106BA">
              <w:rPr>
                <w:b/>
              </w:rPr>
              <w:t xml:space="preserve">Prescriber type: </w:t>
            </w:r>
            <w:r w:rsidRPr="002106BA">
              <w:t>Medical Practitioners</w:t>
            </w:r>
          </w:p>
        </w:tc>
      </w:tr>
      <w:tr w:rsidR="008135C8" w:rsidRPr="002106BA" w14:paraId="599F2349" w14:textId="77777777" w:rsidTr="00F65EFC">
        <w:trPr>
          <w:cantSplit/>
          <w:trHeight w:val="20"/>
        </w:trPr>
        <w:tc>
          <w:tcPr>
            <w:tcW w:w="8930" w:type="dxa"/>
          </w:tcPr>
          <w:p w14:paraId="1532D196" w14:textId="7BD879C5" w:rsidR="008135C8" w:rsidRPr="002106BA" w:rsidRDefault="008135C8" w:rsidP="0006576F">
            <w:pPr>
              <w:pStyle w:val="COMTabletext"/>
              <w:keepNext w:val="0"/>
            </w:pPr>
            <w:r w:rsidRPr="002106BA">
              <w:rPr>
                <w:b/>
              </w:rPr>
              <w:t xml:space="preserve">Restriction type: </w:t>
            </w:r>
            <w:r w:rsidRPr="002106BA">
              <w:t xml:space="preserve"> </w:t>
            </w:r>
            <w:r w:rsidRPr="002106BA">
              <w:br/>
              <w:t xml:space="preserve">Authority Required (in writing only via post/HPOS upload)  </w:t>
            </w:r>
          </w:p>
        </w:tc>
      </w:tr>
      <w:tr w:rsidR="008135C8" w:rsidRPr="002106BA" w14:paraId="7239BB74" w14:textId="77777777" w:rsidTr="00F65EFC">
        <w:trPr>
          <w:cantSplit/>
          <w:trHeight w:val="20"/>
        </w:trPr>
        <w:tc>
          <w:tcPr>
            <w:tcW w:w="8930" w:type="dxa"/>
            <w:vAlign w:val="center"/>
          </w:tcPr>
          <w:p w14:paraId="49197F69" w14:textId="77777777" w:rsidR="008135C8" w:rsidRPr="002106BA" w:rsidRDefault="008135C8" w:rsidP="0006576F">
            <w:pPr>
              <w:pStyle w:val="COMTabletext"/>
              <w:keepNext w:val="0"/>
              <w:rPr>
                <w:b/>
              </w:rPr>
            </w:pPr>
            <w:r w:rsidRPr="002106BA">
              <w:rPr>
                <w:b/>
              </w:rPr>
              <w:t xml:space="preserve">Condition: </w:t>
            </w:r>
            <w:r w:rsidRPr="002106BA">
              <w:t>Hereditary transthyretin amyloidosis</w:t>
            </w:r>
          </w:p>
        </w:tc>
      </w:tr>
      <w:tr w:rsidR="008135C8" w:rsidRPr="002106BA" w14:paraId="49D07D33" w14:textId="77777777" w:rsidTr="00F65EFC">
        <w:trPr>
          <w:cantSplit/>
          <w:trHeight w:val="20"/>
        </w:trPr>
        <w:tc>
          <w:tcPr>
            <w:tcW w:w="8930" w:type="dxa"/>
            <w:vAlign w:val="center"/>
            <w:hideMark/>
          </w:tcPr>
          <w:p w14:paraId="2BD948F4" w14:textId="77777777" w:rsidR="008135C8" w:rsidRPr="002106BA" w:rsidRDefault="008135C8" w:rsidP="0006576F">
            <w:pPr>
              <w:pStyle w:val="COMTabletext"/>
              <w:keepNext w:val="0"/>
            </w:pPr>
            <w:r w:rsidRPr="002106BA">
              <w:rPr>
                <w:b/>
              </w:rPr>
              <w:t>Indication:</w:t>
            </w:r>
            <w:r w:rsidRPr="002106BA">
              <w:t xml:space="preserve"> Hereditary transthyretin amyloidosis</w:t>
            </w:r>
          </w:p>
        </w:tc>
      </w:tr>
      <w:tr w:rsidR="008135C8" w:rsidRPr="002106BA" w14:paraId="2163E580" w14:textId="77777777" w:rsidTr="00F65EFC">
        <w:trPr>
          <w:cantSplit/>
          <w:trHeight w:val="20"/>
        </w:trPr>
        <w:tc>
          <w:tcPr>
            <w:tcW w:w="8930" w:type="dxa"/>
            <w:vAlign w:val="center"/>
            <w:hideMark/>
          </w:tcPr>
          <w:p w14:paraId="5E5FEF15" w14:textId="77777777" w:rsidR="008135C8" w:rsidRPr="002106BA" w:rsidRDefault="008135C8" w:rsidP="0006576F">
            <w:pPr>
              <w:pStyle w:val="COMTabletext"/>
              <w:keepNext w:val="0"/>
            </w:pPr>
            <w:r w:rsidRPr="002106BA">
              <w:rPr>
                <w:b/>
              </w:rPr>
              <w:t>Treatment Phase:</w:t>
            </w:r>
            <w:r w:rsidRPr="002106BA">
              <w:t xml:space="preserve"> Initial treatment</w:t>
            </w:r>
          </w:p>
        </w:tc>
      </w:tr>
      <w:tr w:rsidR="008135C8" w:rsidRPr="002106BA" w14:paraId="08FC7553" w14:textId="77777777" w:rsidTr="00F65EFC">
        <w:trPr>
          <w:cantSplit/>
          <w:trHeight w:val="20"/>
        </w:trPr>
        <w:tc>
          <w:tcPr>
            <w:tcW w:w="8930" w:type="dxa"/>
            <w:vAlign w:val="center"/>
            <w:hideMark/>
          </w:tcPr>
          <w:p w14:paraId="1068366C" w14:textId="77777777" w:rsidR="008135C8" w:rsidRPr="002106BA" w:rsidRDefault="008135C8" w:rsidP="0006576F">
            <w:pPr>
              <w:pStyle w:val="COMTabletext"/>
              <w:keepNext w:val="0"/>
              <w:rPr>
                <w:b/>
                <w:bCs w:val="0"/>
              </w:rPr>
            </w:pPr>
            <w:r w:rsidRPr="002106BA">
              <w:rPr>
                <w:b/>
                <w:bCs w:val="0"/>
              </w:rPr>
              <w:t>Population criteria:</w:t>
            </w:r>
          </w:p>
        </w:tc>
      </w:tr>
      <w:tr w:rsidR="008135C8" w:rsidRPr="002106BA" w14:paraId="6B171A64" w14:textId="77777777" w:rsidTr="00F65EFC">
        <w:trPr>
          <w:cantSplit/>
          <w:trHeight w:val="20"/>
        </w:trPr>
        <w:tc>
          <w:tcPr>
            <w:tcW w:w="8930" w:type="dxa"/>
            <w:vAlign w:val="center"/>
          </w:tcPr>
          <w:p w14:paraId="582DAB72" w14:textId="77777777" w:rsidR="008135C8" w:rsidRPr="002106BA" w:rsidRDefault="008135C8" w:rsidP="0006576F">
            <w:pPr>
              <w:pStyle w:val="COMTabletext"/>
              <w:keepNext w:val="0"/>
            </w:pPr>
            <w:r w:rsidRPr="002106BA">
              <w:t>Patient must have either (i) stage 1 polyneuropathy, (ii) stage 2 polyneuropathy</w:t>
            </w:r>
          </w:p>
        </w:tc>
      </w:tr>
      <w:tr w:rsidR="008135C8" w:rsidRPr="002106BA" w14:paraId="2082BD33" w14:textId="77777777" w:rsidTr="00F65EFC">
        <w:trPr>
          <w:cantSplit/>
          <w:trHeight w:val="20"/>
        </w:trPr>
        <w:tc>
          <w:tcPr>
            <w:tcW w:w="8930" w:type="dxa"/>
            <w:vAlign w:val="center"/>
            <w:hideMark/>
          </w:tcPr>
          <w:p w14:paraId="705C5055"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074E426A" w14:textId="77777777" w:rsidTr="00F65EFC">
        <w:trPr>
          <w:cantSplit/>
          <w:trHeight w:val="20"/>
        </w:trPr>
        <w:tc>
          <w:tcPr>
            <w:tcW w:w="8930" w:type="dxa"/>
            <w:vAlign w:val="center"/>
            <w:hideMark/>
          </w:tcPr>
          <w:p w14:paraId="52A10BCB" w14:textId="77777777" w:rsidR="008135C8" w:rsidRPr="002106BA" w:rsidRDefault="008135C8" w:rsidP="0006576F">
            <w:pPr>
              <w:pStyle w:val="COMTabletext"/>
              <w:keepNext w:val="0"/>
            </w:pPr>
            <w:r w:rsidRPr="002106BA">
              <w:rPr>
                <w:rFonts w:cs="Calibri"/>
                <w:color w:val="333333"/>
                <w:szCs w:val="20"/>
              </w:rPr>
              <w:t>Patient must not have previously received PBS-subsidised treatment with this drug for this PBS indication</w:t>
            </w:r>
          </w:p>
        </w:tc>
      </w:tr>
      <w:tr w:rsidR="008135C8" w:rsidRPr="002106BA" w14:paraId="76DB25D1" w14:textId="77777777" w:rsidTr="00F65EFC">
        <w:trPr>
          <w:cantSplit/>
          <w:trHeight w:val="20"/>
        </w:trPr>
        <w:tc>
          <w:tcPr>
            <w:tcW w:w="8930" w:type="dxa"/>
            <w:vAlign w:val="center"/>
            <w:hideMark/>
          </w:tcPr>
          <w:p w14:paraId="6056A3EA" w14:textId="77777777" w:rsidR="008135C8" w:rsidRPr="002106BA" w:rsidRDefault="008135C8" w:rsidP="0006576F">
            <w:pPr>
              <w:pStyle w:val="COMTabletext"/>
              <w:keepNext w:val="0"/>
            </w:pPr>
            <w:r w:rsidRPr="002106BA">
              <w:t>AND</w:t>
            </w:r>
          </w:p>
        </w:tc>
      </w:tr>
      <w:tr w:rsidR="008135C8" w:rsidRPr="002106BA" w14:paraId="425A4188" w14:textId="77777777" w:rsidTr="00F65EFC">
        <w:trPr>
          <w:cantSplit/>
          <w:trHeight w:val="20"/>
        </w:trPr>
        <w:tc>
          <w:tcPr>
            <w:tcW w:w="8930" w:type="dxa"/>
            <w:vAlign w:val="center"/>
            <w:hideMark/>
          </w:tcPr>
          <w:p w14:paraId="5046ACA6"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210C404F" w14:textId="77777777" w:rsidTr="00F65EFC">
        <w:trPr>
          <w:cantSplit/>
          <w:trHeight w:val="20"/>
        </w:trPr>
        <w:tc>
          <w:tcPr>
            <w:tcW w:w="8930" w:type="dxa"/>
            <w:vAlign w:val="center"/>
            <w:hideMark/>
          </w:tcPr>
          <w:p w14:paraId="1B90E775" w14:textId="77777777" w:rsidR="008135C8" w:rsidRPr="002106BA" w:rsidRDefault="008135C8" w:rsidP="0006576F">
            <w:pPr>
              <w:pStyle w:val="COMTabletext"/>
              <w:keepNext w:val="0"/>
            </w:pPr>
            <w:r w:rsidRPr="002106BA">
              <w:t>Patient must be at least 18 years of age</w:t>
            </w:r>
          </w:p>
        </w:tc>
      </w:tr>
      <w:tr w:rsidR="008135C8" w:rsidRPr="002106BA" w14:paraId="566345FE" w14:textId="77777777" w:rsidTr="00F65EFC">
        <w:trPr>
          <w:cantSplit/>
          <w:trHeight w:val="20"/>
        </w:trPr>
        <w:tc>
          <w:tcPr>
            <w:tcW w:w="8930" w:type="dxa"/>
            <w:vAlign w:val="center"/>
            <w:hideMark/>
          </w:tcPr>
          <w:p w14:paraId="6E0BD124" w14:textId="77777777" w:rsidR="008135C8" w:rsidRPr="002106BA" w:rsidRDefault="008135C8" w:rsidP="0006576F">
            <w:pPr>
              <w:pStyle w:val="COMTabletext"/>
              <w:keepNext w:val="0"/>
            </w:pPr>
            <w:r w:rsidRPr="002106BA">
              <w:t>AND</w:t>
            </w:r>
          </w:p>
        </w:tc>
      </w:tr>
      <w:tr w:rsidR="008135C8" w:rsidRPr="002106BA" w14:paraId="242E5936" w14:textId="77777777" w:rsidTr="00F65EFC">
        <w:trPr>
          <w:cantSplit/>
          <w:trHeight w:val="20"/>
        </w:trPr>
        <w:tc>
          <w:tcPr>
            <w:tcW w:w="8930" w:type="dxa"/>
            <w:vAlign w:val="center"/>
            <w:hideMark/>
          </w:tcPr>
          <w:p w14:paraId="3980FB1D"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0EC7CB2B" w14:textId="77777777" w:rsidTr="00F65EFC">
        <w:trPr>
          <w:cantSplit/>
          <w:trHeight w:val="20"/>
        </w:trPr>
        <w:tc>
          <w:tcPr>
            <w:tcW w:w="8930" w:type="dxa"/>
            <w:vAlign w:val="center"/>
            <w:hideMark/>
          </w:tcPr>
          <w:p w14:paraId="21211FA5" w14:textId="77777777" w:rsidR="008135C8" w:rsidRPr="002106BA" w:rsidRDefault="008135C8" w:rsidP="0006576F">
            <w:pPr>
              <w:pStyle w:val="COMTabletext"/>
              <w:keepNext w:val="0"/>
            </w:pPr>
            <w:r w:rsidRPr="002106BA">
              <w:t>The condition must be hereditary transthyretin amyloidosis confirmed by genetic testing</w:t>
            </w:r>
          </w:p>
        </w:tc>
      </w:tr>
      <w:tr w:rsidR="008135C8" w:rsidRPr="002106BA" w14:paraId="5CE3BADA" w14:textId="77777777" w:rsidTr="00F65EFC">
        <w:trPr>
          <w:cantSplit/>
          <w:trHeight w:val="20"/>
        </w:trPr>
        <w:tc>
          <w:tcPr>
            <w:tcW w:w="8930" w:type="dxa"/>
            <w:vAlign w:val="center"/>
            <w:hideMark/>
          </w:tcPr>
          <w:p w14:paraId="21C9FC60" w14:textId="77777777" w:rsidR="008135C8" w:rsidRPr="002106BA" w:rsidRDefault="008135C8" w:rsidP="0006576F">
            <w:pPr>
              <w:pStyle w:val="COMTabletext"/>
              <w:keepNext w:val="0"/>
            </w:pPr>
            <w:r w:rsidRPr="002106BA">
              <w:t>AND</w:t>
            </w:r>
          </w:p>
        </w:tc>
      </w:tr>
      <w:tr w:rsidR="008135C8" w:rsidRPr="002106BA" w14:paraId="1282B9CA" w14:textId="77777777" w:rsidTr="00F65EFC">
        <w:trPr>
          <w:cantSplit/>
          <w:trHeight w:val="20"/>
        </w:trPr>
        <w:tc>
          <w:tcPr>
            <w:tcW w:w="8930" w:type="dxa"/>
            <w:vAlign w:val="center"/>
            <w:hideMark/>
          </w:tcPr>
          <w:p w14:paraId="27841E14"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351ED0BB" w14:textId="77777777" w:rsidTr="00F65EFC">
        <w:trPr>
          <w:cantSplit/>
          <w:trHeight w:val="20"/>
        </w:trPr>
        <w:tc>
          <w:tcPr>
            <w:tcW w:w="8930" w:type="dxa"/>
            <w:vAlign w:val="center"/>
            <w:hideMark/>
          </w:tcPr>
          <w:p w14:paraId="3C1E29AA" w14:textId="77777777" w:rsidR="008135C8" w:rsidRPr="002106BA" w:rsidRDefault="008135C8" w:rsidP="0006576F">
            <w:pPr>
              <w:pStyle w:val="COMTabletext"/>
              <w:keepNext w:val="0"/>
            </w:pPr>
            <w:r w:rsidRPr="002106BA">
              <w:t xml:space="preserve">Patient must have a Polyneuropathy Disability (PND) score description of either I, II, IIIA, IIIB, OR </w:t>
            </w:r>
          </w:p>
          <w:p w14:paraId="6C3129D5" w14:textId="77777777" w:rsidR="008135C8" w:rsidRPr="002106BA" w:rsidRDefault="008135C8" w:rsidP="0006576F">
            <w:pPr>
              <w:pStyle w:val="COMTabletext"/>
              <w:keepNext w:val="0"/>
            </w:pPr>
            <w:r w:rsidRPr="002106BA">
              <w:t>Patient must have a Familial Amyloid Polyneuropathy (FAP) stage description of 1 or 2</w:t>
            </w:r>
          </w:p>
        </w:tc>
      </w:tr>
      <w:tr w:rsidR="008135C8" w:rsidRPr="002106BA" w14:paraId="2FBF0684" w14:textId="77777777" w:rsidTr="00F65EFC">
        <w:trPr>
          <w:cantSplit/>
          <w:trHeight w:val="20"/>
        </w:trPr>
        <w:tc>
          <w:tcPr>
            <w:tcW w:w="8930" w:type="dxa"/>
            <w:vAlign w:val="center"/>
            <w:hideMark/>
          </w:tcPr>
          <w:p w14:paraId="7A3A759D"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4A168A48" w14:textId="77777777" w:rsidTr="00F65EFC">
        <w:trPr>
          <w:cantSplit/>
          <w:trHeight w:val="20"/>
        </w:trPr>
        <w:tc>
          <w:tcPr>
            <w:tcW w:w="8930" w:type="dxa"/>
            <w:vAlign w:val="center"/>
            <w:hideMark/>
          </w:tcPr>
          <w:p w14:paraId="4E69C0CE" w14:textId="77777777" w:rsidR="008135C8" w:rsidRPr="002106BA" w:rsidRDefault="008135C8" w:rsidP="0006576F">
            <w:pPr>
              <w:pStyle w:val="COMTabletext"/>
              <w:keepNext w:val="0"/>
            </w:pPr>
            <w:r w:rsidRPr="002106BA">
              <w:t>Patient must not have previously undergone a liver transplant</w:t>
            </w:r>
          </w:p>
        </w:tc>
      </w:tr>
      <w:tr w:rsidR="008135C8" w:rsidRPr="002106BA" w14:paraId="3D473A03" w14:textId="77777777" w:rsidTr="00F65EFC">
        <w:trPr>
          <w:cantSplit/>
          <w:trHeight w:val="20"/>
        </w:trPr>
        <w:tc>
          <w:tcPr>
            <w:tcW w:w="8930" w:type="dxa"/>
            <w:vAlign w:val="center"/>
            <w:hideMark/>
          </w:tcPr>
          <w:p w14:paraId="5DC3D820" w14:textId="77777777" w:rsidR="008135C8" w:rsidRPr="002106BA" w:rsidRDefault="008135C8" w:rsidP="0006576F">
            <w:pPr>
              <w:pStyle w:val="COMTabletext"/>
              <w:keepNext w:val="0"/>
            </w:pPr>
            <w:r w:rsidRPr="002106BA">
              <w:t>AND</w:t>
            </w:r>
          </w:p>
        </w:tc>
      </w:tr>
      <w:tr w:rsidR="008135C8" w:rsidRPr="002106BA" w14:paraId="610022A6" w14:textId="77777777" w:rsidTr="00F65EFC">
        <w:trPr>
          <w:cantSplit/>
          <w:trHeight w:val="20"/>
        </w:trPr>
        <w:tc>
          <w:tcPr>
            <w:tcW w:w="8930" w:type="dxa"/>
            <w:vAlign w:val="center"/>
            <w:hideMark/>
          </w:tcPr>
          <w:p w14:paraId="70895EA0"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3404852E" w14:textId="77777777" w:rsidTr="00F65EFC">
        <w:trPr>
          <w:cantSplit/>
          <w:trHeight w:val="20"/>
        </w:trPr>
        <w:tc>
          <w:tcPr>
            <w:tcW w:w="8930" w:type="dxa"/>
            <w:vAlign w:val="center"/>
            <w:hideMark/>
          </w:tcPr>
          <w:p w14:paraId="5D3E2454" w14:textId="77777777" w:rsidR="008135C8" w:rsidRPr="002106BA" w:rsidRDefault="008135C8" w:rsidP="0006576F">
            <w:pPr>
              <w:pStyle w:val="COMTabletext"/>
              <w:keepNext w:val="0"/>
            </w:pPr>
            <w:r w:rsidRPr="002106BA">
              <w:t>Patient must not exhibit heart failure symptoms (defined as New York Heart Association [NYHA] class III or IV)</w:t>
            </w:r>
          </w:p>
        </w:tc>
      </w:tr>
      <w:tr w:rsidR="008135C8" w:rsidRPr="002106BA" w14:paraId="4703341F" w14:textId="77777777" w:rsidTr="00F65EFC">
        <w:trPr>
          <w:cantSplit/>
          <w:trHeight w:val="20"/>
        </w:trPr>
        <w:tc>
          <w:tcPr>
            <w:tcW w:w="8930" w:type="dxa"/>
            <w:vAlign w:val="center"/>
            <w:hideMark/>
          </w:tcPr>
          <w:p w14:paraId="2C76074F" w14:textId="77777777" w:rsidR="008135C8" w:rsidRPr="002106BA" w:rsidRDefault="008135C8" w:rsidP="000D1348">
            <w:pPr>
              <w:pStyle w:val="COMTabletext"/>
              <w:keepLines/>
              <w:rPr>
                <w:b/>
                <w:bCs w:val="0"/>
              </w:rPr>
            </w:pPr>
            <w:r w:rsidRPr="002106BA">
              <w:rPr>
                <w:b/>
                <w:bCs w:val="0"/>
              </w:rPr>
              <w:t>Treatment criteria:</w:t>
            </w:r>
          </w:p>
        </w:tc>
      </w:tr>
      <w:tr w:rsidR="008135C8" w:rsidRPr="002106BA" w14:paraId="730E3B0C" w14:textId="77777777" w:rsidTr="00F65EFC">
        <w:trPr>
          <w:cantSplit/>
          <w:trHeight w:val="20"/>
        </w:trPr>
        <w:tc>
          <w:tcPr>
            <w:tcW w:w="8930" w:type="dxa"/>
            <w:hideMark/>
          </w:tcPr>
          <w:p w14:paraId="60F35B9B" w14:textId="77777777" w:rsidR="008135C8" w:rsidRPr="002106BA" w:rsidRDefault="008135C8" w:rsidP="000D1348">
            <w:pPr>
              <w:pStyle w:val="COMTabletext"/>
              <w:keepLines/>
            </w:pPr>
            <w:r w:rsidRPr="002106BA">
              <w:t>Must be treated by a consultant with experience in the management of amyloid disorders or in consultation with a consultant with experience in the management of amyloid disorders</w:t>
            </w:r>
          </w:p>
        </w:tc>
      </w:tr>
      <w:tr w:rsidR="008135C8" w:rsidRPr="002106BA" w14:paraId="7CF926E7" w14:textId="77777777" w:rsidTr="00F65EFC">
        <w:trPr>
          <w:cantSplit/>
          <w:trHeight w:val="20"/>
        </w:trPr>
        <w:tc>
          <w:tcPr>
            <w:tcW w:w="8930" w:type="dxa"/>
          </w:tcPr>
          <w:p w14:paraId="03FC313A" w14:textId="32EC5123" w:rsidR="008135C8" w:rsidRPr="002106BA" w:rsidRDefault="008135C8" w:rsidP="000D1348">
            <w:pPr>
              <w:pStyle w:val="COMTabletext"/>
              <w:keepLines/>
            </w:pPr>
            <w:r w:rsidRPr="002106BA">
              <w:rPr>
                <w:strike/>
              </w:rPr>
              <w:t>Vutrisiran is to be used</w:t>
            </w:r>
            <w:r w:rsidRPr="002106BA">
              <w:t xml:space="preserve"> </w:t>
            </w:r>
            <w:r w:rsidR="00B0409C" w:rsidRPr="002106BA">
              <w:rPr>
                <w:rFonts w:cs="Arial Narrow"/>
                <w:i/>
                <w:color w:val="000000" w:themeColor="text1"/>
                <w:szCs w:val="20"/>
              </w:rPr>
              <w:t>Patient must be undergoing treatment with this drug</w:t>
            </w:r>
            <w:r w:rsidR="00B0409C" w:rsidRPr="002106BA">
              <w:rPr>
                <w:rFonts w:cs="Arial Narrow"/>
                <w:iCs/>
                <w:color w:val="000000" w:themeColor="text1"/>
                <w:szCs w:val="20"/>
              </w:rPr>
              <w:t xml:space="preserve"> </w:t>
            </w:r>
            <w:r w:rsidRPr="002106BA">
              <w:t>as a monotherapy (i.e. not in combination with any other disease modifying medicines for amyloidosis disorders)</w:t>
            </w:r>
          </w:p>
        </w:tc>
      </w:tr>
      <w:tr w:rsidR="008135C8" w:rsidRPr="002106BA" w14:paraId="2AFD51AA" w14:textId="77777777" w:rsidTr="00F65FF4">
        <w:trPr>
          <w:cantSplit/>
          <w:trHeight w:val="20"/>
        </w:trPr>
        <w:tc>
          <w:tcPr>
            <w:tcW w:w="8930" w:type="dxa"/>
          </w:tcPr>
          <w:p w14:paraId="63D63006" w14:textId="03BEBA40" w:rsidR="008135C8" w:rsidRPr="002106BA" w:rsidRDefault="008135C8" w:rsidP="0006576F">
            <w:pPr>
              <w:pStyle w:val="COMTabletext"/>
              <w:keepNext w:val="0"/>
              <w:rPr>
                <w:b/>
              </w:rPr>
            </w:pPr>
            <w:r w:rsidRPr="002106BA">
              <w:rPr>
                <w:b/>
              </w:rPr>
              <w:t xml:space="preserve">Prescriber type: </w:t>
            </w:r>
            <w:r w:rsidRPr="002106BA">
              <w:t>Medical Practitioners</w:t>
            </w:r>
          </w:p>
        </w:tc>
      </w:tr>
      <w:tr w:rsidR="008135C8" w:rsidRPr="002106BA" w14:paraId="594DAAB5" w14:textId="77777777" w:rsidTr="00F65FF4">
        <w:trPr>
          <w:cantSplit/>
          <w:trHeight w:val="20"/>
        </w:trPr>
        <w:tc>
          <w:tcPr>
            <w:tcW w:w="8930" w:type="dxa"/>
          </w:tcPr>
          <w:p w14:paraId="5332A76C" w14:textId="46FBD023" w:rsidR="008135C8" w:rsidRPr="002106BA" w:rsidRDefault="008135C8" w:rsidP="0006576F">
            <w:pPr>
              <w:pStyle w:val="COMTabletext"/>
              <w:keepNext w:val="0"/>
            </w:pPr>
            <w:r w:rsidRPr="002106BA">
              <w:rPr>
                <w:b/>
              </w:rPr>
              <w:t xml:space="preserve">Restriction type: </w:t>
            </w:r>
            <w:r w:rsidRPr="002106BA">
              <w:t xml:space="preserve"> </w:t>
            </w:r>
            <w:r w:rsidRPr="002106BA">
              <w:br/>
              <w:t xml:space="preserve">Authority Required (in writing only via post/HPOS upload)  </w:t>
            </w:r>
          </w:p>
        </w:tc>
      </w:tr>
      <w:tr w:rsidR="008135C8" w:rsidRPr="002106BA" w14:paraId="32944276" w14:textId="77777777" w:rsidTr="00F65FF4">
        <w:trPr>
          <w:cantSplit/>
          <w:trHeight w:val="20"/>
        </w:trPr>
        <w:tc>
          <w:tcPr>
            <w:tcW w:w="8930" w:type="dxa"/>
            <w:vAlign w:val="center"/>
          </w:tcPr>
          <w:p w14:paraId="139ABEBE" w14:textId="77777777" w:rsidR="008135C8" w:rsidRPr="002106BA" w:rsidRDefault="008135C8" w:rsidP="0006576F">
            <w:pPr>
              <w:pStyle w:val="COMTabletext"/>
              <w:keepNext w:val="0"/>
              <w:rPr>
                <w:b/>
              </w:rPr>
            </w:pPr>
            <w:r w:rsidRPr="002106BA">
              <w:rPr>
                <w:b/>
              </w:rPr>
              <w:t xml:space="preserve">Condition: </w:t>
            </w:r>
            <w:r w:rsidRPr="002106BA">
              <w:t>Hereditary transthyretin amyloidosis</w:t>
            </w:r>
          </w:p>
        </w:tc>
      </w:tr>
      <w:tr w:rsidR="008135C8" w:rsidRPr="002106BA" w14:paraId="638ECE15" w14:textId="77777777" w:rsidTr="00F65FF4">
        <w:trPr>
          <w:cantSplit/>
          <w:trHeight w:val="20"/>
        </w:trPr>
        <w:tc>
          <w:tcPr>
            <w:tcW w:w="8930" w:type="dxa"/>
            <w:vAlign w:val="center"/>
            <w:hideMark/>
          </w:tcPr>
          <w:p w14:paraId="7CC66E9F" w14:textId="77777777" w:rsidR="008135C8" w:rsidRPr="002106BA" w:rsidRDefault="008135C8" w:rsidP="0006576F">
            <w:pPr>
              <w:pStyle w:val="COMTabletext"/>
              <w:keepNext w:val="0"/>
            </w:pPr>
            <w:r w:rsidRPr="002106BA">
              <w:rPr>
                <w:b/>
              </w:rPr>
              <w:t>Indication:</w:t>
            </w:r>
            <w:r w:rsidRPr="002106BA">
              <w:t xml:space="preserve"> Hereditary transthyretin amyloidosis</w:t>
            </w:r>
          </w:p>
        </w:tc>
      </w:tr>
      <w:tr w:rsidR="008135C8" w:rsidRPr="002106BA" w14:paraId="1F7BFA8A" w14:textId="77777777" w:rsidTr="00F65FF4">
        <w:trPr>
          <w:cantSplit/>
          <w:trHeight w:val="20"/>
        </w:trPr>
        <w:tc>
          <w:tcPr>
            <w:tcW w:w="8930" w:type="dxa"/>
            <w:vAlign w:val="center"/>
            <w:hideMark/>
          </w:tcPr>
          <w:p w14:paraId="7884F370" w14:textId="77777777" w:rsidR="008135C8" w:rsidRPr="002106BA" w:rsidRDefault="008135C8" w:rsidP="0006576F">
            <w:pPr>
              <w:pStyle w:val="COMTabletext"/>
              <w:keepNext w:val="0"/>
            </w:pPr>
            <w:r w:rsidRPr="002106BA">
              <w:rPr>
                <w:b/>
              </w:rPr>
              <w:t>Treatment Phase:</w:t>
            </w:r>
            <w:r w:rsidRPr="002106BA">
              <w:t xml:space="preserve"> Continuing treatment</w:t>
            </w:r>
          </w:p>
        </w:tc>
      </w:tr>
      <w:tr w:rsidR="008135C8" w:rsidRPr="002106BA" w14:paraId="30B637CB" w14:textId="77777777" w:rsidTr="00F65FF4">
        <w:trPr>
          <w:cantSplit/>
          <w:trHeight w:val="20"/>
        </w:trPr>
        <w:tc>
          <w:tcPr>
            <w:tcW w:w="8930" w:type="dxa"/>
            <w:vAlign w:val="center"/>
            <w:hideMark/>
          </w:tcPr>
          <w:p w14:paraId="72473481" w14:textId="77777777" w:rsidR="008135C8" w:rsidRPr="002106BA" w:rsidRDefault="008135C8" w:rsidP="0006576F">
            <w:pPr>
              <w:pStyle w:val="COMTabletext"/>
              <w:keepNext w:val="0"/>
              <w:rPr>
                <w:b/>
                <w:bCs w:val="0"/>
              </w:rPr>
            </w:pPr>
            <w:r w:rsidRPr="002106BA">
              <w:rPr>
                <w:b/>
                <w:bCs w:val="0"/>
              </w:rPr>
              <w:t>Population criteria:</w:t>
            </w:r>
          </w:p>
        </w:tc>
      </w:tr>
      <w:tr w:rsidR="008135C8" w:rsidRPr="002106BA" w14:paraId="33109FD3" w14:textId="77777777" w:rsidTr="00F65FF4">
        <w:trPr>
          <w:cantSplit/>
          <w:trHeight w:val="20"/>
        </w:trPr>
        <w:tc>
          <w:tcPr>
            <w:tcW w:w="8930" w:type="dxa"/>
            <w:vAlign w:val="center"/>
          </w:tcPr>
          <w:p w14:paraId="59873532" w14:textId="77777777" w:rsidR="008135C8" w:rsidRPr="002106BA" w:rsidRDefault="008135C8" w:rsidP="0006576F">
            <w:pPr>
              <w:pStyle w:val="COMTabletext"/>
              <w:keepNext w:val="0"/>
              <w:rPr>
                <w:b/>
                <w:bCs w:val="0"/>
              </w:rPr>
            </w:pPr>
            <w:r w:rsidRPr="002106BA">
              <w:rPr>
                <w:rFonts w:cs="Calibri"/>
                <w:szCs w:val="20"/>
              </w:rPr>
              <w:t>Patient must have previously received PBS-subsidised treatment with this drug for this condition</w:t>
            </w:r>
          </w:p>
        </w:tc>
      </w:tr>
      <w:tr w:rsidR="008135C8" w:rsidRPr="002106BA" w14:paraId="0E990FB6" w14:textId="77777777" w:rsidTr="00F65FF4">
        <w:trPr>
          <w:cantSplit/>
          <w:trHeight w:val="20"/>
        </w:trPr>
        <w:tc>
          <w:tcPr>
            <w:tcW w:w="8930" w:type="dxa"/>
            <w:vAlign w:val="center"/>
            <w:hideMark/>
          </w:tcPr>
          <w:p w14:paraId="1FD02145"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123D2E19" w14:textId="77777777" w:rsidTr="00F65FF4">
        <w:trPr>
          <w:cantSplit/>
          <w:trHeight w:val="20"/>
        </w:trPr>
        <w:tc>
          <w:tcPr>
            <w:tcW w:w="8930" w:type="dxa"/>
            <w:vAlign w:val="center"/>
            <w:hideMark/>
          </w:tcPr>
          <w:p w14:paraId="20FC8313" w14:textId="77777777" w:rsidR="008135C8" w:rsidRPr="002106BA" w:rsidRDefault="008135C8" w:rsidP="0006576F">
            <w:pPr>
              <w:pStyle w:val="COMTabletext"/>
              <w:keepNext w:val="0"/>
            </w:pPr>
            <w:r w:rsidRPr="002106BA">
              <w:rPr>
                <w:rFonts w:cs="Calibri"/>
                <w:szCs w:val="20"/>
              </w:rPr>
              <w:lastRenderedPageBreak/>
              <w:t>Patient must continue to demonstrate clinical benefit</w:t>
            </w:r>
          </w:p>
        </w:tc>
      </w:tr>
      <w:tr w:rsidR="008135C8" w:rsidRPr="002106BA" w14:paraId="2EA81766" w14:textId="77777777" w:rsidTr="00F65FF4">
        <w:trPr>
          <w:cantSplit/>
          <w:trHeight w:val="20"/>
        </w:trPr>
        <w:tc>
          <w:tcPr>
            <w:tcW w:w="8930" w:type="dxa"/>
            <w:vAlign w:val="center"/>
            <w:hideMark/>
          </w:tcPr>
          <w:p w14:paraId="501E1F6A" w14:textId="77777777" w:rsidR="008135C8" w:rsidRPr="002106BA" w:rsidRDefault="008135C8" w:rsidP="0006576F">
            <w:pPr>
              <w:pStyle w:val="COMTabletext"/>
              <w:keepNext w:val="0"/>
            </w:pPr>
            <w:r w:rsidRPr="002106BA">
              <w:t>AND</w:t>
            </w:r>
          </w:p>
        </w:tc>
      </w:tr>
      <w:tr w:rsidR="008135C8" w:rsidRPr="002106BA" w14:paraId="05F285A9" w14:textId="77777777" w:rsidTr="00F65FF4">
        <w:trPr>
          <w:cantSplit/>
          <w:trHeight w:val="20"/>
        </w:trPr>
        <w:tc>
          <w:tcPr>
            <w:tcW w:w="8930" w:type="dxa"/>
            <w:vAlign w:val="center"/>
            <w:hideMark/>
          </w:tcPr>
          <w:p w14:paraId="0196817F"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0E86AE4E" w14:textId="77777777" w:rsidTr="00F65FF4">
        <w:trPr>
          <w:cantSplit/>
          <w:trHeight w:val="20"/>
        </w:trPr>
        <w:tc>
          <w:tcPr>
            <w:tcW w:w="8930" w:type="dxa"/>
            <w:hideMark/>
          </w:tcPr>
          <w:p w14:paraId="43FE516D" w14:textId="77777777" w:rsidR="008135C8" w:rsidRPr="002106BA" w:rsidRDefault="008135C8" w:rsidP="0006576F">
            <w:pPr>
              <w:pStyle w:val="COMTabletext"/>
              <w:keepNext w:val="0"/>
            </w:pPr>
            <w:r w:rsidRPr="002106BA">
              <w:rPr>
                <w:rFonts w:cs="Calibri"/>
                <w:szCs w:val="20"/>
              </w:rPr>
              <w:t>Patient must not be permanently bedridden, OR</w:t>
            </w:r>
          </w:p>
        </w:tc>
      </w:tr>
      <w:tr w:rsidR="008135C8" w:rsidRPr="002106BA" w14:paraId="3C4A3714" w14:textId="77777777" w:rsidTr="00F65FF4">
        <w:trPr>
          <w:cantSplit/>
          <w:trHeight w:val="20"/>
        </w:trPr>
        <w:tc>
          <w:tcPr>
            <w:tcW w:w="8930" w:type="dxa"/>
            <w:vAlign w:val="center"/>
            <w:hideMark/>
          </w:tcPr>
          <w:p w14:paraId="5FD9A98C" w14:textId="77777777" w:rsidR="008135C8" w:rsidRPr="002106BA" w:rsidRDefault="008135C8" w:rsidP="0006576F">
            <w:pPr>
              <w:pStyle w:val="COMTabletext"/>
              <w:keepNext w:val="0"/>
            </w:pPr>
            <w:r w:rsidRPr="002106BA">
              <w:rPr>
                <w:rFonts w:cs="Calibri"/>
                <w:szCs w:val="20"/>
              </w:rPr>
              <w:t>Patient must not be receiving end-of-life care</w:t>
            </w:r>
          </w:p>
        </w:tc>
      </w:tr>
      <w:tr w:rsidR="00F65FF4" w:rsidRPr="002106BA" w14:paraId="6A862254" w14:textId="77777777" w:rsidTr="00F65FF4">
        <w:trPr>
          <w:cantSplit/>
          <w:trHeight w:val="20"/>
        </w:trPr>
        <w:tc>
          <w:tcPr>
            <w:tcW w:w="8930" w:type="dxa"/>
            <w:vAlign w:val="center"/>
          </w:tcPr>
          <w:p w14:paraId="54EEDC4C" w14:textId="77777777" w:rsidR="00F65FF4" w:rsidRPr="002106BA" w:rsidRDefault="00F65FF4" w:rsidP="0006576F">
            <w:pPr>
              <w:pStyle w:val="COMTabletext"/>
              <w:keepNext w:val="0"/>
              <w:rPr>
                <w:rFonts w:cs="Calibri"/>
                <w:sz w:val="4"/>
                <w:szCs w:val="4"/>
              </w:rPr>
            </w:pPr>
          </w:p>
        </w:tc>
      </w:tr>
      <w:tr w:rsidR="008135C8" w:rsidRPr="002106BA" w14:paraId="16661F16" w14:textId="77777777" w:rsidTr="00F65FF4">
        <w:trPr>
          <w:cantSplit/>
          <w:trHeight w:val="20"/>
        </w:trPr>
        <w:tc>
          <w:tcPr>
            <w:tcW w:w="8930" w:type="dxa"/>
            <w:hideMark/>
          </w:tcPr>
          <w:p w14:paraId="75248DF0" w14:textId="761AAF47" w:rsidR="008135C8" w:rsidRPr="002106BA" w:rsidRDefault="008135C8" w:rsidP="0006576F">
            <w:pPr>
              <w:pStyle w:val="COMTabletext"/>
              <w:keepNext w:val="0"/>
            </w:pPr>
            <w:r w:rsidRPr="002106BA">
              <w:rPr>
                <w:b/>
              </w:rPr>
              <w:t xml:space="preserve">Prescriber type: </w:t>
            </w:r>
            <w:r w:rsidRPr="002106BA">
              <w:t>Medical Practitioners</w:t>
            </w:r>
          </w:p>
        </w:tc>
      </w:tr>
      <w:tr w:rsidR="008135C8" w:rsidRPr="002106BA" w14:paraId="6ADCD2A5" w14:textId="77777777" w:rsidTr="00F65FF4">
        <w:trPr>
          <w:cantSplit/>
          <w:trHeight w:val="20"/>
        </w:trPr>
        <w:tc>
          <w:tcPr>
            <w:tcW w:w="8930" w:type="dxa"/>
            <w:hideMark/>
          </w:tcPr>
          <w:p w14:paraId="66C33BDF" w14:textId="78C3392A" w:rsidR="008135C8" w:rsidRPr="002106BA" w:rsidRDefault="008135C8" w:rsidP="0006576F">
            <w:pPr>
              <w:pStyle w:val="COMTabletext"/>
              <w:keepNext w:val="0"/>
            </w:pPr>
            <w:r w:rsidRPr="002106BA">
              <w:rPr>
                <w:b/>
              </w:rPr>
              <w:t xml:space="preserve">Restriction type: </w:t>
            </w:r>
            <w:r w:rsidRPr="002106BA">
              <w:t xml:space="preserve"> </w:t>
            </w:r>
            <w:r w:rsidRPr="002106BA">
              <w:br/>
              <w:t xml:space="preserve">Authority Required (in writing only via post/HPOS upload)  </w:t>
            </w:r>
          </w:p>
        </w:tc>
      </w:tr>
      <w:tr w:rsidR="008135C8" w:rsidRPr="002106BA" w14:paraId="2A97B62D" w14:textId="77777777" w:rsidTr="00F65FF4">
        <w:trPr>
          <w:cantSplit/>
          <w:trHeight w:val="20"/>
        </w:trPr>
        <w:tc>
          <w:tcPr>
            <w:tcW w:w="8930" w:type="dxa"/>
            <w:vAlign w:val="center"/>
            <w:hideMark/>
          </w:tcPr>
          <w:p w14:paraId="3489EEB7" w14:textId="77777777" w:rsidR="008135C8" w:rsidRPr="002106BA" w:rsidRDefault="008135C8" w:rsidP="0006576F">
            <w:pPr>
              <w:pStyle w:val="COMTabletext"/>
              <w:keepNext w:val="0"/>
              <w:rPr>
                <w:b/>
                <w:bCs w:val="0"/>
              </w:rPr>
            </w:pPr>
            <w:r w:rsidRPr="002106BA">
              <w:rPr>
                <w:b/>
              </w:rPr>
              <w:t xml:space="preserve">Condition: </w:t>
            </w:r>
            <w:r w:rsidRPr="002106BA">
              <w:t>Hereditary transthyretin amyloidosis</w:t>
            </w:r>
          </w:p>
        </w:tc>
      </w:tr>
      <w:tr w:rsidR="008135C8" w:rsidRPr="002106BA" w14:paraId="15A0083A" w14:textId="77777777" w:rsidTr="00F65FF4">
        <w:trPr>
          <w:cantSplit/>
          <w:trHeight w:val="20"/>
        </w:trPr>
        <w:tc>
          <w:tcPr>
            <w:tcW w:w="8930" w:type="dxa"/>
            <w:vAlign w:val="center"/>
            <w:hideMark/>
          </w:tcPr>
          <w:p w14:paraId="1934B211" w14:textId="77777777" w:rsidR="008135C8" w:rsidRPr="002106BA" w:rsidRDefault="008135C8" w:rsidP="0006576F">
            <w:pPr>
              <w:pStyle w:val="COMTabletext"/>
              <w:keepNext w:val="0"/>
            </w:pPr>
            <w:r w:rsidRPr="002106BA">
              <w:rPr>
                <w:b/>
              </w:rPr>
              <w:t>Indication:</w:t>
            </w:r>
            <w:r w:rsidRPr="002106BA">
              <w:t xml:space="preserve"> Hereditary transthyretin amyloidosis</w:t>
            </w:r>
          </w:p>
        </w:tc>
      </w:tr>
      <w:tr w:rsidR="008135C8" w:rsidRPr="002106BA" w14:paraId="36B50F63" w14:textId="77777777" w:rsidTr="00F65FF4">
        <w:trPr>
          <w:cantSplit/>
          <w:trHeight w:val="20"/>
        </w:trPr>
        <w:tc>
          <w:tcPr>
            <w:tcW w:w="8930" w:type="dxa"/>
            <w:vAlign w:val="center"/>
            <w:hideMark/>
          </w:tcPr>
          <w:p w14:paraId="37684893" w14:textId="77777777" w:rsidR="008135C8" w:rsidRPr="002106BA" w:rsidRDefault="008135C8" w:rsidP="0006576F">
            <w:pPr>
              <w:pStyle w:val="COMTabletext"/>
              <w:keepNext w:val="0"/>
              <w:rPr>
                <w:b/>
                <w:bCs w:val="0"/>
              </w:rPr>
            </w:pPr>
            <w:r w:rsidRPr="002106BA">
              <w:rPr>
                <w:b/>
              </w:rPr>
              <w:t>Treatment Phase:</w:t>
            </w:r>
            <w:r w:rsidRPr="002106BA">
              <w:t xml:space="preserve"> Grandfather arrangements</w:t>
            </w:r>
          </w:p>
        </w:tc>
      </w:tr>
      <w:tr w:rsidR="008135C8" w:rsidRPr="002106BA" w14:paraId="5F9B7F96" w14:textId="77777777" w:rsidTr="00F65FF4">
        <w:trPr>
          <w:cantSplit/>
          <w:trHeight w:val="20"/>
        </w:trPr>
        <w:tc>
          <w:tcPr>
            <w:tcW w:w="8930" w:type="dxa"/>
            <w:vAlign w:val="center"/>
            <w:hideMark/>
          </w:tcPr>
          <w:p w14:paraId="5B1C1697" w14:textId="77777777" w:rsidR="008135C8" w:rsidRPr="002106BA" w:rsidRDefault="008135C8" w:rsidP="0006576F">
            <w:pPr>
              <w:pStyle w:val="COMTabletext"/>
              <w:keepNext w:val="0"/>
            </w:pPr>
            <w:r w:rsidRPr="002106BA">
              <w:rPr>
                <w:b/>
                <w:bCs w:val="0"/>
              </w:rPr>
              <w:t>Population criteria:</w:t>
            </w:r>
          </w:p>
        </w:tc>
      </w:tr>
      <w:tr w:rsidR="008135C8" w:rsidRPr="002106BA" w14:paraId="571DC892" w14:textId="77777777" w:rsidTr="00F65FF4">
        <w:trPr>
          <w:cantSplit/>
          <w:trHeight w:val="20"/>
        </w:trPr>
        <w:tc>
          <w:tcPr>
            <w:tcW w:w="8930" w:type="dxa"/>
            <w:vAlign w:val="center"/>
            <w:hideMark/>
          </w:tcPr>
          <w:p w14:paraId="6B7A8A70" w14:textId="77777777" w:rsidR="008135C8" w:rsidRPr="002106BA" w:rsidRDefault="008135C8" w:rsidP="0006576F">
            <w:pPr>
              <w:pStyle w:val="COMTabletext"/>
              <w:keepNext w:val="0"/>
            </w:pPr>
            <w:r w:rsidRPr="002106BA">
              <w:rPr>
                <w:rFonts w:cs="Calibri"/>
                <w:szCs w:val="20"/>
              </w:rPr>
              <w:t>Patient must have received treatment with this drug for this condition prior to [PBS listing date]</w:t>
            </w:r>
          </w:p>
        </w:tc>
      </w:tr>
      <w:tr w:rsidR="008135C8" w:rsidRPr="002106BA" w14:paraId="3CE1BBD6" w14:textId="77777777" w:rsidTr="00F65FF4">
        <w:trPr>
          <w:cantSplit/>
          <w:trHeight w:val="20"/>
        </w:trPr>
        <w:tc>
          <w:tcPr>
            <w:tcW w:w="8930" w:type="dxa"/>
            <w:vAlign w:val="center"/>
            <w:hideMark/>
          </w:tcPr>
          <w:p w14:paraId="2CA479CF" w14:textId="77777777" w:rsidR="008135C8" w:rsidRPr="002106BA" w:rsidRDefault="008135C8" w:rsidP="0006576F">
            <w:pPr>
              <w:pStyle w:val="COMTabletext"/>
              <w:keepNext w:val="0"/>
              <w:rPr>
                <w:b/>
                <w:bCs w:val="0"/>
              </w:rPr>
            </w:pPr>
            <w:r w:rsidRPr="002106BA">
              <w:rPr>
                <w:b/>
                <w:bCs w:val="0"/>
              </w:rPr>
              <w:t>Clinical criteria:</w:t>
            </w:r>
          </w:p>
        </w:tc>
      </w:tr>
      <w:tr w:rsidR="008135C8" w:rsidRPr="002106BA" w14:paraId="1F4DD00B" w14:textId="77777777" w:rsidTr="00F65FF4">
        <w:trPr>
          <w:cantSplit/>
          <w:trHeight w:val="20"/>
        </w:trPr>
        <w:tc>
          <w:tcPr>
            <w:tcW w:w="8930" w:type="dxa"/>
            <w:vAlign w:val="center"/>
            <w:hideMark/>
          </w:tcPr>
          <w:p w14:paraId="3AEFDF14" w14:textId="77777777" w:rsidR="008135C8" w:rsidRPr="002106BA" w:rsidRDefault="008135C8" w:rsidP="0006576F">
            <w:pPr>
              <w:pStyle w:val="COMTabletext"/>
              <w:keepNext w:val="0"/>
            </w:pPr>
            <w:r w:rsidRPr="002106BA">
              <w:rPr>
                <w:rFonts w:cs="Calibri"/>
                <w:szCs w:val="20"/>
              </w:rPr>
              <w:t>Patient must continue to demonstrate clinical benefit</w:t>
            </w:r>
          </w:p>
        </w:tc>
      </w:tr>
      <w:tr w:rsidR="008135C8" w:rsidRPr="002106BA" w14:paraId="4A52B4AD" w14:textId="77777777" w:rsidTr="00F65FF4">
        <w:trPr>
          <w:cantSplit/>
          <w:trHeight w:val="20"/>
        </w:trPr>
        <w:tc>
          <w:tcPr>
            <w:tcW w:w="8930" w:type="dxa"/>
            <w:vAlign w:val="center"/>
            <w:hideMark/>
          </w:tcPr>
          <w:p w14:paraId="0732FE4E" w14:textId="77777777" w:rsidR="008135C8" w:rsidRPr="002106BA" w:rsidRDefault="008135C8" w:rsidP="0006576F">
            <w:pPr>
              <w:pStyle w:val="COMTabletext"/>
              <w:keepNext w:val="0"/>
            </w:pPr>
            <w:r w:rsidRPr="002106BA">
              <w:t>AND</w:t>
            </w:r>
          </w:p>
        </w:tc>
      </w:tr>
      <w:tr w:rsidR="003958B9" w:rsidRPr="002106BA" w14:paraId="44C4E5EA" w14:textId="77777777" w:rsidTr="00F65FF4">
        <w:trPr>
          <w:cantSplit/>
          <w:trHeight w:val="20"/>
        </w:trPr>
        <w:tc>
          <w:tcPr>
            <w:tcW w:w="8930" w:type="dxa"/>
            <w:vAlign w:val="center"/>
          </w:tcPr>
          <w:p w14:paraId="16B54FD9" w14:textId="40D0EDDE" w:rsidR="003958B9" w:rsidRPr="002106BA" w:rsidRDefault="003958B9" w:rsidP="003958B9">
            <w:pPr>
              <w:pStyle w:val="COMTabletext"/>
              <w:keepNext w:val="0"/>
              <w:rPr>
                <w:i/>
                <w:iCs/>
              </w:rPr>
            </w:pPr>
            <w:r w:rsidRPr="002106BA">
              <w:rPr>
                <w:b/>
                <w:bCs w:val="0"/>
                <w:i/>
                <w:iCs/>
              </w:rPr>
              <w:t>Clinical criteria:</w:t>
            </w:r>
          </w:p>
        </w:tc>
      </w:tr>
      <w:tr w:rsidR="003958B9" w:rsidRPr="002106BA" w14:paraId="3E81FD8B" w14:textId="77777777" w:rsidTr="00F65FF4">
        <w:trPr>
          <w:cantSplit/>
          <w:trHeight w:val="20"/>
        </w:trPr>
        <w:tc>
          <w:tcPr>
            <w:tcW w:w="8930" w:type="dxa"/>
            <w:vAlign w:val="center"/>
          </w:tcPr>
          <w:p w14:paraId="14C53A8B" w14:textId="77777777" w:rsidR="003958B9" w:rsidRPr="002106BA" w:rsidRDefault="003958B9" w:rsidP="003958B9">
            <w:pPr>
              <w:pStyle w:val="COMTabletext"/>
              <w:rPr>
                <w:i/>
                <w:iCs/>
              </w:rPr>
            </w:pPr>
            <w:r w:rsidRPr="002106BA">
              <w:rPr>
                <w:i/>
                <w:iCs/>
              </w:rPr>
              <w:t>Patient must have had a Polyneuropathy Disability (PND) score description of either I, II, IIIA, IIIB prior to commencing non-PBS subsidised therapy; OR</w:t>
            </w:r>
          </w:p>
          <w:p w14:paraId="4D4DD8C6" w14:textId="6D63A5BC" w:rsidR="003958B9" w:rsidRPr="002106BA" w:rsidRDefault="003958B9" w:rsidP="003958B9">
            <w:pPr>
              <w:pStyle w:val="COMTabletext"/>
              <w:keepNext w:val="0"/>
            </w:pPr>
            <w:r w:rsidRPr="002106BA">
              <w:rPr>
                <w:i/>
                <w:iCs/>
              </w:rPr>
              <w:t>Patient must have had a Familial Amyloid Polyneuropathy (FAP) stage description of 1 or 2 prior to commencing non-PBS subsidised therapy.</w:t>
            </w:r>
          </w:p>
        </w:tc>
      </w:tr>
      <w:tr w:rsidR="003958B9" w:rsidRPr="002106BA" w14:paraId="787327D6" w14:textId="77777777" w:rsidTr="00F65FF4">
        <w:trPr>
          <w:cantSplit/>
          <w:trHeight w:val="20"/>
        </w:trPr>
        <w:tc>
          <w:tcPr>
            <w:tcW w:w="8930" w:type="dxa"/>
            <w:vAlign w:val="center"/>
          </w:tcPr>
          <w:p w14:paraId="4666FFE1" w14:textId="6374D52B" w:rsidR="003958B9" w:rsidRPr="002106BA" w:rsidRDefault="003958B9" w:rsidP="003958B9">
            <w:pPr>
              <w:pStyle w:val="COMTabletext"/>
              <w:keepNext w:val="0"/>
            </w:pPr>
            <w:r w:rsidRPr="002106BA">
              <w:t>AND</w:t>
            </w:r>
          </w:p>
        </w:tc>
      </w:tr>
      <w:tr w:rsidR="003958B9" w:rsidRPr="002106BA" w14:paraId="37562C59" w14:textId="77777777" w:rsidTr="00F65FF4">
        <w:trPr>
          <w:cantSplit/>
          <w:trHeight w:val="20"/>
        </w:trPr>
        <w:tc>
          <w:tcPr>
            <w:tcW w:w="8930" w:type="dxa"/>
            <w:vAlign w:val="center"/>
          </w:tcPr>
          <w:p w14:paraId="4EE4B73B" w14:textId="00D5EC49" w:rsidR="003958B9" w:rsidRPr="002106BA" w:rsidRDefault="003958B9" w:rsidP="003958B9">
            <w:pPr>
              <w:pStyle w:val="COMTabletext"/>
              <w:keepNext w:val="0"/>
              <w:rPr>
                <w:i/>
                <w:iCs/>
              </w:rPr>
            </w:pPr>
            <w:r w:rsidRPr="002106BA">
              <w:rPr>
                <w:b/>
                <w:bCs w:val="0"/>
                <w:i/>
                <w:iCs/>
              </w:rPr>
              <w:t>Clinical criteria:</w:t>
            </w:r>
          </w:p>
        </w:tc>
      </w:tr>
      <w:tr w:rsidR="003958B9" w:rsidRPr="002106BA" w14:paraId="06711953" w14:textId="77777777" w:rsidTr="00F65FF4">
        <w:trPr>
          <w:cantSplit/>
          <w:trHeight w:val="20"/>
        </w:trPr>
        <w:tc>
          <w:tcPr>
            <w:tcW w:w="8930" w:type="dxa"/>
            <w:vAlign w:val="center"/>
          </w:tcPr>
          <w:p w14:paraId="3BAD67BA" w14:textId="29D64B8B" w:rsidR="003958B9" w:rsidRPr="002106BA" w:rsidRDefault="003958B9" w:rsidP="003958B9">
            <w:pPr>
              <w:pStyle w:val="COMTabletext"/>
              <w:keepNext w:val="0"/>
              <w:rPr>
                <w:i/>
                <w:iCs/>
              </w:rPr>
            </w:pPr>
            <w:r w:rsidRPr="002106BA">
              <w:rPr>
                <w:i/>
                <w:iCs/>
              </w:rPr>
              <w:t>Patient must not have previously undergone a liver transplant</w:t>
            </w:r>
          </w:p>
        </w:tc>
      </w:tr>
      <w:tr w:rsidR="003958B9" w:rsidRPr="002106BA" w14:paraId="32E10860" w14:textId="77777777" w:rsidTr="00F65FF4">
        <w:trPr>
          <w:cantSplit/>
          <w:trHeight w:val="20"/>
        </w:trPr>
        <w:tc>
          <w:tcPr>
            <w:tcW w:w="8930" w:type="dxa"/>
            <w:vAlign w:val="center"/>
          </w:tcPr>
          <w:p w14:paraId="752F4E70" w14:textId="2DF7F4F8" w:rsidR="003958B9" w:rsidRPr="002106BA" w:rsidRDefault="003958B9" w:rsidP="003958B9">
            <w:pPr>
              <w:pStyle w:val="COMTabletext"/>
              <w:keepNext w:val="0"/>
            </w:pPr>
            <w:r w:rsidRPr="002106BA">
              <w:t>AND</w:t>
            </w:r>
          </w:p>
        </w:tc>
      </w:tr>
      <w:tr w:rsidR="003958B9" w:rsidRPr="002106BA" w14:paraId="60F66FF5" w14:textId="77777777" w:rsidTr="00F65FF4">
        <w:trPr>
          <w:cantSplit/>
          <w:trHeight w:val="20"/>
        </w:trPr>
        <w:tc>
          <w:tcPr>
            <w:tcW w:w="8930" w:type="dxa"/>
            <w:vAlign w:val="center"/>
          </w:tcPr>
          <w:p w14:paraId="0ADD258E" w14:textId="1C7D9B33" w:rsidR="003958B9" w:rsidRPr="002106BA" w:rsidRDefault="003958B9" w:rsidP="003958B9">
            <w:pPr>
              <w:pStyle w:val="COMTabletext"/>
              <w:keepNext w:val="0"/>
            </w:pPr>
            <w:r w:rsidRPr="002106BA">
              <w:rPr>
                <w:b/>
                <w:bCs w:val="0"/>
              </w:rPr>
              <w:t>Clinical criteria:</w:t>
            </w:r>
          </w:p>
        </w:tc>
      </w:tr>
      <w:tr w:rsidR="003958B9" w:rsidRPr="002106BA" w14:paraId="3C1A2275" w14:textId="77777777" w:rsidTr="00F65FF4">
        <w:trPr>
          <w:cantSplit/>
          <w:trHeight w:val="20"/>
        </w:trPr>
        <w:tc>
          <w:tcPr>
            <w:tcW w:w="8930" w:type="dxa"/>
            <w:vAlign w:val="center"/>
          </w:tcPr>
          <w:p w14:paraId="3B54B7C0" w14:textId="716A35EC" w:rsidR="003958B9" w:rsidRPr="002106BA" w:rsidRDefault="003958B9" w:rsidP="003958B9">
            <w:pPr>
              <w:pStyle w:val="COMTabletext"/>
              <w:keepNext w:val="0"/>
              <w:rPr>
                <w:i/>
                <w:iCs/>
              </w:rPr>
            </w:pPr>
            <w:r w:rsidRPr="002106BA">
              <w:rPr>
                <w:i/>
                <w:iCs/>
              </w:rPr>
              <w:t>Patient must not have exhibited heart failure symptoms (defined as New York Heart Association [NYHA] class III or IV) prior to commencing non-PBS subsidised therapy.</w:t>
            </w:r>
          </w:p>
        </w:tc>
      </w:tr>
      <w:tr w:rsidR="003958B9" w:rsidRPr="002106BA" w14:paraId="61419BA4" w14:textId="77777777" w:rsidTr="00F65FF4">
        <w:trPr>
          <w:cantSplit/>
          <w:trHeight w:val="20"/>
        </w:trPr>
        <w:tc>
          <w:tcPr>
            <w:tcW w:w="8930" w:type="dxa"/>
            <w:vAlign w:val="center"/>
          </w:tcPr>
          <w:p w14:paraId="632D707F" w14:textId="7817180E" w:rsidR="003958B9" w:rsidRPr="002106BA" w:rsidRDefault="003958B9" w:rsidP="003958B9">
            <w:pPr>
              <w:pStyle w:val="COMTabletext"/>
              <w:keepNext w:val="0"/>
            </w:pPr>
            <w:r w:rsidRPr="002106BA">
              <w:t>AND</w:t>
            </w:r>
          </w:p>
        </w:tc>
      </w:tr>
      <w:tr w:rsidR="003958B9" w:rsidRPr="002106BA" w14:paraId="702C6B54" w14:textId="77777777" w:rsidTr="00F65FF4">
        <w:trPr>
          <w:cantSplit/>
          <w:trHeight w:val="20"/>
        </w:trPr>
        <w:tc>
          <w:tcPr>
            <w:tcW w:w="8930" w:type="dxa"/>
            <w:vAlign w:val="center"/>
            <w:hideMark/>
          </w:tcPr>
          <w:p w14:paraId="61EA2F7B" w14:textId="77777777" w:rsidR="003958B9" w:rsidRPr="002106BA" w:rsidRDefault="003958B9" w:rsidP="003958B9">
            <w:pPr>
              <w:pStyle w:val="COMTabletext"/>
              <w:keepNext w:val="0"/>
              <w:rPr>
                <w:b/>
                <w:bCs w:val="0"/>
              </w:rPr>
            </w:pPr>
            <w:r w:rsidRPr="002106BA">
              <w:rPr>
                <w:b/>
                <w:bCs w:val="0"/>
              </w:rPr>
              <w:t>Clinical criteria:</w:t>
            </w:r>
          </w:p>
        </w:tc>
      </w:tr>
      <w:tr w:rsidR="003958B9" w:rsidRPr="002106BA" w14:paraId="733D9E16" w14:textId="77777777" w:rsidTr="00F65FF4">
        <w:trPr>
          <w:cantSplit/>
          <w:trHeight w:val="20"/>
        </w:trPr>
        <w:tc>
          <w:tcPr>
            <w:tcW w:w="8930" w:type="dxa"/>
            <w:hideMark/>
          </w:tcPr>
          <w:p w14:paraId="731E7A10" w14:textId="77777777" w:rsidR="003958B9" w:rsidRPr="002106BA" w:rsidRDefault="003958B9" w:rsidP="003958B9">
            <w:pPr>
              <w:pStyle w:val="COMTabletext"/>
              <w:keepNext w:val="0"/>
            </w:pPr>
            <w:r w:rsidRPr="002106BA">
              <w:rPr>
                <w:rFonts w:cs="Calibri"/>
                <w:szCs w:val="20"/>
              </w:rPr>
              <w:t>Patient must not be permanently bedridden, OR</w:t>
            </w:r>
          </w:p>
        </w:tc>
      </w:tr>
      <w:tr w:rsidR="003958B9" w:rsidRPr="002106BA" w14:paraId="35F8BDCB" w14:textId="77777777" w:rsidTr="00F65FF4">
        <w:trPr>
          <w:cantSplit/>
          <w:trHeight w:val="20"/>
        </w:trPr>
        <w:tc>
          <w:tcPr>
            <w:tcW w:w="8930" w:type="dxa"/>
            <w:vAlign w:val="center"/>
          </w:tcPr>
          <w:p w14:paraId="1DE6AFF3" w14:textId="77777777" w:rsidR="003958B9" w:rsidRPr="002106BA" w:rsidRDefault="003958B9" w:rsidP="003958B9">
            <w:pPr>
              <w:pStyle w:val="COMTabletext"/>
              <w:keepNext w:val="0"/>
            </w:pPr>
            <w:r w:rsidRPr="002106BA">
              <w:rPr>
                <w:rFonts w:cs="Calibri"/>
                <w:szCs w:val="20"/>
              </w:rPr>
              <w:t>Patient must not be receiving end-of-life care</w:t>
            </w:r>
          </w:p>
        </w:tc>
      </w:tr>
    </w:tbl>
    <w:p w14:paraId="3FB3D137" w14:textId="4441D554" w:rsidR="00E01FA6" w:rsidRPr="002106BA" w:rsidRDefault="00C10561" w:rsidP="00E01FA6">
      <w:pPr>
        <w:pStyle w:val="COMexecsummnumbered"/>
        <w:spacing w:before="160"/>
      </w:pPr>
      <w:r w:rsidRPr="00C10561">
        <w:t>The submission proposed an effective vutrisiran AEMP of $</w:t>
      </w:r>
      <w:r w:rsidR="00DD7F0E" w:rsidRPr="00DD7F0E">
        <w:rPr>
          <w:color w:val="000000"/>
          <w:w w:val="59"/>
          <w:shd w:val="solid" w:color="000000" w:fill="000000"/>
          <w:fitText w:val="460" w:id="-761617408"/>
          <w14:textFill>
            <w14:solidFill>
              <w14:srgbClr w14:val="000000">
                <w14:alpha w14:val="100000"/>
              </w14:srgbClr>
            </w14:solidFill>
          </w14:textFill>
        </w:rPr>
        <w:t>|||  ||</w:t>
      </w:r>
      <w:r w:rsidR="00DD7F0E" w:rsidRPr="00DD7F0E">
        <w:rPr>
          <w:color w:val="000000"/>
          <w:spacing w:val="5"/>
          <w:w w:val="59"/>
          <w:shd w:val="solid" w:color="000000" w:fill="000000"/>
          <w:fitText w:val="460" w:id="-761617408"/>
          <w14:textFill>
            <w14:solidFill>
              <w14:srgbClr w14:val="000000">
                <w14:alpha w14:val="100000"/>
              </w14:srgbClr>
            </w14:solidFill>
          </w14:textFill>
        </w:rPr>
        <w:t>|</w:t>
      </w:r>
      <w:r w:rsidRPr="00C10561">
        <w:t>, and a published AEMP of $</w:t>
      </w:r>
      <w:r w:rsidR="00DD7F0E" w:rsidRPr="00DB6E9D">
        <w:rPr>
          <w:color w:val="000000"/>
          <w:w w:val="15"/>
          <w:shd w:val="solid" w:color="000000" w:fill="000000"/>
          <w:fitText w:val="-20" w:id="-761617407"/>
          <w14:textFill>
            <w14:solidFill>
              <w14:srgbClr w14:val="000000">
                <w14:alpha w14:val="100000"/>
              </w14:srgbClr>
            </w14:solidFill>
          </w14:textFill>
        </w:rPr>
        <w:t xml:space="preserve">|  </w:t>
      </w:r>
      <w:r w:rsidR="00DD7F0E" w:rsidRPr="00DB6E9D">
        <w:rPr>
          <w:color w:val="000000"/>
          <w:spacing w:val="-69"/>
          <w:w w:val="15"/>
          <w:shd w:val="solid" w:color="000000" w:fill="000000"/>
          <w:fitText w:val="-20" w:id="-761617407"/>
          <w14:textFill>
            <w14:solidFill>
              <w14:srgbClr w14:val="000000">
                <w14:alpha w14:val="100000"/>
              </w14:srgbClr>
            </w14:solidFill>
          </w14:textFill>
        </w:rPr>
        <w:t>|</w:t>
      </w:r>
      <w:r w:rsidRPr="00C10561">
        <w:t>, per prefilled syringe (25 mg vutrisiran).</w:t>
      </w:r>
    </w:p>
    <w:p w14:paraId="3CDCB767" w14:textId="32FA8F68" w:rsidR="000B1CF3" w:rsidRPr="002106BA" w:rsidRDefault="007F7EEB" w:rsidP="00176BBD">
      <w:pPr>
        <w:pStyle w:val="COMexecsummnumbered"/>
        <w:rPr>
          <w:color w:val="0066FF"/>
        </w:rPr>
      </w:pPr>
      <w:r w:rsidRPr="002106BA">
        <w:t xml:space="preserve">The requested listing is narrower than the TGA registered indication, limiting initial eligibility to adult patients with </w:t>
      </w:r>
      <w:r w:rsidR="00F806FE" w:rsidRPr="002106BA">
        <w:t xml:space="preserve">FAP </w:t>
      </w:r>
      <w:r w:rsidRPr="002106BA">
        <w:t>Stage 1 or Stage 2 polyneuropathy, who have not undergone a liver transplant, do not exhibit heart failure symptoms (New York Heart Association Class III or Class IV) and have not previous</w:t>
      </w:r>
      <w:r w:rsidR="00187C4A" w:rsidRPr="002106BA">
        <w:t>ly</w:t>
      </w:r>
      <w:r w:rsidRPr="002106BA">
        <w:t xml:space="preserve"> received treatment with vutrisiran.</w:t>
      </w:r>
      <w:r w:rsidR="00C13670" w:rsidRPr="002106BA">
        <w:t xml:space="preserve"> </w:t>
      </w:r>
      <w:r w:rsidR="000B1CF3" w:rsidRPr="002106BA">
        <w:t>Under the proposed restriction, p</w:t>
      </w:r>
      <w:r w:rsidR="00C13670" w:rsidRPr="002106BA">
        <w:t>atients progress</w:t>
      </w:r>
      <w:r w:rsidR="00B7583E" w:rsidRPr="002106BA">
        <w:t>ing</w:t>
      </w:r>
      <w:r w:rsidR="00C13670" w:rsidRPr="002106BA">
        <w:t xml:space="preserve"> to PND IV </w:t>
      </w:r>
      <w:r w:rsidR="00B7583E" w:rsidRPr="002106BA">
        <w:t xml:space="preserve">may </w:t>
      </w:r>
      <w:r w:rsidR="00C13670" w:rsidRPr="002106BA">
        <w:t xml:space="preserve">continue </w:t>
      </w:r>
      <w:r w:rsidR="00B7583E" w:rsidRPr="002106BA">
        <w:t xml:space="preserve">PBS subsidised </w:t>
      </w:r>
      <w:r w:rsidR="00C13670" w:rsidRPr="002106BA">
        <w:t xml:space="preserve">treatment </w:t>
      </w:r>
      <w:r w:rsidR="00896C66" w:rsidRPr="002106BA">
        <w:t xml:space="preserve">with vutrisiran so long as </w:t>
      </w:r>
      <w:r w:rsidR="00B7583E" w:rsidRPr="002106BA">
        <w:t xml:space="preserve">they </w:t>
      </w:r>
      <w:r w:rsidR="00896C66" w:rsidRPr="002106BA">
        <w:t>continue to experience</w:t>
      </w:r>
      <w:r w:rsidR="00B7583E" w:rsidRPr="002106BA">
        <w:t xml:space="preserve"> </w:t>
      </w:r>
      <w:r w:rsidR="00896C66" w:rsidRPr="002106BA">
        <w:t>clinical benefit</w:t>
      </w:r>
      <w:r w:rsidR="00A012F6" w:rsidRPr="002106BA">
        <w:t xml:space="preserve">, </w:t>
      </w:r>
      <w:r w:rsidR="0004560A" w:rsidRPr="002106BA">
        <w:t>unless the</w:t>
      </w:r>
      <w:r w:rsidR="00A012F6" w:rsidRPr="002106BA">
        <w:t xml:space="preserve"> patient</w:t>
      </w:r>
      <w:r w:rsidR="0004560A" w:rsidRPr="002106BA">
        <w:t xml:space="preserve"> is</w:t>
      </w:r>
      <w:r w:rsidR="00A012F6" w:rsidRPr="002106BA">
        <w:t xml:space="preserve"> permanently bedridden or receiving end</w:t>
      </w:r>
      <w:r w:rsidR="00A012F6" w:rsidRPr="002106BA">
        <w:noBreakHyphen/>
        <w:t>of-life care.</w:t>
      </w:r>
    </w:p>
    <w:p w14:paraId="2C2EB534" w14:textId="3FE975DC" w:rsidR="00963685" w:rsidRPr="002106BA" w:rsidRDefault="007F7EEB" w:rsidP="007B7C7E">
      <w:pPr>
        <w:pStyle w:val="COMexecsummnumbered"/>
        <w:rPr>
          <w:color w:val="0066FF"/>
        </w:rPr>
      </w:pPr>
      <w:bookmarkStart w:id="6" w:name="_Ref183079697"/>
      <w:r w:rsidRPr="002106BA">
        <w:t xml:space="preserve">The proposed </w:t>
      </w:r>
      <w:r w:rsidR="00E71B3C" w:rsidRPr="002106BA">
        <w:t>listing</w:t>
      </w:r>
      <w:r w:rsidRPr="002106BA">
        <w:t xml:space="preserve"> is based on the PBS listing for patisiran, but requests a Section 85 General Schedule listing, instead of </w:t>
      </w:r>
      <w:r w:rsidR="00732B27" w:rsidRPr="002106BA">
        <w:t xml:space="preserve">a </w:t>
      </w:r>
      <w:r w:rsidRPr="002106BA">
        <w:t>Section 100 (Highly Specialised Drugs Program)</w:t>
      </w:r>
      <w:r w:rsidR="00F806FE" w:rsidRPr="002106BA">
        <w:t xml:space="preserve"> listing</w:t>
      </w:r>
      <w:r w:rsidRPr="002106BA">
        <w:t xml:space="preserve">. Given vutrisiran will most likely be administered by health care professionals </w:t>
      </w:r>
      <w:r w:rsidRPr="002106BA">
        <w:lastRenderedPageBreak/>
        <w:t xml:space="preserve">in hospitals or outpatient clinics, a Section 100 listing may be </w:t>
      </w:r>
      <w:r w:rsidR="007120B0" w:rsidRPr="002106BA">
        <w:t xml:space="preserve">more </w:t>
      </w:r>
      <w:r w:rsidRPr="002106BA">
        <w:t>appropriate.</w:t>
      </w:r>
      <w:r w:rsidR="002B06C4" w:rsidRPr="002106BA">
        <w:t xml:space="preserve"> </w:t>
      </w:r>
      <w:r w:rsidR="00320257" w:rsidRPr="002106BA">
        <w:t>The Pre</w:t>
      </w:r>
      <w:r w:rsidR="00A012F6" w:rsidRPr="002106BA">
        <w:noBreakHyphen/>
      </w:r>
      <w:r w:rsidR="00320257" w:rsidRPr="002106BA">
        <w:t xml:space="preserve">Sub-Committee Response (PSCR,) </w:t>
      </w:r>
      <w:r w:rsidR="00A012F6" w:rsidRPr="002106BA">
        <w:t>maintained that</w:t>
      </w:r>
      <w:r w:rsidR="00320257" w:rsidRPr="002106BA">
        <w:t xml:space="preserve"> a General Schedule listing for vutrisiran was appropriate and that</w:t>
      </w:r>
      <w:r w:rsidR="00732B27" w:rsidRPr="002106BA">
        <w:t>,</w:t>
      </w:r>
      <w:r w:rsidR="00320257" w:rsidRPr="002106BA">
        <w:t xml:space="preserve"> although the patient may be under follow-up with a specialist, allowing vutrisiran to be dispensed through community pharmacies broadly would improve patients’ access. The PSCR</w:t>
      </w:r>
      <w:r w:rsidR="00FC1FA3" w:rsidRPr="002106BA">
        <w:t xml:space="preserve"> and Pre-PBAC Response</w:t>
      </w:r>
      <w:r w:rsidR="00320257" w:rsidRPr="002106BA">
        <w:t xml:space="preserve"> also stated that the </w:t>
      </w:r>
      <w:r w:rsidR="004F465B" w:rsidRPr="002106BA">
        <w:t>s</w:t>
      </w:r>
      <w:r w:rsidR="00320257" w:rsidRPr="002106BA">
        <w:t>ponsor is open to a Section 100 (Highly Specialised Drugs Program) listing in the Community Access schedule, if considered appropriate by the PBAC</w:t>
      </w:r>
      <w:r w:rsidR="003958B9" w:rsidRPr="002106BA">
        <w:t>.</w:t>
      </w:r>
      <w:r w:rsidR="00B82178" w:rsidRPr="002106BA">
        <w:t xml:space="preserve"> The PBAC advised that a </w:t>
      </w:r>
      <w:r w:rsidR="00B82178" w:rsidRPr="002106BA">
        <w:rPr>
          <w:snapToGrid w:val="0"/>
        </w:rPr>
        <w:t>Section 100 (Highly Specialised Drugs Program - Public and Private Hospitals) listing was appropriate</w:t>
      </w:r>
      <w:r w:rsidR="00963685" w:rsidRPr="002106BA">
        <w:rPr>
          <w:snapToGrid w:val="0"/>
        </w:rPr>
        <w:t xml:space="preserve"> (paragraph </w:t>
      </w:r>
      <w:r w:rsidR="00963685" w:rsidRPr="002106BA">
        <w:rPr>
          <w:snapToGrid w:val="0"/>
        </w:rPr>
        <w:fldChar w:fldCharType="begin"/>
      </w:r>
      <w:r w:rsidR="00963685" w:rsidRPr="002106BA">
        <w:rPr>
          <w:snapToGrid w:val="0"/>
        </w:rPr>
        <w:instrText xml:space="preserve"> REF _Ref183079534 \r \h </w:instrText>
      </w:r>
      <w:r w:rsidR="00963685" w:rsidRPr="002106BA">
        <w:rPr>
          <w:snapToGrid w:val="0"/>
        </w:rPr>
      </w:r>
      <w:r w:rsidR="00963685" w:rsidRPr="002106BA">
        <w:rPr>
          <w:snapToGrid w:val="0"/>
        </w:rPr>
        <w:fldChar w:fldCharType="separate"/>
      </w:r>
      <w:r w:rsidR="00DB6E9D">
        <w:rPr>
          <w:snapToGrid w:val="0"/>
        </w:rPr>
        <w:t>7.1</w:t>
      </w:r>
      <w:r w:rsidR="00963685" w:rsidRPr="002106BA">
        <w:rPr>
          <w:snapToGrid w:val="0"/>
        </w:rPr>
        <w:fldChar w:fldCharType="end"/>
      </w:r>
      <w:r w:rsidR="00963685" w:rsidRPr="002106BA">
        <w:rPr>
          <w:snapToGrid w:val="0"/>
        </w:rPr>
        <w:t>)</w:t>
      </w:r>
      <w:r w:rsidR="00B82178" w:rsidRPr="002106BA">
        <w:rPr>
          <w:snapToGrid w:val="0"/>
        </w:rPr>
        <w:t>. It was noted that</w:t>
      </w:r>
      <w:r w:rsidR="00852CC8">
        <w:rPr>
          <w:snapToGrid w:val="0"/>
        </w:rPr>
        <w:t>,</w:t>
      </w:r>
      <w:r w:rsidR="00B82178" w:rsidRPr="002106BA">
        <w:rPr>
          <w:snapToGrid w:val="0"/>
        </w:rPr>
        <w:t xml:space="preserve"> </w:t>
      </w:r>
      <w:r w:rsidR="00963685" w:rsidRPr="002106BA">
        <w:rPr>
          <w:snapToGrid w:val="0"/>
        </w:rPr>
        <w:t xml:space="preserve">as a Complex Authority Required </w:t>
      </w:r>
      <w:r w:rsidR="000168E4" w:rsidRPr="002106BA">
        <w:rPr>
          <w:snapToGrid w:val="0"/>
        </w:rPr>
        <w:t xml:space="preserve">(CAR) </w:t>
      </w:r>
      <w:r w:rsidR="00963685" w:rsidRPr="002106BA">
        <w:rPr>
          <w:snapToGrid w:val="0"/>
        </w:rPr>
        <w:t xml:space="preserve">medicine, the dispensing of vutrisiran would be permitted in community pharmacies. </w:t>
      </w:r>
      <w:r w:rsidR="00963685" w:rsidRPr="002106BA">
        <w:t>The Services Australia website provides details regarding which PBS Approved Suppliers can dispense HSD items</w:t>
      </w:r>
      <w:r w:rsidR="00963685" w:rsidRPr="002106BA">
        <w:rPr>
          <w:rStyle w:val="FootnoteReference"/>
        </w:rPr>
        <w:footnoteReference w:id="2"/>
      </w:r>
      <w:r w:rsidR="00963685" w:rsidRPr="002106BA">
        <w:t>.</w:t>
      </w:r>
      <w:bookmarkEnd w:id="6"/>
    </w:p>
    <w:p w14:paraId="50DF3000" w14:textId="5C92729D" w:rsidR="00CC35EA" w:rsidRPr="002106BA" w:rsidRDefault="007F7EEB" w:rsidP="007F7EEB">
      <w:pPr>
        <w:pStyle w:val="COMexecsummnumbered"/>
        <w:rPr>
          <w:color w:val="0066FF"/>
        </w:rPr>
      </w:pPr>
      <w:r w:rsidRPr="002106BA">
        <w:t>The requested restriction is broadly consistent with the inclusion criteria of the key HELIOS-A study. However, the HELIOS-A study also excluded patients with a history of type 1 diabetes, type 2 diabetes (</w:t>
      </w:r>
      <w:r w:rsidRPr="002106BA">
        <w:rPr>
          <w:rFonts w:cs="Calibri"/>
        </w:rPr>
        <w:t>≥</w:t>
      </w:r>
      <w:r w:rsidRPr="002106BA">
        <w:t>5 years), acute coronary syndrome, uncontrolled cardiac arrhythmias or unstable angina, and there was no evidence presented supporting the use of vutrisiran in these populations.</w:t>
      </w:r>
    </w:p>
    <w:p w14:paraId="74D8F367" w14:textId="1BE242D4" w:rsidR="006434D8" w:rsidRPr="00CB549F" w:rsidRDefault="006434D8" w:rsidP="00CB549F">
      <w:pPr>
        <w:ind w:firstLine="709"/>
        <w:rPr>
          <w:rFonts w:asciiTheme="minorHAnsi" w:hAnsiTheme="minorHAnsi"/>
          <w:i/>
        </w:rPr>
      </w:pPr>
      <w:bookmarkStart w:id="7" w:name="_Hlk76375324"/>
      <w:r w:rsidRPr="002106BA">
        <w:rPr>
          <w:rFonts w:asciiTheme="minorHAnsi" w:hAnsiTheme="minorHAnsi"/>
          <w:i/>
        </w:rPr>
        <w:t>For more detail on PBAC’s view, see section 7 PBAC outcome.</w:t>
      </w:r>
      <w:bookmarkEnd w:id="7"/>
    </w:p>
    <w:p w14:paraId="7075B85C" w14:textId="62A47B7B" w:rsidR="00B50DB8" w:rsidRPr="002106BA" w:rsidDel="00195452" w:rsidRDefault="00203181" w:rsidP="004E18E9">
      <w:pPr>
        <w:pStyle w:val="COMH1-numbered"/>
      </w:pPr>
      <w:bookmarkStart w:id="8" w:name="_Toc177559174"/>
      <w:r w:rsidRPr="002106BA" w:rsidDel="00195452">
        <w:t xml:space="preserve">Population and </w:t>
      </w:r>
      <w:r w:rsidR="008E0D3C" w:rsidRPr="002106BA" w:rsidDel="00195452">
        <w:t>d</w:t>
      </w:r>
      <w:r w:rsidRPr="002106BA" w:rsidDel="00195452">
        <w:t>isease</w:t>
      </w:r>
      <w:bookmarkEnd w:id="8"/>
    </w:p>
    <w:p w14:paraId="21FDD135" w14:textId="2A5FC3EE" w:rsidR="00894489" w:rsidRPr="002106BA" w:rsidRDefault="00B9637F" w:rsidP="004E18E9">
      <w:pPr>
        <w:pStyle w:val="COMexecsummnumbered"/>
        <w:rPr>
          <w:color w:val="0066FF"/>
        </w:rPr>
      </w:pPr>
      <w:r w:rsidRPr="002106BA">
        <w:t>hATTR is an inherited, autosomal dominant, progressive, and debilitating disease caused by the accumulation of both hereditary (or variant) and wild-type amyloid fibrils. It is a multisystem disease with heterogeneous clinical presentations including sensory, motor, and autonomic functions (e.g., bowel dysfunction, urinary incontinence, sexual dysfunction, orthostatic intolerance), primarily characterised by polyneuropathy and/or cardiomyopathy, with the potential involvement of other organ systems (e.g. gastrointestinal).</w:t>
      </w:r>
    </w:p>
    <w:p w14:paraId="6B671ED6" w14:textId="09B066BB" w:rsidR="00B9637F" w:rsidRPr="002106BA" w:rsidDel="00195452" w:rsidRDefault="00B9637F" w:rsidP="004E18E9">
      <w:pPr>
        <w:pStyle w:val="COMexecsummnumbered"/>
        <w:rPr>
          <w:color w:val="0066FF"/>
        </w:rPr>
      </w:pPr>
      <w:r w:rsidRPr="002106BA">
        <w:rPr>
          <w:color w:val="000000" w:themeColor="text1"/>
        </w:rPr>
        <w:t xml:space="preserve">hATTR amyloidosis with polyneuropathy is </w:t>
      </w:r>
      <w:r w:rsidR="006E736F" w:rsidRPr="002106BA">
        <w:rPr>
          <w:color w:val="000000" w:themeColor="text1"/>
        </w:rPr>
        <w:t xml:space="preserve">an ultra-rare </w:t>
      </w:r>
      <w:r w:rsidR="008F65B4" w:rsidRPr="002106BA">
        <w:rPr>
          <w:color w:val="000000" w:themeColor="text1"/>
        </w:rPr>
        <w:t>variant</w:t>
      </w:r>
      <w:r w:rsidR="006E736F" w:rsidRPr="002106BA">
        <w:rPr>
          <w:color w:val="000000" w:themeColor="text1"/>
        </w:rPr>
        <w:t xml:space="preserve"> </w:t>
      </w:r>
      <w:r w:rsidRPr="002106BA">
        <w:rPr>
          <w:color w:val="000000" w:themeColor="text1"/>
        </w:rPr>
        <w:t>associated with significant morbidity, rapid disease progression, and premature death. The related pathophysiology may initially be a small-fibre neuropathy, causing sensory loss and pain in the toes and feet, progressing to large-fibre neuropathy associated with constipation alternating with diarrhoea, nausea and vomiting, orthostatic hypotension, sexual dysfunction, increasing weakness, gait dysfunction, and eventually loss of ambulation</w:t>
      </w:r>
      <w:r w:rsidR="00A2532E" w:rsidRPr="002106BA">
        <w:rPr>
          <w:color w:val="000000" w:themeColor="text1"/>
        </w:rPr>
        <w:t xml:space="preserve"> </w:t>
      </w:r>
      <w:r w:rsidRPr="002106BA">
        <w:rPr>
          <w:color w:val="000000" w:themeColor="text1"/>
        </w:rPr>
        <w:t>(Kittleson 2023).</w:t>
      </w:r>
    </w:p>
    <w:p w14:paraId="11FCAAEE" w14:textId="64F9399C" w:rsidR="007627BE" w:rsidRPr="002106BA" w:rsidRDefault="0013234D" w:rsidP="00547C5B">
      <w:pPr>
        <w:pStyle w:val="COMexecsummnumbered"/>
        <w:rPr>
          <w:color w:val="0066FF"/>
        </w:rPr>
      </w:pPr>
      <w:r w:rsidRPr="002106BA">
        <w:t xml:space="preserve">The prevalence of </w:t>
      </w:r>
      <w:r w:rsidRPr="002106BA">
        <w:rPr>
          <w:color w:val="000000" w:themeColor="text1"/>
        </w:rPr>
        <w:t xml:space="preserve">hATTR amyloidosis with polyneuropathy has been </w:t>
      </w:r>
      <w:r w:rsidRPr="002106BA">
        <w:t xml:space="preserve">estimated at approximately 10,000 affected individuals worldwide. </w:t>
      </w:r>
      <w:r w:rsidR="003E10C2" w:rsidRPr="002106BA">
        <w:t xml:space="preserve">Based on 2014 international </w:t>
      </w:r>
      <w:r w:rsidR="003E10C2" w:rsidRPr="002106BA">
        <w:lastRenderedPageBreak/>
        <w:t>data</w:t>
      </w:r>
      <w:r w:rsidR="00547C5B" w:rsidRPr="002106BA">
        <w:t xml:space="preserve">, </w:t>
      </w:r>
      <w:r w:rsidRPr="002106BA">
        <w:t xml:space="preserve">Schmidt et al. (2018) </w:t>
      </w:r>
      <w:r w:rsidRPr="002106BA">
        <w:rPr>
          <w:lang w:eastAsia="en-GB"/>
        </w:rPr>
        <w:t>determined</w:t>
      </w:r>
      <w:r w:rsidRPr="002106BA">
        <w:t xml:space="preserve"> low (0.32 per million), intermediate (1.48 per million), and high (7.52 per million) prevalence estimates based on</w:t>
      </w:r>
      <w:r w:rsidRPr="002106BA">
        <w:rPr>
          <w:lang w:eastAsia="en-GB"/>
        </w:rPr>
        <w:t xml:space="preserve"> available prevalence data from countries </w:t>
      </w:r>
      <w:r w:rsidRPr="002106BA">
        <w:t xml:space="preserve">with directly estimable affected populations, </w:t>
      </w:r>
      <w:r w:rsidRPr="002106BA">
        <w:rPr>
          <w:lang w:eastAsia="en-GB"/>
        </w:rPr>
        <w:t>where hATTR amyloidosis with polyneuropathy is not endemic. Extrapolated to the Australian setting, this suggest</w:t>
      </w:r>
      <w:r w:rsidR="00547C5B" w:rsidRPr="002106BA">
        <w:rPr>
          <w:lang w:eastAsia="en-GB"/>
        </w:rPr>
        <w:t>ed</w:t>
      </w:r>
      <w:r w:rsidRPr="002106BA">
        <w:rPr>
          <w:lang w:eastAsia="en-GB"/>
        </w:rPr>
        <w:t xml:space="preserve"> a range of potential prevalent populations of </w:t>
      </w:r>
      <w:r w:rsidRPr="002106BA">
        <w:t>approximately</w:t>
      </w:r>
      <w:r w:rsidRPr="002106BA">
        <w:rPr>
          <w:lang w:eastAsia="en-GB"/>
        </w:rPr>
        <w:t xml:space="preserve"> </w:t>
      </w:r>
      <w:r w:rsidRPr="002106BA">
        <w:t>9 (low), 41 (intermediate), or 210 (high) in 2025.</w:t>
      </w:r>
    </w:p>
    <w:p w14:paraId="50653A36" w14:textId="6B44F0DE" w:rsidR="006B6B12" w:rsidRPr="002106BA" w:rsidRDefault="009D4F9D" w:rsidP="00547C5B">
      <w:pPr>
        <w:pStyle w:val="COMexecsummnumbered"/>
      </w:pPr>
      <w:r w:rsidRPr="002106BA">
        <w:t>Vutrisiran is a disease</w:t>
      </w:r>
      <w:r w:rsidR="0004560A" w:rsidRPr="002106BA">
        <w:noBreakHyphen/>
      </w:r>
      <w:r w:rsidRPr="002106BA">
        <w:t>modifying double-stranded small interfering RNA (siRNA) medicine, that specifically targets the expression of variant and wild-type TTR messenger RNA (mRNA) in the liver using the endogenous RNAi pathway, decreasing the synthesis of both variant and wild-type TTR proteins. Vutrisiran is formulated as a trivalent N-</w:t>
      </w:r>
      <w:proofErr w:type="spellStart"/>
      <w:r w:rsidRPr="002106BA">
        <w:t>acetylgalactosamine</w:t>
      </w:r>
      <w:proofErr w:type="spellEnd"/>
      <w:r w:rsidRPr="002106BA">
        <w:t xml:space="preserve"> conjugate with a strong affinity for </w:t>
      </w:r>
      <w:proofErr w:type="spellStart"/>
      <w:r w:rsidRPr="002106BA">
        <w:t>asialoglycoprotein</w:t>
      </w:r>
      <w:proofErr w:type="spellEnd"/>
      <w:r w:rsidRPr="002106BA">
        <w:t xml:space="preserve"> receptors on hepatic cell membranes, using enhanced stabilisation chemistry.</w:t>
      </w:r>
    </w:p>
    <w:p w14:paraId="40B62F02" w14:textId="77777777" w:rsidR="00A92D0F" w:rsidRPr="002106BA" w:rsidRDefault="00A92D0F" w:rsidP="00A92D0F">
      <w:pPr>
        <w:pStyle w:val="COMexecsummnumbered"/>
      </w:pPr>
      <w:r w:rsidRPr="002106BA">
        <w:t xml:space="preserve">Vutrisiran (25 mg in 0.5 mL pre-filled syringe) is administered once every 3 months by subcutaneous injection. </w:t>
      </w:r>
    </w:p>
    <w:p w14:paraId="3092E49A" w14:textId="7747DCBD" w:rsidR="00716067" w:rsidRPr="002106BA" w:rsidRDefault="009D4F9D" w:rsidP="00547C5B">
      <w:pPr>
        <w:pStyle w:val="COMexecsummnumbered"/>
      </w:pPr>
      <w:r w:rsidRPr="002106BA">
        <w:t xml:space="preserve">The submission positioned vutrisiran as an alternative to patisiran as first-line </w:t>
      </w:r>
      <w:r w:rsidR="00044CEC" w:rsidRPr="002106BA">
        <w:t>treatment</w:t>
      </w:r>
      <w:r w:rsidRPr="002106BA">
        <w:t xml:space="preserve"> for diagnosed hATTR amyloidosis with polyneuropathy, in combination with best supportive care.</w:t>
      </w:r>
      <w:r w:rsidR="00DC120C" w:rsidRPr="002106BA">
        <w:t xml:space="preserve"> The submission assumed that vutrisiran will rapidly replace patisiran as the preferred treatment for all eligible patients, due to the patient burden associated with patisiran administration, pre-medication, and infusion</w:t>
      </w:r>
      <w:r w:rsidR="0013385F" w:rsidRPr="002106BA">
        <w:t xml:space="preserve"> </w:t>
      </w:r>
      <w:r w:rsidR="00DC120C" w:rsidRPr="002106BA">
        <w:t>related adverse events.</w:t>
      </w:r>
      <w:r w:rsidR="006434D8" w:rsidRPr="002106BA">
        <w:t xml:space="preserve"> </w:t>
      </w:r>
    </w:p>
    <w:p w14:paraId="722438FE" w14:textId="57C374DD" w:rsidR="006434D8" w:rsidRPr="00CB549F" w:rsidRDefault="006434D8" w:rsidP="00CB549F">
      <w:pPr>
        <w:ind w:firstLine="709"/>
        <w:rPr>
          <w:rFonts w:asciiTheme="minorHAnsi" w:hAnsiTheme="minorHAnsi"/>
          <w:i/>
        </w:rPr>
      </w:pPr>
      <w:r w:rsidRPr="002106BA">
        <w:rPr>
          <w:rFonts w:asciiTheme="minorHAnsi" w:hAnsiTheme="minorHAnsi"/>
          <w:i/>
        </w:rPr>
        <w:t>For more detail on PBAC’s view, see section 7 PBAC outcome.</w:t>
      </w:r>
    </w:p>
    <w:p w14:paraId="51E5AE96" w14:textId="136A63B1" w:rsidR="00B50DB8" w:rsidRPr="002106BA" w:rsidRDefault="00B50DB8" w:rsidP="004E18E9">
      <w:pPr>
        <w:pStyle w:val="COMH1-numbered"/>
      </w:pPr>
      <w:bookmarkStart w:id="9" w:name="_Toc177559175"/>
      <w:r w:rsidRPr="002106BA">
        <w:t>Comparator</w:t>
      </w:r>
      <w:bookmarkEnd w:id="9"/>
    </w:p>
    <w:p w14:paraId="747A75CC" w14:textId="03F07AB9" w:rsidR="00A05472" w:rsidRPr="002106BA" w:rsidRDefault="00832D8D" w:rsidP="00882E3C">
      <w:pPr>
        <w:pStyle w:val="COMexecsummnumbered"/>
      </w:pPr>
      <w:bookmarkStart w:id="10" w:name="_Hlk176452799"/>
      <w:r w:rsidRPr="002106BA">
        <w:t xml:space="preserve">The submission nominated patisiran as the main comparator. The main argument provided in support of this nomination was that patisiran is the only PBS recommended therapy for </w:t>
      </w:r>
      <w:r w:rsidRPr="002106BA">
        <w:rPr>
          <w:rFonts w:cstheme="minorHAnsi"/>
          <w:lang w:eastAsia="en-GB"/>
        </w:rPr>
        <w:t xml:space="preserve">hATTR amyloidosis with polyneuropathy, and the medicine most likely to be replaced by vutrisiran in clinical practice. </w:t>
      </w:r>
      <w:r w:rsidR="00307C7A" w:rsidRPr="002106BA">
        <w:rPr>
          <w:rFonts w:cstheme="minorHAnsi"/>
          <w:lang w:eastAsia="en-GB"/>
        </w:rPr>
        <w:t xml:space="preserve">The ESC agreed with the evaluation that patisiran </w:t>
      </w:r>
      <w:r w:rsidRPr="002106BA">
        <w:rPr>
          <w:rFonts w:cstheme="minorHAnsi"/>
          <w:lang w:eastAsia="en-GB"/>
        </w:rPr>
        <w:t>is the appropriate main comparator.</w:t>
      </w:r>
      <w:r w:rsidR="00E311EF" w:rsidRPr="002106BA">
        <w:t xml:space="preserve"> </w:t>
      </w:r>
    </w:p>
    <w:bookmarkEnd w:id="10"/>
    <w:p w14:paraId="47D9B48A" w14:textId="76517E69" w:rsidR="002C2775" w:rsidRPr="002106BA" w:rsidRDefault="00832D8D" w:rsidP="002E4F02">
      <w:pPr>
        <w:pStyle w:val="COMexecsummnumbered"/>
      </w:pPr>
      <w:r w:rsidRPr="002106BA">
        <w:t xml:space="preserve">The submission noted that </w:t>
      </w:r>
      <w:r w:rsidRPr="002106BA">
        <w:rPr>
          <w:lang w:eastAsia="en-GB"/>
        </w:rPr>
        <w:t>patisiran was the first therapy approved by the TGA for the treatment of hATTR amyloidosis with polyneuropathy</w:t>
      </w:r>
      <w:r w:rsidR="00307C7A" w:rsidRPr="002106BA">
        <w:rPr>
          <w:lang w:eastAsia="en-GB"/>
        </w:rPr>
        <w:t>. Patisiran</w:t>
      </w:r>
      <w:r w:rsidRPr="002106BA">
        <w:rPr>
          <w:lang w:eastAsia="en-GB"/>
        </w:rPr>
        <w:t xml:space="preserve"> </w:t>
      </w:r>
      <w:bookmarkStart w:id="11" w:name="_Hlk176452832"/>
      <w:r w:rsidRPr="002106BA">
        <w:rPr>
          <w:lang w:eastAsia="en-GB"/>
        </w:rPr>
        <w:t xml:space="preserve">was listed on the PBS on 1 August 2024 for that indication. </w:t>
      </w:r>
      <w:bookmarkEnd w:id="11"/>
    </w:p>
    <w:p w14:paraId="40CC7143" w14:textId="1D5DBB8D" w:rsidR="00BC641B" w:rsidRPr="002106BA" w:rsidRDefault="00BC641B" w:rsidP="00BC641B">
      <w:pPr>
        <w:pStyle w:val="COMexecsummnumbered"/>
        <w:rPr>
          <w:color w:val="0066FF"/>
        </w:rPr>
      </w:pPr>
      <w:r w:rsidRPr="002106BA">
        <w:rPr>
          <w:rFonts w:cstheme="minorHAnsi"/>
        </w:rPr>
        <w:t xml:space="preserve">Patisiran is administered once every 3 weeks by intravenous infusion </w:t>
      </w:r>
      <w:r w:rsidRPr="002106BA">
        <w:rPr>
          <w:color w:val="000000" w:themeColor="text1"/>
        </w:rPr>
        <w:t>(3</w:t>
      </w:r>
      <w:r w:rsidR="00FA44F2">
        <w:rPr>
          <w:color w:val="000000" w:themeColor="text1"/>
        </w:rPr>
        <w:t> </w:t>
      </w:r>
      <w:r w:rsidRPr="002106BA">
        <w:rPr>
          <w:color w:val="000000" w:themeColor="text1"/>
        </w:rPr>
        <w:t>mg/kg up to maximum of 30</w:t>
      </w:r>
      <w:r w:rsidR="00FA44F2">
        <w:rPr>
          <w:color w:val="000000" w:themeColor="text1"/>
        </w:rPr>
        <w:t> </w:t>
      </w:r>
      <w:r w:rsidRPr="002106BA">
        <w:rPr>
          <w:color w:val="000000" w:themeColor="text1"/>
        </w:rPr>
        <w:t xml:space="preserve">mg for patients </w:t>
      </w:r>
      <w:r w:rsidRPr="002106BA">
        <w:rPr>
          <w:rFonts w:cs="Calibri"/>
          <w:color w:val="000000" w:themeColor="text1"/>
        </w:rPr>
        <w:t>≥</w:t>
      </w:r>
      <w:r w:rsidR="00FA44F2">
        <w:rPr>
          <w:rFonts w:cs="Calibri"/>
          <w:color w:val="000000" w:themeColor="text1"/>
        </w:rPr>
        <w:t> </w:t>
      </w:r>
      <w:r w:rsidRPr="002106BA">
        <w:rPr>
          <w:color w:val="000000" w:themeColor="text1"/>
        </w:rPr>
        <w:t>100</w:t>
      </w:r>
      <w:r w:rsidR="00FA44F2">
        <w:rPr>
          <w:color w:val="000000" w:themeColor="text1"/>
        </w:rPr>
        <w:t> </w:t>
      </w:r>
      <w:r w:rsidRPr="002106BA">
        <w:rPr>
          <w:color w:val="000000" w:themeColor="text1"/>
        </w:rPr>
        <w:t>kg, over approximately 80 minutes), and requires premedication with corticosteroids, antihistamines and oral paracetamol, to reduce the risk of infusion</w:t>
      </w:r>
      <w:r w:rsidR="0013385F" w:rsidRPr="002106BA">
        <w:rPr>
          <w:color w:val="000000" w:themeColor="text1"/>
        </w:rPr>
        <w:t xml:space="preserve"> </w:t>
      </w:r>
      <w:r w:rsidRPr="002106BA">
        <w:rPr>
          <w:color w:val="000000" w:themeColor="text1"/>
        </w:rPr>
        <w:t>related reaction</w:t>
      </w:r>
      <w:r w:rsidR="00307C7A" w:rsidRPr="002106BA">
        <w:rPr>
          <w:color w:val="000000" w:themeColor="text1"/>
        </w:rPr>
        <w:t>s</w:t>
      </w:r>
      <w:r w:rsidRPr="002106BA">
        <w:rPr>
          <w:color w:val="000000" w:themeColor="text1"/>
        </w:rPr>
        <w:t>.</w:t>
      </w:r>
    </w:p>
    <w:p w14:paraId="1E5CA968" w14:textId="1B468A6C" w:rsidR="002E1071" w:rsidRPr="002106BA" w:rsidRDefault="00832D8D" w:rsidP="002E1071">
      <w:pPr>
        <w:pStyle w:val="COMexecsummnumbered"/>
        <w:rPr>
          <w:color w:val="0066FF"/>
        </w:rPr>
      </w:pPr>
      <w:r w:rsidRPr="002106BA">
        <w:t xml:space="preserve">The submission noted that tafamidis, currently listed on the PBS for the treatment of transthyretin amyloid cardiomyopathy, is not a near market comparator, as it is not approved for use in patients with </w:t>
      </w:r>
      <w:r w:rsidRPr="002106BA">
        <w:rPr>
          <w:rFonts w:cstheme="minorHAnsi"/>
          <w:lang w:eastAsia="en-GB"/>
        </w:rPr>
        <w:t xml:space="preserve">hATTR amyloidosis with polyneuropathy in the Australian setting. Both tafamidis and diflunisal have been shown to be effective in slowing the progression of hATTR with polyneuropathy (Kittleson 2023), and tafamidis </w:t>
      </w:r>
      <w:r w:rsidRPr="002106BA">
        <w:rPr>
          <w:rFonts w:cstheme="minorHAnsi"/>
          <w:lang w:eastAsia="en-GB"/>
        </w:rPr>
        <w:lastRenderedPageBreak/>
        <w:t xml:space="preserve">has been approved by the European Medicines Agency (EMA) for the treatment of transthyretin amyloidosis in adult patients with stage 1 symptomatic polyneuropathy to delay peripheral neurologic impairment. In addition, the FDA has approved </w:t>
      </w:r>
      <w:proofErr w:type="spellStart"/>
      <w:r w:rsidRPr="002106BA">
        <w:rPr>
          <w:rFonts w:cstheme="minorHAnsi"/>
          <w:lang w:eastAsia="en-GB"/>
        </w:rPr>
        <w:t>inotersen</w:t>
      </w:r>
      <w:proofErr w:type="spellEnd"/>
      <w:r w:rsidRPr="002106BA">
        <w:rPr>
          <w:rFonts w:cstheme="minorHAnsi"/>
          <w:lang w:eastAsia="en-GB"/>
        </w:rPr>
        <w:t>, as well as patisiran and vutrisiran, for the treatment of hATTR polyneuropathy (Kittleson 2023).</w:t>
      </w:r>
      <w:r w:rsidR="004859E1" w:rsidRPr="002106BA">
        <w:t xml:space="preserve"> </w:t>
      </w:r>
    </w:p>
    <w:p w14:paraId="10E1833F" w14:textId="626B801D" w:rsidR="00C30CFD" w:rsidRPr="002106BA" w:rsidRDefault="00C30CFD" w:rsidP="002E1071">
      <w:pPr>
        <w:pStyle w:val="COMexecsummnumbered"/>
        <w:rPr>
          <w:color w:val="0066FF"/>
        </w:rPr>
      </w:pPr>
      <w:r w:rsidRPr="002106BA">
        <w:rPr>
          <w:color w:val="000000" w:themeColor="text1"/>
        </w:rPr>
        <w:t xml:space="preserve">Both vutrisiran and patisiran are </w:t>
      </w:r>
      <w:r w:rsidR="0032564C" w:rsidRPr="002106BA">
        <w:rPr>
          <w:color w:val="000000" w:themeColor="text1"/>
        </w:rPr>
        <w:t xml:space="preserve">given </w:t>
      </w:r>
      <w:r w:rsidRPr="002106BA">
        <w:rPr>
          <w:color w:val="000000" w:themeColor="text1"/>
        </w:rPr>
        <w:t>in combination with best supportive care</w:t>
      </w:r>
      <w:r w:rsidR="004137E0" w:rsidRPr="002106BA">
        <w:rPr>
          <w:color w:val="000000" w:themeColor="text1"/>
        </w:rPr>
        <w:t xml:space="preserve"> and must be administered by health professional</w:t>
      </w:r>
      <w:r w:rsidR="001028C9" w:rsidRPr="002106BA">
        <w:rPr>
          <w:color w:val="000000" w:themeColor="text1"/>
        </w:rPr>
        <w:t>s</w:t>
      </w:r>
      <w:r w:rsidRPr="002106BA">
        <w:rPr>
          <w:color w:val="000000" w:themeColor="text1"/>
        </w:rPr>
        <w:t xml:space="preserve">. Best supportive care was not defined in the submission but is assumed to be similar for both agents. Given </w:t>
      </w:r>
      <w:r w:rsidR="00852CC8">
        <w:rPr>
          <w:color w:val="000000" w:themeColor="text1"/>
        </w:rPr>
        <w:t xml:space="preserve">that </w:t>
      </w:r>
      <w:r w:rsidRPr="002106BA">
        <w:rPr>
          <w:color w:val="000000" w:themeColor="text1"/>
        </w:rPr>
        <w:t>treatment with vutrisiran or patisiran reduces serum TTR protein and may decrease serum vitamin A, vitamin A supplementation is recommended to be administered concurrently with both treatments, to reduce the potential risk of ocular toxicity.</w:t>
      </w:r>
      <w:r w:rsidR="006434D8" w:rsidRPr="002106BA">
        <w:rPr>
          <w:color w:val="000000" w:themeColor="text1"/>
        </w:rPr>
        <w:t xml:space="preserve"> </w:t>
      </w:r>
    </w:p>
    <w:p w14:paraId="1952B712" w14:textId="57079622" w:rsidR="006434D8" w:rsidRPr="001B3D0E" w:rsidRDefault="006434D8" w:rsidP="001B3D0E">
      <w:pPr>
        <w:ind w:firstLine="709"/>
        <w:rPr>
          <w:rFonts w:asciiTheme="minorHAnsi" w:hAnsiTheme="minorHAnsi"/>
          <w:i/>
        </w:rPr>
      </w:pPr>
      <w:r w:rsidRPr="002106BA">
        <w:rPr>
          <w:rFonts w:asciiTheme="minorHAnsi" w:hAnsiTheme="minorHAnsi"/>
          <w:i/>
        </w:rPr>
        <w:t>For more detail on PBAC’s view, see section 7 PBAC outcome.</w:t>
      </w:r>
    </w:p>
    <w:p w14:paraId="7F9C27C8" w14:textId="77777777" w:rsidR="00223D5A" w:rsidRPr="002106BA" w:rsidRDefault="00223D5A" w:rsidP="00223D5A">
      <w:pPr>
        <w:pStyle w:val="COMH1-numbered"/>
        <w:numPr>
          <w:ilvl w:val="0"/>
          <w:numId w:val="1"/>
        </w:numPr>
      </w:pPr>
      <w:bookmarkStart w:id="12" w:name="_Toc177559176"/>
      <w:bookmarkStart w:id="13" w:name="_Toc22897640"/>
      <w:r w:rsidRPr="002106BA">
        <w:t>Consideration of the evidence</w:t>
      </w:r>
      <w:bookmarkEnd w:id="12"/>
    </w:p>
    <w:p w14:paraId="62F6A0F4" w14:textId="3CC26646" w:rsidR="006F08A4" w:rsidRPr="002106BA" w:rsidRDefault="006434D8" w:rsidP="006F08A4">
      <w:pPr>
        <w:pStyle w:val="3-SubsectionHeading"/>
        <w:outlineLvl w:val="1"/>
        <w:rPr>
          <w:lang w:eastAsia="en-AU"/>
        </w:rPr>
      </w:pPr>
      <w:bookmarkStart w:id="14" w:name="_Hlk76375935"/>
      <w:bookmarkStart w:id="15" w:name="_Toc177559177"/>
      <w:r w:rsidRPr="002106BA">
        <w:rPr>
          <w:lang w:eastAsia="en-AU"/>
        </w:rPr>
        <w:t>Sponsor hearing</w:t>
      </w:r>
    </w:p>
    <w:p w14:paraId="7E18CE3C" w14:textId="73AD05A6" w:rsidR="006434D8" w:rsidRPr="002106BA" w:rsidRDefault="006434D8" w:rsidP="006434D8">
      <w:pPr>
        <w:widowControl w:val="0"/>
        <w:numPr>
          <w:ilvl w:val="1"/>
          <w:numId w:val="1"/>
        </w:numPr>
        <w:spacing w:after="120"/>
        <w:rPr>
          <w:rFonts w:cs="Calibri"/>
          <w:bCs/>
          <w:snapToGrid w:val="0"/>
        </w:rPr>
      </w:pPr>
      <w:r w:rsidRPr="002106BA">
        <w:rPr>
          <w:rFonts w:cs="Calibri"/>
          <w:bCs/>
          <w:snapToGrid w:val="0"/>
        </w:rPr>
        <w:t>There was no hearing for this item.</w:t>
      </w:r>
    </w:p>
    <w:p w14:paraId="18ACC863" w14:textId="77777777" w:rsidR="006434D8" w:rsidRPr="002106BA" w:rsidRDefault="006434D8" w:rsidP="006F08A4">
      <w:pPr>
        <w:pStyle w:val="3-SubsectionHeading"/>
        <w:outlineLvl w:val="1"/>
        <w:rPr>
          <w:lang w:eastAsia="en-AU"/>
        </w:rPr>
      </w:pPr>
      <w:r w:rsidRPr="002106BA">
        <w:rPr>
          <w:lang w:eastAsia="en-AU"/>
        </w:rPr>
        <w:t>Consumer comments</w:t>
      </w:r>
    </w:p>
    <w:p w14:paraId="747B8084" w14:textId="5B25A82F" w:rsidR="00EE1C07" w:rsidRPr="002106BA" w:rsidRDefault="00EE1C07" w:rsidP="00EE1C07">
      <w:pPr>
        <w:widowControl w:val="0"/>
        <w:numPr>
          <w:ilvl w:val="1"/>
          <w:numId w:val="1"/>
        </w:numPr>
        <w:spacing w:after="120"/>
        <w:rPr>
          <w:bCs/>
          <w:snapToGrid w:val="0"/>
        </w:rPr>
      </w:pPr>
      <w:bookmarkStart w:id="16" w:name="_Hlk76382618"/>
      <w:r w:rsidRPr="002106BA">
        <w:rPr>
          <w:bCs/>
          <w:snapToGrid w:val="0"/>
        </w:rPr>
        <w:t xml:space="preserve">The PBAC noted and welcomed the input from individuals (12) and the Leukaemia Foundation. The Committee noted the input from individuals described the burden of living with hATTR amyloidosis and the effectiveness of vutrisiran (as well as patisiran) at improving the symptoms of their condition and slowing the progression of disease. The input also outlined the advantages to patients of having </w:t>
      </w:r>
      <w:r w:rsidR="00642EB0" w:rsidRPr="002106BA">
        <w:rPr>
          <w:bCs/>
          <w:snapToGrid w:val="0"/>
        </w:rPr>
        <w:t xml:space="preserve">a </w:t>
      </w:r>
      <w:r w:rsidRPr="002106BA">
        <w:rPr>
          <w:bCs/>
          <w:snapToGrid w:val="0"/>
        </w:rPr>
        <w:t>treatment delivered as a subcutaneous injection every 3 months, as opposed to the requirements to attend an infusion centre to receive patisiran once every 3 weeks, in terms of improved ability to work and travel and an increased sense of freedom.</w:t>
      </w:r>
    </w:p>
    <w:p w14:paraId="503AA647" w14:textId="00C5A8F6" w:rsidR="00EE1C07" w:rsidRPr="002106BA" w:rsidRDefault="00EE1C07" w:rsidP="00EE1C07">
      <w:pPr>
        <w:pStyle w:val="COMexecsummnumbered"/>
        <w:rPr>
          <w:bCs/>
          <w:snapToGrid w:val="0"/>
        </w:rPr>
      </w:pPr>
      <w:r w:rsidRPr="002106BA">
        <w:rPr>
          <w:rFonts w:eastAsia="Times New Roman" w:cs="Arial"/>
          <w:bCs/>
          <w:snapToGrid w:val="0"/>
          <w:szCs w:val="24"/>
        </w:rPr>
        <w:t xml:space="preserve">The Committee also recognised the input from the Leukaemia Foundation </w:t>
      </w:r>
      <w:r w:rsidR="00642EB0" w:rsidRPr="002106BA">
        <w:rPr>
          <w:rFonts w:eastAsia="Times New Roman" w:cs="Arial"/>
          <w:bCs/>
          <w:snapToGrid w:val="0"/>
          <w:szCs w:val="24"/>
        </w:rPr>
        <w:t>which</w:t>
      </w:r>
      <w:r w:rsidRPr="002106BA">
        <w:rPr>
          <w:rFonts w:eastAsia="Times New Roman" w:cs="Arial"/>
          <w:bCs/>
          <w:snapToGrid w:val="0"/>
          <w:szCs w:val="24"/>
        </w:rPr>
        <w:t xml:space="preserve"> discussed the burden of living with hATTR amyloidosis, and highlighted the convenience of vutrisiran with its less frequent </w:t>
      </w:r>
      <w:r w:rsidR="006176B3" w:rsidRPr="002106BA">
        <w:rPr>
          <w:rFonts w:eastAsia="Times New Roman" w:cs="Arial"/>
          <w:bCs/>
          <w:snapToGrid w:val="0"/>
          <w:szCs w:val="24"/>
        </w:rPr>
        <w:t>dosing</w:t>
      </w:r>
      <w:r w:rsidRPr="002106BA">
        <w:rPr>
          <w:rFonts w:eastAsia="Times New Roman" w:cs="Arial"/>
          <w:bCs/>
          <w:snapToGrid w:val="0"/>
          <w:szCs w:val="24"/>
        </w:rPr>
        <w:t xml:space="preserve"> requirements.</w:t>
      </w:r>
    </w:p>
    <w:bookmarkEnd w:id="14"/>
    <w:bookmarkEnd w:id="16"/>
    <w:p w14:paraId="609C0765" w14:textId="051A9131" w:rsidR="00B60939" w:rsidRPr="002106BA" w:rsidRDefault="00B60939" w:rsidP="003D5DE7">
      <w:pPr>
        <w:pStyle w:val="COMH2-non-numbered"/>
      </w:pPr>
      <w:r w:rsidRPr="002106BA">
        <w:t xml:space="preserve">Clinical </w:t>
      </w:r>
      <w:r w:rsidR="00D5243B" w:rsidRPr="002106BA">
        <w:t>studies</w:t>
      </w:r>
      <w:bookmarkEnd w:id="13"/>
      <w:bookmarkEnd w:id="15"/>
    </w:p>
    <w:p w14:paraId="0A1B4911" w14:textId="1C37951E" w:rsidR="001D7DCE" w:rsidRPr="002106BA" w:rsidRDefault="00C30CFD" w:rsidP="002E4F02">
      <w:pPr>
        <w:pStyle w:val="COMexecsummnumbered"/>
        <w:rPr>
          <w:color w:val="0066FF"/>
        </w:rPr>
      </w:pPr>
      <w:r w:rsidRPr="002106BA">
        <w:t>The submission was based on one randomised open label study of vutrisiran (HELIOS</w:t>
      </w:r>
      <w:r w:rsidR="00BB0080" w:rsidRPr="002106BA">
        <w:noBreakHyphen/>
      </w:r>
      <w:r w:rsidRPr="002106BA">
        <w:t xml:space="preserve">A) with a vutrisiran treatment arm </w:t>
      </w:r>
      <w:r w:rsidR="003F1C81" w:rsidRPr="002106BA">
        <w:t xml:space="preserve">(n=122) </w:t>
      </w:r>
      <w:r w:rsidRPr="002106BA">
        <w:t>and a small patisiran reference arm</w:t>
      </w:r>
      <w:r w:rsidR="003F1C81" w:rsidRPr="002106BA">
        <w:t xml:space="preserve"> (n=4</w:t>
      </w:r>
      <w:r w:rsidR="00BA36BB" w:rsidRPr="002106BA">
        <w:t>2)</w:t>
      </w:r>
      <w:r w:rsidR="00852CC8">
        <w:t xml:space="preserve">. This also </w:t>
      </w:r>
      <w:r w:rsidRPr="002106BA">
        <w:t>included a pre-specified comparison with an external placebo arm from the APOLLO study. APOLLO was a randomised double</w:t>
      </w:r>
      <w:r w:rsidR="1E1824FC" w:rsidRPr="002106BA">
        <w:t>-</w:t>
      </w:r>
      <w:r w:rsidRPr="002106BA">
        <w:t xml:space="preserve">blind study of patisiran </w:t>
      </w:r>
      <w:r w:rsidR="00BA36BB" w:rsidRPr="002106BA">
        <w:t xml:space="preserve">(n=148) </w:t>
      </w:r>
      <w:r w:rsidRPr="002106BA">
        <w:t>versus placebo</w:t>
      </w:r>
      <w:r w:rsidR="00BA36BB" w:rsidRPr="002106BA">
        <w:t xml:space="preserve"> (n=77)</w:t>
      </w:r>
      <w:r w:rsidRPr="002106BA">
        <w:t xml:space="preserve">, previously considered by the PBAC at the July 2023, September 2023 and December 2023 meetings (Patisiran </w:t>
      </w:r>
      <w:r w:rsidR="00A725B3" w:rsidRPr="00A725B3">
        <w:t xml:space="preserve">Public Summary Document </w:t>
      </w:r>
      <w:r w:rsidR="00A725B3">
        <w:t>(</w:t>
      </w:r>
      <w:r w:rsidRPr="002106BA">
        <w:t>PSD</w:t>
      </w:r>
      <w:r w:rsidR="00A725B3">
        <w:t>)</w:t>
      </w:r>
      <w:r w:rsidRPr="002106BA">
        <w:t xml:space="preserve">, July 2023 PBAC meeting, </w:t>
      </w:r>
      <w:r w:rsidR="00730130" w:rsidRPr="002106BA">
        <w:t>September 2023</w:t>
      </w:r>
      <w:r w:rsidR="004D542C" w:rsidRPr="002106BA">
        <w:t xml:space="preserve">, December 2023 </w:t>
      </w:r>
      <w:r w:rsidR="00730130" w:rsidRPr="002106BA">
        <w:t>addenda</w:t>
      </w:r>
      <w:r w:rsidRPr="002106BA">
        <w:t>).</w:t>
      </w:r>
    </w:p>
    <w:p w14:paraId="38C0F76F" w14:textId="76AFC7D8" w:rsidR="00E67BA5" w:rsidRPr="002106BA" w:rsidRDefault="0036606B" w:rsidP="002E4F02">
      <w:pPr>
        <w:pStyle w:val="COMexecsummnumbered"/>
        <w:rPr>
          <w:color w:val="0066FF"/>
        </w:rPr>
      </w:pPr>
      <w:r w:rsidRPr="002106BA">
        <w:lastRenderedPageBreak/>
        <w:t>In addition, the submission presented comparisons of the vutrisiran and patisiran arms of the HELIOS-A study (a post hoc comparison of the primary and key secondary outcomes; and a prespecified noninferiority analysis in the secondary outcome of change in serum TTR).</w:t>
      </w:r>
    </w:p>
    <w:p w14:paraId="17DE34DC" w14:textId="019D55C2" w:rsidR="007F1017" w:rsidRPr="002106BA" w:rsidRDefault="00E67BA5" w:rsidP="002E4F02">
      <w:pPr>
        <w:pStyle w:val="COMexecsummnumbered"/>
        <w:rPr>
          <w:color w:val="0066FF"/>
        </w:rPr>
      </w:pPr>
      <w:r w:rsidRPr="002106BA">
        <w:t>A</w:t>
      </w:r>
      <w:r w:rsidR="004D542C" w:rsidRPr="002106BA">
        <w:t xml:space="preserve"> supportive network meta-analysis based on the HELIOS-A and APOLLO studies</w:t>
      </w:r>
      <w:r w:rsidRPr="002106BA">
        <w:t xml:space="preserve"> was also presented</w:t>
      </w:r>
      <w:r w:rsidR="004D542C" w:rsidRPr="002106BA">
        <w:t>.</w:t>
      </w:r>
    </w:p>
    <w:p w14:paraId="2B59ABAC" w14:textId="4D3D7F54" w:rsidR="00862502" w:rsidRPr="002106BA" w:rsidRDefault="00A73134" w:rsidP="002E4F02">
      <w:pPr>
        <w:pStyle w:val="COMexecsummnumbered"/>
      </w:pPr>
      <w:r w:rsidRPr="002106BA">
        <w:t xml:space="preserve">Details of the </w:t>
      </w:r>
      <w:r w:rsidR="00D5243B" w:rsidRPr="002106BA">
        <w:t>studies</w:t>
      </w:r>
      <w:r w:rsidRPr="002106BA">
        <w:t xml:space="preserve"> presented in the submission are provided in </w:t>
      </w:r>
      <w:r w:rsidR="00696EF9" w:rsidRPr="002106BA">
        <w:fldChar w:fldCharType="begin"/>
      </w:r>
      <w:r w:rsidR="00696EF9" w:rsidRPr="002106BA">
        <w:instrText xml:space="preserve"> REF _Ref104803956 \h </w:instrText>
      </w:r>
      <w:r w:rsidR="00364566" w:rsidRPr="002106BA">
        <w:instrText xml:space="preserve"> \* MERGEFORMAT </w:instrText>
      </w:r>
      <w:r w:rsidR="00696EF9" w:rsidRPr="002106BA">
        <w:fldChar w:fldCharType="separate"/>
      </w:r>
      <w:r w:rsidR="00DB6E9D" w:rsidRPr="002106BA">
        <w:t xml:space="preserve">Table </w:t>
      </w:r>
      <w:r w:rsidR="00DB6E9D">
        <w:t>2</w:t>
      </w:r>
      <w:r w:rsidR="00696EF9" w:rsidRPr="002106BA">
        <w:fldChar w:fldCharType="end"/>
      </w:r>
      <w:r w:rsidR="000778A7" w:rsidRPr="002106BA">
        <w:t>.</w:t>
      </w:r>
    </w:p>
    <w:p w14:paraId="7DE3A286" w14:textId="772A0DBC" w:rsidR="008E0D3C" w:rsidRPr="002106BA" w:rsidRDefault="00696EF9" w:rsidP="00536DF6">
      <w:pPr>
        <w:pStyle w:val="Caption"/>
      </w:pPr>
      <w:bookmarkStart w:id="17" w:name="_Ref104803956"/>
      <w:r w:rsidRPr="002106BA">
        <w:t xml:space="preserve">Table </w:t>
      </w:r>
      <w:r w:rsidR="0027304F">
        <w:fldChar w:fldCharType="begin"/>
      </w:r>
      <w:r w:rsidR="0027304F">
        <w:instrText xml:space="preserve"> SEQ Table \* ARABIC </w:instrText>
      </w:r>
      <w:r w:rsidR="0027304F">
        <w:fldChar w:fldCharType="separate"/>
      </w:r>
      <w:r w:rsidR="00DB6E9D">
        <w:rPr>
          <w:noProof/>
        </w:rPr>
        <w:t>2</w:t>
      </w:r>
      <w:r w:rsidR="0027304F">
        <w:fldChar w:fldCharType="end"/>
      </w:r>
      <w:bookmarkEnd w:id="17"/>
      <w:r w:rsidRPr="002106BA">
        <w:t>:</w:t>
      </w:r>
      <w:r w:rsidR="00BC591F" w:rsidRPr="002106BA">
        <w:t xml:space="preserve"> </w:t>
      </w:r>
      <w:r w:rsidR="00EF7BB9" w:rsidRPr="002106BA">
        <w:t>S</w:t>
      </w:r>
      <w:r w:rsidR="00D5243B" w:rsidRPr="002106BA">
        <w:t>tudies</w:t>
      </w:r>
      <w:r w:rsidR="008E0D3C" w:rsidRPr="002106BA">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5670"/>
        <w:gridCol w:w="2359"/>
      </w:tblGrid>
      <w:tr w:rsidR="00EF7BB9" w:rsidRPr="002106BA" w14:paraId="368FFBEC" w14:textId="77777777" w:rsidTr="006A670D">
        <w:trPr>
          <w:tblHeader/>
        </w:trPr>
        <w:tc>
          <w:tcPr>
            <w:tcW w:w="548" w:type="pct"/>
            <w:tcBorders>
              <w:bottom w:val="single" w:sz="4" w:space="0" w:color="auto"/>
            </w:tcBorders>
            <w:vAlign w:val="center"/>
          </w:tcPr>
          <w:p w14:paraId="7DB20200" w14:textId="77777777" w:rsidR="00EF7BB9" w:rsidRPr="002106BA" w:rsidRDefault="00EF7BB9" w:rsidP="006A670D">
            <w:pPr>
              <w:pStyle w:val="COMTableheadingrow"/>
              <w:rPr>
                <w:lang w:val="en-AU"/>
              </w:rPr>
            </w:pPr>
            <w:r w:rsidRPr="002106BA">
              <w:rPr>
                <w:lang w:val="en-AU"/>
              </w:rPr>
              <w:t>Trial ID</w:t>
            </w:r>
          </w:p>
        </w:tc>
        <w:tc>
          <w:tcPr>
            <w:tcW w:w="3144" w:type="pct"/>
            <w:tcBorders>
              <w:bottom w:val="single" w:sz="4" w:space="0" w:color="auto"/>
            </w:tcBorders>
            <w:vAlign w:val="center"/>
          </w:tcPr>
          <w:p w14:paraId="3103AD8A" w14:textId="77777777" w:rsidR="00EF7BB9" w:rsidRPr="002106BA" w:rsidRDefault="00EF7BB9" w:rsidP="006A670D">
            <w:pPr>
              <w:pStyle w:val="COMTableheadingrow"/>
              <w:rPr>
                <w:lang w:val="en-AU"/>
              </w:rPr>
            </w:pPr>
            <w:r w:rsidRPr="002106BA">
              <w:rPr>
                <w:lang w:val="en-AU"/>
              </w:rPr>
              <w:t>Protocol title/ Publication title</w:t>
            </w:r>
          </w:p>
        </w:tc>
        <w:tc>
          <w:tcPr>
            <w:tcW w:w="1308" w:type="pct"/>
            <w:tcBorders>
              <w:bottom w:val="single" w:sz="4" w:space="0" w:color="auto"/>
            </w:tcBorders>
            <w:vAlign w:val="center"/>
          </w:tcPr>
          <w:p w14:paraId="75256491" w14:textId="77777777" w:rsidR="00EF7BB9" w:rsidRPr="002106BA" w:rsidRDefault="00EF7BB9" w:rsidP="006A670D">
            <w:pPr>
              <w:pStyle w:val="COMTableheadingrow"/>
              <w:rPr>
                <w:lang w:val="en-AU"/>
              </w:rPr>
            </w:pPr>
            <w:r w:rsidRPr="002106BA">
              <w:rPr>
                <w:lang w:val="en-AU"/>
              </w:rPr>
              <w:t>Publication citation</w:t>
            </w:r>
          </w:p>
        </w:tc>
      </w:tr>
      <w:tr w:rsidR="00EF7BB9" w:rsidRPr="002106BA" w14:paraId="0B3A71F1" w14:textId="77777777" w:rsidTr="009B1087">
        <w:tc>
          <w:tcPr>
            <w:tcW w:w="5000" w:type="pct"/>
            <w:gridSpan w:val="3"/>
            <w:tcBorders>
              <w:top w:val="single" w:sz="4" w:space="0" w:color="auto"/>
              <w:bottom w:val="nil"/>
            </w:tcBorders>
          </w:tcPr>
          <w:p w14:paraId="4CC06047" w14:textId="77777777" w:rsidR="00EF7BB9" w:rsidRPr="002106BA" w:rsidRDefault="00EF7BB9" w:rsidP="006A670D">
            <w:pPr>
              <w:pStyle w:val="COMTabletext"/>
              <w:rPr>
                <w:rFonts w:cstheme="minorHAnsi"/>
                <w:b/>
                <w:bCs w:val="0"/>
              </w:rPr>
            </w:pPr>
            <w:r w:rsidRPr="002106BA">
              <w:rPr>
                <w:rFonts w:cstheme="minorHAnsi"/>
                <w:b/>
                <w:bCs w:val="0"/>
              </w:rPr>
              <w:t>Vutrisiran</w:t>
            </w:r>
          </w:p>
        </w:tc>
      </w:tr>
      <w:tr w:rsidR="00EF7BB9" w:rsidRPr="002106BA" w14:paraId="09847E04" w14:textId="77777777" w:rsidTr="006A670D">
        <w:tc>
          <w:tcPr>
            <w:tcW w:w="548" w:type="pct"/>
            <w:tcBorders>
              <w:top w:val="single" w:sz="4" w:space="0" w:color="auto"/>
              <w:bottom w:val="nil"/>
            </w:tcBorders>
          </w:tcPr>
          <w:p w14:paraId="5C31DE7A" w14:textId="77777777" w:rsidR="00EF7BB9" w:rsidRPr="002106BA" w:rsidRDefault="00EF7BB9" w:rsidP="006A670D">
            <w:pPr>
              <w:pStyle w:val="TableText"/>
              <w:ind w:left="0" w:right="0"/>
              <w:jc w:val="both"/>
            </w:pPr>
            <w:r w:rsidRPr="002106BA">
              <w:rPr>
                <w:rStyle w:val="Small"/>
                <w:rFonts w:ascii="Arial Narrow" w:hAnsi="Arial Narrow" w:cstheme="minorHAnsi"/>
              </w:rPr>
              <w:t>HELIOS-A</w:t>
            </w:r>
          </w:p>
        </w:tc>
        <w:tc>
          <w:tcPr>
            <w:tcW w:w="3144" w:type="pct"/>
            <w:tcBorders>
              <w:top w:val="single" w:sz="4" w:space="0" w:color="auto"/>
              <w:bottom w:val="nil"/>
            </w:tcBorders>
          </w:tcPr>
          <w:p w14:paraId="0030C371" w14:textId="77777777" w:rsidR="00EF7BB9" w:rsidRPr="002106BA" w:rsidRDefault="00EF7BB9" w:rsidP="006A670D">
            <w:pPr>
              <w:pStyle w:val="COMTabletext"/>
              <w:spacing w:after="60"/>
              <w:rPr>
                <w:rFonts w:cstheme="minorHAnsi"/>
              </w:rPr>
            </w:pPr>
            <w:r w:rsidRPr="002106BA">
              <w:rPr>
                <w:rStyle w:val="Small"/>
                <w:rFonts w:ascii="Arial Narrow" w:hAnsi="Arial Narrow" w:cstheme="minorHAnsi"/>
              </w:rPr>
              <w:t>A phase 3 global, randomised, open-label study to evaluate the efficacy and safety of ALN-TTRSC02 (vutrisiran) in patients with hereditary transthyretin amyloidosis (hATTR amyloidosis).</w:t>
            </w:r>
          </w:p>
        </w:tc>
        <w:tc>
          <w:tcPr>
            <w:tcW w:w="1308" w:type="pct"/>
            <w:tcBorders>
              <w:top w:val="single" w:sz="4" w:space="0" w:color="auto"/>
              <w:bottom w:val="nil"/>
            </w:tcBorders>
          </w:tcPr>
          <w:p w14:paraId="69C686B6" w14:textId="77777777" w:rsidR="00EF7BB9" w:rsidRPr="002106BA" w:rsidRDefault="00EF7BB9" w:rsidP="006A670D">
            <w:pPr>
              <w:pStyle w:val="COMTabletext"/>
              <w:spacing w:after="60"/>
              <w:rPr>
                <w:rFonts w:cstheme="minorHAnsi"/>
              </w:rPr>
            </w:pPr>
            <w:r w:rsidRPr="002106BA">
              <w:rPr>
                <w:rFonts w:cstheme="minorHAnsi"/>
              </w:rPr>
              <w:t xml:space="preserve">Clinical Study Report: </w:t>
            </w:r>
          </w:p>
          <w:p w14:paraId="002AEAF6" w14:textId="77777777" w:rsidR="00EF7BB9" w:rsidRPr="002106BA" w:rsidRDefault="00EF7BB9" w:rsidP="006A670D">
            <w:pPr>
              <w:pStyle w:val="COMTabletext"/>
              <w:spacing w:after="60"/>
              <w:rPr>
                <w:rFonts w:cstheme="minorHAnsi"/>
              </w:rPr>
            </w:pPr>
            <w:r w:rsidRPr="002106BA">
              <w:rPr>
                <w:rFonts w:cstheme="minorHAnsi"/>
              </w:rPr>
              <w:t>23 March 2021.</w:t>
            </w:r>
          </w:p>
        </w:tc>
      </w:tr>
      <w:tr w:rsidR="00EF7BB9" w:rsidRPr="002106BA" w14:paraId="102A142F" w14:textId="77777777" w:rsidTr="006A670D">
        <w:tc>
          <w:tcPr>
            <w:tcW w:w="548" w:type="pct"/>
            <w:tcBorders>
              <w:top w:val="nil"/>
              <w:bottom w:val="nil"/>
            </w:tcBorders>
          </w:tcPr>
          <w:p w14:paraId="3AE31E18" w14:textId="77777777" w:rsidR="00EF7BB9" w:rsidRPr="002106BA" w:rsidRDefault="00EF7BB9" w:rsidP="006A670D">
            <w:pPr>
              <w:pStyle w:val="TableText"/>
              <w:ind w:left="0" w:right="0"/>
              <w:rPr>
                <w:rStyle w:val="Small"/>
                <w:rFonts w:ascii="Arial Narrow" w:hAnsi="Arial Narrow" w:cstheme="minorHAnsi"/>
              </w:rPr>
            </w:pPr>
          </w:p>
        </w:tc>
        <w:tc>
          <w:tcPr>
            <w:tcW w:w="3144" w:type="pct"/>
            <w:tcBorders>
              <w:top w:val="nil"/>
              <w:bottom w:val="nil"/>
            </w:tcBorders>
          </w:tcPr>
          <w:p w14:paraId="3606613E" w14:textId="77777777" w:rsidR="00EF7BB9" w:rsidRPr="002106BA" w:rsidRDefault="00EF7BB9" w:rsidP="006A670D">
            <w:pPr>
              <w:pStyle w:val="COMTabletext"/>
              <w:spacing w:after="60"/>
              <w:rPr>
                <w:rStyle w:val="Small"/>
                <w:rFonts w:ascii="Arial Narrow" w:hAnsi="Arial Narrow" w:cstheme="minorHAnsi"/>
              </w:rPr>
            </w:pPr>
            <w:r w:rsidRPr="002106BA">
              <w:rPr>
                <w:rStyle w:val="Small"/>
                <w:rFonts w:ascii="Arial Narrow" w:hAnsi="Arial Narrow" w:cstheme="minorHAnsi"/>
              </w:rPr>
              <w:t>A phase 3 global, randomised, open-label study to evaluate the efficacy and safety of ALN-TTRSC02 in patients with hereditary transthyretin amyloidosis (hATTR amyloidosis): 18 month analysis.</w:t>
            </w:r>
          </w:p>
        </w:tc>
        <w:tc>
          <w:tcPr>
            <w:tcW w:w="1308" w:type="pct"/>
            <w:tcBorders>
              <w:top w:val="nil"/>
              <w:bottom w:val="nil"/>
            </w:tcBorders>
          </w:tcPr>
          <w:p w14:paraId="2DCD4C9C" w14:textId="77777777" w:rsidR="00EF7BB9" w:rsidRPr="002106BA" w:rsidRDefault="00EF7BB9" w:rsidP="006A670D">
            <w:pPr>
              <w:pStyle w:val="COMTabletext"/>
              <w:spacing w:after="60"/>
              <w:rPr>
                <w:rFonts w:cstheme="minorHAnsi"/>
              </w:rPr>
            </w:pPr>
            <w:r w:rsidRPr="002106BA">
              <w:rPr>
                <w:rFonts w:cstheme="minorHAnsi"/>
              </w:rPr>
              <w:t xml:space="preserve">Clinical Study Report: </w:t>
            </w:r>
          </w:p>
          <w:p w14:paraId="3800C248" w14:textId="77777777" w:rsidR="00EF7BB9" w:rsidRPr="002106BA" w:rsidRDefault="00EF7BB9" w:rsidP="006A670D">
            <w:pPr>
              <w:pStyle w:val="COMTabletext"/>
              <w:spacing w:after="60"/>
              <w:rPr>
                <w:rFonts w:cstheme="minorHAnsi"/>
              </w:rPr>
            </w:pPr>
            <w:r w:rsidRPr="002106BA">
              <w:rPr>
                <w:rFonts w:cstheme="minorHAnsi"/>
              </w:rPr>
              <w:t>10 January 2022.</w:t>
            </w:r>
          </w:p>
        </w:tc>
      </w:tr>
      <w:tr w:rsidR="00EF7BB9" w:rsidRPr="002106BA" w14:paraId="07DA2F8C" w14:textId="77777777" w:rsidTr="006A670D">
        <w:tc>
          <w:tcPr>
            <w:tcW w:w="548" w:type="pct"/>
            <w:tcBorders>
              <w:top w:val="nil"/>
              <w:bottom w:val="nil"/>
            </w:tcBorders>
          </w:tcPr>
          <w:p w14:paraId="39550240" w14:textId="77777777" w:rsidR="00EF7BB9" w:rsidRPr="002106BA" w:rsidRDefault="00EF7BB9" w:rsidP="006A670D">
            <w:pPr>
              <w:pStyle w:val="TableText"/>
              <w:ind w:left="0" w:right="0"/>
            </w:pPr>
          </w:p>
        </w:tc>
        <w:tc>
          <w:tcPr>
            <w:tcW w:w="3144" w:type="pct"/>
            <w:tcBorders>
              <w:top w:val="nil"/>
              <w:bottom w:val="nil"/>
            </w:tcBorders>
          </w:tcPr>
          <w:p w14:paraId="0D442D6A" w14:textId="77777777" w:rsidR="00EF7BB9" w:rsidRPr="002106BA" w:rsidRDefault="00EF7BB9" w:rsidP="006A670D">
            <w:pPr>
              <w:pStyle w:val="COMTabletext"/>
              <w:spacing w:after="60"/>
              <w:rPr>
                <w:rFonts w:cstheme="minorHAnsi"/>
              </w:rPr>
            </w:pPr>
            <w:r w:rsidRPr="002106BA">
              <w:rPr>
                <w:rStyle w:val="Small"/>
                <w:rFonts w:ascii="Arial Narrow" w:hAnsi="Arial Narrow" w:cstheme="minorHAnsi"/>
              </w:rPr>
              <w:t xml:space="preserve">Adams D, </w:t>
            </w:r>
            <w:proofErr w:type="spellStart"/>
            <w:r w:rsidRPr="002106BA">
              <w:rPr>
                <w:rStyle w:val="Small"/>
                <w:rFonts w:ascii="Arial Narrow" w:hAnsi="Arial Narrow" w:cstheme="minorHAnsi"/>
              </w:rPr>
              <w:t>Tournev</w:t>
            </w:r>
            <w:proofErr w:type="spellEnd"/>
            <w:r w:rsidRPr="002106BA">
              <w:rPr>
                <w:rStyle w:val="Small"/>
                <w:rFonts w:ascii="Arial Narrow" w:hAnsi="Arial Narrow" w:cstheme="minorHAnsi"/>
              </w:rPr>
              <w:t xml:space="preserve"> IL, Taylor MS, et al. Efficacy and safety of vutrisiran for patients with hereditary transthyretin-mediated amyloidosis with polyneuropathy: a randomised clinical trial.</w:t>
            </w:r>
          </w:p>
        </w:tc>
        <w:tc>
          <w:tcPr>
            <w:tcW w:w="1308" w:type="pct"/>
            <w:tcBorders>
              <w:top w:val="nil"/>
              <w:bottom w:val="nil"/>
            </w:tcBorders>
          </w:tcPr>
          <w:p w14:paraId="0B8EFF06" w14:textId="77777777" w:rsidR="00EF7BB9" w:rsidRPr="002106BA" w:rsidRDefault="00EF7BB9" w:rsidP="006A670D">
            <w:pPr>
              <w:pStyle w:val="COMTabletext"/>
              <w:spacing w:after="60"/>
              <w:rPr>
                <w:rFonts w:cstheme="minorHAnsi"/>
              </w:rPr>
            </w:pPr>
            <w:r w:rsidRPr="002106BA">
              <w:rPr>
                <w:rStyle w:val="Small"/>
                <w:rFonts w:ascii="Arial Narrow" w:hAnsi="Arial Narrow" w:cstheme="minorHAnsi"/>
              </w:rPr>
              <w:t>Amyloid. 2023, 30(1):1-9.</w:t>
            </w:r>
          </w:p>
        </w:tc>
      </w:tr>
      <w:tr w:rsidR="00EF7BB9" w:rsidRPr="002106BA" w14:paraId="78F43247" w14:textId="77777777" w:rsidTr="006A670D">
        <w:tc>
          <w:tcPr>
            <w:tcW w:w="548" w:type="pct"/>
            <w:tcBorders>
              <w:top w:val="nil"/>
              <w:bottom w:val="nil"/>
            </w:tcBorders>
          </w:tcPr>
          <w:p w14:paraId="585EC155" w14:textId="77777777" w:rsidR="00EF7BB9" w:rsidRPr="002106BA" w:rsidRDefault="00EF7BB9" w:rsidP="006A670D">
            <w:pPr>
              <w:pStyle w:val="COMTabletext"/>
              <w:rPr>
                <w:rFonts w:cstheme="minorHAnsi"/>
              </w:rPr>
            </w:pPr>
          </w:p>
        </w:tc>
        <w:tc>
          <w:tcPr>
            <w:tcW w:w="3144" w:type="pct"/>
            <w:tcBorders>
              <w:top w:val="nil"/>
              <w:bottom w:val="nil"/>
            </w:tcBorders>
          </w:tcPr>
          <w:p w14:paraId="462BD1EA" w14:textId="77777777" w:rsidR="00EF7BB9" w:rsidRPr="002106BA" w:rsidRDefault="00EF7BB9" w:rsidP="006A670D">
            <w:pPr>
              <w:pStyle w:val="COMTabletext"/>
              <w:rPr>
                <w:rFonts w:cstheme="minorHAnsi"/>
              </w:rPr>
            </w:pPr>
            <w:proofErr w:type="spellStart"/>
            <w:r w:rsidRPr="002106BA">
              <w:rPr>
                <w:rStyle w:val="Small"/>
                <w:rFonts w:ascii="Arial Narrow" w:hAnsi="Arial Narrow" w:cstheme="minorHAnsi"/>
              </w:rPr>
              <w:t>Polydefkis</w:t>
            </w:r>
            <w:proofErr w:type="spellEnd"/>
            <w:r w:rsidRPr="002106BA">
              <w:rPr>
                <w:rStyle w:val="Small"/>
                <w:rFonts w:ascii="Arial Narrow" w:hAnsi="Arial Narrow" w:cstheme="minorHAnsi"/>
              </w:rPr>
              <w:t xml:space="preserve"> M, </w:t>
            </w:r>
            <w:proofErr w:type="spellStart"/>
            <w:r w:rsidRPr="002106BA">
              <w:rPr>
                <w:rStyle w:val="Small"/>
                <w:rFonts w:ascii="Arial Narrow" w:hAnsi="Arial Narrow" w:cstheme="minorHAnsi"/>
              </w:rPr>
              <w:t>Birklein</w:t>
            </w:r>
            <w:proofErr w:type="spellEnd"/>
            <w:r w:rsidRPr="002106BA">
              <w:rPr>
                <w:rStyle w:val="Small"/>
                <w:rFonts w:ascii="Arial Narrow" w:hAnsi="Arial Narrow" w:cstheme="minorHAnsi"/>
              </w:rPr>
              <w:t xml:space="preserve"> F, </w:t>
            </w:r>
            <w:proofErr w:type="spellStart"/>
            <w:r w:rsidRPr="002106BA">
              <w:rPr>
                <w:rStyle w:val="Small"/>
                <w:rFonts w:ascii="Arial Narrow" w:hAnsi="Arial Narrow" w:cstheme="minorHAnsi"/>
              </w:rPr>
              <w:t>Sekijima</w:t>
            </w:r>
            <w:proofErr w:type="spellEnd"/>
            <w:r w:rsidRPr="002106BA">
              <w:rPr>
                <w:rStyle w:val="Small"/>
                <w:rFonts w:ascii="Arial Narrow" w:hAnsi="Arial Narrow" w:cstheme="minorHAnsi"/>
              </w:rPr>
              <w:t xml:space="preserve"> Y, et al. Comparison of efficacy outcomes with vutrisiran vs patisiran in hATTR amyloidosis with polyneuropathy: post-hoc analysis of the HELIOS-A study. Presented at the 75th Annual Meeting of the American Academy of Neurology (AAN), Boston, 22–27 April 2023. </w:t>
            </w:r>
          </w:p>
        </w:tc>
        <w:tc>
          <w:tcPr>
            <w:tcW w:w="1308" w:type="pct"/>
            <w:tcBorders>
              <w:top w:val="nil"/>
              <w:bottom w:val="nil"/>
            </w:tcBorders>
          </w:tcPr>
          <w:p w14:paraId="1A20D766" w14:textId="77777777" w:rsidR="00EF7BB9" w:rsidRPr="002106BA" w:rsidRDefault="00EF7BB9" w:rsidP="006A670D">
            <w:pPr>
              <w:pStyle w:val="COMTabletext"/>
              <w:rPr>
                <w:rFonts w:cstheme="minorHAnsi"/>
              </w:rPr>
            </w:pPr>
            <w:r w:rsidRPr="002106BA">
              <w:rPr>
                <w:rStyle w:val="Small"/>
                <w:rFonts w:ascii="Arial Narrow" w:hAnsi="Arial Narrow" w:cstheme="minorHAnsi"/>
              </w:rPr>
              <w:t>Neurology. 2023, 100(17).</w:t>
            </w:r>
          </w:p>
        </w:tc>
      </w:tr>
      <w:tr w:rsidR="00AA60B4" w:rsidRPr="002106BA" w14:paraId="3C03DD3E" w14:textId="77777777" w:rsidTr="006A670D">
        <w:tc>
          <w:tcPr>
            <w:tcW w:w="548" w:type="pct"/>
            <w:tcBorders>
              <w:top w:val="nil"/>
              <w:bottom w:val="nil"/>
            </w:tcBorders>
          </w:tcPr>
          <w:p w14:paraId="66466E3E" w14:textId="77777777" w:rsidR="00AA60B4" w:rsidRPr="002106BA" w:rsidRDefault="00AA60B4" w:rsidP="006A670D">
            <w:pPr>
              <w:pStyle w:val="COMTabletext"/>
              <w:rPr>
                <w:rFonts w:cstheme="minorHAnsi"/>
              </w:rPr>
            </w:pPr>
          </w:p>
        </w:tc>
        <w:tc>
          <w:tcPr>
            <w:tcW w:w="3144" w:type="pct"/>
            <w:tcBorders>
              <w:top w:val="nil"/>
              <w:bottom w:val="nil"/>
            </w:tcBorders>
          </w:tcPr>
          <w:p w14:paraId="47ECF7FB" w14:textId="77777777" w:rsidR="008C6FF6" w:rsidRPr="002106BA" w:rsidRDefault="008C6FF6" w:rsidP="006A670D">
            <w:pPr>
              <w:pStyle w:val="COMTabletext"/>
              <w:rPr>
                <w:rStyle w:val="Small"/>
                <w:rFonts w:ascii="Arial Narrow" w:hAnsi="Arial Narrow" w:cstheme="minorHAnsi"/>
              </w:rPr>
            </w:pPr>
          </w:p>
          <w:p w14:paraId="097952CE" w14:textId="1F5D67B6" w:rsidR="00AA60B4" w:rsidRPr="002106BA" w:rsidRDefault="00AA60B4" w:rsidP="006A670D">
            <w:pPr>
              <w:pStyle w:val="COMTabletext"/>
              <w:rPr>
                <w:rStyle w:val="Small"/>
                <w:rFonts w:ascii="Arial Narrow" w:hAnsi="Arial Narrow"/>
              </w:rPr>
            </w:pPr>
            <w:r w:rsidRPr="002106BA">
              <w:rPr>
                <w:rStyle w:val="Small"/>
                <w:rFonts w:ascii="Arial Narrow" w:hAnsi="Arial Narrow" w:cstheme="minorHAnsi"/>
              </w:rPr>
              <w:t>H</w:t>
            </w:r>
            <w:r w:rsidRPr="002106BA">
              <w:rPr>
                <w:rStyle w:val="Small"/>
                <w:rFonts w:ascii="Arial Narrow" w:hAnsi="Arial Narrow"/>
              </w:rPr>
              <w:t xml:space="preserve">ELIOS-A </w:t>
            </w:r>
            <w:r w:rsidR="008C6FF6" w:rsidRPr="002106BA">
              <w:rPr>
                <w:rStyle w:val="Small"/>
                <w:rFonts w:ascii="Arial Narrow" w:hAnsi="Arial Narrow" w:cstheme="minorHAnsi"/>
              </w:rPr>
              <w:t>e</w:t>
            </w:r>
            <w:r w:rsidRPr="002106BA">
              <w:rPr>
                <w:rStyle w:val="Small"/>
                <w:rFonts w:ascii="Arial Narrow" w:hAnsi="Arial Narrow"/>
              </w:rPr>
              <w:t>xtension phase:</w:t>
            </w:r>
          </w:p>
          <w:p w14:paraId="37001F9C" w14:textId="2E971FA3" w:rsidR="00AA60B4" w:rsidRPr="002106BA" w:rsidRDefault="00AA60B4" w:rsidP="006A670D">
            <w:pPr>
              <w:pStyle w:val="COMTabletext"/>
              <w:rPr>
                <w:rStyle w:val="Small"/>
                <w:rFonts w:ascii="Arial Narrow" w:hAnsi="Arial Narrow" w:cstheme="minorHAnsi"/>
              </w:rPr>
            </w:pPr>
            <w:r w:rsidRPr="002106BA">
              <w:t xml:space="preserve">Obici L, </w:t>
            </w:r>
            <w:proofErr w:type="spellStart"/>
            <w:r w:rsidRPr="002106BA">
              <w:t>Polydefkis</w:t>
            </w:r>
            <w:proofErr w:type="spellEnd"/>
            <w:r w:rsidRPr="002106BA">
              <w:t xml:space="preserve"> M, Gonzalez-Duarte A, et al. HELIOS-A: 9-month results from the randomized treatment extension period of vutrisiran in patients with hereditary transthyretin-mediated amyloidosis with polyneuropathy. Abstract and Poster [Presented at the 13th Annual Meeting of the Association for the study of the Peripheral Nervous System (ASNP), Naples, Italy, 25–27, May]. </w:t>
            </w:r>
          </w:p>
        </w:tc>
        <w:tc>
          <w:tcPr>
            <w:tcW w:w="1308" w:type="pct"/>
            <w:tcBorders>
              <w:top w:val="nil"/>
              <w:bottom w:val="nil"/>
            </w:tcBorders>
          </w:tcPr>
          <w:p w14:paraId="3A931450" w14:textId="77777777" w:rsidR="008C6FF6" w:rsidRPr="002106BA" w:rsidRDefault="008C6FF6" w:rsidP="006A670D">
            <w:pPr>
              <w:pStyle w:val="COMTabletext"/>
              <w:rPr>
                <w:iCs/>
              </w:rPr>
            </w:pPr>
          </w:p>
          <w:p w14:paraId="1AC96A68" w14:textId="748201FC" w:rsidR="00AA60B4" w:rsidRPr="002106BA" w:rsidRDefault="00AA60B4" w:rsidP="006A670D">
            <w:pPr>
              <w:pStyle w:val="COMTabletext"/>
              <w:rPr>
                <w:rStyle w:val="Small"/>
                <w:rFonts w:ascii="Arial Narrow" w:hAnsi="Arial Narrow" w:cstheme="minorHAnsi"/>
                <w:iCs/>
              </w:rPr>
            </w:pPr>
            <w:r w:rsidRPr="002106BA">
              <w:rPr>
                <w:iCs/>
              </w:rPr>
              <w:t xml:space="preserve">J </w:t>
            </w:r>
            <w:proofErr w:type="spellStart"/>
            <w:r w:rsidRPr="002106BA">
              <w:rPr>
                <w:iCs/>
              </w:rPr>
              <w:t>Peripher</w:t>
            </w:r>
            <w:proofErr w:type="spellEnd"/>
            <w:r w:rsidRPr="002106BA">
              <w:rPr>
                <w:iCs/>
              </w:rPr>
              <w:t xml:space="preserve"> </w:t>
            </w:r>
            <w:proofErr w:type="spellStart"/>
            <w:r w:rsidRPr="002106BA">
              <w:rPr>
                <w:iCs/>
              </w:rPr>
              <w:t>Nerv</w:t>
            </w:r>
            <w:proofErr w:type="spellEnd"/>
            <w:r w:rsidRPr="002106BA">
              <w:rPr>
                <w:iCs/>
              </w:rPr>
              <w:t xml:space="preserve"> Syst. 2023;28:S40.</w:t>
            </w:r>
          </w:p>
        </w:tc>
      </w:tr>
      <w:tr w:rsidR="00EF7BB9" w:rsidRPr="002106BA" w14:paraId="018419B3" w14:textId="77777777" w:rsidTr="009B1087">
        <w:tc>
          <w:tcPr>
            <w:tcW w:w="5000" w:type="pct"/>
            <w:gridSpan w:val="3"/>
            <w:tcBorders>
              <w:top w:val="single" w:sz="4" w:space="0" w:color="auto"/>
              <w:bottom w:val="nil"/>
            </w:tcBorders>
          </w:tcPr>
          <w:p w14:paraId="4B39BFE9" w14:textId="77777777" w:rsidR="00EF7BB9" w:rsidRPr="002106BA" w:rsidRDefault="00EF7BB9" w:rsidP="006A670D">
            <w:pPr>
              <w:pStyle w:val="COMTabletext"/>
              <w:rPr>
                <w:rFonts w:cstheme="minorHAnsi"/>
              </w:rPr>
            </w:pPr>
            <w:r w:rsidRPr="002106BA">
              <w:rPr>
                <w:rFonts w:cstheme="minorHAnsi"/>
                <w:b/>
                <w:bCs w:val="0"/>
              </w:rPr>
              <w:t>Patisiran</w:t>
            </w:r>
          </w:p>
        </w:tc>
      </w:tr>
      <w:tr w:rsidR="00EF7BB9" w:rsidRPr="002106BA" w14:paraId="0290C54B" w14:textId="77777777" w:rsidTr="006A670D">
        <w:tc>
          <w:tcPr>
            <w:tcW w:w="548" w:type="pct"/>
            <w:tcBorders>
              <w:bottom w:val="nil"/>
            </w:tcBorders>
          </w:tcPr>
          <w:p w14:paraId="43DAA984" w14:textId="77777777" w:rsidR="00EF7BB9" w:rsidRPr="002106BA" w:rsidRDefault="00EF7BB9" w:rsidP="006A670D">
            <w:pPr>
              <w:pStyle w:val="TableText"/>
              <w:ind w:left="0" w:right="0"/>
              <w:jc w:val="both"/>
            </w:pPr>
            <w:r w:rsidRPr="002106BA">
              <w:t>APOLLO</w:t>
            </w:r>
          </w:p>
        </w:tc>
        <w:tc>
          <w:tcPr>
            <w:tcW w:w="3144" w:type="pct"/>
            <w:tcBorders>
              <w:bottom w:val="nil"/>
            </w:tcBorders>
          </w:tcPr>
          <w:p w14:paraId="36A5FD5A" w14:textId="1E2532B6" w:rsidR="00EF7BB9" w:rsidRPr="002106BA" w:rsidRDefault="00344BC7" w:rsidP="006A670D">
            <w:pPr>
              <w:pStyle w:val="COMTabletext"/>
              <w:spacing w:after="60"/>
            </w:pPr>
            <w:r w:rsidRPr="002106BA">
              <w:t>A phase 3 multicenter, multinational, randomized, double-blind, placebo-controlled study to evaluate the efficacy and safety of patisiran (ALN-TTR02) in transthyretin (TTR)- mediated polyneuropathy (Familial Amyloidotic Polyneuropathy-FAP)</w:t>
            </w:r>
            <w:r w:rsidR="00EF7BB9" w:rsidRPr="002106BA">
              <w:t xml:space="preserve">. </w:t>
            </w:r>
          </w:p>
        </w:tc>
        <w:tc>
          <w:tcPr>
            <w:tcW w:w="1308" w:type="pct"/>
            <w:tcBorders>
              <w:bottom w:val="nil"/>
            </w:tcBorders>
          </w:tcPr>
          <w:p w14:paraId="18F5472E" w14:textId="77777777" w:rsidR="00EF7BB9" w:rsidRPr="002106BA" w:rsidRDefault="00EF7BB9" w:rsidP="006A670D">
            <w:pPr>
              <w:pStyle w:val="COMTabletext"/>
              <w:spacing w:after="60"/>
            </w:pPr>
            <w:r w:rsidRPr="002106BA">
              <w:t>Clinical Study Report:</w:t>
            </w:r>
          </w:p>
          <w:p w14:paraId="14B86F41" w14:textId="368D59EB" w:rsidR="00EF7BB9" w:rsidRPr="002106BA" w:rsidRDefault="00F51F85" w:rsidP="006A670D">
            <w:pPr>
              <w:pStyle w:val="COMTabletext"/>
              <w:spacing w:after="60"/>
            </w:pPr>
            <w:r w:rsidRPr="002106BA">
              <w:t xml:space="preserve">20 November </w:t>
            </w:r>
            <w:r w:rsidR="00EF7BB9" w:rsidRPr="002106BA">
              <w:t>2017.</w:t>
            </w:r>
          </w:p>
        </w:tc>
      </w:tr>
      <w:tr w:rsidR="00EF7BB9" w:rsidRPr="002106BA" w14:paraId="1B4938AB" w14:textId="77777777" w:rsidTr="006A670D">
        <w:tc>
          <w:tcPr>
            <w:tcW w:w="548" w:type="pct"/>
            <w:tcBorders>
              <w:top w:val="nil"/>
              <w:bottom w:val="single" w:sz="4" w:space="0" w:color="auto"/>
            </w:tcBorders>
          </w:tcPr>
          <w:p w14:paraId="06ED75F6" w14:textId="77777777" w:rsidR="00EF7BB9" w:rsidRPr="002106BA" w:rsidRDefault="00EF7BB9" w:rsidP="006A670D">
            <w:pPr>
              <w:pStyle w:val="COMTabletext"/>
            </w:pPr>
          </w:p>
        </w:tc>
        <w:tc>
          <w:tcPr>
            <w:tcW w:w="3144" w:type="pct"/>
            <w:tcBorders>
              <w:top w:val="nil"/>
              <w:bottom w:val="single" w:sz="4" w:space="0" w:color="auto"/>
            </w:tcBorders>
          </w:tcPr>
          <w:p w14:paraId="5ED31C2F" w14:textId="67BF5AAB" w:rsidR="00EF7BB9" w:rsidRPr="002106BA" w:rsidRDefault="00EF7BB9" w:rsidP="006A670D">
            <w:pPr>
              <w:pStyle w:val="COMTabletext"/>
            </w:pPr>
            <w:r w:rsidRPr="002106BA">
              <w:t>Adams D, Gonzalez-Duarte A, O'Riordan WD, et al. Patisiran, an RNAi therapeutic, for hereditary transthyretin amyloidosis</w:t>
            </w:r>
            <w:r w:rsidR="00F51F85" w:rsidRPr="002106BA">
              <w:t>.</w:t>
            </w:r>
          </w:p>
        </w:tc>
        <w:tc>
          <w:tcPr>
            <w:tcW w:w="1308" w:type="pct"/>
            <w:tcBorders>
              <w:top w:val="nil"/>
              <w:bottom w:val="single" w:sz="4" w:space="0" w:color="auto"/>
            </w:tcBorders>
          </w:tcPr>
          <w:p w14:paraId="63ED2249" w14:textId="77777777" w:rsidR="00EF7BB9" w:rsidRPr="002106BA" w:rsidRDefault="00EF7BB9" w:rsidP="006A670D">
            <w:pPr>
              <w:pStyle w:val="COMTabletext"/>
            </w:pPr>
            <w:r w:rsidRPr="002106BA">
              <w:t>New England Journal of Medicine. 2018, 379(1):11-21.</w:t>
            </w:r>
          </w:p>
        </w:tc>
      </w:tr>
    </w:tbl>
    <w:p w14:paraId="630FAC0B" w14:textId="77777777" w:rsidR="00EF7BB9" w:rsidRPr="002106BA" w:rsidRDefault="00EF7BB9" w:rsidP="00EF7BB9">
      <w:pPr>
        <w:pStyle w:val="COMTablefooter"/>
        <w:rPr>
          <w:sz w:val="20"/>
        </w:rPr>
      </w:pPr>
      <w:r w:rsidRPr="002106BA">
        <w:t>Source: Table 2.3, p32 of the submission.</w:t>
      </w:r>
    </w:p>
    <w:p w14:paraId="1DD06D7D" w14:textId="7D753575" w:rsidR="007F1017" w:rsidRPr="002106BA" w:rsidRDefault="008F120A" w:rsidP="00EC5836">
      <w:pPr>
        <w:pStyle w:val="COMexecsummnumbered"/>
        <w:rPr>
          <w:color w:val="0066FF"/>
        </w:rPr>
      </w:pPr>
      <w:r w:rsidRPr="002106BA">
        <w:t xml:space="preserve">The key features of the </w:t>
      </w:r>
      <w:r w:rsidR="007170DA" w:rsidRPr="002106BA">
        <w:t>studies</w:t>
      </w:r>
      <w:r w:rsidR="000778A7" w:rsidRPr="002106BA">
        <w:t xml:space="preserve"> </w:t>
      </w:r>
      <w:r w:rsidRPr="002106BA">
        <w:t>are summarised</w:t>
      </w:r>
      <w:r w:rsidR="00C2754C" w:rsidRPr="002106BA">
        <w:t xml:space="preserve"> </w:t>
      </w:r>
      <w:r w:rsidR="008F7E00" w:rsidRPr="002106BA">
        <w:t xml:space="preserve">in </w:t>
      </w:r>
      <w:r w:rsidR="008F7E00" w:rsidRPr="002106BA">
        <w:fldChar w:fldCharType="begin"/>
      </w:r>
      <w:r w:rsidR="008F7E00" w:rsidRPr="002106BA">
        <w:instrText xml:space="preserve"> REF _Ref174959886 \h </w:instrText>
      </w:r>
      <w:r w:rsidR="00364566" w:rsidRPr="002106BA">
        <w:instrText xml:space="preserve"> \* MERGEFORMAT </w:instrText>
      </w:r>
      <w:r w:rsidR="008F7E00" w:rsidRPr="002106BA">
        <w:fldChar w:fldCharType="separate"/>
      </w:r>
      <w:r w:rsidR="00DB6E9D" w:rsidRPr="002106BA">
        <w:t xml:space="preserve">Table </w:t>
      </w:r>
      <w:r w:rsidR="00DB6E9D">
        <w:t>3</w:t>
      </w:r>
      <w:r w:rsidR="008F7E00" w:rsidRPr="002106BA">
        <w:fldChar w:fldCharType="end"/>
      </w:r>
      <w:r w:rsidRPr="002106BA">
        <w:t>.</w:t>
      </w:r>
      <w:r w:rsidR="00BC591F" w:rsidRPr="002106BA">
        <w:t xml:space="preserve"> </w:t>
      </w:r>
    </w:p>
    <w:p w14:paraId="6018C56C" w14:textId="2FD2F690" w:rsidR="002C49C8" w:rsidRPr="002106BA" w:rsidRDefault="002C49C8" w:rsidP="002C49C8">
      <w:pPr>
        <w:pStyle w:val="COMtablefigcaption"/>
      </w:pPr>
      <w:bookmarkStart w:id="18" w:name="_Ref174959886"/>
      <w:r w:rsidRPr="002106BA">
        <w:lastRenderedPageBreak/>
        <w:t xml:space="preserve">Table </w:t>
      </w:r>
      <w:r w:rsidR="0027304F">
        <w:fldChar w:fldCharType="begin"/>
      </w:r>
      <w:r w:rsidR="0027304F">
        <w:instrText xml:space="preserve"> SEQ Table \* ARABIC </w:instrText>
      </w:r>
      <w:r w:rsidR="0027304F">
        <w:fldChar w:fldCharType="separate"/>
      </w:r>
      <w:r w:rsidR="00DB6E9D">
        <w:rPr>
          <w:noProof/>
        </w:rPr>
        <w:t>3</w:t>
      </w:r>
      <w:r w:rsidR="0027304F">
        <w:fldChar w:fldCharType="end"/>
      </w:r>
      <w:bookmarkEnd w:id="18"/>
      <w:r w:rsidRPr="002106B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5"/>
        <w:gridCol w:w="568"/>
        <w:gridCol w:w="1560"/>
        <w:gridCol w:w="709"/>
        <w:gridCol w:w="2126"/>
        <w:gridCol w:w="3069"/>
      </w:tblGrid>
      <w:tr w:rsidR="00AD2BF3" w:rsidRPr="002106BA" w14:paraId="76735866" w14:textId="77777777" w:rsidTr="00AD2BF3">
        <w:trPr>
          <w:cantSplit/>
          <w:tblHeader/>
        </w:trPr>
        <w:tc>
          <w:tcPr>
            <w:tcW w:w="546" w:type="pct"/>
            <w:shd w:val="clear" w:color="auto" w:fill="auto"/>
            <w:vAlign w:val="center"/>
          </w:tcPr>
          <w:p w14:paraId="315AAAEF" w14:textId="77777777" w:rsidR="00AD2BF3" w:rsidRPr="002106BA" w:rsidRDefault="00AD2BF3" w:rsidP="009B1087">
            <w:pPr>
              <w:pStyle w:val="COMTableheadingrow"/>
              <w:rPr>
                <w:lang w:val="en-AU"/>
              </w:rPr>
            </w:pPr>
            <w:r w:rsidRPr="002106BA">
              <w:rPr>
                <w:lang w:val="en-AU"/>
              </w:rPr>
              <w:t>Trial</w:t>
            </w:r>
          </w:p>
        </w:tc>
        <w:tc>
          <w:tcPr>
            <w:tcW w:w="315" w:type="pct"/>
            <w:shd w:val="clear" w:color="auto" w:fill="auto"/>
            <w:vAlign w:val="center"/>
          </w:tcPr>
          <w:p w14:paraId="7E5C5F79" w14:textId="77777777" w:rsidR="00AD2BF3" w:rsidRPr="002106BA" w:rsidRDefault="00AD2BF3" w:rsidP="009B1087">
            <w:pPr>
              <w:pStyle w:val="COMTableheadingrow"/>
              <w:jc w:val="center"/>
              <w:rPr>
                <w:lang w:val="en-AU"/>
              </w:rPr>
            </w:pPr>
            <w:r w:rsidRPr="002106BA">
              <w:rPr>
                <w:lang w:val="en-AU"/>
              </w:rPr>
              <w:t>N</w:t>
            </w:r>
          </w:p>
        </w:tc>
        <w:tc>
          <w:tcPr>
            <w:tcW w:w="865" w:type="pct"/>
            <w:shd w:val="clear" w:color="auto" w:fill="auto"/>
            <w:vAlign w:val="center"/>
          </w:tcPr>
          <w:p w14:paraId="38C79E31" w14:textId="77777777" w:rsidR="00AD2BF3" w:rsidRPr="002106BA" w:rsidRDefault="00AD2BF3" w:rsidP="009B1087">
            <w:pPr>
              <w:pStyle w:val="COMTableheadingrow"/>
              <w:jc w:val="center"/>
              <w:rPr>
                <w:lang w:val="en-AU"/>
              </w:rPr>
            </w:pPr>
            <w:r w:rsidRPr="002106BA">
              <w:rPr>
                <w:lang w:val="en-AU"/>
              </w:rPr>
              <w:t>Design/ duration</w:t>
            </w:r>
          </w:p>
        </w:tc>
        <w:tc>
          <w:tcPr>
            <w:tcW w:w="393" w:type="pct"/>
            <w:shd w:val="clear" w:color="auto" w:fill="auto"/>
            <w:vAlign w:val="center"/>
          </w:tcPr>
          <w:p w14:paraId="5D0C93BE" w14:textId="77777777" w:rsidR="00AD2BF3" w:rsidRPr="002106BA" w:rsidRDefault="00AD2BF3" w:rsidP="009B1087">
            <w:pPr>
              <w:pStyle w:val="COMTableheadingrow"/>
              <w:jc w:val="center"/>
              <w:rPr>
                <w:lang w:val="en-AU"/>
              </w:rPr>
            </w:pPr>
            <w:r w:rsidRPr="002106BA">
              <w:rPr>
                <w:lang w:val="en-AU"/>
              </w:rPr>
              <w:t>Risk of bias</w:t>
            </w:r>
          </w:p>
        </w:tc>
        <w:tc>
          <w:tcPr>
            <w:tcW w:w="1179" w:type="pct"/>
            <w:shd w:val="clear" w:color="auto" w:fill="auto"/>
            <w:vAlign w:val="center"/>
          </w:tcPr>
          <w:p w14:paraId="468CC6FA" w14:textId="77777777" w:rsidR="00AD2BF3" w:rsidRPr="002106BA" w:rsidRDefault="00AD2BF3" w:rsidP="009B1087">
            <w:pPr>
              <w:pStyle w:val="COMTableheadingrow"/>
              <w:jc w:val="center"/>
              <w:rPr>
                <w:lang w:val="en-AU"/>
              </w:rPr>
            </w:pPr>
            <w:r w:rsidRPr="002106BA">
              <w:rPr>
                <w:lang w:val="en-AU"/>
              </w:rPr>
              <w:t>Patient population</w:t>
            </w:r>
          </w:p>
        </w:tc>
        <w:tc>
          <w:tcPr>
            <w:tcW w:w="1701" w:type="pct"/>
            <w:shd w:val="clear" w:color="auto" w:fill="auto"/>
            <w:vAlign w:val="center"/>
          </w:tcPr>
          <w:p w14:paraId="7E900742" w14:textId="6A1628DF" w:rsidR="00AD2BF3" w:rsidRPr="002106BA" w:rsidRDefault="00AD2BF3" w:rsidP="009B1087">
            <w:pPr>
              <w:pStyle w:val="COMTableheadingrow"/>
              <w:jc w:val="center"/>
              <w:rPr>
                <w:vertAlign w:val="superscript"/>
                <w:lang w:val="en-AU"/>
              </w:rPr>
            </w:pPr>
            <w:r w:rsidRPr="002106BA">
              <w:rPr>
                <w:lang w:val="en-AU"/>
              </w:rPr>
              <w:t>Outcomes</w:t>
            </w:r>
          </w:p>
        </w:tc>
      </w:tr>
      <w:tr w:rsidR="00513207" w:rsidRPr="002106BA" w14:paraId="204997A6" w14:textId="77777777" w:rsidTr="009B1087">
        <w:trPr>
          <w:cantSplit/>
        </w:trPr>
        <w:tc>
          <w:tcPr>
            <w:tcW w:w="5000" w:type="pct"/>
            <w:gridSpan w:val="6"/>
            <w:shd w:val="clear" w:color="auto" w:fill="auto"/>
            <w:vAlign w:val="center"/>
          </w:tcPr>
          <w:p w14:paraId="64760FD0" w14:textId="380D0245" w:rsidR="00513207" w:rsidRPr="002106BA" w:rsidRDefault="00513207" w:rsidP="009B1087">
            <w:pPr>
              <w:pStyle w:val="COMTableheadingrow"/>
              <w:rPr>
                <w:lang w:val="en-AU"/>
              </w:rPr>
            </w:pPr>
            <w:r w:rsidRPr="002106BA">
              <w:rPr>
                <w:lang w:val="en-AU"/>
              </w:rPr>
              <w:t>Vutrisiran versus patisiran</w:t>
            </w:r>
          </w:p>
        </w:tc>
      </w:tr>
      <w:tr w:rsidR="00AD2BF3" w:rsidRPr="002106BA" w14:paraId="43184FC6" w14:textId="77777777" w:rsidTr="00AD2BF3">
        <w:trPr>
          <w:cantSplit/>
        </w:trPr>
        <w:tc>
          <w:tcPr>
            <w:tcW w:w="546" w:type="pct"/>
            <w:shd w:val="clear" w:color="auto" w:fill="auto"/>
            <w:vAlign w:val="center"/>
          </w:tcPr>
          <w:p w14:paraId="57B3DD12" w14:textId="15A84EEA" w:rsidR="00AD2BF3" w:rsidRPr="002106BA" w:rsidRDefault="00AD2BF3" w:rsidP="009B1087">
            <w:pPr>
              <w:pStyle w:val="COMTabletext"/>
            </w:pPr>
            <w:r w:rsidRPr="002106BA">
              <w:t>HELIOS-A</w:t>
            </w:r>
          </w:p>
        </w:tc>
        <w:tc>
          <w:tcPr>
            <w:tcW w:w="315" w:type="pct"/>
            <w:shd w:val="clear" w:color="auto" w:fill="auto"/>
            <w:vAlign w:val="center"/>
          </w:tcPr>
          <w:p w14:paraId="2A34E56A" w14:textId="3342A45F" w:rsidR="00AD2BF3" w:rsidRPr="002106BA" w:rsidRDefault="00AD2BF3" w:rsidP="009B1087">
            <w:pPr>
              <w:pStyle w:val="COMTabletext"/>
              <w:jc w:val="center"/>
            </w:pPr>
            <w:r w:rsidRPr="002106BA">
              <w:t>164</w:t>
            </w:r>
          </w:p>
        </w:tc>
        <w:tc>
          <w:tcPr>
            <w:tcW w:w="865" w:type="pct"/>
            <w:shd w:val="clear" w:color="auto" w:fill="auto"/>
            <w:vAlign w:val="center"/>
          </w:tcPr>
          <w:p w14:paraId="0EE8C0BD" w14:textId="227FD45B" w:rsidR="00AD2BF3" w:rsidRPr="002106BA" w:rsidRDefault="00AD2BF3" w:rsidP="00FA0AC4">
            <w:pPr>
              <w:pStyle w:val="COMTabletext"/>
              <w:jc w:val="center"/>
            </w:pPr>
            <w:r w:rsidRPr="002106BA">
              <w:t xml:space="preserve">Randomised, open-label, active control </w:t>
            </w:r>
            <w:r w:rsidR="0061118B" w:rsidRPr="002106BA">
              <w:t xml:space="preserve">(reference) </w:t>
            </w:r>
            <w:r w:rsidRPr="002106BA">
              <w:t>multicentre trial,</w:t>
            </w:r>
          </w:p>
          <w:p w14:paraId="4A51E03C" w14:textId="1236C1DE" w:rsidR="00AD2BF3" w:rsidRPr="002106BA" w:rsidRDefault="00AD2BF3" w:rsidP="00FA0AC4">
            <w:pPr>
              <w:pStyle w:val="COMTabletext"/>
              <w:jc w:val="center"/>
            </w:pPr>
            <w:r w:rsidRPr="002106BA">
              <w:t>18 months</w:t>
            </w:r>
          </w:p>
        </w:tc>
        <w:tc>
          <w:tcPr>
            <w:tcW w:w="393" w:type="pct"/>
            <w:shd w:val="clear" w:color="auto" w:fill="auto"/>
            <w:vAlign w:val="center"/>
          </w:tcPr>
          <w:p w14:paraId="421437A3" w14:textId="5A56BF07" w:rsidR="00AD2BF3" w:rsidRPr="002106BA" w:rsidRDefault="00AD2BF3" w:rsidP="009B1087">
            <w:pPr>
              <w:pStyle w:val="COMTabletext"/>
              <w:jc w:val="center"/>
            </w:pPr>
            <w:r w:rsidRPr="002106BA">
              <w:t>High</w:t>
            </w:r>
          </w:p>
        </w:tc>
        <w:tc>
          <w:tcPr>
            <w:tcW w:w="1179" w:type="pct"/>
            <w:shd w:val="clear" w:color="auto" w:fill="auto"/>
            <w:vAlign w:val="center"/>
          </w:tcPr>
          <w:p w14:paraId="674BB40B" w14:textId="77777777" w:rsidR="00EF1BAD" w:rsidRPr="002106BA" w:rsidRDefault="00AD2BF3" w:rsidP="009B1087">
            <w:pPr>
              <w:pStyle w:val="COMTabletext"/>
              <w:jc w:val="center"/>
            </w:pPr>
            <w:r w:rsidRPr="002106BA">
              <w:t xml:space="preserve">18-85 years, </w:t>
            </w:r>
          </w:p>
          <w:p w14:paraId="62710576" w14:textId="3CAA55FB" w:rsidR="00EF1BAD" w:rsidRPr="002106BA" w:rsidRDefault="00AD2BF3" w:rsidP="009B1087">
            <w:pPr>
              <w:pStyle w:val="COMTabletext"/>
              <w:jc w:val="center"/>
            </w:pPr>
            <w:r w:rsidRPr="002106BA">
              <w:t>hATTR amyloidosi</w:t>
            </w:r>
            <w:r w:rsidR="003B7647" w:rsidRPr="002106BA">
              <w:t>s</w:t>
            </w:r>
            <w:r w:rsidR="00E1077B" w:rsidRPr="002106BA">
              <w:t>,</w:t>
            </w:r>
            <w:r w:rsidRPr="002106BA">
              <w:t xml:space="preserve"> </w:t>
            </w:r>
          </w:p>
          <w:p w14:paraId="099452C2" w14:textId="77777777" w:rsidR="00E1077B" w:rsidRPr="002106BA" w:rsidRDefault="00AD2BF3" w:rsidP="009B1087">
            <w:pPr>
              <w:pStyle w:val="COMTabletext"/>
              <w:jc w:val="center"/>
            </w:pPr>
            <w:r w:rsidRPr="002106BA">
              <w:t>NIS 5-130</w:t>
            </w:r>
            <w:r w:rsidR="00EF1BAD" w:rsidRPr="002106BA">
              <w:t xml:space="preserve">, </w:t>
            </w:r>
            <w:r w:rsidRPr="002106BA">
              <w:t>PND ≤IIIB</w:t>
            </w:r>
            <w:r w:rsidR="00E1077B" w:rsidRPr="002106BA">
              <w:t xml:space="preserve">, </w:t>
            </w:r>
          </w:p>
          <w:p w14:paraId="1CA739E4" w14:textId="0FE18F3F" w:rsidR="00AD2BF3" w:rsidRPr="002106BA" w:rsidRDefault="00E1077B" w:rsidP="004B1961">
            <w:pPr>
              <w:pStyle w:val="COMTabletext"/>
              <w:jc w:val="center"/>
            </w:pPr>
            <w:r w:rsidRPr="002106BA">
              <w:t>KPS ≥60</w:t>
            </w:r>
          </w:p>
        </w:tc>
        <w:tc>
          <w:tcPr>
            <w:tcW w:w="1701" w:type="pct"/>
            <w:shd w:val="clear" w:color="auto" w:fill="auto"/>
            <w:vAlign w:val="center"/>
          </w:tcPr>
          <w:p w14:paraId="7A196C75" w14:textId="2253FDF7" w:rsidR="00AD2BF3" w:rsidRPr="002106BA" w:rsidRDefault="00AD2BF3" w:rsidP="00130D8C">
            <w:pPr>
              <w:pStyle w:val="COMTabletext"/>
              <w:jc w:val="center"/>
            </w:pPr>
            <w:r w:rsidRPr="002106BA">
              <w:t xml:space="preserve">Primary: </w:t>
            </w:r>
            <w:r w:rsidR="005967FA" w:rsidRPr="002106BA">
              <w:t xml:space="preserve">change in </w:t>
            </w:r>
            <w:r w:rsidRPr="002106BA">
              <w:t>mNIS+7</w:t>
            </w:r>
          </w:p>
          <w:p w14:paraId="3C62B100" w14:textId="46C140E4" w:rsidR="00AD2BF3" w:rsidRPr="002106BA" w:rsidRDefault="00AD2BF3" w:rsidP="00130D8C">
            <w:pPr>
              <w:pStyle w:val="COMTabletext"/>
              <w:jc w:val="center"/>
            </w:pPr>
            <w:r w:rsidRPr="002106BA">
              <w:t xml:space="preserve">Secondary: Norfolk QoL-DN, R-ODS, 10-MWT, </w:t>
            </w:r>
            <w:proofErr w:type="spellStart"/>
            <w:r w:rsidRPr="002106BA">
              <w:t>mBMI</w:t>
            </w:r>
            <w:proofErr w:type="spellEnd"/>
            <w:r w:rsidRPr="002106BA">
              <w:t xml:space="preserve">, </w:t>
            </w:r>
          </w:p>
          <w:p w14:paraId="58ECD568" w14:textId="77777777" w:rsidR="00183033" w:rsidRPr="002106BA" w:rsidRDefault="00AD2BF3" w:rsidP="00130D8C">
            <w:pPr>
              <w:pStyle w:val="COMTabletext"/>
              <w:jc w:val="center"/>
            </w:pPr>
            <w:r w:rsidRPr="002106BA">
              <w:t xml:space="preserve">Exploratory: </w:t>
            </w:r>
            <w:r w:rsidR="005967FA" w:rsidRPr="002106BA">
              <w:t xml:space="preserve">change in </w:t>
            </w:r>
            <w:r w:rsidRPr="002106BA">
              <w:t xml:space="preserve">PND, </w:t>
            </w:r>
          </w:p>
          <w:p w14:paraId="6B62A9C8" w14:textId="63233673" w:rsidR="00AD2BF3" w:rsidRPr="002106BA" w:rsidRDefault="005967FA" w:rsidP="00130D8C">
            <w:pPr>
              <w:pStyle w:val="COMTabletext"/>
              <w:jc w:val="center"/>
            </w:pPr>
            <w:r w:rsidRPr="002106BA">
              <w:t>s</w:t>
            </w:r>
            <w:r w:rsidR="00AD2BF3" w:rsidRPr="002106BA">
              <w:t>erum TTR reduction, EQ-5D-5L</w:t>
            </w:r>
          </w:p>
        </w:tc>
      </w:tr>
      <w:tr w:rsidR="00513207" w:rsidRPr="002106BA" w14:paraId="1963B70B" w14:textId="77777777" w:rsidTr="009B1087">
        <w:trPr>
          <w:cantSplit/>
        </w:trPr>
        <w:tc>
          <w:tcPr>
            <w:tcW w:w="5000" w:type="pct"/>
            <w:gridSpan w:val="6"/>
            <w:shd w:val="clear" w:color="auto" w:fill="auto"/>
            <w:vAlign w:val="center"/>
          </w:tcPr>
          <w:p w14:paraId="246387F6" w14:textId="77777777" w:rsidR="00513207" w:rsidRPr="002106BA" w:rsidRDefault="00513207" w:rsidP="009B1087">
            <w:pPr>
              <w:pStyle w:val="COMTableheadingrow"/>
              <w:rPr>
                <w:lang w:val="en-AU"/>
              </w:rPr>
            </w:pPr>
            <w:r w:rsidRPr="002106BA">
              <w:rPr>
                <w:lang w:val="en-AU"/>
              </w:rPr>
              <w:t>Patisiran versus placebo</w:t>
            </w:r>
          </w:p>
        </w:tc>
      </w:tr>
      <w:tr w:rsidR="00AD2BF3" w:rsidRPr="002106BA" w14:paraId="1E45DB98" w14:textId="77777777" w:rsidTr="00AD2BF3">
        <w:trPr>
          <w:cantSplit/>
        </w:trPr>
        <w:tc>
          <w:tcPr>
            <w:tcW w:w="546" w:type="pct"/>
            <w:shd w:val="clear" w:color="auto" w:fill="auto"/>
            <w:vAlign w:val="center"/>
          </w:tcPr>
          <w:p w14:paraId="23DE639F" w14:textId="77777777" w:rsidR="00AD2BF3" w:rsidRPr="002106BA" w:rsidRDefault="00AD2BF3" w:rsidP="009B1087">
            <w:pPr>
              <w:pStyle w:val="COMTabletext"/>
            </w:pPr>
            <w:r w:rsidRPr="002106BA">
              <w:t>APOLLO</w:t>
            </w:r>
          </w:p>
        </w:tc>
        <w:tc>
          <w:tcPr>
            <w:tcW w:w="315" w:type="pct"/>
            <w:shd w:val="clear" w:color="auto" w:fill="auto"/>
            <w:vAlign w:val="center"/>
          </w:tcPr>
          <w:p w14:paraId="25A08F53" w14:textId="77777777" w:rsidR="00AD2BF3" w:rsidRPr="002106BA" w:rsidRDefault="00AD2BF3" w:rsidP="009B1087">
            <w:pPr>
              <w:pStyle w:val="COMTabletext"/>
              <w:jc w:val="center"/>
            </w:pPr>
            <w:r w:rsidRPr="002106BA">
              <w:t>225</w:t>
            </w:r>
          </w:p>
        </w:tc>
        <w:tc>
          <w:tcPr>
            <w:tcW w:w="865" w:type="pct"/>
            <w:shd w:val="clear" w:color="auto" w:fill="auto"/>
            <w:vAlign w:val="center"/>
          </w:tcPr>
          <w:p w14:paraId="1BA71E59" w14:textId="77777777" w:rsidR="00AD2BF3" w:rsidRPr="002106BA" w:rsidRDefault="00AD2BF3" w:rsidP="009B1087">
            <w:pPr>
              <w:pStyle w:val="COMTabletext"/>
              <w:jc w:val="center"/>
            </w:pPr>
            <w:r w:rsidRPr="002106BA">
              <w:t>Randomised, double blind, placebo controlled multicentre trial,</w:t>
            </w:r>
          </w:p>
          <w:p w14:paraId="754402D6" w14:textId="77777777" w:rsidR="00AD2BF3" w:rsidRPr="002106BA" w:rsidRDefault="00AD2BF3" w:rsidP="009B1087">
            <w:pPr>
              <w:pStyle w:val="COMTabletext"/>
              <w:jc w:val="center"/>
            </w:pPr>
            <w:r w:rsidRPr="002106BA">
              <w:t>18 months</w:t>
            </w:r>
          </w:p>
        </w:tc>
        <w:tc>
          <w:tcPr>
            <w:tcW w:w="393" w:type="pct"/>
            <w:shd w:val="clear" w:color="auto" w:fill="auto"/>
            <w:vAlign w:val="center"/>
          </w:tcPr>
          <w:p w14:paraId="4D2DC906" w14:textId="77777777" w:rsidR="00AD2BF3" w:rsidRPr="002106BA" w:rsidRDefault="00AD2BF3" w:rsidP="009B1087">
            <w:pPr>
              <w:pStyle w:val="COMTabletext"/>
              <w:jc w:val="center"/>
            </w:pPr>
            <w:r w:rsidRPr="002106BA">
              <w:t>Low</w:t>
            </w:r>
          </w:p>
        </w:tc>
        <w:tc>
          <w:tcPr>
            <w:tcW w:w="1179" w:type="pct"/>
            <w:shd w:val="clear" w:color="auto" w:fill="auto"/>
            <w:vAlign w:val="center"/>
          </w:tcPr>
          <w:p w14:paraId="0A664FB1" w14:textId="77777777" w:rsidR="00183033" w:rsidRPr="002106BA" w:rsidRDefault="00AD2BF3" w:rsidP="009B1087">
            <w:pPr>
              <w:pStyle w:val="COMTabletext"/>
              <w:jc w:val="center"/>
            </w:pPr>
            <w:r w:rsidRPr="002106BA">
              <w:t>18-85 years, hATTR amyloidosis with polyneuropathy</w:t>
            </w:r>
            <w:r w:rsidR="00183033" w:rsidRPr="002106BA">
              <w:t>,</w:t>
            </w:r>
          </w:p>
          <w:p w14:paraId="7085B9A1" w14:textId="33A85BB1" w:rsidR="00AD2BF3" w:rsidRPr="002106BA" w:rsidRDefault="00AD2BF3" w:rsidP="004B1961">
            <w:pPr>
              <w:pStyle w:val="COMTabletext"/>
              <w:jc w:val="center"/>
            </w:pPr>
            <w:r w:rsidRPr="002106BA">
              <w:t>NIS of 5-130</w:t>
            </w:r>
            <w:r w:rsidR="00183033" w:rsidRPr="002106BA">
              <w:t xml:space="preserve">, </w:t>
            </w:r>
            <w:r w:rsidRPr="002106BA">
              <w:t>PND of ≤IIIB</w:t>
            </w:r>
            <w:r w:rsidR="004B1961" w:rsidRPr="002106BA">
              <w:t>, KPS ≥60</w:t>
            </w:r>
          </w:p>
        </w:tc>
        <w:tc>
          <w:tcPr>
            <w:tcW w:w="1701" w:type="pct"/>
            <w:shd w:val="clear" w:color="auto" w:fill="auto"/>
            <w:vAlign w:val="center"/>
          </w:tcPr>
          <w:p w14:paraId="61BB325A" w14:textId="4D30F313" w:rsidR="00AD2BF3" w:rsidRPr="002106BA" w:rsidRDefault="00AD2BF3" w:rsidP="00130D8C">
            <w:pPr>
              <w:pStyle w:val="COMTabletext"/>
              <w:jc w:val="center"/>
            </w:pPr>
            <w:r w:rsidRPr="002106BA">
              <w:t xml:space="preserve">Primary: </w:t>
            </w:r>
            <w:r w:rsidR="005967FA" w:rsidRPr="002106BA">
              <w:t>change in mNIS+7</w:t>
            </w:r>
          </w:p>
          <w:p w14:paraId="7BD8C9C3" w14:textId="77777777" w:rsidR="00F44519" w:rsidRPr="002106BA" w:rsidRDefault="00AD2BF3" w:rsidP="00F44519">
            <w:pPr>
              <w:pStyle w:val="COMTabletext"/>
              <w:jc w:val="center"/>
            </w:pPr>
            <w:r w:rsidRPr="002106BA">
              <w:t xml:space="preserve">Secondary: Norfolk QoL-DN, R-ODS, 10-MWT, </w:t>
            </w:r>
            <w:proofErr w:type="spellStart"/>
            <w:r w:rsidRPr="002106BA">
              <w:t>mBMI</w:t>
            </w:r>
            <w:proofErr w:type="spellEnd"/>
            <w:r w:rsidRPr="002106BA">
              <w:t xml:space="preserve">, </w:t>
            </w:r>
          </w:p>
          <w:p w14:paraId="2928D37B" w14:textId="75849F1B" w:rsidR="00AD2BF3" w:rsidRPr="002106BA" w:rsidRDefault="00AD2BF3" w:rsidP="00F44519">
            <w:pPr>
              <w:pStyle w:val="COMTabletext"/>
              <w:jc w:val="center"/>
            </w:pPr>
            <w:r w:rsidRPr="002106BA">
              <w:t xml:space="preserve">Exploratory: </w:t>
            </w:r>
            <w:r w:rsidR="005967FA" w:rsidRPr="002106BA">
              <w:t xml:space="preserve">change in </w:t>
            </w:r>
            <w:r w:rsidRPr="002106BA">
              <w:t xml:space="preserve">PND score, </w:t>
            </w:r>
            <w:r w:rsidR="005967FA" w:rsidRPr="002106BA">
              <w:t>s</w:t>
            </w:r>
            <w:r w:rsidRPr="002106BA">
              <w:t>erum TTR reduction, EQ-5D-5L</w:t>
            </w:r>
          </w:p>
        </w:tc>
      </w:tr>
    </w:tbl>
    <w:p w14:paraId="560080D2" w14:textId="75FF38C0" w:rsidR="00045017" w:rsidRPr="002106BA" w:rsidRDefault="00045017" w:rsidP="007E51D5">
      <w:pPr>
        <w:pStyle w:val="COMTablefooter"/>
      </w:pPr>
      <w:r w:rsidRPr="002106BA">
        <w:t xml:space="preserve">Source: </w:t>
      </w:r>
      <w:r w:rsidR="008734EA" w:rsidRPr="002106BA">
        <w:t xml:space="preserve">Compiled during the evaluation from </w:t>
      </w:r>
      <w:r w:rsidR="000778A7" w:rsidRPr="002106BA">
        <w:t>Section 2 of the submission</w:t>
      </w:r>
      <w:r w:rsidRPr="002106BA">
        <w:t>.</w:t>
      </w:r>
    </w:p>
    <w:p w14:paraId="1095487C" w14:textId="27BD6214" w:rsidR="00620C25" w:rsidRPr="002106BA" w:rsidRDefault="008734EA" w:rsidP="007E51D5">
      <w:pPr>
        <w:pStyle w:val="COMTablefooter"/>
        <w:rPr>
          <w:sz w:val="20"/>
        </w:rPr>
      </w:pPr>
      <w:r w:rsidRPr="002106BA">
        <w:t xml:space="preserve">Abbreviations: </w:t>
      </w:r>
      <w:r w:rsidR="00611CF9" w:rsidRPr="002106BA">
        <w:rPr>
          <w:rFonts w:eastAsia="Calibri"/>
        </w:rPr>
        <w:t xml:space="preserve">10-MWT, 10 metre walk test; CI, confidence interval; </w:t>
      </w:r>
      <w:r w:rsidR="00F63065" w:rsidRPr="002106BA">
        <w:rPr>
          <w:szCs w:val="18"/>
        </w:rPr>
        <w:t xml:space="preserve">hATTR, hereditary transthyretin mediated amyloidosis; </w:t>
      </w:r>
      <w:r w:rsidR="00F44519" w:rsidRPr="002106BA">
        <w:rPr>
          <w:rFonts w:cstheme="minorHAnsi"/>
        </w:rPr>
        <w:t xml:space="preserve">KPS, Karnofsky performance status; </w:t>
      </w:r>
      <w:proofErr w:type="spellStart"/>
      <w:r w:rsidR="00611CF9" w:rsidRPr="002106BA">
        <w:rPr>
          <w:rFonts w:eastAsia="Calibri"/>
        </w:rPr>
        <w:t>mBMI</w:t>
      </w:r>
      <w:proofErr w:type="spellEnd"/>
      <w:r w:rsidR="00611CF9" w:rsidRPr="002106BA">
        <w:rPr>
          <w:rFonts w:eastAsia="Calibri"/>
        </w:rPr>
        <w:t xml:space="preserve">, modified body mass index; mNIS+7, modified </w:t>
      </w:r>
      <w:r w:rsidR="00611CF9" w:rsidRPr="002106BA">
        <w:t>neuropathy impairment score +7;</w:t>
      </w:r>
      <w:r w:rsidR="00611CF9" w:rsidRPr="002106BA">
        <w:rPr>
          <w:rFonts w:eastAsia="Calibri"/>
        </w:rPr>
        <w:t xml:space="preserve"> </w:t>
      </w:r>
      <w:r w:rsidR="00332CA0" w:rsidRPr="002106BA">
        <w:rPr>
          <w:rFonts w:eastAsia="Calibri"/>
        </w:rPr>
        <w:t xml:space="preserve">NIS, Neuropathy Impairment Score; </w:t>
      </w:r>
      <w:r w:rsidR="005C231C" w:rsidRPr="002106BA">
        <w:rPr>
          <w:szCs w:val="18"/>
        </w:rPr>
        <w:t xml:space="preserve">PND, polyneuropathy disability; </w:t>
      </w:r>
      <w:r w:rsidR="00611CF9" w:rsidRPr="002106BA">
        <w:t>QoL-DN, quality of life-diabetic neuropathy;</w:t>
      </w:r>
      <w:r w:rsidR="00611CF9" w:rsidRPr="002106BA">
        <w:rPr>
          <w:rFonts w:eastAsia="Calibri"/>
        </w:rPr>
        <w:t xml:space="preserve"> R-ODS,</w:t>
      </w:r>
      <w:r w:rsidR="00611CF9" w:rsidRPr="002106BA">
        <w:t xml:space="preserve"> </w:t>
      </w:r>
      <w:r w:rsidR="00611CF9" w:rsidRPr="002106BA">
        <w:rPr>
          <w:rFonts w:eastAsia="Calibri"/>
        </w:rPr>
        <w:t>Rasch-built Overall Disability Score</w:t>
      </w:r>
      <w:r w:rsidR="00620C25" w:rsidRPr="002106BA">
        <w:t>.</w:t>
      </w:r>
    </w:p>
    <w:p w14:paraId="4B83BBF3" w14:textId="08E7FA4D" w:rsidR="00045017" w:rsidRPr="002106BA" w:rsidRDefault="00007619" w:rsidP="00EC5836">
      <w:pPr>
        <w:pStyle w:val="COMexecsummnumbered"/>
        <w:rPr>
          <w:color w:val="0066FF"/>
        </w:rPr>
      </w:pPr>
      <w:r w:rsidRPr="002106BA">
        <w:t xml:space="preserve">The HELIOS-A study is an ongoing randomised open label study investigating the efficacy and safety of vutrisiran in the treatment of adults with hATTR amyloidosis with polyneuropathy, over 18 months of treatment. Patients were randomised to treatment with vutrisiran or patisiran </w:t>
      </w:r>
      <w:r w:rsidR="00963216" w:rsidRPr="002106BA">
        <w:t xml:space="preserve">in </w:t>
      </w:r>
      <w:r w:rsidRPr="002106BA">
        <w:t xml:space="preserve">a 3:1 ratio, stratified by TTR genotype (V30m versus other mutation), and baseline </w:t>
      </w:r>
      <w:r w:rsidRPr="002106BA">
        <w:rPr>
          <w:rFonts w:cstheme="minorHAnsi"/>
        </w:rPr>
        <w:t xml:space="preserve">Neuropathy Impairment Score </w:t>
      </w:r>
      <w:r w:rsidRPr="002106BA">
        <w:t xml:space="preserve">(&lt;50 versus ≥50). The </w:t>
      </w:r>
      <w:r w:rsidR="00475400" w:rsidRPr="002106BA">
        <w:t>HELIOS-A study design</w:t>
      </w:r>
      <w:r w:rsidR="00D51C33" w:rsidRPr="002106BA">
        <w:t>, inclusion criteria and outcomes were</w:t>
      </w:r>
      <w:r w:rsidR="00475400" w:rsidRPr="002106BA">
        <w:t xml:space="preserve"> based on the APOLLO study</w:t>
      </w:r>
      <w:r w:rsidR="00D51C33" w:rsidRPr="002106BA">
        <w:t xml:space="preserve">, and </w:t>
      </w:r>
      <w:r w:rsidR="00475400" w:rsidRPr="002106BA">
        <w:t xml:space="preserve">the </w:t>
      </w:r>
      <w:r w:rsidRPr="002106BA">
        <w:t>primary analysis of the HELIOS-A study was a pre-specified comparison between the HELIOS vutrisiran treatment arm, and the external placebo arm of the APOLLO study (historical placebo).</w:t>
      </w:r>
    </w:p>
    <w:p w14:paraId="4899E35E" w14:textId="344A7348" w:rsidR="007F1017" w:rsidRPr="002106BA" w:rsidRDefault="00153998" w:rsidP="00EC5836">
      <w:pPr>
        <w:pStyle w:val="COMexecsummnumbered"/>
        <w:rPr>
          <w:color w:val="0066FF"/>
        </w:rPr>
      </w:pPr>
      <w:r w:rsidRPr="002106BA">
        <w:t>The risk of bias in the HELIOS-A study was high, given the open label study design. The risk of bias in the APOLLO study was low, notwithstanding a risk of attrition bias due to a larger proportion of patients in the placebo group withdrawing from the study, and a related potential for functional unblinding of treatment groups. The pre</w:t>
      </w:r>
      <w:r w:rsidR="00963216" w:rsidRPr="002106BA">
        <w:noBreakHyphen/>
      </w:r>
      <w:r w:rsidRPr="002106BA">
        <w:t xml:space="preserve">specified use of the APOLLO placebo arm in the HELIOS-A primary analysis, introduced a substantial risk of attrition bias in the primary outcome, given substantial differences in treatment </w:t>
      </w:r>
      <w:r w:rsidR="00007619" w:rsidRPr="002106BA">
        <w:t xml:space="preserve">and/or study </w:t>
      </w:r>
      <w:r w:rsidRPr="002106BA">
        <w:t xml:space="preserve">discontinuation between studies (HELIOS-A vutrisiran arm </w:t>
      </w:r>
      <w:r w:rsidR="00C833CB" w:rsidRPr="002106BA">
        <w:t>4.1%</w:t>
      </w:r>
      <w:r w:rsidRPr="002106BA">
        <w:t xml:space="preserve">; APOLLO placebo arm </w:t>
      </w:r>
      <w:r w:rsidR="0086407A" w:rsidRPr="002106BA">
        <w:t>37.7</w:t>
      </w:r>
      <w:r w:rsidR="00C833CB" w:rsidRPr="002106BA">
        <w:t>%)</w:t>
      </w:r>
      <w:r w:rsidRPr="002106BA">
        <w:t>.</w:t>
      </w:r>
      <w:r w:rsidR="005D0629" w:rsidRPr="002106BA">
        <w:t xml:space="preserve"> The Pre-PBAC Response argued </w:t>
      </w:r>
      <w:r w:rsidR="00963216" w:rsidRPr="002106BA">
        <w:t>that</w:t>
      </w:r>
      <w:r w:rsidR="005D0629" w:rsidRPr="002106BA">
        <w:t xml:space="preserve"> TTR is an objective laboratory measure </w:t>
      </w:r>
      <w:r w:rsidR="00963216" w:rsidRPr="002106BA">
        <w:t>that is</w:t>
      </w:r>
      <w:r w:rsidR="005D0629" w:rsidRPr="002106BA">
        <w:t xml:space="preserve"> not subject to interpretation by investigat</w:t>
      </w:r>
      <w:r w:rsidR="00963216" w:rsidRPr="002106BA">
        <w:t>ors</w:t>
      </w:r>
      <w:r w:rsidR="00852CC8">
        <w:t>,</w:t>
      </w:r>
      <w:r w:rsidR="005D0629" w:rsidRPr="002106BA">
        <w:t xml:space="preserve"> </w:t>
      </w:r>
      <w:r w:rsidR="00963216" w:rsidRPr="002106BA">
        <w:t xml:space="preserve">nor </w:t>
      </w:r>
      <w:r w:rsidR="005D0629" w:rsidRPr="002106BA">
        <w:t>influence</w:t>
      </w:r>
      <w:r w:rsidR="00963216" w:rsidRPr="002106BA">
        <w:t>d</w:t>
      </w:r>
      <w:r w:rsidR="005D0629" w:rsidRPr="002106BA">
        <w:t xml:space="preserve"> by participant knowledge of treatment assignment.</w:t>
      </w:r>
    </w:p>
    <w:p w14:paraId="043FC69E" w14:textId="55E3CA90" w:rsidR="00E90549" w:rsidRPr="002106BA" w:rsidRDefault="00A97992" w:rsidP="00582C18">
      <w:pPr>
        <w:pStyle w:val="COMexecsummnumbered"/>
        <w:rPr>
          <w:color w:val="0066FF"/>
        </w:rPr>
      </w:pPr>
      <w:r w:rsidRPr="002106BA">
        <w:t xml:space="preserve">The dosing of vutrisiran and patisiran in HELIOS-A </w:t>
      </w:r>
      <w:r w:rsidR="00582C18" w:rsidRPr="002106BA">
        <w:t>were</w:t>
      </w:r>
      <w:r w:rsidRPr="002106BA">
        <w:t xml:space="preserve"> consistent with the Product Information recommendations</w:t>
      </w:r>
      <w:r w:rsidR="00582C18" w:rsidRPr="002106BA">
        <w:t xml:space="preserve"> for each agent. </w:t>
      </w:r>
      <w:r w:rsidR="006A7A4F" w:rsidRPr="002106BA">
        <w:t xml:space="preserve">In HELIOS-A, administration </w:t>
      </w:r>
      <w:r w:rsidRPr="002106BA">
        <w:t xml:space="preserve">of vutrisiran </w:t>
      </w:r>
      <w:r w:rsidR="00ED179D" w:rsidRPr="002106BA">
        <w:t xml:space="preserve">and patisiran </w:t>
      </w:r>
      <w:r w:rsidRPr="002106BA">
        <w:t xml:space="preserve">was permitted outside the study centre and in the patient’s home, by a home healthcare professional or caregiver, or by self-administration </w:t>
      </w:r>
      <w:r w:rsidR="00ED179D" w:rsidRPr="002106BA">
        <w:t xml:space="preserve">(vutrisiran only) </w:t>
      </w:r>
      <w:r w:rsidRPr="002106BA">
        <w:t>after appropriate training</w:t>
      </w:r>
      <w:r w:rsidR="006F15CD" w:rsidRPr="002106BA">
        <w:t xml:space="preserve"> and one or more administrations at a study centre. </w:t>
      </w:r>
      <w:r w:rsidR="006A7A4F" w:rsidRPr="002106BA">
        <w:t xml:space="preserve">The vutrisiran and </w:t>
      </w:r>
      <w:r w:rsidR="00DC61C5" w:rsidRPr="002106BA">
        <w:t>patisiran</w:t>
      </w:r>
      <w:r w:rsidR="006A7A4F" w:rsidRPr="002106BA">
        <w:t xml:space="preserve"> product information </w:t>
      </w:r>
      <w:r w:rsidR="00F51BF4" w:rsidRPr="002106BA">
        <w:t xml:space="preserve">documents </w:t>
      </w:r>
      <w:r w:rsidR="006A7A4F" w:rsidRPr="002106BA">
        <w:t xml:space="preserve">specify that </w:t>
      </w:r>
      <w:r w:rsidR="00DC61C5" w:rsidRPr="002106BA">
        <w:t xml:space="preserve">both agents must be </w:t>
      </w:r>
      <w:r w:rsidR="006A7A4F" w:rsidRPr="002106BA">
        <w:t>administ</w:t>
      </w:r>
      <w:r w:rsidR="00120B86" w:rsidRPr="002106BA">
        <w:t>ered</w:t>
      </w:r>
      <w:r w:rsidR="006A7A4F" w:rsidRPr="002106BA">
        <w:t xml:space="preserve"> </w:t>
      </w:r>
      <w:r w:rsidR="00120B86" w:rsidRPr="002106BA">
        <w:t>by a healthcare professional.</w:t>
      </w:r>
      <w:r w:rsidR="006A7A4F" w:rsidRPr="002106BA">
        <w:t xml:space="preserve"> </w:t>
      </w:r>
    </w:p>
    <w:p w14:paraId="70072BE9" w14:textId="63F88471" w:rsidR="00007619" w:rsidRPr="002106BA" w:rsidRDefault="006E63E7" w:rsidP="00EC5836">
      <w:pPr>
        <w:pStyle w:val="COMexecsummnumbered"/>
        <w:rPr>
          <w:color w:val="0066FF"/>
        </w:rPr>
      </w:pPr>
      <w:r w:rsidRPr="002106BA">
        <w:lastRenderedPageBreak/>
        <w:t xml:space="preserve">All randomised patients in the HELIOS-A and APOLLO studies received </w:t>
      </w:r>
      <w:r w:rsidR="006F15CD" w:rsidRPr="002106BA">
        <w:t xml:space="preserve">an </w:t>
      </w:r>
      <w:r w:rsidRPr="002106BA">
        <w:t>intervention, with small proportions of patients in the vutrisiran (4.1%) and patisiran (HELIOS-A 9.5%; APOLLO 7.4%) treatment arms discontinuing treatment and/or withdrawing from the studies</w:t>
      </w:r>
      <w:r w:rsidR="00D3223F" w:rsidRPr="002106BA">
        <w:t xml:space="preserve"> compared to the APOLLO placebo arm</w:t>
      </w:r>
      <w:r w:rsidR="006E272D" w:rsidRPr="002106BA">
        <w:t xml:space="preserve"> (37.7%</w:t>
      </w:r>
      <w:r w:rsidR="00D3223F" w:rsidRPr="002106BA">
        <w:t>)</w:t>
      </w:r>
      <w:r w:rsidRPr="002106BA">
        <w:t xml:space="preserve">. Treatment discontinuation in the HELIOS-A study included 2 patients (one in each treatment arm) who discontinued treatment due to the impact of </w:t>
      </w:r>
      <w:r w:rsidR="00B43A9E" w:rsidRPr="002106BA">
        <w:t>COVID</w:t>
      </w:r>
      <w:r w:rsidRPr="002106BA">
        <w:t>-19</w:t>
      </w:r>
      <w:r w:rsidR="00DD22E8" w:rsidRPr="002106BA">
        <w:t>,</w:t>
      </w:r>
      <w:r w:rsidR="00171884" w:rsidRPr="002106BA">
        <w:t xml:space="preserve"> </w:t>
      </w:r>
      <w:r w:rsidR="0043779E" w:rsidRPr="002106BA">
        <w:t xml:space="preserve">and </w:t>
      </w:r>
      <w:r w:rsidR="00171884" w:rsidRPr="002106BA">
        <w:t xml:space="preserve">larger proportions of patients treated with patisiran (42.9%) </w:t>
      </w:r>
      <w:r w:rsidR="009B1B52" w:rsidRPr="002106BA">
        <w:t xml:space="preserve">who </w:t>
      </w:r>
      <w:r w:rsidR="00171884" w:rsidRPr="002106BA">
        <w:t xml:space="preserve">experienced delayed or missed doses due to COVID-19, compared to vutrisiran (13.9%). </w:t>
      </w:r>
      <w:r w:rsidRPr="002106BA">
        <w:t>The most common reason for discontinuing treatment in the active treatment arms was death (HELIOS-A vutrisiran 1.6%; patisiran 7.1%; APOLLO patisiran 3.4%).</w:t>
      </w:r>
      <w:r w:rsidR="00E22CFA" w:rsidRPr="002106BA">
        <w:t xml:space="preserve"> </w:t>
      </w:r>
      <w:r w:rsidR="003C626C" w:rsidRPr="002106BA">
        <w:t xml:space="preserve">Differences </w:t>
      </w:r>
      <w:r w:rsidR="003B49A9" w:rsidRPr="002106BA">
        <w:t>in the proportions of deaths between arms were not considered important</w:t>
      </w:r>
      <w:r w:rsidR="002E33C1" w:rsidRPr="002106BA">
        <w:t xml:space="preserve"> by the evaluation</w:t>
      </w:r>
      <w:r w:rsidR="003C626C" w:rsidRPr="002106BA">
        <w:t>, given the small size of the HELIOS-A patisiran arm</w:t>
      </w:r>
      <w:r w:rsidR="003B49A9" w:rsidRPr="002106BA">
        <w:t>.</w:t>
      </w:r>
    </w:p>
    <w:p w14:paraId="7D4EEEE3" w14:textId="6AB9491D" w:rsidR="004D4323" w:rsidRPr="002106BA" w:rsidRDefault="00C12DD0" w:rsidP="00EC5836">
      <w:pPr>
        <w:pStyle w:val="COMexecsummnumbered"/>
        <w:rPr>
          <w:color w:val="0066FF"/>
        </w:rPr>
      </w:pPr>
      <w:r w:rsidRPr="002106BA">
        <w:t>Baseline patient demographic characteristics were broadly similar between the HELIOS-A and APOLLO studies</w:t>
      </w:r>
      <w:r w:rsidR="0018512B" w:rsidRPr="002106BA">
        <w:t>, but disease characteristic</w:t>
      </w:r>
      <w:r w:rsidR="04803961" w:rsidRPr="002106BA">
        <w:t>s</w:t>
      </w:r>
      <w:r w:rsidR="0018512B" w:rsidRPr="002106BA">
        <w:t xml:space="preserve"> varied between studies. </w:t>
      </w:r>
      <w:r w:rsidR="0033662B" w:rsidRPr="002106BA">
        <w:t>Patients in the HELIOS-A study generally had less severely impacted function compared to the APOLLO study, with larger proportions of patients reporting baseline FAP stage 1 (FAP 1 in HELIOS-A vutrisiran 70%, patisiran 74%; APOLLO patisiran 45%), and PND Stage 1 or 2 (PND 1 or 2 in HELIOS-A vutrisiran 77%, patisiran 77%; APOLLO patisiran 53%).</w:t>
      </w:r>
    </w:p>
    <w:p w14:paraId="0FEF4EBF" w14:textId="3D510F2E" w:rsidR="00251A7C" w:rsidRPr="002106BA" w:rsidRDefault="00F74B38" w:rsidP="004D4323">
      <w:pPr>
        <w:pStyle w:val="COMexecsummnumbered"/>
      </w:pPr>
      <w:bookmarkStart w:id="19" w:name="_Ref182406579"/>
      <w:r w:rsidRPr="002106BA">
        <w:t>There were substantial differences between the HELIOS-A study vutrisiran treatment arm and the APOLLO placebo arm used as the historical control, in terms of mean age (HELIOS-A vutrisiran 57.8 years; APOLLO placebo 62.2 years), male sex (HELIOS-A vutrisiran 65%; APOLLO placebo 75%), Asian race (HELIOS-A vutrisiran 17%; APOLLO placebo 33%), TTR genotype V30M (HELIOS-A vutrisiran 44%; APOLLO placebo 52%), prior use of tetramer stabilisers (HELIOS-A vutrisiran 62%; APOLLO placebo 53%), FAP Stage 1 (HELIOS-A vutrisiran 70%; APOLLO placebo 48%), PND score I or II (HELIOS-A vutrisiran 77%; APOLLO placebo 56%), and NYHA Class 1 or 2 (HELIOS-A vutrisiran 65%; APOLLO placebo 52%)</w:t>
      </w:r>
      <w:r w:rsidR="0033662B" w:rsidRPr="002106BA">
        <w:t>.</w:t>
      </w:r>
      <w:bookmarkEnd w:id="19"/>
      <w:r w:rsidR="00251A7C" w:rsidRPr="002106BA">
        <w:t xml:space="preserve"> </w:t>
      </w:r>
    </w:p>
    <w:p w14:paraId="32C030C3" w14:textId="256614A2" w:rsidR="001C6AC4" w:rsidRPr="002106BA" w:rsidRDefault="001C6AC4" w:rsidP="00B76E06">
      <w:pPr>
        <w:pStyle w:val="COMexecsummnumbered"/>
        <w:rPr>
          <w:color w:val="0066FF"/>
        </w:rPr>
      </w:pPr>
      <w:r w:rsidRPr="002106BA">
        <w:t>In HELIOS-A, a prespecified noninferiority analysis of vutrisiran versus patisiran was conducted for percent serum TTR reduction from baseline</w:t>
      </w:r>
      <w:r w:rsidR="00735CA7" w:rsidRPr="002106BA">
        <w:t xml:space="preserve"> (</w:t>
      </w:r>
      <w:r w:rsidR="0078764B" w:rsidRPr="002106BA">
        <w:t xml:space="preserve">lower limit of the 95% </w:t>
      </w:r>
      <w:r w:rsidR="00735CA7" w:rsidRPr="002106BA">
        <w:t>confidence interval</w:t>
      </w:r>
      <w:r w:rsidR="0078764B" w:rsidRPr="002106BA">
        <w:t xml:space="preserve"> for the median treatment difference in TTR percent reduction greater than </w:t>
      </w:r>
      <w:r w:rsidR="006377FC" w:rsidRPr="002106BA">
        <w:t>-</w:t>
      </w:r>
      <w:r w:rsidR="0078764B" w:rsidRPr="002106BA">
        <w:t>10%</w:t>
      </w:r>
      <w:r w:rsidR="005D4A80" w:rsidRPr="002106BA">
        <w:t>)</w:t>
      </w:r>
      <w:r w:rsidR="0078764B" w:rsidRPr="002106BA">
        <w:t>.</w:t>
      </w:r>
      <w:r w:rsidR="005D4A80" w:rsidRPr="002106BA">
        <w:t xml:space="preserve"> </w:t>
      </w:r>
      <w:r w:rsidR="002454DD" w:rsidRPr="002106BA">
        <w:t>Noninferiority margins were not nominated for other outcomes.</w:t>
      </w:r>
    </w:p>
    <w:p w14:paraId="72D80F0E" w14:textId="273562E8" w:rsidR="007C6504" w:rsidRPr="002106BA" w:rsidRDefault="007C6504" w:rsidP="00B76E06">
      <w:pPr>
        <w:pStyle w:val="COMexecsummnumbered"/>
        <w:rPr>
          <w:color w:val="000000" w:themeColor="text1"/>
        </w:rPr>
      </w:pPr>
      <w:r w:rsidRPr="002106BA">
        <w:rPr>
          <w:color w:val="000000" w:themeColor="text1"/>
        </w:rPr>
        <w:t>The PSCR argued that hATTR amyloidosis is a very rare condition and consideration should be given to the data that can reasonably be collected in this cohort, and although the results of the HELIOS-A study may not have demonstrated statistical significance on all outcomes, the results are consistent and numerically tend to favour vutrisiran over patisiran. The PSCR also reiterated HELIOS-A was designed and powered to assess within-trial non-inferiority of vutrisiran and patisiran in terms of change in serum TTR as a pre-specified secondary endpoint</w:t>
      </w:r>
      <w:r w:rsidR="000F1E29" w:rsidRPr="002106BA">
        <w:rPr>
          <w:color w:val="000000" w:themeColor="text1"/>
        </w:rPr>
        <w:t>. The PSCR</w:t>
      </w:r>
      <w:r w:rsidRPr="002106BA">
        <w:rPr>
          <w:color w:val="000000" w:themeColor="text1"/>
        </w:rPr>
        <w:t xml:space="preserve"> highlighted that to power a formal non-inferiority study based on mNIS+7 would have required a sam</w:t>
      </w:r>
      <w:r w:rsidR="00FC5533" w:rsidRPr="002106BA">
        <w:rPr>
          <w:color w:val="000000" w:themeColor="text1"/>
        </w:rPr>
        <w:t>pl</w:t>
      </w:r>
      <w:r w:rsidRPr="002106BA">
        <w:rPr>
          <w:color w:val="000000" w:themeColor="text1"/>
        </w:rPr>
        <w:t xml:space="preserve">e size of approximately 400 patients, which would have been difficult to recruit given the rarity of the condition, </w:t>
      </w:r>
      <w:r w:rsidR="000F1E29" w:rsidRPr="002106BA">
        <w:rPr>
          <w:color w:val="000000" w:themeColor="text1"/>
        </w:rPr>
        <w:t>and that</w:t>
      </w:r>
      <w:r w:rsidRPr="002106BA">
        <w:rPr>
          <w:color w:val="000000" w:themeColor="text1"/>
        </w:rPr>
        <w:t xml:space="preserve"> a substantial number of patients may have </w:t>
      </w:r>
      <w:r w:rsidRPr="002106BA">
        <w:rPr>
          <w:color w:val="000000" w:themeColor="text1"/>
        </w:rPr>
        <w:lastRenderedPageBreak/>
        <w:t>already participated in trials for other candidate treatments. The ESC acknowledged these issues are genuine impediments to conducting a larger trial which could have more definitively established the comparative effectiveness of vutrisiran and patisiran on more patient</w:t>
      </w:r>
      <w:r w:rsidR="00784EC4" w:rsidRPr="002106BA">
        <w:rPr>
          <w:color w:val="000000" w:themeColor="text1"/>
          <w:vertAlign w:val="subscript"/>
        </w:rPr>
        <w:noBreakHyphen/>
      </w:r>
      <w:r w:rsidRPr="002106BA">
        <w:rPr>
          <w:color w:val="000000" w:themeColor="text1"/>
        </w:rPr>
        <w:t>relevant outcomes, but considered the reliance on serum TTR as a surrogate marker to primarily support the clinical claim of non-inferior comparative effectiveness remained a source of uncertainty.</w:t>
      </w:r>
    </w:p>
    <w:p w14:paraId="510F2D66" w14:textId="6C0A2B24" w:rsidR="004F18E9" w:rsidRPr="002106BA" w:rsidRDefault="005864BC" w:rsidP="006139A3">
      <w:pPr>
        <w:pStyle w:val="COMexecsummnumbered"/>
      </w:pPr>
      <w:r w:rsidRPr="002106BA">
        <w:t>Patients completing the 18-month treatment phase of the HELIOS-A study, could continue into an 18-month treatment extension period (an ongoing observational study), and were re-randomised to treatment with vutrisiran 25 mg once every 3</w:t>
      </w:r>
      <w:r w:rsidR="007D2120">
        <w:t> </w:t>
      </w:r>
      <w:r w:rsidRPr="002106BA">
        <w:t>months or vutrisiran 50 mg once every 6 months. Listing of the vutrisiran 50 mg once 6</w:t>
      </w:r>
      <w:r w:rsidR="0058184E">
        <w:t> </w:t>
      </w:r>
      <w:r w:rsidRPr="002106BA">
        <w:t xml:space="preserve">monthly regimen was not requested in the submission. </w:t>
      </w:r>
      <w:r w:rsidR="00F13D41" w:rsidRPr="002106BA">
        <w:t xml:space="preserve">Limited results </w:t>
      </w:r>
      <w:r w:rsidR="000F126C" w:rsidRPr="002106BA">
        <w:t xml:space="preserve">of the extension study </w:t>
      </w:r>
      <w:r w:rsidR="00F13D41" w:rsidRPr="002106BA">
        <w:t>were presented</w:t>
      </w:r>
      <w:r w:rsidR="000F126C" w:rsidRPr="002106BA">
        <w:t>,</w:t>
      </w:r>
      <w:r w:rsidR="00F13D41" w:rsidRPr="002106BA">
        <w:t xml:space="preserve"> based on a p</w:t>
      </w:r>
      <w:r w:rsidR="009A2CBA" w:rsidRPr="002106BA">
        <w:t xml:space="preserve">reliminary </w:t>
      </w:r>
      <w:r w:rsidR="00F13D41" w:rsidRPr="002106BA">
        <w:t xml:space="preserve">analysis </w:t>
      </w:r>
      <w:r w:rsidR="004325A6" w:rsidRPr="002106BA">
        <w:t xml:space="preserve">at 9 months </w:t>
      </w:r>
      <w:r w:rsidR="00F13D41" w:rsidRPr="002106BA">
        <w:t>(</w:t>
      </w:r>
      <w:r w:rsidR="004325A6" w:rsidRPr="002106BA">
        <w:t>poster/abstract</w:t>
      </w:r>
      <w:r w:rsidR="00CA4697" w:rsidRPr="002106BA">
        <w:t xml:space="preserve"> </w:t>
      </w:r>
      <w:r w:rsidR="00F13D41" w:rsidRPr="002106BA">
        <w:t xml:space="preserve">only; </w:t>
      </w:r>
      <w:r w:rsidR="009C56DB" w:rsidRPr="002106BA">
        <w:t>Obici et al 202</w:t>
      </w:r>
      <w:r w:rsidR="00DD5B09" w:rsidRPr="002106BA">
        <w:t>3</w:t>
      </w:r>
      <w:r w:rsidR="009C56DB" w:rsidRPr="002106BA">
        <w:t>)</w:t>
      </w:r>
      <w:r w:rsidR="00F13D41" w:rsidRPr="002106BA">
        <w:t>. Results</w:t>
      </w:r>
      <w:r w:rsidR="004325A6" w:rsidRPr="002106BA">
        <w:t xml:space="preserve"> </w:t>
      </w:r>
      <w:r w:rsidR="0063521A" w:rsidRPr="002106BA">
        <w:t xml:space="preserve">included a mix of patients continuing vutrisiran </w:t>
      </w:r>
      <w:r w:rsidR="00F13D41" w:rsidRPr="002106BA">
        <w:t>and</w:t>
      </w:r>
      <w:r w:rsidR="0063521A" w:rsidRPr="002106BA">
        <w:t xml:space="preserve"> switching to vutrisiran from patisiran</w:t>
      </w:r>
      <w:r w:rsidR="004A7E49" w:rsidRPr="002106BA">
        <w:t>,</w:t>
      </w:r>
      <w:r w:rsidR="009B7B16" w:rsidRPr="002106BA">
        <w:t xml:space="preserve"> </w:t>
      </w:r>
      <w:r w:rsidR="004A7E49" w:rsidRPr="002106BA">
        <w:t xml:space="preserve">with unknown patient disposition on re-randomisation </w:t>
      </w:r>
      <w:r w:rsidR="00EE5C09" w:rsidRPr="002106BA">
        <w:t>and</w:t>
      </w:r>
      <w:r w:rsidR="009B7B16" w:rsidRPr="002106BA">
        <w:t xml:space="preserve"> uncertain </w:t>
      </w:r>
      <w:r w:rsidR="00EE5C09" w:rsidRPr="002106BA">
        <w:t xml:space="preserve">duration of treatment with </w:t>
      </w:r>
      <w:r w:rsidR="004A7E49" w:rsidRPr="002106BA">
        <w:t xml:space="preserve">vutrisiran and </w:t>
      </w:r>
      <w:r w:rsidR="00EE5C09" w:rsidRPr="002106BA">
        <w:t>respective dose regimen</w:t>
      </w:r>
      <w:r w:rsidR="004A7E49" w:rsidRPr="002106BA">
        <w:t>s</w:t>
      </w:r>
      <w:r w:rsidR="0063521A" w:rsidRPr="002106BA">
        <w:t>.</w:t>
      </w:r>
      <w:r w:rsidR="004A7E49" w:rsidRPr="002106BA">
        <w:t xml:space="preserve"> </w:t>
      </w:r>
    </w:p>
    <w:p w14:paraId="4A4FE085" w14:textId="1C5613CC" w:rsidR="00B60939" w:rsidRPr="002106BA" w:rsidRDefault="00B60939" w:rsidP="003D5DE7">
      <w:pPr>
        <w:pStyle w:val="COMH2-non-numbered"/>
      </w:pPr>
      <w:bookmarkStart w:id="20" w:name="_Toc22897641"/>
      <w:bookmarkStart w:id="21" w:name="_Toc177559178"/>
      <w:r w:rsidRPr="002106BA">
        <w:t>Comparative effectiveness</w:t>
      </w:r>
      <w:bookmarkEnd w:id="20"/>
      <w:bookmarkEnd w:id="21"/>
    </w:p>
    <w:p w14:paraId="3E6194E1" w14:textId="7596BE92" w:rsidR="00691617" w:rsidRPr="002106BA" w:rsidRDefault="00691617" w:rsidP="00691617">
      <w:pPr>
        <w:pStyle w:val="COMH3"/>
        <w:rPr>
          <w:sz w:val="24"/>
          <w:szCs w:val="22"/>
        </w:rPr>
      </w:pPr>
      <w:r w:rsidRPr="002106BA">
        <w:rPr>
          <w:sz w:val="24"/>
          <w:szCs w:val="22"/>
        </w:rPr>
        <w:t>Vutrisiran versus placebo</w:t>
      </w:r>
    </w:p>
    <w:p w14:paraId="28593FB8" w14:textId="02CB8808" w:rsidR="002C2775" w:rsidRPr="002106BA" w:rsidRDefault="00B70DC1" w:rsidP="00EC5836">
      <w:pPr>
        <w:pStyle w:val="COMexecsummnumbered"/>
        <w:rPr>
          <w:color w:val="0066FF"/>
        </w:rPr>
      </w:pPr>
      <w:r w:rsidRPr="002106BA">
        <w:fldChar w:fldCharType="begin"/>
      </w:r>
      <w:r w:rsidRPr="002106BA">
        <w:instrText xml:space="preserve"> REF _Ref174958589 \h </w:instrText>
      </w:r>
      <w:r w:rsidR="00364566" w:rsidRPr="002106BA">
        <w:instrText xml:space="preserve"> \* MERGEFORMAT </w:instrText>
      </w:r>
      <w:r w:rsidRPr="002106BA">
        <w:fldChar w:fldCharType="separate"/>
      </w:r>
      <w:r w:rsidR="00DB6E9D" w:rsidRPr="002106BA">
        <w:t xml:space="preserve">Table </w:t>
      </w:r>
      <w:r w:rsidR="00DB6E9D">
        <w:t>4</w:t>
      </w:r>
      <w:r w:rsidRPr="002106BA">
        <w:fldChar w:fldCharType="end"/>
      </w:r>
      <w:r w:rsidR="000E06B5" w:rsidRPr="002106BA">
        <w:t xml:space="preserve"> summarise</w:t>
      </w:r>
      <w:r w:rsidR="00691617" w:rsidRPr="002106BA">
        <w:t>s</w:t>
      </w:r>
      <w:r w:rsidR="000E06B5" w:rsidRPr="002106BA">
        <w:t xml:space="preserve"> the change from baseline to Month 18 in the HELIOS-A primary outcome of mNIS+7 (including subscales), comparing vutrisiran with an external placebo arm from the APOLLO study</w:t>
      </w:r>
      <w:r w:rsidR="000E06B5" w:rsidRPr="002106BA">
        <w:rPr>
          <w:color w:val="0066FF"/>
        </w:rPr>
        <w:t>.</w:t>
      </w:r>
    </w:p>
    <w:p w14:paraId="6B522D08" w14:textId="4A2BB8CF" w:rsidR="00D026F4" w:rsidRPr="002106BA" w:rsidRDefault="00D026F4" w:rsidP="00D026F4">
      <w:pPr>
        <w:pStyle w:val="COMTableheadingrow"/>
        <w:rPr>
          <w:lang w:val="en-AU"/>
        </w:rPr>
      </w:pPr>
      <w:bookmarkStart w:id="22" w:name="_Ref174958589"/>
      <w:r w:rsidRPr="002106BA">
        <w:rPr>
          <w:lang w:val="en-AU"/>
        </w:rPr>
        <w:t xml:space="preserve">Table </w:t>
      </w:r>
      <w:r w:rsidRPr="002106BA">
        <w:rPr>
          <w:lang w:val="en-AU"/>
        </w:rPr>
        <w:fldChar w:fldCharType="begin"/>
      </w:r>
      <w:r w:rsidRPr="002106BA">
        <w:rPr>
          <w:lang w:val="en-AU"/>
        </w:rPr>
        <w:instrText xml:space="preserve"> SEQ Table \* ARABIC </w:instrText>
      </w:r>
      <w:r w:rsidRPr="002106BA">
        <w:rPr>
          <w:lang w:val="en-AU"/>
        </w:rPr>
        <w:fldChar w:fldCharType="separate"/>
      </w:r>
      <w:r w:rsidR="00DB6E9D">
        <w:rPr>
          <w:noProof/>
          <w:lang w:val="en-AU"/>
        </w:rPr>
        <w:t>4</w:t>
      </w:r>
      <w:r w:rsidRPr="002106BA">
        <w:rPr>
          <w:lang w:val="en-AU"/>
        </w:rPr>
        <w:fldChar w:fldCharType="end"/>
      </w:r>
      <w:bookmarkEnd w:id="22"/>
      <w:r w:rsidRPr="002106BA">
        <w:rPr>
          <w:lang w:val="en-AU"/>
        </w:rPr>
        <w:t xml:space="preserve">: </w:t>
      </w:r>
      <w:r w:rsidR="00E54F0A" w:rsidRPr="002106BA">
        <w:rPr>
          <w:lang w:val="en-AU"/>
        </w:rPr>
        <w:t>C</w:t>
      </w:r>
      <w:r w:rsidRPr="002106BA">
        <w:rPr>
          <w:lang w:val="en-AU"/>
        </w:rPr>
        <w:t xml:space="preserve">hange in mNIS+7 and component subscales from baseline to Month 18 (external </w:t>
      </w:r>
      <w:r w:rsidR="00E54F0A" w:rsidRPr="002106BA">
        <w:rPr>
          <w:lang w:val="en-AU"/>
        </w:rPr>
        <w:t>placebo</w:t>
      </w:r>
      <w:r w:rsidRPr="002106BA">
        <w:rPr>
          <w:lang w:val="en-AU"/>
        </w:rPr>
        <w:t>; mITT)</w:t>
      </w:r>
    </w:p>
    <w:tbl>
      <w:tblPr>
        <w:tblStyle w:val="TableGrid"/>
        <w:tblW w:w="9018" w:type="dxa"/>
        <w:tblLayout w:type="fixed"/>
        <w:tblLook w:val="04A0" w:firstRow="1" w:lastRow="0" w:firstColumn="1" w:lastColumn="0" w:noHBand="0" w:noVBand="1"/>
      </w:tblPr>
      <w:tblGrid>
        <w:gridCol w:w="1271"/>
        <w:gridCol w:w="1608"/>
        <w:gridCol w:w="1470"/>
        <w:gridCol w:w="1316"/>
        <w:gridCol w:w="1414"/>
        <w:gridCol w:w="1939"/>
      </w:tblGrid>
      <w:tr w:rsidR="00D026F4" w:rsidRPr="002106BA" w14:paraId="783143FA" w14:textId="77777777" w:rsidTr="009B1087">
        <w:trPr>
          <w:trHeight w:val="698"/>
        </w:trPr>
        <w:tc>
          <w:tcPr>
            <w:tcW w:w="1271" w:type="dxa"/>
            <w:vMerge w:val="restart"/>
            <w:vAlign w:val="center"/>
          </w:tcPr>
          <w:p w14:paraId="4050CF35" w14:textId="77777777" w:rsidR="00D026F4" w:rsidRPr="002106BA" w:rsidRDefault="00D026F4" w:rsidP="009B1087">
            <w:pPr>
              <w:pStyle w:val="COMTabletext"/>
              <w:rPr>
                <w:b/>
                <w:bCs w:val="0"/>
              </w:rPr>
            </w:pPr>
            <w:r w:rsidRPr="002106BA">
              <w:rPr>
                <w:b/>
                <w:bCs w:val="0"/>
              </w:rPr>
              <w:t>Outcomes</w:t>
            </w:r>
          </w:p>
        </w:tc>
        <w:tc>
          <w:tcPr>
            <w:tcW w:w="1608" w:type="dxa"/>
            <w:vAlign w:val="center"/>
          </w:tcPr>
          <w:p w14:paraId="772A0CB3" w14:textId="77777777" w:rsidR="00D026F4" w:rsidRPr="002106BA" w:rsidRDefault="00D026F4" w:rsidP="009B1087">
            <w:pPr>
              <w:pStyle w:val="COMTabletext"/>
              <w:ind w:left="-67" w:right="-61"/>
              <w:jc w:val="center"/>
              <w:rPr>
                <w:b/>
                <w:bCs w:val="0"/>
              </w:rPr>
            </w:pPr>
            <w:r w:rsidRPr="002106BA">
              <w:rPr>
                <w:b/>
                <w:bCs w:val="0"/>
              </w:rPr>
              <w:t>HELIOS-A</w:t>
            </w:r>
          </w:p>
          <w:p w14:paraId="2336372D" w14:textId="77777777" w:rsidR="00D026F4" w:rsidRPr="002106BA" w:rsidRDefault="00D026F4" w:rsidP="009B1087">
            <w:pPr>
              <w:pStyle w:val="COMTabletext"/>
              <w:ind w:left="-67" w:right="-61"/>
              <w:jc w:val="center"/>
              <w:rPr>
                <w:b/>
                <w:bCs w:val="0"/>
              </w:rPr>
            </w:pPr>
            <w:r w:rsidRPr="002106BA">
              <w:rPr>
                <w:b/>
                <w:bCs w:val="0"/>
              </w:rPr>
              <w:t>vutrisiran</w:t>
            </w:r>
          </w:p>
          <w:p w14:paraId="71EF6E78" w14:textId="77777777" w:rsidR="00D026F4" w:rsidRPr="002106BA" w:rsidRDefault="00D026F4" w:rsidP="009B1087">
            <w:pPr>
              <w:pStyle w:val="COMTabletext"/>
              <w:ind w:left="-67" w:right="-61"/>
              <w:jc w:val="center"/>
              <w:rPr>
                <w:b/>
                <w:bCs w:val="0"/>
              </w:rPr>
            </w:pPr>
            <w:r w:rsidRPr="002106BA">
              <w:rPr>
                <w:b/>
                <w:bCs w:val="0"/>
              </w:rPr>
              <w:t>(n=122)</w:t>
            </w:r>
          </w:p>
        </w:tc>
        <w:tc>
          <w:tcPr>
            <w:tcW w:w="1470" w:type="dxa"/>
            <w:vAlign w:val="center"/>
          </w:tcPr>
          <w:p w14:paraId="096DE97C" w14:textId="77777777" w:rsidR="00D026F4" w:rsidRPr="002106BA" w:rsidRDefault="00D026F4" w:rsidP="009B1087">
            <w:pPr>
              <w:pStyle w:val="COMTabletext"/>
              <w:ind w:left="-67" w:right="-61"/>
              <w:jc w:val="center"/>
              <w:rPr>
                <w:b/>
                <w:bCs w:val="0"/>
              </w:rPr>
            </w:pPr>
            <w:r w:rsidRPr="002106BA">
              <w:rPr>
                <w:b/>
                <w:bCs w:val="0"/>
              </w:rPr>
              <w:t>APOLLO</w:t>
            </w:r>
          </w:p>
          <w:p w14:paraId="58A2DF23" w14:textId="77777777" w:rsidR="00D026F4" w:rsidRPr="002106BA" w:rsidRDefault="00D026F4" w:rsidP="009B1087">
            <w:pPr>
              <w:pStyle w:val="COMTabletext"/>
              <w:ind w:left="-67" w:right="-61"/>
              <w:jc w:val="center"/>
              <w:rPr>
                <w:b/>
                <w:bCs w:val="0"/>
              </w:rPr>
            </w:pPr>
            <w:r w:rsidRPr="002106BA">
              <w:rPr>
                <w:b/>
                <w:bCs w:val="0"/>
              </w:rPr>
              <w:t>external placebo</w:t>
            </w:r>
          </w:p>
          <w:p w14:paraId="7B57182E" w14:textId="77777777" w:rsidR="00D026F4" w:rsidRPr="002106BA" w:rsidRDefault="00D026F4" w:rsidP="009B1087">
            <w:pPr>
              <w:pStyle w:val="COMTabletext"/>
              <w:ind w:left="-67" w:right="-61"/>
              <w:jc w:val="center"/>
              <w:rPr>
                <w:b/>
                <w:bCs w:val="0"/>
              </w:rPr>
            </w:pPr>
            <w:r w:rsidRPr="002106BA">
              <w:rPr>
                <w:b/>
                <w:bCs w:val="0"/>
              </w:rPr>
              <w:t>(n=77)</w:t>
            </w:r>
          </w:p>
        </w:tc>
        <w:tc>
          <w:tcPr>
            <w:tcW w:w="1316" w:type="dxa"/>
            <w:vAlign w:val="center"/>
          </w:tcPr>
          <w:p w14:paraId="57478E14" w14:textId="77777777" w:rsidR="00D026F4" w:rsidRPr="002106BA" w:rsidRDefault="00D026F4" w:rsidP="009B1087">
            <w:pPr>
              <w:pStyle w:val="COMTabletext"/>
              <w:ind w:left="-67" w:right="-61"/>
              <w:jc w:val="center"/>
              <w:rPr>
                <w:b/>
                <w:bCs w:val="0"/>
              </w:rPr>
            </w:pPr>
            <w:r w:rsidRPr="002106BA">
              <w:rPr>
                <w:b/>
                <w:bCs w:val="0"/>
              </w:rPr>
              <w:t>HELIOS-A</w:t>
            </w:r>
          </w:p>
          <w:p w14:paraId="135756F5" w14:textId="29ADBC84" w:rsidR="00D026F4" w:rsidRPr="002106BA" w:rsidRDefault="00F31CC4" w:rsidP="009B1087">
            <w:pPr>
              <w:pStyle w:val="COMTabletext"/>
              <w:ind w:left="-67" w:right="-61"/>
              <w:jc w:val="center"/>
              <w:rPr>
                <w:b/>
                <w:bCs w:val="0"/>
              </w:rPr>
            </w:pPr>
            <w:r w:rsidRPr="002106BA">
              <w:rPr>
                <w:b/>
                <w:bCs w:val="0"/>
              </w:rPr>
              <w:t>V</w:t>
            </w:r>
            <w:r w:rsidR="00D026F4" w:rsidRPr="002106BA">
              <w:rPr>
                <w:b/>
                <w:bCs w:val="0"/>
              </w:rPr>
              <w:t>utrisiran</w:t>
            </w:r>
          </w:p>
          <w:p w14:paraId="6F22685C" w14:textId="29F400C1" w:rsidR="00F31CC4" w:rsidRPr="002106BA" w:rsidRDefault="00F31CC4" w:rsidP="009B1087">
            <w:pPr>
              <w:pStyle w:val="COMTabletext"/>
              <w:ind w:left="-67" w:right="-61"/>
              <w:jc w:val="center"/>
              <w:rPr>
                <w:b/>
                <w:bCs w:val="0"/>
              </w:rPr>
            </w:pPr>
            <w:r w:rsidRPr="002106BA">
              <w:rPr>
                <w:b/>
                <w:bCs w:val="0"/>
              </w:rPr>
              <w:t>(n=</w:t>
            </w:r>
            <w:r w:rsidR="00537BAB" w:rsidRPr="002106BA">
              <w:rPr>
                <w:b/>
                <w:bCs w:val="0"/>
              </w:rPr>
              <w:t>112</w:t>
            </w:r>
            <w:r w:rsidRPr="002106BA">
              <w:rPr>
                <w:b/>
                <w:bCs w:val="0"/>
              </w:rPr>
              <w:t>)</w:t>
            </w:r>
          </w:p>
        </w:tc>
        <w:tc>
          <w:tcPr>
            <w:tcW w:w="1414" w:type="dxa"/>
            <w:vAlign w:val="center"/>
          </w:tcPr>
          <w:p w14:paraId="160A7C1F" w14:textId="77777777" w:rsidR="00D026F4" w:rsidRPr="002106BA" w:rsidRDefault="00D026F4" w:rsidP="009B1087">
            <w:pPr>
              <w:pStyle w:val="COMTabletext"/>
              <w:ind w:left="-67" w:right="-61"/>
              <w:jc w:val="center"/>
              <w:rPr>
                <w:b/>
                <w:bCs w:val="0"/>
              </w:rPr>
            </w:pPr>
            <w:r w:rsidRPr="002106BA">
              <w:rPr>
                <w:b/>
                <w:bCs w:val="0"/>
              </w:rPr>
              <w:t>APOLLO</w:t>
            </w:r>
          </w:p>
          <w:p w14:paraId="5B6265A9" w14:textId="77777777" w:rsidR="00D026F4" w:rsidRPr="002106BA" w:rsidRDefault="00D026F4" w:rsidP="009B1087">
            <w:pPr>
              <w:pStyle w:val="COMTabletext"/>
              <w:ind w:left="-67" w:right="-61"/>
              <w:jc w:val="center"/>
              <w:rPr>
                <w:b/>
                <w:bCs w:val="0"/>
              </w:rPr>
            </w:pPr>
            <w:r w:rsidRPr="002106BA">
              <w:rPr>
                <w:b/>
                <w:bCs w:val="0"/>
              </w:rPr>
              <w:t>external placebo</w:t>
            </w:r>
          </w:p>
          <w:p w14:paraId="2B487DEA" w14:textId="27BA4D15" w:rsidR="00F31CC4" w:rsidRPr="002106BA" w:rsidRDefault="00F31CC4" w:rsidP="009B1087">
            <w:pPr>
              <w:pStyle w:val="COMTabletext"/>
              <w:ind w:left="-67" w:right="-61"/>
              <w:jc w:val="center"/>
              <w:rPr>
                <w:b/>
                <w:bCs w:val="0"/>
              </w:rPr>
            </w:pPr>
            <w:r w:rsidRPr="002106BA">
              <w:rPr>
                <w:b/>
                <w:bCs w:val="0"/>
              </w:rPr>
              <w:t>(n=</w:t>
            </w:r>
            <w:r w:rsidR="00537BAB" w:rsidRPr="002106BA">
              <w:rPr>
                <w:b/>
                <w:bCs w:val="0"/>
              </w:rPr>
              <w:t>51</w:t>
            </w:r>
            <w:r w:rsidRPr="002106BA">
              <w:rPr>
                <w:b/>
                <w:bCs w:val="0"/>
              </w:rPr>
              <w:t>)</w:t>
            </w:r>
          </w:p>
        </w:tc>
        <w:tc>
          <w:tcPr>
            <w:tcW w:w="1939" w:type="dxa"/>
            <w:vMerge w:val="restart"/>
            <w:vAlign w:val="center"/>
          </w:tcPr>
          <w:p w14:paraId="17134CE2" w14:textId="77777777" w:rsidR="00D026F4" w:rsidRPr="002106BA" w:rsidRDefault="00D026F4" w:rsidP="009B1087">
            <w:pPr>
              <w:pStyle w:val="TableText"/>
            </w:pPr>
            <w:r w:rsidRPr="002106BA">
              <w:t>Difference</w:t>
            </w:r>
          </w:p>
          <w:p w14:paraId="5A792988" w14:textId="77777777" w:rsidR="00D026F4" w:rsidRPr="002106BA" w:rsidRDefault="00D026F4" w:rsidP="009B1087">
            <w:pPr>
              <w:pStyle w:val="TableText"/>
            </w:pPr>
            <w:r w:rsidRPr="002106BA">
              <w:t>LS mean change</w:t>
            </w:r>
          </w:p>
          <w:p w14:paraId="753B1F6B" w14:textId="77777777" w:rsidR="00D026F4" w:rsidRPr="002106BA" w:rsidRDefault="00D026F4" w:rsidP="009B1087">
            <w:pPr>
              <w:pStyle w:val="COMTabletext"/>
              <w:ind w:left="-67" w:right="-61"/>
              <w:jc w:val="center"/>
            </w:pPr>
            <w:r w:rsidRPr="002106BA">
              <w:rPr>
                <w:b/>
                <w:bCs w:val="0"/>
              </w:rPr>
              <w:t>(95% CI)</w:t>
            </w:r>
          </w:p>
        </w:tc>
      </w:tr>
      <w:tr w:rsidR="00D026F4" w:rsidRPr="002106BA" w14:paraId="5D904445" w14:textId="77777777" w:rsidTr="009B1087">
        <w:tc>
          <w:tcPr>
            <w:tcW w:w="1271" w:type="dxa"/>
            <w:vMerge/>
            <w:vAlign w:val="center"/>
          </w:tcPr>
          <w:p w14:paraId="1509D49F" w14:textId="77777777" w:rsidR="00D026F4" w:rsidRPr="002106BA" w:rsidRDefault="00D026F4" w:rsidP="009B1087">
            <w:pPr>
              <w:pStyle w:val="COMTabletext"/>
            </w:pPr>
          </w:p>
        </w:tc>
        <w:tc>
          <w:tcPr>
            <w:tcW w:w="3078" w:type="dxa"/>
            <w:gridSpan w:val="2"/>
            <w:vAlign w:val="center"/>
          </w:tcPr>
          <w:p w14:paraId="352E828C" w14:textId="77777777" w:rsidR="00D026F4" w:rsidRPr="002106BA" w:rsidRDefault="00D026F4" w:rsidP="009B1087">
            <w:pPr>
              <w:pStyle w:val="COMTabletext"/>
              <w:ind w:left="-67" w:right="-61"/>
              <w:jc w:val="center"/>
              <w:rPr>
                <w:b/>
                <w:bCs w:val="0"/>
              </w:rPr>
            </w:pPr>
            <w:r w:rsidRPr="002106BA">
              <w:rPr>
                <w:b/>
                <w:bCs w:val="0"/>
              </w:rPr>
              <w:t>Baseline mean (SD)</w:t>
            </w:r>
          </w:p>
        </w:tc>
        <w:tc>
          <w:tcPr>
            <w:tcW w:w="2730" w:type="dxa"/>
            <w:gridSpan w:val="2"/>
            <w:vAlign w:val="center"/>
          </w:tcPr>
          <w:p w14:paraId="545303D5" w14:textId="06373D30" w:rsidR="00D026F4" w:rsidRPr="002106BA" w:rsidRDefault="00D026F4" w:rsidP="009B1087">
            <w:pPr>
              <w:pStyle w:val="COMTabletext"/>
              <w:ind w:left="-67" w:right="-61"/>
              <w:jc w:val="center"/>
              <w:rPr>
                <w:b/>
                <w:bCs w:val="0"/>
              </w:rPr>
            </w:pPr>
            <w:r w:rsidRPr="002106BA">
              <w:rPr>
                <w:b/>
                <w:bCs w:val="0"/>
              </w:rPr>
              <w:t>LS mean change</w:t>
            </w:r>
            <w:r w:rsidR="00A62D18" w:rsidRPr="002106BA">
              <w:rPr>
                <w:b/>
                <w:bCs w:val="0"/>
              </w:rPr>
              <w:t xml:space="preserve"> from baseline</w:t>
            </w:r>
            <w:r w:rsidRPr="002106BA">
              <w:rPr>
                <w:b/>
                <w:bCs w:val="0"/>
              </w:rPr>
              <w:t xml:space="preserve"> (SEM)</w:t>
            </w:r>
          </w:p>
        </w:tc>
        <w:tc>
          <w:tcPr>
            <w:tcW w:w="1939" w:type="dxa"/>
            <w:vMerge/>
            <w:vAlign w:val="center"/>
          </w:tcPr>
          <w:p w14:paraId="0FC6ED74" w14:textId="77777777" w:rsidR="00D026F4" w:rsidRPr="002106BA" w:rsidRDefault="00D026F4" w:rsidP="009B1087">
            <w:pPr>
              <w:pStyle w:val="COMTabletext"/>
              <w:ind w:left="-67" w:right="-61"/>
            </w:pPr>
          </w:p>
        </w:tc>
      </w:tr>
      <w:tr w:rsidR="00D026F4" w:rsidRPr="002106BA" w14:paraId="1449EB6E" w14:textId="77777777" w:rsidTr="009B1087">
        <w:tc>
          <w:tcPr>
            <w:tcW w:w="1271" w:type="dxa"/>
            <w:vAlign w:val="center"/>
          </w:tcPr>
          <w:p w14:paraId="0297EFB3" w14:textId="77777777" w:rsidR="00D026F4" w:rsidRPr="002106BA" w:rsidRDefault="00D026F4" w:rsidP="009B1087">
            <w:pPr>
              <w:pStyle w:val="COMTabletext"/>
              <w:ind w:right="-80"/>
            </w:pPr>
            <w:r w:rsidRPr="002106BA">
              <w:t xml:space="preserve">mNIS+7 </w:t>
            </w:r>
          </w:p>
          <w:p w14:paraId="19D35755" w14:textId="77777777" w:rsidR="00D026F4" w:rsidRPr="002106BA" w:rsidRDefault="00D026F4" w:rsidP="009B1087">
            <w:pPr>
              <w:pStyle w:val="COMTabletext"/>
              <w:ind w:right="-80"/>
              <w:rPr>
                <w:vertAlign w:val="superscript"/>
              </w:rPr>
            </w:pPr>
            <w:r w:rsidRPr="002106BA">
              <w:t>(total score)</w:t>
            </w:r>
            <w:r w:rsidRPr="002106BA">
              <w:rPr>
                <w:vertAlign w:val="superscript"/>
              </w:rPr>
              <w:t>a</w:t>
            </w:r>
          </w:p>
        </w:tc>
        <w:tc>
          <w:tcPr>
            <w:tcW w:w="1608" w:type="dxa"/>
            <w:vAlign w:val="center"/>
          </w:tcPr>
          <w:p w14:paraId="5BCA1F49" w14:textId="77777777" w:rsidR="00D026F4" w:rsidRPr="002106BA" w:rsidRDefault="00D026F4" w:rsidP="009B1087">
            <w:pPr>
              <w:pStyle w:val="COMTabletext"/>
              <w:ind w:left="-67" w:right="-61"/>
              <w:jc w:val="center"/>
            </w:pPr>
            <w:r w:rsidRPr="002106BA">
              <w:t>60.57 (35.99)</w:t>
            </w:r>
          </w:p>
        </w:tc>
        <w:tc>
          <w:tcPr>
            <w:tcW w:w="1470" w:type="dxa"/>
            <w:vAlign w:val="center"/>
          </w:tcPr>
          <w:p w14:paraId="741F2854" w14:textId="77777777" w:rsidR="00D026F4" w:rsidRPr="002106BA" w:rsidRDefault="00D026F4" w:rsidP="009B1087">
            <w:pPr>
              <w:pStyle w:val="COMTabletext"/>
              <w:ind w:left="-67" w:right="-61"/>
              <w:jc w:val="center"/>
            </w:pPr>
            <w:r w:rsidRPr="002106BA">
              <w:t>74.61 (37.04)</w:t>
            </w:r>
          </w:p>
        </w:tc>
        <w:tc>
          <w:tcPr>
            <w:tcW w:w="1316" w:type="dxa"/>
            <w:vAlign w:val="center"/>
          </w:tcPr>
          <w:p w14:paraId="6A5B2589" w14:textId="77777777" w:rsidR="00D026F4" w:rsidRPr="002106BA" w:rsidRDefault="00D026F4" w:rsidP="009B1087">
            <w:pPr>
              <w:pStyle w:val="COMTabletext"/>
              <w:ind w:left="-67" w:right="-61"/>
              <w:jc w:val="center"/>
            </w:pPr>
            <w:r w:rsidRPr="002106BA">
              <w:t>–0.46 (1.60)</w:t>
            </w:r>
          </w:p>
        </w:tc>
        <w:tc>
          <w:tcPr>
            <w:tcW w:w="1413" w:type="dxa"/>
            <w:vAlign w:val="center"/>
          </w:tcPr>
          <w:p w14:paraId="45BBDEE6" w14:textId="77777777" w:rsidR="00D026F4" w:rsidRPr="002106BA" w:rsidRDefault="00D026F4" w:rsidP="009B1087">
            <w:pPr>
              <w:pStyle w:val="COMTabletext"/>
              <w:ind w:left="-67" w:right="-61"/>
              <w:jc w:val="center"/>
            </w:pPr>
            <w:r w:rsidRPr="002106BA">
              <w:t>28.09 (2.28)</w:t>
            </w:r>
          </w:p>
        </w:tc>
        <w:tc>
          <w:tcPr>
            <w:tcW w:w="1939" w:type="dxa"/>
            <w:vAlign w:val="center"/>
          </w:tcPr>
          <w:p w14:paraId="5362E722" w14:textId="77777777" w:rsidR="00D026F4" w:rsidRPr="002106BA" w:rsidRDefault="00D026F4" w:rsidP="009B1087">
            <w:pPr>
              <w:pStyle w:val="COMTabletext"/>
              <w:ind w:left="-67" w:right="-61"/>
              <w:jc w:val="center"/>
              <w:rPr>
                <w:b/>
                <w:bCs w:val="0"/>
              </w:rPr>
            </w:pPr>
            <w:r w:rsidRPr="002106BA">
              <w:rPr>
                <w:b/>
                <w:bCs w:val="0"/>
              </w:rPr>
              <w:t>–28.55 (–34.00, –23.10)</w:t>
            </w:r>
          </w:p>
        </w:tc>
      </w:tr>
      <w:tr w:rsidR="00D026F4" w:rsidRPr="002106BA" w14:paraId="599173F7" w14:textId="77777777" w:rsidTr="009B1087">
        <w:tc>
          <w:tcPr>
            <w:tcW w:w="1271" w:type="dxa"/>
            <w:vAlign w:val="center"/>
          </w:tcPr>
          <w:p w14:paraId="72D999E6" w14:textId="77777777" w:rsidR="00D026F4" w:rsidRPr="002106BA" w:rsidRDefault="00D026F4" w:rsidP="009B1087">
            <w:pPr>
              <w:pStyle w:val="COMTabletext"/>
              <w:ind w:right="-80"/>
            </w:pPr>
            <w:r w:rsidRPr="002106BA">
              <w:t>NIS-weakness</w:t>
            </w:r>
          </w:p>
        </w:tc>
        <w:tc>
          <w:tcPr>
            <w:tcW w:w="1608" w:type="dxa"/>
          </w:tcPr>
          <w:p w14:paraId="20F1FC93" w14:textId="77777777" w:rsidR="00D026F4" w:rsidRPr="002106BA" w:rsidRDefault="00D026F4" w:rsidP="009B1087">
            <w:pPr>
              <w:pStyle w:val="COMTabletext"/>
              <w:ind w:left="-67" w:right="-61"/>
              <w:jc w:val="center"/>
            </w:pPr>
            <w:r w:rsidRPr="002106BA">
              <w:t>20.9 (19.7)</w:t>
            </w:r>
          </w:p>
        </w:tc>
        <w:tc>
          <w:tcPr>
            <w:tcW w:w="1470" w:type="dxa"/>
          </w:tcPr>
          <w:p w14:paraId="7E735C27" w14:textId="77777777" w:rsidR="00D026F4" w:rsidRPr="002106BA" w:rsidRDefault="00D026F4" w:rsidP="009B1087">
            <w:pPr>
              <w:pStyle w:val="COMTabletext"/>
              <w:ind w:left="-67" w:right="-61"/>
              <w:jc w:val="center"/>
            </w:pPr>
            <w:r w:rsidRPr="002106BA">
              <w:t>29.0 (22.9)</w:t>
            </w:r>
          </w:p>
        </w:tc>
        <w:tc>
          <w:tcPr>
            <w:tcW w:w="1316" w:type="dxa"/>
          </w:tcPr>
          <w:p w14:paraId="2AA352AF" w14:textId="77777777" w:rsidR="00D026F4" w:rsidRPr="002106BA" w:rsidRDefault="00D026F4" w:rsidP="009B1087">
            <w:pPr>
              <w:pStyle w:val="COMTabletext"/>
              <w:ind w:left="-67" w:right="-61"/>
              <w:jc w:val="center"/>
            </w:pPr>
            <w:r w:rsidRPr="002106BA">
              <w:t>0.89 (1.13)</w:t>
            </w:r>
          </w:p>
        </w:tc>
        <w:tc>
          <w:tcPr>
            <w:tcW w:w="1413" w:type="dxa"/>
          </w:tcPr>
          <w:p w14:paraId="56A7C9A2" w14:textId="77777777" w:rsidR="00D026F4" w:rsidRPr="002106BA" w:rsidRDefault="00D026F4" w:rsidP="009B1087">
            <w:pPr>
              <w:pStyle w:val="COMTabletext"/>
              <w:ind w:left="-67" w:right="-61"/>
              <w:jc w:val="center"/>
            </w:pPr>
            <w:r w:rsidRPr="002106BA">
              <w:t>19.30 (1.61)</w:t>
            </w:r>
          </w:p>
        </w:tc>
        <w:tc>
          <w:tcPr>
            <w:tcW w:w="1939" w:type="dxa"/>
            <w:vAlign w:val="center"/>
          </w:tcPr>
          <w:p w14:paraId="7DEF1F51" w14:textId="77777777" w:rsidR="00D026F4" w:rsidRPr="002106BA" w:rsidRDefault="00D026F4" w:rsidP="009B1087">
            <w:pPr>
              <w:pStyle w:val="COMTabletext"/>
              <w:ind w:left="-67" w:right="-61"/>
              <w:jc w:val="center"/>
              <w:rPr>
                <w:b/>
                <w:bCs w:val="0"/>
              </w:rPr>
            </w:pPr>
            <w:r w:rsidRPr="002106BA">
              <w:rPr>
                <w:b/>
                <w:bCs w:val="0"/>
              </w:rPr>
              <w:t>–18.4 (–22.3, –14.6)</w:t>
            </w:r>
          </w:p>
        </w:tc>
      </w:tr>
      <w:tr w:rsidR="00D026F4" w:rsidRPr="002106BA" w14:paraId="57044414" w14:textId="77777777" w:rsidTr="009B1087">
        <w:tc>
          <w:tcPr>
            <w:tcW w:w="1271" w:type="dxa"/>
            <w:vAlign w:val="center"/>
          </w:tcPr>
          <w:p w14:paraId="3C1AA937" w14:textId="77777777" w:rsidR="00D026F4" w:rsidRPr="002106BA" w:rsidRDefault="00D026F4" w:rsidP="009B1087">
            <w:pPr>
              <w:pStyle w:val="COMTabletext"/>
              <w:ind w:right="-80"/>
            </w:pPr>
            <w:r w:rsidRPr="002106BA">
              <w:t>NIS-reflexes</w:t>
            </w:r>
          </w:p>
        </w:tc>
        <w:tc>
          <w:tcPr>
            <w:tcW w:w="1608" w:type="dxa"/>
          </w:tcPr>
          <w:p w14:paraId="65DA7EB1" w14:textId="77777777" w:rsidR="00D026F4" w:rsidRPr="002106BA" w:rsidRDefault="00D026F4" w:rsidP="009B1087">
            <w:pPr>
              <w:pStyle w:val="COMTabletext"/>
              <w:ind w:left="-67" w:right="-61"/>
              <w:jc w:val="center"/>
            </w:pPr>
            <w:r w:rsidRPr="002106BA">
              <w:t>10.3 (6.5)</w:t>
            </w:r>
          </w:p>
        </w:tc>
        <w:tc>
          <w:tcPr>
            <w:tcW w:w="1470" w:type="dxa"/>
          </w:tcPr>
          <w:p w14:paraId="0A3B32BB" w14:textId="77777777" w:rsidR="00D026F4" w:rsidRPr="002106BA" w:rsidRDefault="00D026F4" w:rsidP="009B1087">
            <w:pPr>
              <w:pStyle w:val="COMTabletext"/>
              <w:ind w:left="-67" w:right="-61"/>
              <w:jc w:val="center"/>
            </w:pPr>
            <w:r w:rsidRPr="002106BA">
              <w:t>12.8 (5.9)</w:t>
            </w:r>
          </w:p>
        </w:tc>
        <w:tc>
          <w:tcPr>
            <w:tcW w:w="1316" w:type="dxa"/>
          </w:tcPr>
          <w:p w14:paraId="1C15EF07" w14:textId="77777777" w:rsidR="00D026F4" w:rsidRPr="002106BA" w:rsidRDefault="00D026F4" w:rsidP="009B1087">
            <w:pPr>
              <w:pStyle w:val="COMTabletext"/>
              <w:ind w:left="-67" w:right="-61"/>
              <w:jc w:val="center"/>
            </w:pPr>
            <w:r w:rsidRPr="002106BA">
              <w:t>–0.02 (0.32)</w:t>
            </w:r>
          </w:p>
        </w:tc>
        <w:tc>
          <w:tcPr>
            <w:tcW w:w="1413" w:type="dxa"/>
          </w:tcPr>
          <w:p w14:paraId="107F90C6" w14:textId="77777777" w:rsidR="00D026F4" w:rsidRPr="002106BA" w:rsidRDefault="00D026F4" w:rsidP="009B1087">
            <w:pPr>
              <w:pStyle w:val="COMTabletext"/>
              <w:ind w:left="-67" w:right="-61"/>
              <w:jc w:val="center"/>
            </w:pPr>
            <w:r w:rsidRPr="002106BA">
              <w:t>1.84 (0.46)</w:t>
            </w:r>
          </w:p>
        </w:tc>
        <w:tc>
          <w:tcPr>
            <w:tcW w:w="1939" w:type="dxa"/>
            <w:vAlign w:val="center"/>
          </w:tcPr>
          <w:p w14:paraId="08E1BC5F" w14:textId="77777777" w:rsidR="00D026F4" w:rsidRPr="002106BA" w:rsidRDefault="00D026F4" w:rsidP="009B1087">
            <w:pPr>
              <w:pStyle w:val="COMTabletext"/>
              <w:ind w:left="-67" w:right="-61"/>
              <w:jc w:val="center"/>
              <w:rPr>
                <w:b/>
                <w:bCs w:val="0"/>
              </w:rPr>
            </w:pPr>
            <w:r w:rsidRPr="002106BA">
              <w:rPr>
                <w:b/>
                <w:bCs w:val="0"/>
              </w:rPr>
              <w:t>–1.86 (–2.96, –0.77)</w:t>
            </w:r>
          </w:p>
        </w:tc>
      </w:tr>
      <w:tr w:rsidR="00D026F4" w:rsidRPr="002106BA" w14:paraId="19202E24" w14:textId="77777777" w:rsidTr="009B1087">
        <w:tc>
          <w:tcPr>
            <w:tcW w:w="1271" w:type="dxa"/>
            <w:vAlign w:val="center"/>
          </w:tcPr>
          <w:p w14:paraId="59B49C9D" w14:textId="77777777" w:rsidR="00D026F4" w:rsidRPr="002106BA" w:rsidRDefault="00D026F4" w:rsidP="009B1087">
            <w:pPr>
              <w:pStyle w:val="COMTabletext"/>
              <w:ind w:right="-80"/>
            </w:pPr>
            <w:r w:rsidRPr="002106BA">
              <w:t>QST</w:t>
            </w:r>
          </w:p>
        </w:tc>
        <w:tc>
          <w:tcPr>
            <w:tcW w:w="1608" w:type="dxa"/>
          </w:tcPr>
          <w:p w14:paraId="00E91BB7" w14:textId="77777777" w:rsidR="00D026F4" w:rsidRPr="002106BA" w:rsidRDefault="00D026F4" w:rsidP="009B1087">
            <w:pPr>
              <w:pStyle w:val="COMTabletext"/>
              <w:ind w:left="-67" w:right="-61"/>
              <w:jc w:val="center"/>
            </w:pPr>
            <w:r w:rsidRPr="002106BA">
              <w:t>23.0 (17.5)</w:t>
            </w:r>
          </w:p>
        </w:tc>
        <w:tc>
          <w:tcPr>
            <w:tcW w:w="1470" w:type="dxa"/>
          </w:tcPr>
          <w:p w14:paraId="09D8E572" w14:textId="77777777" w:rsidR="00D026F4" w:rsidRPr="002106BA" w:rsidRDefault="00D026F4" w:rsidP="009B1087">
            <w:pPr>
              <w:pStyle w:val="COMTabletext"/>
              <w:ind w:left="-67" w:right="-61"/>
              <w:jc w:val="center"/>
            </w:pPr>
            <w:r w:rsidRPr="002106BA">
              <w:t>24.8 (15.3)</w:t>
            </w:r>
          </w:p>
        </w:tc>
        <w:tc>
          <w:tcPr>
            <w:tcW w:w="1316" w:type="dxa"/>
          </w:tcPr>
          <w:p w14:paraId="60E6EF1A" w14:textId="73285ED6" w:rsidR="00D026F4" w:rsidRPr="002106BA" w:rsidRDefault="00537BAB" w:rsidP="009B1087">
            <w:pPr>
              <w:pStyle w:val="COMTabletext"/>
              <w:ind w:left="-67" w:right="-61"/>
              <w:jc w:val="center"/>
            </w:pPr>
            <w:r w:rsidRPr="002106BA">
              <w:t>–</w:t>
            </w:r>
            <w:r w:rsidR="00D026F4" w:rsidRPr="002106BA">
              <w:t>1.8 (1.1)</w:t>
            </w:r>
          </w:p>
        </w:tc>
        <w:tc>
          <w:tcPr>
            <w:tcW w:w="1413" w:type="dxa"/>
          </w:tcPr>
          <w:p w14:paraId="166F8FA1" w14:textId="77777777" w:rsidR="00D026F4" w:rsidRPr="002106BA" w:rsidRDefault="00D026F4" w:rsidP="009B1087">
            <w:pPr>
              <w:pStyle w:val="COMTabletext"/>
              <w:ind w:left="-67" w:right="-61"/>
              <w:jc w:val="center"/>
            </w:pPr>
            <w:r w:rsidRPr="002106BA">
              <w:t>6.5 (1.6)</w:t>
            </w:r>
          </w:p>
        </w:tc>
        <w:tc>
          <w:tcPr>
            <w:tcW w:w="1939" w:type="dxa"/>
            <w:vAlign w:val="center"/>
          </w:tcPr>
          <w:p w14:paraId="50E5C0BF" w14:textId="77777777" w:rsidR="00D026F4" w:rsidRPr="002106BA" w:rsidRDefault="00D026F4" w:rsidP="009B1087">
            <w:pPr>
              <w:pStyle w:val="COMTabletext"/>
              <w:ind w:left="-67" w:right="-61"/>
              <w:jc w:val="center"/>
              <w:rPr>
                <w:b/>
                <w:bCs w:val="0"/>
              </w:rPr>
            </w:pPr>
            <w:r w:rsidRPr="002106BA">
              <w:rPr>
                <w:b/>
                <w:bCs w:val="0"/>
              </w:rPr>
              <w:t>–8.27 (-12.00, –4.54)</w:t>
            </w:r>
          </w:p>
        </w:tc>
      </w:tr>
      <w:tr w:rsidR="00D026F4" w:rsidRPr="002106BA" w14:paraId="434794C2" w14:textId="77777777" w:rsidTr="009B1087">
        <w:tc>
          <w:tcPr>
            <w:tcW w:w="1271" w:type="dxa"/>
            <w:vAlign w:val="center"/>
          </w:tcPr>
          <w:p w14:paraId="0296CAE3" w14:textId="77777777" w:rsidR="00D026F4" w:rsidRPr="002106BA" w:rsidRDefault="00D026F4" w:rsidP="009B1087">
            <w:pPr>
              <w:pStyle w:val="COMTabletext"/>
              <w:ind w:right="-80"/>
            </w:pPr>
            <w:r w:rsidRPr="002106BA">
              <w:t>Σ5 NCS</w:t>
            </w:r>
          </w:p>
        </w:tc>
        <w:tc>
          <w:tcPr>
            <w:tcW w:w="1608" w:type="dxa"/>
            <w:vAlign w:val="center"/>
          </w:tcPr>
          <w:p w14:paraId="6DF21598" w14:textId="77777777" w:rsidR="00D026F4" w:rsidRPr="002106BA" w:rsidRDefault="00D026F4" w:rsidP="009B1087">
            <w:pPr>
              <w:pStyle w:val="COMTabletext"/>
              <w:ind w:left="-67" w:right="-61"/>
              <w:jc w:val="center"/>
            </w:pPr>
            <w:r w:rsidRPr="002106BA">
              <w:t>5.98 (3.47)</w:t>
            </w:r>
          </w:p>
        </w:tc>
        <w:tc>
          <w:tcPr>
            <w:tcW w:w="1470" w:type="dxa"/>
            <w:vAlign w:val="center"/>
          </w:tcPr>
          <w:p w14:paraId="7B334BB9" w14:textId="77777777" w:rsidR="00D026F4" w:rsidRPr="002106BA" w:rsidRDefault="00D026F4" w:rsidP="009B1087">
            <w:pPr>
              <w:pStyle w:val="COMTabletext"/>
              <w:ind w:left="-67" w:right="-61"/>
              <w:jc w:val="center"/>
            </w:pPr>
            <w:r w:rsidRPr="002106BA">
              <w:t>7.43 (2.24)</w:t>
            </w:r>
          </w:p>
        </w:tc>
        <w:tc>
          <w:tcPr>
            <w:tcW w:w="1316" w:type="dxa"/>
            <w:vAlign w:val="center"/>
          </w:tcPr>
          <w:p w14:paraId="79ECF183" w14:textId="77777777" w:rsidR="00D026F4" w:rsidRPr="002106BA" w:rsidRDefault="00D026F4" w:rsidP="009B1087">
            <w:pPr>
              <w:pStyle w:val="COMTabletext"/>
              <w:ind w:left="-67" w:right="-61"/>
              <w:jc w:val="center"/>
            </w:pPr>
            <w:r w:rsidRPr="002106BA">
              <w:t>0.05 (0.11)</w:t>
            </w:r>
          </w:p>
        </w:tc>
        <w:tc>
          <w:tcPr>
            <w:tcW w:w="1413" w:type="dxa"/>
            <w:vAlign w:val="center"/>
          </w:tcPr>
          <w:p w14:paraId="11FA31CB" w14:textId="77777777" w:rsidR="00D026F4" w:rsidRPr="002106BA" w:rsidRDefault="00D026F4" w:rsidP="009B1087">
            <w:pPr>
              <w:pStyle w:val="COMTabletext"/>
              <w:ind w:left="-67" w:right="-61"/>
              <w:jc w:val="center"/>
            </w:pPr>
            <w:r w:rsidRPr="002106BA">
              <w:t>1.14 (0.15)</w:t>
            </w:r>
          </w:p>
        </w:tc>
        <w:tc>
          <w:tcPr>
            <w:tcW w:w="1939" w:type="dxa"/>
            <w:vAlign w:val="center"/>
          </w:tcPr>
          <w:p w14:paraId="4654EE52" w14:textId="77777777" w:rsidR="00D026F4" w:rsidRPr="002106BA" w:rsidRDefault="00D026F4" w:rsidP="009B1087">
            <w:pPr>
              <w:pStyle w:val="COMTabletext"/>
              <w:ind w:left="-67" w:right="-61"/>
              <w:jc w:val="center"/>
              <w:rPr>
                <w:b/>
                <w:bCs w:val="0"/>
              </w:rPr>
            </w:pPr>
            <w:r w:rsidRPr="002106BA">
              <w:rPr>
                <w:b/>
                <w:bCs w:val="0"/>
              </w:rPr>
              <w:t>–1.09 (–1.45, –0.72)</w:t>
            </w:r>
          </w:p>
        </w:tc>
      </w:tr>
      <w:tr w:rsidR="00D026F4" w:rsidRPr="002106BA" w14:paraId="5E4A6264" w14:textId="77777777" w:rsidTr="009B1087">
        <w:tc>
          <w:tcPr>
            <w:tcW w:w="1271" w:type="dxa"/>
            <w:vAlign w:val="center"/>
          </w:tcPr>
          <w:p w14:paraId="2C22AF91" w14:textId="77777777" w:rsidR="00D026F4" w:rsidRPr="002106BA" w:rsidRDefault="00D026F4" w:rsidP="009B1087">
            <w:pPr>
              <w:pStyle w:val="COMTabletext"/>
              <w:ind w:right="-80"/>
            </w:pPr>
            <w:r w:rsidRPr="002106BA">
              <w:t>PBP</w:t>
            </w:r>
          </w:p>
        </w:tc>
        <w:tc>
          <w:tcPr>
            <w:tcW w:w="1608" w:type="dxa"/>
            <w:vAlign w:val="center"/>
          </w:tcPr>
          <w:p w14:paraId="49B62664" w14:textId="77777777" w:rsidR="00D026F4" w:rsidRPr="002106BA" w:rsidRDefault="00D026F4" w:rsidP="009B1087">
            <w:pPr>
              <w:pStyle w:val="COMTabletext"/>
              <w:ind w:left="-67" w:right="-61"/>
              <w:jc w:val="center"/>
            </w:pPr>
            <w:r w:rsidRPr="002106BA">
              <w:t>0.36 (0.60)</w:t>
            </w:r>
          </w:p>
        </w:tc>
        <w:tc>
          <w:tcPr>
            <w:tcW w:w="1470" w:type="dxa"/>
            <w:vAlign w:val="center"/>
          </w:tcPr>
          <w:p w14:paraId="6BEBA690" w14:textId="77777777" w:rsidR="00D026F4" w:rsidRPr="002106BA" w:rsidRDefault="00D026F4" w:rsidP="009B1087">
            <w:pPr>
              <w:pStyle w:val="COMTabletext"/>
              <w:ind w:left="-67" w:right="-61"/>
              <w:jc w:val="center"/>
            </w:pPr>
            <w:r w:rsidRPr="002106BA">
              <w:t>0.61 (0.74)</w:t>
            </w:r>
          </w:p>
        </w:tc>
        <w:tc>
          <w:tcPr>
            <w:tcW w:w="1316" w:type="dxa"/>
            <w:vAlign w:val="center"/>
          </w:tcPr>
          <w:p w14:paraId="4A61D327" w14:textId="77777777" w:rsidR="00D026F4" w:rsidRPr="002106BA" w:rsidRDefault="00D026F4" w:rsidP="009B1087">
            <w:pPr>
              <w:pStyle w:val="COMTabletext"/>
              <w:ind w:left="-67" w:right="-61"/>
              <w:jc w:val="center"/>
            </w:pPr>
            <w:r w:rsidRPr="002106BA">
              <w:t>0.0 (0.06)</w:t>
            </w:r>
          </w:p>
        </w:tc>
        <w:tc>
          <w:tcPr>
            <w:tcW w:w="1413" w:type="dxa"/>
            <w:vAlign w:val="center"/>
          </w:tcPr>
          <w:p w14:paraId="25EE6E4A" w14:textId="77777777" w:rsidR="00D026F4" w:rsidRPr="002106BA" w:rsidRDefault="00D026F4" w:rsidP="009B1087">
            <w:pPr>
              <w:pStyle w:val="COMTabletext"/>
              <w:ind w:left="-67" w:right="-61"/>
              <w:jc w:val="center"/>
            </w:pPr>
            <w:r w:rsidRPr="002106BA">
              <w:t>0.18 (0.09)</w:t>
            </w:r>
          </w:p>
        </w:tc>
        <w:tc>
          <w:tcPr>
            <w:tcW w:w="1939" w:type="dxa"/>
            <w:vAlign w:val="center"/>
          </w:tcPr>
          <w:p w14:paraId="4709CEAB" w14:textId="77777777" w:rsidR="00D026F4" w:rsidRPr="002106BA" w:rsidRDefault="00D026F4" w:rsidP="009B1087">
            <w:pPr>
              <w:pStyle w:val="COMTabletext"/>
              <w:ind w:left="-67" w:right="-61"/>
              <w:jc w:val="center"/>
            </w:pPr>
            <w:r w:rsidRPr="002106BA">
              <w:t>–0.18 (–0.38, 0.03)</w:t>
            </w:r>
          </w:p>
        </w:tc>
      </w:tr>
    </w:tbl>
    <w:p w14:paraId="66AD8239" w14:textId="77777777" w:rsidR="00D026F4" w:rsidRPr="002106BA" w:rsidRDefault="00D026F4" w:rsidP="00D026F4">
      <w:pPr>
        <w:pStyle w:val="COMTablefooter"/>
        <w:rPr>
          <w:sz w:val="20"/>
        </w:rPr>
      </w:pPr>
      <w:r w:rsidRPr="002106BA">
        <w:t xml:space="preserve">Source: Table 2.14, p50 of the submission. </w:t>
      </w:r>
    </w:p>
    <w:p w14:paraId="2969B421" w14:textId="77777777" w:rsidR="00D026F4" w:rsidRPr="002106BA" w:rsidRDefault="00D026F4" w:rsidP="00D026F4">
      <w:pPr>
        <w:pStyle w:val="COMTablefooter"/>
        <w:rPr>
          <w:rFonts w:eastAsia="Calibri"/>
        </w:rPr>
      </w:pPr>
      <w:r w:rsidRPr="002106BA">
        <w:rPr>
          <w:rFonts w:eastAsia="Calibri"/>
        </w:rPr>
        <w:t xml:space="preserve">Abbreviations: </w:t>
      </w:r>
      <w:r w:rsidRPr="002106BA">
        <w:t xml:space="preserve">Σ5 NCS, nerve conduction studies; </w:t>
      </w:r>
      <w:r w:rsidRPr="002106BA">
        <w:rPr>
          <w:rFonts w:eastAsia="Calibri"/>
        </w:rPr>
        <w:t xml:space="preserve">CI, confidence interval; LS, least squares; mITT, modified intention-to-treat; mNIS+7, modified </w:t>
      </w:r>
      <w:r w:rsidRPr="002106BA">
        <w:t>neuropathy impairment score +7;</w:t>
      </w:r>
      <w:r w:rsidRPr="002106BA">
        <w:rPr>
          <w:rFonts w:eastAsia="Calibri"/>
        </w:rPr>
        <w:t xml:space="preserve"> Pbo, placebo; P</w:t>
      </w:r>
      <w:r w:rsidRPr="002106BA">
        <w:t xml:space="preserve">BP, postural blood pressure; QST, quantitative sensory testing; </w:t>
      </w:r>
      <w:r w:rsidRPr="002106BA">
        <w:rPr>
          <w:rFonts w:eastAsia="Calibri"/>
        </w:rPr>
        <w:t xml:space="preserve">SD, standard deviation; SEM, standard error mean. </w:t>
      </w:r>
    </w:p>
    <w:p w14:paraId="57300D49" w14:textId="77777777" w:rsidR="00D026F4" w:rsidRPr="002106BA" w:rsidRDefault="00D026F4" w:rsidP="00D026F4">
      <w:pPr>
        <w:pStyle w:val="COMTablefooter"/>
        <w:rPr>
          <w:rFonts w:cstheme="minorHAnsi"/>
          <w:shd w:val="clear" w:color="auto" w:fill="FFFFFF"/>
        </w:rPr>
      </w:pPr>
      <w:r w:rsidRPr="002106BA">
        <w:rPr>
          <w:rFonts w:eastAsia="Calibri"/>
          <w:vertAlign w:val="superscript"/>
        </w:rPr>
        <w:t>a</w:t>
      </w:r>
      <w:r w:rsidRPr="002106BA">
        <w:rPr>
          <w:rFonts w:eastAsia="Calibri"/>
        </w:rPr>
        <w:t xml:space="preserve"> Lower </w:t>
      </w:r>
      <w:r w:rsidRPr="002106BA">
        <w:rPr>
          <w:rFonts w:cstheme="minorHAnsi"/>
          <w:shd w:val="clear" w:color="auto" w:fill="FFFFFF"/>
        </w:rPr>
        <w:t>scores indicate less impairment/fewer symptoms.</w:t>
      </w:r>
    </w:p>
    <w:p w14:paraId="0271B104" w14:textId="28EE6F04" w:rsidR="007C1B18" w:rsidRPr="002106BA" w:rsidRDefault="00D026F4" w:rsidP="007F05EC">
      <w:pPr>
        <w:pStyle w:val="COMTablefooter"/>
      </w:pPr>
      <w:r w:rsidRPr="002106BA">
        <w:rPr>
          <w:rFonts w:eastAsia="Calibri"/>
        </w:rPr>
        <w:t xml:space="preserve">Note: </w:t>
      </w:r>
      <w:r w:rsidRPr="002106BA">
        <w:t>Statistically significant results in bold.</w:t>
      </w:r>
    </w:p>
    <w:p w14:paraId="2E92DF84" w14:textId="14BE4E7E" w:rsidR="00157C70" w:rsidRPr="002106BA" w:rsidRDefault="007F05EC" w:rsidP="00EC5836">
      <w:pPr>
        <w:pStyle w:val="COMexecsummnumbered"/>
        <w:rPr>
          <w:color w:val="0066FF"/>
        </w:rPr>
      </w:pPr>
      <w:r w:rsidRPr="002106BA">
        <w:t xml:space="preserve">In HELIOS-A, change from baseline to Month 18 in mNIS+7 showed a statistically significant difference between </w:t>
      </w:r>
      <w:bookmarkStart w:id="23" w:name="_Hlk176434695"/>
      <w:r w:rsidRPr="002106BA">
        <w:t>vutrisiran and the APOLLO study placebo arm</w:t>
      </w:r>
      <w:bookmarkEnd w:id="23"/>
      <w:r w:rsidRPr="002106BA">
        <w:t xml:space="preserve">. The difference between treatment arms exceeded the </w:t>
      </w:r>
      <w:r w:rsidR="004647F8" w:rsidRPr="002106BA">
        <w:t xml:space="preserve">nominated </w:t>
      </w:r>
      <w:r w:rsidRPr="002106BA">
        <w:t xml:space="preserve">MCID of 2 points, and </w:t>
      </w:r>
      <w:r w:rsidR="004647F8" w:rsidRPr="002106BA">
        <w:t xml:space="preserve">the MCID of </w:t>
      </w:r>
      <w:r w:rsidRPr="002106BA">
        <w:t xml:space="preserve">12.2 points reported in </w:t>
      </w:r>
      <w:proofErr w:type="spellStart"/>
      <w:r w:rsidRPr="002106BA">
        <w:rPr>
          <w:rFonts w:cstheme="minorHAnsi"/>
        </w:rPr>
        <w:t>Yarlas</w:t>
      </w:r>
      <w:proofErr w:type="spellEnd"/>
      <w:r w:rsidRPr="002106BA">
        <w:rPr>
          <w:rFonts w:cstheme="minorHAnsi"/>
        </w:rPr>
        <w:t xml:space="preserve"> (2022)</w:t>
      </w:r>
      <w:r w:rsidR="00A532F3" w:rsidRPr="002106BA">
        <w:rPr>
          <w:rFonts w:cstheme="minorHAnsi"/>
        </w:rPr>
        <w:t xml:space="preserve">, </w:t>
      </w:r>
      <w:r w:rsidR="00A532F3" w:rsidRPr="002106BA">
        <w:t xml:space="preserve">a study that derived MCID thresholds using an anchor-based approach based on data from the </w:t>
      </w:r>
      <w:proofErr w:type="spellStart"/>
      <w:r w:rsidR="00A532F3" w:rsidRPr="002106BA">
        <w:t>inotersen</w:t>
      </w:r>
      <w:proofErr w:type="spellEnd"/>
      <w:r w:rsidR="00A532F3" w:rsidRPr="002106BA">
        <w:t xml:space="preserve"> NEURO-</w:t>
      </w:r>
      <w:r w:rsidR="00A532F3" w:rsidRPr="002106BA">
        <w:lastRenderedPageBreak/>
        <w:t>TTR trial</w:t>
      </w:r>
      <w:r w:rsidRPr="002106BA">
        <w:t xml:space="preserve">. The least squares mean difference in mNIS+7 score favouring vutrisiran in the HELIOS-A study (-28.55), was </w:t>
      </w:r>
      <w:proofErr w:type="gramStart"/>
      <w:r w:rsidRPr="002106BA">
        <w:t>similar to</w:t>
      </w:r>
      <w:proofErr w:type="gramEnd"/>
      <w:r w:rsidRPr="002106BA">
        <w:t xml:space="preserve"> that reported for patisiran versus placebo in the APOLLO study (-33.99).</w:t>
      </w:r>
      <w:r w:rsidRPr="002106BA">
        <w:rPr>
          <w:color w:val="0066FF"/>
        </w:rPr>
        <w:t xml:space="preserve"> </w:t>
      </w:r>
    </w:p>
    <w:p w14:paraId="5EC80FB5" w14:textId="2A73A950" w:rsidR="007F05EC" w:rsidRPr="002106BA" w:rsidRDefault="00157C70" w:rsidP="00EC5836">
      <w:pPr>
        <w:pStyle w:val="COMexecsummnumbered"/>
        <w:rPr>
          <w:color w:val="0066FF"/>
        </w:rPr>
      </w:pPr>
      <w:r w:rsidRPr="002106BA">
        <w:t>All mNIS+7 subscale components showed statistically significant differences favouring vutrisiran compared to the APOLLO study placebo arm, excepting the postural blood pressure scale which failed to demonstrate statistical significance. Similarly, in the APOLLO study, all mNIS+7 subscale components showed statistically significant differences favouring patisiran compared to placebo, excepting the NIS-reflexes scale which failed to demonstrate statistical significance.</w:t>
      </w:r>
    </w:p>
    <w:p w14:paraId="6529ABF5" w14:textId="2974763D" w:rsidR="00DF6341" w:rsidRPr="002106BA" w:rsidRDefault="00157C70" w:rsidP="00EC5836">
      <w:pPr>
        <w:pStyle w:val="COMexecsummnumbered"/>
        <w:rPr>
          <w:color w:val="0066FF"/>
        </w:rPr>
      </w:pPr>
      <w:r w:rsidRPr="002106BA">
        <w:fldChar w:fldCharType="begin"/>
      </w:r>
      <w:r w:rsidRPr="002106BA">
        <w:instrText xml:space="preserve"> REF _Ref174958826 \h </w:instrText>
      </w:r>
      <w:r w:rsidR="00364566" w:rsidRPr="002106BA">
        <w:instrText xml:space="preserve"> \* MERGEFORMAT </w:instrText>
      </w:r>
      <w:r w:rsidRPr="002106BA">
        <w:fldChar w:fldCharType="separate"/>
      </w:r>
      <w:r w:rsidR="00DB6E9D" w:rsidRPr="002106BA">
        <w:t xml:space="preserve">Table </w:t>
      </w:r>
      <w:r w:rsidR="00DB6E9D">
        <w:t>5</w:t>
      </w:r>
      <w:r w:rsidRPr="002106BA">
        <w:fldChar w:fldCharType="end"/>
      </w:r>
      <w:r w:rsidRPr="002106BA">
        <w:t xml:space="preserve"> summarises the change from baseline to Month 9 and Month 18 in the HELIOS-A study secondary outcomes, </w:t>
      </w:r>
      <w:r w:rsidR="001C4202" w:rsidRPr="002106BA">
        <w:t xml:space="preserve">for vutrisiran and </w:t>
      </w:r>
      <w:r w:rsidRPr="002106BA">
        <w:t>the APOLLO study placebo arm</w:t>
      </w:r>
      <w:r w:rsidRPr="002106BA">
        <w:rPr>
          <w:color w:val="0066FF"/>
        </w:rPr>
        <w:t>.</w:t>
      </w:r>
    </w:p>
    <w:p w14:paraId="71603E85" w14:textId="1DF17F10" w:rsidR="00157C70" w:rsidRPr="002106BA" w:rsidRDefault="00157C70" w:rsidP="00157C70">
      <w:pPr>
        <w:pStyle w:val="COMTableheadingrow"/>
        <w:rPr>
          <w:lang w:val="en-AU"/>
        </w:rPr>
      </w:pPr>
      <w:bookmarkStart w:id="24" w:name="_Ref174958826"/>
      <w:r w:rsidRPr="002106BA">
        <w:rPr>
          <w:lang w:val="en-AU"/>
        </w:rPr>
        <w:t xml:space="preserve">Table </w:t>
      </w:r>
      <w:r w:rsidRPr="002106BA">
        <w:rPr>
          <w:lang w:val="en-AU"/>
        </w:rPr>
        <w:fldChar w:fldCharType="begin"/>
      </w:r>
      <w:r w:rsidRPr="002106BA">
        <w:rPr>
          <w:lang w:val="en-AU"/>
        </w:rPr>
        <w:instrText xml:space="preserve"> SEQ Table \* ARABIC </w:instrText>
      </w:r>
      <w:r w:rsidRPr="002106BA">
        <w:rPr>
          <w:lang w:val="en-AU"/>
        </w:rPr>
        <w:fldChar w:fldCharType="separate"/>
      </w:r>
      <w:r w:rsidR="00DB6E9D">
        <w:rPr>
          <w:noProof/>
          <w:lang w:val="en-AU"/>
        </w:rPr>
        <w:t>5</w:t>
      </w:r>
      <w:r w:rsidRPr="002106BA">
        <w:rPr>
          <w:lang w:val="en-AU"/>
        </w:rPr>
        <w:fldChar w:fldCharType="end"/>
      </w:r>
      <w:bookmarkEnd w:id="24"/>
      <w:r w:rsidRPr="002106BA">
        <w:rPr>
          <w:lang w:val="en-AU"/>
        </w:rPr>
        <w:t>: HELIOS-A primary and secondary outcomes at Month 9 and Month 18 (external placebo; mITT)</w:t>
      </w:r>
    </w:p>
    <w:tbl>
      <w:tblPr>
        <w:tblStyle w:val="TableGrid"/>
        <w:tblW w:w="9018" w:type="dxa"/>
        <w:tblLayout w:type="fixed"/>
        <w:tblLook w:val="04A0" w:firstRow="1" w:lastRow="0" w:firstColumn="1" w:lastColumn="0" w:noHBand="0" w:noVBand="1"/>
      </w:tblPr>
      <w:tblGrid>
        <w:gridCol w:w="1605"/>
        <w:gridCol w:w="1330"/>
        <w:gridCol w:w="1386"/>
        <w:gridCol w:w="1344"/>
        <w:gridCol w:w="1414"/>
        <w:gridCol w:w="1939"/>
      </w:tblGrid>
      <w:tr w:rsidR="00157C70" w:rsidRPr="002106BA" w14:paraId="7E3D2C72" w14:textId="77777777" w:rsidTr="009B1087">
        <w:trPr>
          <w:trHeight w:val="698"/>
        </w:trPr>
        <w:tc>
          <w:tcPr>
            <w:tcW w:w="1605" w:type="dxa"/>
            <w:vMerge w:val="restart"/>
            <w:vAlign w:val="center"/>
          </w:tcPr>
          <w:p w14:paraId="144B7951" w14:textId="77777777" w:rsidR="00157C70" w:rsidRPr="002106BA" w:rsidRDefault="00157C70" w:rsidP="009B1087">
            <w:pPr>
              <w:pStyle w:val="COMTabletext"/>
              <w:rPr>
                <w:b/>
                <w:bCs w:val="0"/>
              </w:rPr>
            </w:pPr>
            <w:r w:rsidRPr="002106BA">
              <w:rPr>
                <w:b/>
                <w:bCs w:val="0"/>
              </w:rPr>
              <w:t>Outcomes</w:t>
            </w:r>
          </w:p>
        </w:tc>
        <w:tc>
          <w:tcPr>
            <w:tcW w:w="1330" w:type="dxa"/>
            <w:vAlign w:val="center"/>
          </w:tcPr>
          <w:p w14:paraId="2E79DBCA" w14:textId="77777777" w:rsidR="00157C70" w:rsidRPr="002106BA" w:rsidRDefault="00157C70" w:rsidP="009B1087">
            <w:pPr>
              <w:pStyle w:val="COMTabletext"/>
              <w:ind w:left="-67" w:right="-61"/>
              <w:jc w:val="center"/>
              <w:rPr>
                <w:b/>
                <w:bCs w:val="0"/>
              </w:rPr>
            </w:pPr>
            <w:r w:rsidRPr="002106BA">
              <w:rPr>
                <w:b/>
                <w:bCs w:val="0"/>
              </w:rPr>
              <w:t>HELIOS-A</w:t>
            </w:r>
          </w:p>
          <w:p w14:paraId="13F1932D" w14:textId="77777777" w:rsidR="00157C70" w:rsidRPr="002106BA" w:rsidRDefault="00157C70" w:rsidP="009B1087">
            <w:pPr>
              <w:pStyle w:val="COMTabletext"/>
              <w:ind w:left="-67" w:right="-61"/>
              <w:jc w:val="center"/>
              <w:rPr>
                <w:b/>
                <w:bCs w:val="0"/>
              </w:rPr>
            </w:pPr>
            <w:r w:rsidRPr="002106BA">
              <w:rPr>
                <w:b/>
                <w:bCs w:val="0"/>
              </w:rPr>
              <w:t>vutrisiran</w:t>
            </w:r>
          </w:p>
          <w:p w14:paraId="35A7E111" w14:textId="77777777" w:rsidR="00157C70" w:rsidRPr="002106BA" w:rsidRDefault="00157C70" w:rsidP="009B1087">
            <w:pPr>
              <w:pStyle w:val="COMTabletext"/>
              <w:ind w:left="-67" w:right="-61"/>
              <w:jc w:val="center"/>
              <w:rPr>
                <w:b/>
                <w:bCs w:val="0"/>
              </w:rPr>
            </w:pPr>
            <w:r w:rsidRPr="002106BA">
              <w:rPr>
                <w:b/>
                <w:bCs w:val="0"/>
              </w:rPr>
              <w:t>(n=122)</w:t>
            </w:r>
          </w:p>
        </w:tc>
        <w:tc>
          <w:tcPr>
            <w:tcW w:w="1386" w:type="dxa"/>
            <w:vAlign w:val="center"/>
          </w:tcPr>
          <w:p w14:paraId="04721A1A" w14:textId="77777777" w:rsidR="00157C70" w:rsidRPr="002106BA" w:rsidRDefault="00157C70" w:rsidP="009B1087">
            <w:pPr>
              <w:pStyle w:val="COMTabletext"/>
              <w:ind w:left="-67" w:right="-61"/>
              <w:jc w:val="center"/>
              <w:rPr>
                <w:b/>
                <w:bCs w:val="0"/>
              </w:rPr>
            </w:pPr>
            <w:r w:rsidRPr="002106BA">
              <w:rPr>
                <w:b/>
                <w:bCs w:val="0"/>
              </w:rPr>
              <w:t>APOLLO</w:t>
            </w:r>
          </w:p>
          <w:p w14:paraId="28601184" w14:textId="77777777" w:rsidR="00157C70" w:rsidRPr="002106BA" w:rsidRDefault="00157C70" w:rsidP="009B1087">
            <w:pPr>
              <w:pStyle w:val="COMTabletext"/>
              <w:ind w:left="-67" w:right="-61"/>
              <w:jc w:val="center"/>
              <w:rPr>
                <w:b/>
                <w:bCs w:val="0"/>
              </w:rPr>
            </w:pPr>
            <w:r w:rsidRPr="002106BA">
              <w:rPr>
                <w:b/>
                <w:bCs w:val="0"/>
              </w:rPr>
              <w:t>external placebo</w:t>
            </w:r>
          </w:p>
          <w:p w14:paraId="088CC607" w14:textId="77777777" w:rsidR="00157C70" w:rsidRPr="002106BA" w:rsidRDefault="00157C70" w:rsidP="009B1087">
            <w:pPr>
              <w:pStyle w:val="COMTabletext"/>
              <w:ind w:left="-67" w:right="-61"/>
              <w:jc w:val="center"/>
              <w:rPr>
                <w:b/>
                <w:bCs w:val="0"/>
              </w:rPr>
            </w:pPr>
            <w:r w:rsidRPr="002106BA">
              <w:rPr>
                <w:b/>
                <w:bCs w:val="0"/>
              </w:rPr>
              <w:t>(n=77)</w:t>
            </w:r>
          </w:p>
        </w:tc>
        <w:tc>
          <w:tcPr>
            <w:tcW w:w="1344" w:type="dxa"/>
            <w:vAlign w:val="center"/>
          </w:tcPr>
          <w:p w14:paraId="1B95C28D" w14:textId="77777777" w:rsidR="00157C70" w:rsidRPr="002106BA" w:rsidRDefault="00157C70" w:rsidP="009B1087">
            <w:pPr>
              <w:pStyle w:val="COMTabletext"/>
              <w:ind w:left="-67" w:right="-61"/>
              <w:jc w:val="center"/>
              <w:rPr>
                <w:b/>
                <w:bCs w:val="0"/>
              </w:rPr>
            </w:pPr>
            <w:r w:rsidRPr="002106BA">
              <w:rPr>
                <w:b/>
                <w:bCs w:val="0"/>
              </w:rPr>
              <w:t>HELIOS-A</w:t>
            </w:r>
          </w:p>
          <w:p w14:paraId="5B55640D" w14:textId="1D6C2B40" w:rsidR="00157C70" w:rsidRPr="002106BA" w:rsidRDefault="00157C70" w:rsidP="00811BC0">
            <w:pPr>
              <w:pStyle w:val="COMTabletext"/>
              <w:ind w:left="-67" w:right="-61"/>
              <w:jc w:val="center"/>
              <w:rPr>
                <w:b/>
                <w:bCs w:val="0"/>
              </w:rPr>
            </w:pPr>
            <w:r w:rsidRPr="002106BA">
              <w:rPr>
                <w:b/>
                <w:bCs w:val="0"/>
              </w:rPr>
              <w:t>vutrisiran</w:t>
            </w:r>
          </w:p>
        </w:tc>
        <w:tc>
          <w:tcPr>
            <w:tcW w:w="1414" w:type="dxa"/>
            <w:vAlign w:val="center"/>
          </w:tcPr>
          <w:p w14:paraId="75EC35D7" w14:textId="77777777" w:rsidR="00157C70" w:rsidRPr="002106BA" w:rsidRDefault="00157C70" w:rsidP="009B1087">
            <w:pPr>
              <w:pStyle w:val="COMTabletext"/>
              <w:ind w:left="-67" w:right="-61"/>
              <w:jc w:val="center"/>
              <w:rPr>
                <w:b/>
                <w:bCs w:val="0"/>
              </w:rPr>
            </w:pPr>
            <w:r w:rsidRPr="002106BA">
              <w:rPr>
                <w:b/>
                <w:bCs w:val="0"/>
              </w:rPr>
              <w:t>APOLLO</w:t>
            </w:r>
          </w:p>
          <w:p w14:paraId="01DA6143" w14:textId="41CA8B44" w:rsidR="00157C70" w:rsidRPr="002106BA" w:rsidRDefault="00157C70" w:rsidP="00811BC0">
            <w:pPr>
              <w:pStyle w:val="COMTabletext"/>
              <w:ind w:left="-67" w:right="-61"/>
              <w:jc w:val="center"/>
              <w:rPr>
                <w:b/>
                <w:bCs w:val="0"/>
              </w:rPr>
            </w:pPr>
            <w:r w:rsidRPr="002106BA">
              <w:rPr>
                <w:b/>
                <w:bCs w:val="0"/>
              </w:rPr>
              <w:t>external placebo</w:t>
            </w:r>
          </w:p>
        </w:tc>
        <w:tc>
          <w:tcPr>
            <w:tcW w:w="1939" w:type="dxa"/>
            <w:vMerge w:val="restart"/>
            <w:vAlign w:val="center"/>
          </w:tcPr>
          <w:p w14:paraId="31D1E709" w14:textId="77777777" w:rsidR="00157C70" w:rsidRPr="002106BA" w:rsidRDefault="00157C70" w:rsidP="009B1087">
            <w:pPr>
              <w:pStyle w:val="TableText"/>
            </w:pPr>
            <w:r w:rsidRPr="002106BA">
              <w:t>Difference</w:t>
            </w:r>
          </w:p>
          <w:p w14:paraId="5C9917BE" w14:textId="77777777" w:rsidR="00157C70" w:rsidRPr="002106BA" w:rsidRDefault="00157C70" w:rsidP="009B1087">
            <w:pPr>
              <w:pStyle w:val="TableText"/>
            </w:pPr>
            <w:r w:rsidRPr="002106BA">
              <w:t>LS mean change</w:t>
            </w:r>
          </w:p>
          <w:p w14:paraId="7830ABD6" w14:textId="77777777" w:rsidR="00157C70" w:rsidRPr="002106BA" w:rsidRDefault="00157C70" w:rsidP="009B1087">
            <w:pPr>
              <w:pStyle w:val="COMTabletext"/>
              <w:ind w:left="-67" w:right="-61"/>
              <w:jc w:val="center"/>
            </w:pPr>
            <w:r w:rsidRPr="002106BA">
              <w:rPr>
                <w:b/>
                <w:bCs w:val="0"/>
              </w:rPr>
              <w:t>(95% CI)</w:t>
            </w:r>
          </w:p>
        </w:tc>
      </w:tr>
      <w:tr w:rsidR="00157C70" w:rsidRPr="002106BA" w14:paraId="7465764D" w14:textId="77777777" w:rsidTr="009B1087">
        <w:tc>
          <w:tcPr>
            <w:tcW w:w="1605" w:type="dxa"/>
            <w:vMerge/>
            <w:vAlign w:val="center"/>
          </w:tcPr>
          <w:p w14:paraId="0BDF0D6D" w14:textId="77777777" w:rsidR="00157C70" w:rsidRPr="002106BA" w:rsidRDefault="00157C70" w:rsidP="009B1087">
            <w:pPr>
              <w:pStyle w:val="COMTabletext"/>
            </w:pPr>
          </w:p>
        </w:tc>
        <w:tc>
          <w:tcPr>
            <w:tcW w:w="2716" w:type="dxa"/>
            <w:gridSpan w:val="2"/>
            <w:vAlign w:val="center"/>
          </w:tcPr>
          <w:p w14:paraId="0712B364" w14:textId="77777777" w:rsidR="00157C70" w:rsidRPr="002106BA" w:rsidRDefault="00157C70" w:rsidP="009B1087">
            <w:pPr>
              <w:pStyle w:val="COMTabletext"/>
              <w:ind w:left="-67" w:right="-61"/>
              <w:jc w:val="center"/>
              <w:rPr>
                <w:b/>
                <w:bCs w:val="0"/>
              </w:rPr>
            </w:pPr>
            <w:r w:rsidRPr="002106BA">
              <w:rPr>
                <w:b/>
                <w:bCs w:val="0"/>
              </w:rPr>
              <w:t>Baseline mean (SD)</w:t>
            </w:r>
          </w:p>
        </w:tc>
        <w:tc>
          <w:tcPr>
            <w:tcW w:w="2758" w:type="dxa"/>
            <w:gridSpan w:val="2"/>
            <w:vAlign w:val="center"/>
          </w:tcPr>
          <w:p w14:paraId="7378BDEB" w14:textId="3F40F013" w:rsidR="00157C70" w:rsidRPr="002106BA" w:rsidRDefault="00157C70" w:rsidP="009B1087">
            <w:pPr>
              <w:pStyle w:val="COMTabletext"/>
              <w:ind w:left="-67" w:right="-61"/>
              <w:jc w:val="center"/>
              <w:rPr>
                <w:b/>
                <w:bCs w:val="0"/>
              </w:rPr>
            </w:pPr>
            <w:r w:rsidRPr="002106BA">
              <w:rPr>
                <w:b/>
                <w:bCs w:val="0"/>
              </w:rPr>
              <w:t>LS mean change</w:t>
            </w:r>
            <w:r w:rsidR="001C4202" w:rsidRPr="002106BA">
              <w:rPr>
                <w:b/>
                <w:bCs w:val="0"/>
              </w:rPr>
              <w:t xml:space="preserve"> from baseline</w:t>
            </w:r>
            <w:r w:rsidRPr="002106BA">
              <w:rPr>
                <w:b/>
                <w:bCs w:val="0"/>
              </w:rPr>
              <w:t xml:space="preserve"> (SEM)</w:t>
            </w:r>
          </w:p>
        </w:tc>
        <w:tc>
          <w:tcPr>
            <w:tcW w:w="1939" w:type="dxa"/>
            <w:vMerge/>
            <w:vAlign w:val="center"/>
          </w:tcPr>
          <w:p w14:paraId="7A1AE238" w14:textId="77777777" w:rsidR="00157C70" w:rsidRPr="002106BA" w:rsidRDefault="00157C70" w:rsidP="009B1087">
            <w:pPr>
              <w:pStyle w:val="COMTabletext"/>
              <w:ind w:left="-67" w:right="-61"/>
            </w:pPr>
          </w:p>
        </w:tc>
      </w:tr>
      <w:tr w:rsidR="00157C70" w:rsidRPr="002106BA" w14:paraId="6C27A4C4" w14:textId="77777777" w:rsidTr="009B1087">
        <w:tc>
          <w:tcPr>
            <w:tcW w:w="9018" w:type="dxa"/>
            <w:gridSpan w:val="6"/>
            <w:vAlign w:val="center"/>
          </w:tcPr>
          <w:p w14:paraId="737860D4" w14:textId="77777777" w:rsidR="00157C70" w:rsidRPr="002106BA" w:rsidRDefault="00157C70" w:rsidP="009B1087">
            <w:pPr>
              <w:pStyle w:val="COMTabletext"/>
              <w:ind w:left="-67" w:right="-61"/>
              <w:rPr>
                <w:b/>
                <w:bCs w:val="0"/>
              </w:rPr>
            </w:pPr>
            <w:r w:rsidRPr="002106BA">
              <w:rPr>
                <w:b/>
                <w:bCs w:val="0"/>
              </w:rPr>
              <w:t>Change from baseline to Month 9 (interim)</w:t>
            </w:r>
          </w:p>
        </w:tc>
      </w:tr>
      <w:tr w:rsidR="00157C70" w:rsidRPr="002106BA" w14:paraId="52D2D6CE" w14:textId="77777777" w:rsidTr="009B1087">
        <w:tc>
          <w:tcPr>
            <w:tcW w:w="1605" w:type="dxa"/>
            <w:vAlign w:val="center"/>
          </w:tcPr>
          <w:p w14:paraId="47E8E7DE" w14:textId="77777777" w:rsidR="00157C70" w:rsidRPr="002106BA" w:rsidRDefault="00157C70" w:rsidP="009B1087">
            <w:pPr>
              <w:pStyle w:val="COMTabletext"/>
              <w:ind w:right="-80"/>
            </w:pPr>
            <w:r w:rsidRPr="002106BA">
              <w:t>mNIS+7</w:t>
            </w:r>
          </w:p>
          <w:p w14:paraId="4D140272" w14:textId="77777777" w:rsidR="00157C70" w:rsidRPr="002106BA" w:rsidRDefault="00157C70" w:rsidP="009B1087">
            <w:pPr>
              <w:pStyle w:val="COMTabletext"/>
              <w:ind w:right="-80"/>
              <w:rPr>
                <w:vertAlign w:val="superscript"/>
              </w:rPr>
            </w:pPr>
            <w:r w:rsidRPr="002106BA">
              <w:t>(total score)</w:t>
            </w:r>
            <w:r w:rsidRPr="002106BA">
              <w:rPr>
                <w:vertAlign w:val="superscript"/>
              </w:rPr>
              <w:t>a</w:t>
            </w:r>
          </w:p>
        </w:tc>
        <w:tc>
          <w:tcPr>
            <w:tcW w:w="1330" w:type="dxa"/>
            <w:vAlign w:val="center"/>
          </w:tcPr>
          <w:p w14:paraId="13AE9E3E" w14:textId="77777777" w:rsidR="00157C70" w:rsidRPr="002106BA" w:rsidRDefault="00157C70" w:rsidP="009B1087">
            <w:pPr>
              <w:pStyle w:val="COMTabletext"/>
              <w:ind w:left="-67" w:right="-61"/>
              <w:jc w:val="center"/>
            </w:pPr>
            <w:r w:rsidRPr="002106BA">
              <w:t>60.6 (36.0)</w:t>
            </w:r>
          </w:p>
        </w:tc>
        <w:tc>
          <w:tcPr>
            <w:tcW w:w="1386" w:type="dxa"/>
            <w:vAlign w:val="center"/>
          </w:tcPr>
          <w:p w14:paraId="2CF9674C" w14:textId="77777777" w:rsidR="00157C70" w:rsidRPr="002106BA" w:rsidRDefault="00157C70" w:rsidP="009B1087">
            <w:pPr>
              <w:pStyle w:val="COMTabletext"/>
              <w:ind w:left="-67" w:right="-61"/>
              <w:jc w:val="center"/>
            </w:pPr>
            <w:r w:rsidRPr="002106BA">
              <w:t>74.6 (37.0)</w:t>
            </w:r>
          </w:p>
        </w:tc>
        <w:tc>
          <w:tcPr>
            <w:tcW w:w="1344" w:type="dxa"/>
            <w:vAlign w:val="center"/>
          </w:tcPr>
          <w:p w14:paraId="77A50ECB" w14:textId="020B0668" w:rsidR="00811BC0" w:rsidRPr="002106BA" w:rsidRDefault="00811BC0" w:rsidP="009B1087">
            <w:pPr>
              <w:pStyle w:val="COMTabletext"/>
              <w:ind w:left="-67" w:right="-61"/>
              <w:jc w:val="center"/>
            </w:pPr>
            <w:r w:rsidRPr="002106BA">
              <w:t>n=</w:t>
            </w:r>
            <w:r w:rsidR="00A235DD" w:rsidRPr="002106BA">
              <w:t>116</w:t>
            </w:r>
          </w:p>
          <w:p w14:paraId="76FC9FFA" w14:textId="27EE2F9B" w:rsidR="00157C70" w:rsidRPr="002106BA" w:rsidRDefault="00157C70" w:rsidP="009B1087">
            <w:pPr>
              <w:pStyle w:val="COMTabletext"/>
              <w:ind w:left="-67" w:right="-61"/>
              <w:jc w:val="center"/>
            </w:pPr>
            <w:r w:rsidRPr="002106BA">
              <w:t>–2.2 (1.4)</w:t>
            </w:r>
          </w:p>
        </w:tc>
        <w:tc>
          <w:tcPr>
            <w:tcW w:w="1414" w:type="dxa"/>
            <w:vAlign w:val="center"/>
          </w:tcPr>
          <w:p w14:paraId="5AD0B8CE" w14:textId="1DBC758C" w:rsidR="00811BC0" w:rsidRPr="002106BA" w:rsidRDefault="00811BC0" w:rsidP="00811BC0">
            <w:pPr>
              <w:pStyle w:val="COMTabletext"/>
              <w:ind w:left="-67" w:right="-61"/>
              <w:jc w:val="center"/>
            </w:pPr>
            <w:r w:rsidRPr="002106BA">
              <w:t>n=</w:t>
            </w:r>
            <w:r w:rsidR="00A235DD" w:rsidRPr="002106BA">
              <w:t>67</w:t>
            </w:r>
          </w:p>
          <w:p w14:paraId="54924410" w14:textId="77777777" w:rsidR="00157C70" w:rsidRPr="002106BA" w:rsidRDefault="00157C70" w:rsidP="009B1087">
            <w:pPr>
              <w:pStyle w:val="COMTabletext"/>
              <w:ind w:left="-67" w:right="-61"/>
              <w:jc w:val="center"/>
            </w:pPr>
            <w:r w:rsidRPr="002106BA">
              <w:t>14.8 (2.0)</w:t>
            </w:r>
          </w:p>
        </w:tc>
        <w:tc>
          <w:tcPr>
            <w:tcW w:w="1939" w:type="dxa"/>
            <w:vAlign w:val="center"/>
          </w:tcPr>
          <w:p w14:paraId="0A49F89A" w14:textId="77777777" w:rsidR="00157C70" w:rsidRPr="002106BA" w:rsidRDefault="00157C70" w:rsidP="009B1087">
            <w:pPr>
              <w:pStyle w:val="COMTabletext"/>
              <w:ind w:left="-67" w:right="-61"/>
              <w:jc w:val="center"/>
              <w:rPr>
                <w:b/>
                <w:bCs w:val="0"/>
              </w:rPr>
            </w:pPr>
            <w:r w:rsidRPr="002106BA">
              <w:rPr>
                <w:b/>
                <w:bCs w:val="0"/>
              </w:rPr>
              <w:t>–17.0 (–21.8, –12.2)</w:t>
            </w:r>
          </w:p>
        </w:tc>
      </w:tr>
      <w:tr w:rsidR="00157C70" w:rsidRPr="002106BA" w14:paraId="6BF2A9A0" w14:textId="77777777" w:rsidTr="009B1087">
        <w:tc>
          <w:tcPr>
            <w:tcW w:w="1605" w:type="dxa"/>
            <w:vAlign w:val="center"/>
          </w:tcPr>
          <w:p w14:paraId="7D8772C6" w14:textId="77777777" w:rsidR="00157C70" w:rsidRPr="002106BA" w:rsidRDefault="00157C70" w:rsidP="009B1087">
            <w:pPr>
              <w:pStyle w:val="COMTabletext"/>
              <w:ind w:right="-80"/>
            </w:pPr>
            <w:r w:rsidRPr="002106BA">
              <w:t>Norfolk QoL-</w:t>
            </w:r>
            <w:proofErr w:type="spellStart"/>
            <w:r w:rsidRPr="002106BA">
              <w:t>DN</w:t>
            </w:r>
            <w:r w:rsidRPr="002106BA">
              <w:rPr>
                <w:vertAlign w:val="superscript"/>
              </w:rPr>
              <w:t>a,c</w:t>
            </w:r>
            <w:proofErr w:type="spellEnd"/>
          </w:p>
        </w:tc>
        <w:tc>
          <w:tcPr>
            <w:tcW w:w="1330" w:type="dxa"/>
            <w:vAlign w:val="center"/>
          </w:tcPr>
          <w:p w14:paraId="504B233E" w14:textId="77777777" w:rsidR="00157C70" w:rsidRPr="002106BA" w:rsidRDefault="00157C70" w:rsidP="009B1087">
            <w:pPr>
              <w:pStyle w:val="COMTabletext"/>
              <w:ind w:left="-67" w:right="-61"/>
              <w:jc w:val="center"/>
            </w:pPr>
            <w:r w:rsidRPr="002106BA">
              <w:t>47.1 (26.3)</w:t>
            </w:r>
          </w:p>
        </w:tc>
        <w:tc>
          <w:tcPr>
            <w:tcW w:w="1386" w:type="dxa"/>
            <w:vAlign w:val="center"/>
          </w:tcPr>
          <w:p w14:paraId="6D93F18A" w14:textId="77777777" w:rsidR="00157C70" w:rsidRPr="002106BA" w:rsidRDefault="00157C70" w:rsidP="009B1087">
            <w:pPr>
              <w:pStyle w:val="COMTabletext"/>
              <w:ind w:left="-67" w:right="-61"/>
              <w:jc w:val="center"/>
            </w:pPr>
            <w:r w:rsidRPr="002106BA">
              <w:t>55.5 (24.3)</w:t>
            </w:r>
          </w:p>
        </w:tc>
        <w:tc>
          <w:tcPr>
            <w:tcW w:w="1344" w:type="dxa"/>
            <w:vAlign w:val="center"/>
          </w:tcPr>
          <w:p w14:paraId="6B151605" w14:textId="11B1655C" w:rsidR="00811BC0" w:rsidRPr="002106BA" w:rsidRDefault="00811BC0" w:rsidP="00811BC0">
            <w:pPr>
              <w:pStyle w:val="COMTabletext"/>
              <w:ind w:left="-67" w:right="-61"/>
              <w:jc w:val="center"/>
            </w:pPr>
            <w:r w:rsidRPr="002106BA">
              <w:t>n=</w:t>
            </w:r>
            <w:r w:rsidR="00BA3B46" w:rsidRPr="002106BA">
              <w:t>115</w:t>
            </w:r>
          </w:p>
          <w:p w14:paraId="5FA62A2D" w14:textId="77777777" w:rsidR="00157C70" w:rsidRPr="002106BA" w:rsidRDefault="00157C70" w:rsidP="009B1087">
            <w:pPr>
              <w:pStyle w:val="COMTabletext"/>
              <w:ind w:left="-67" w:right="-61"/>
              <w:jc w:val="center"/>
            </w:pPr>
            <w:r w:rsidRPr="002106BA">
              <w:t>–3.3 (1.7)</w:t>
            </w:r>
          </w:p>
        </w:tc>
        <w:tc>
          <w:tcPr>
            <w:tcW w:w="1414" w:type="dxa"/>
            <w:vAlign w:val="center"/>
          </w:tcPr>
          <w:p w14:paraId="0C832BB5" w14:textId="63071D29" w:rsidR="00811BC0" w:rsidRPr="002106BA" w:rsidRDefault="00811BC0" w:rsidP="00811BC0">
            <w:pPr>
              <w:pStyle w:val="COMTabletext"/>
              <w:ind w:left="-67" w:right="-61"/>
              <w:jc w:val="center"/>
            </w:pPr>
            <w:r w:rsidRPr="002106BA">
              <w:t>n=</w:t>
            </w:r>
            <w:r w:rsidR="00BA3B46" w:rsidRPr="002106BA">
              <w:t>65</w:t>
            </w:r>
          </w:p>
          <w:p w14:paraId="04ACE1AF" w14:textId="77777777" w:rsidR="00157C70" w:rsidRPr="002106BA" w:rsidRDefault="00157C70" w:rsidP="009B1087">
            <w:pPr>
              <w:pStyle w:val="COMTabletext"/>
              <w:ind w:left="-67" w:right="-61"/>
              <w:jc w:val="center"/>
            </w:pPr>
            <w:r w:rsidRPr="002106BA">
              <w:t>12.9 (2.2)</w:t>
            </w:r>
          </w:p>
        </w:tc>
        <w:tc>
          <w:tcPr>
            <w:tcW w:w="1939" w:type="dxa"/>
            <w:vAlign w:val="center"/>
          </w:tcPr>
          <w:p w14:paraId="775AA82C" w14:textId="77777777" w:rsidR="00157C70" w:rsidRPr="002106BA" w:rsidRDefault="00157C70" w:rsidP="009B1087">
            <w:pPr>
              <w:pStyle w:val="COMTabletext"/>
              <w:ind w:left="-67" w:right="-61"/>
              <w:jc w:val="center"/>
              <w:rPr>
                <w:b/>
                <w:bCs w:val="0"/>
              </w:rPr>
            </w:pPr>
            <w:r w:rsidRPr="002106BA">
              <w:rPr>
                <w:b/>
                <w:bCs w:val="0"/>
              </w:rPr>
              <w:t>–16.2 (–21.7, –10.8)</w:t>
            </w:r>
          </w:p>
        </w:tc>
      </w:tr>
      <w:tr w:rsidR="00157C70" w:rsidRPr="002106BA" w14:paraId="117840B8" w14:textId="77777777" w:rsidTr="009B1087">
        <w:tc>
          <w:tcPr>
            <w:tcW w:w="1605" w:type="dxa"/>
            <w:vAlign w:val="center"/>
          </w:tcPr>
          <w:p w14:paraId="576252E3" w14:textId="77777777" w:rsidR="00157C70" w:rsidRPr="002106BA" w:rsidRDefault="00157C70" w:rsidP="009B1087">
            <w:pPr>
              <w:pStyle w:val="COMTabletext"/>
              <w:ind w:right="-80"/>
            </w:pPr>
            <w:r w:rsidRPr="002106BA">
              <w:t>10-MWT</w:t>
            </w:r>
            <w:r w:rsidRPr="002106BA">
              <w:rPr>
                <w:vertAlign w:val="superscript"/>
              </w:rPr>
              <w:t>b,c</w:t>
            </w:r>
            <w:r w:rsidRPr="002106BA">
              <w:t xml:space="preserve"> (m/sec)</w:t>
            </w:r>
          </w:p>
        </w:tc>
        <w:tc>
          <w:tcPr>
            <w:tcW w:w="1330" w:type="dxa"/>
            <w:vAlign w:val="center"/>
          </w:tcPr>
          <w:p w14:paraId="7212C0BA" w14:textId="77777777" w:rsidR="00157C70" w:rsidRPr="002106BA" w:rsidRDefault="00157C70" w:rsidP="009B1087">
            <w:pPr>
              <w:pStyle w:val="COMTabletext"/>
              <w:ind w:left="-67" w:right="-61"/>
              <w:jc w:val="center"/>
            </w:pPr>
            <w:r w:rsidRPr="002106BA">
              <w:t>1.01 (0.39)</w:t>
            </w:r>
          </w:p>
        </w:tc>
        <w:tc>
          <w:tcPr>
            <w:tcW w:w="1386" w:type="dxa"/>
            <w:vAlign w:val="center"/>
          </w:tcPr>
          <w:p w14:paraId="54789FD9" w14:textId="77777777" w:rsidR="00157C70" w:rsidRPr="002106BA" w:rsidRDefault="00157C70" w:rsidP="009B1087">
            <w:pPr>
              <w:pStyle w:val="COMTabletext"/>
              <w:ind w:left="-67" w:right="-61"/>
              <w:jc w:val="center"/>
            </w:pPr>
            <w:r w:rsidRPr="002106BA">
              <w:t>0.79 (0.32)</w:t>
            </w:r>
          </w:p>
        </w:tc>
        <w:tc>
          <w:tcPr>
            <w:tcW w:w="1344" w:type="dxa"/>
            <w:vAlign w:val="center"/>
          </w:tcPr>
          <w:p w14:paraId="189626CE" w14:textId="3627AB96" w:rsidR="00811BC0" w:rsidRPr="002106BA" w:rsidRDefault="00811BC0" w:rsidP="00811BC0">
            <w:pPr>
              <w:pStyle w:val="COMTabletext"/>
              <w:ind w:left="-67" w:right="-61"/>
              <w:jc w:val="center"/>
            </w:pPr>
            <w:r w:rsidRPr="002106BA">
              <w:t>n=</w:t>
            </w:r>
            <w:r w:rsidR="00BA3B46" w:rsidRPr="002106BA">
              <w:t>115</w:t>
            </w:r>
          </w:p>
          <w:p w14:paraId="32992079" w14:textId="77777777" w:rsidR="00157C70" w:rsidRPr="002106BA" w:rsidRDefault="00157C70" w:rsidP="009B1087">
            <w:pPr>
              <w:pStyle w:val="COMTabletext"/>
              <w:ind w:left="-67" w:right="-61"/>
              <w:jc w:val="center"/>
            </w:pPr>
            <w:r w:rsidRPr="002106BA">
              <w:t>0 (0.02)</w:t>
            </w:r>
          </w:p>
        </w:tc>
        <w:tc>
          <w:tcPr>
            <w:tcW w:w="1414" w:type="dxa"/>
            <w:vAlign w:val="center"/>
          </w:tcPr>
          <w:p w14:paraId="50CD0535" w14:textId="4DDFE86E" w:rsidR="00811BC0" w:rsidRPr="002106BA" w:rsidRDefault="00811BC0" w:rsidP="00811BC0">
            <w:pPr>
              <w:pStyle w:val="COMTabletext"/>
              <w:ind w:left="-67" w:right="-61"/>
              <w:jc w:val="center"/>
            </w:pPr>
            <w:r w:rsidRPr="002106BA">
              <w:t>n=</w:t>
            </w:r>
            <w:r w:rsidR="00BA3B46" w:rsidRPr="002106BA">
              <w:t>68</w:t>
            </w:r>
          </w:p>
          <w:p w14:paraId="377F973A" w14:textId="77777777" w:rsidR="00157C70" w:rsidRPr="002106BA" w:rsidRDefault="00157C70" w:rsidP="009B1087">
            <w:pPr>
              <w:pStyle w:val="COMTabletext"/>
              <w:ind w:left="-67" w:right="-61"/>
              <w:jc w:val="center"/>
            </w:pPr>
            <w:r w:rsidRPr="002106BA">
              <w:t>–0.13 (0.03)</w:t>
            </w:r>
          </w:p>
        </w:tc>
        <w:tc>
          <w:tcPr>
            <w:tcW w:w="1939" w:type="dxa"/>
            <w:vAlign w:val="center"/>
          </w:tcPr>
          <w:p w14:paraId="34D95AAC" w14:textId="77777777" w:rsidR="00157C70" w:rsidRPr="002106BA" w:rsidRDefault="00157C70" w:rsidP="009B1087">
            <w:pPr>
              <w:pStyle w:val="COMTabletext"/>
              <w:ind w:left="-67" w:right="-61"/>
              <w:jc w:val="center"/>
              <w:rPr>
                <w:b/>
                <w:bCs w:val="0"/>
              </w:rPr>
            </w:pPr>
            <w:r w:rsidRPr="002106BA">
              <w:rPr>
                <w:b/>
                <w:bCs w:val="0"/>
              </w:rPr>
              <w:t>0.13 (0.07, 0.19)</w:t>
            </w:r>
          </w:p>
        </w:tc>
      </w:tr>
      <w:tr w:rsidR="00157C70" w:rsidRPr="002106BA" w14:paraId="325E42BD" w14:textId="77777777" w:rsidTr="009B1087">
        <w:tc>
          <w:tcPr>
            <w:tcW w:w="9018" w:type="dxa"/>
            <w:gridSpan w:val="6"/>
            <w:vAlign w:val="center"/>
          </w:tcPr>
          <w:p w14:paraId="4D578A37" w14:textId="77777777" w:rsidR="00157C70" w:rsidRPr="002106BA" w:rsidRDefault="00157C70" w:rsidP="009B1087">
            <w:pPr>
              <w:pStyle w:val="COMTabletext"/>
              <w:ind w:left="-67" w:right="-61"/>
              <w:rPr>
                <w:b/>
                <w:bCs w:val="0"/>
              </w:rPr>
            </w:pPr>
            <w:r w:rsidRPr="002106BA">
              <w:rPr>
                <w:b/>
                <w:bCs w:val="0"/>
              </w:rPr>
              <w:t>Change from baseline to Month 18 (final)</w:t>
            </w:r>
          </w:p>
        </w:tc>
      </w:tr>
      <w:tr w:rsidR="00157C70" w:rsidRPr="002106BA" w14:paraId="705ED5B9" w14:textId="77777777" w:rsidTr="009B1087">
        <w:tc>
          <w:tcPr>
            <w:tcW w:w="1605" w:type="dxa"/>
            <w:vAlign w:val="center"/>
          </w:tcPr>
          <w:p w14:paraId="65330F92" w14:textId="77777777" w:rsidR="00157C70" w:rsidRPr="002106BA" w:rsidRDefault="00157C70" w:rsidP="009B1087">
            <w:pPr>
              <w:pStyle w:val="COMTabletext"/>
              <w:ind w:right="-80"/>
            </w:pPr>
            <w:r w:rsidRPr="002106BA">
              <w:t>Norfolk QoL-</w:t>
            </w:r>
            <w:proofErr w:type="spellStart"/>
            <w:r w:rsidRPr="002106BA">
              <w:t>DN</w:t>
            </w:r>
            <w:r w:rsidRPr="002106BA">
              <w:rPr>
                <w:vertAlign w:val="superscript"/>
              </w:rPr>
              <w:t>a,c</w:t>
            </w:r>
            <w:proofErr w:type="spellEnd"/>
          </w:p>
        </w:tc>
        <w:tc>
          <w:tcPr>
            <w:tcW w:w="1330" w:type="dxa"/>
            <w:vAlign w:val="center"/>
          </w:tcPr>
          <w:p w14:paraId="72E935BE" w14:textId="77777777" w:rsidR="00157C70" w:rsidRPr="002106BA" w:rsidRDefault="00157C70" w:rsidP="009B1087">
            <w:pPr>
              <w:pStyle w:val="COMTabletext"/>
              <w:ind w:left="-67" w:right="-61"/>
              <w:jc w:val="center"/>
            </w:pPr>
            <w:r w:rsidRPr="002106BA">
              <w:t>47.1 (26.3)</w:t>
            </w:r>
          </w:p>
        </w:tc>
        <w:tc>
          <w:tcPr>
            <w:tcW w:w="1386" w:type="dxa"/>
            <w:vAlign w:val="center"/>
          </w:tcPr>
          <w:p w14:paraId="77BFB4D4" w14:textId="77777777" w:rsidR="00157C70" w:rsidRPr="002106BA" w:rsidRDefault="00157C70" w:rsidP="009B1087">
            <w:pPr>
              <w:pStyle w:val="COMTabletext"/>
              <w:ind w:left="-67" w:right="-61"/>
              <w:jc w:val="center"/>
            </w:pPr>
            <w:r w:rsidRPr="002106BA">
              <w:t>55.5 (24.3)</w:t>
            </w:r>
          </w:p>
        </w:tc>
        <w:tc>
          <w:tcPr>
            <w:tcW w:w="1344" w:type="dxa"/>
            <w:vAlign w:val="center"/>
          </w:tcPr>
          <w:p w14:paraId="580BA1ED" w14:textId="62F6C7DA" w:rsidR="00811BC0" w:rsidRPr="002106BA" w:rsidRDefault="00811BC0" w:rsidP="00811BC0">
            <w:pPr>
              <w:pStyle w:val="COMTabletext"/>
              <w:ind w:left="-67" w:right="-61"/>
              <w:jc w:val="center"/>
            </w:pPr>
            <w:r w:rsidRPr="002106BA">
              <w:t>n=</w:t>
            </w:r>
            <w:r w:rsidR="00527E83" w:rsidRPr="002106BA">
              <w:t>111</w:t>
            </w:r>
          </w:p>
          <w:p w14:paraId="10891E22" w14:textId="77777777" w:rsidR="00157C70" w:rsidRPr="002106BA" w:rsidRDefault="00157C70" w:rsidP="009B1087">
            <w:pPr>
              <w:pStyle w:val="COMTabletext"/>
              <w:ind w:left="-67" w:right="-61"/>
              <w:jc w:val="center"/>
            </w:pPr>
            <w:r w:rsidRPr="002106BA">
              <w:t>–1.2 (1.8)</w:t>
            </w:r>
          </w:p>
        </w:tc>
        <w:tc>
          <w:tcPr>
            <w:tcW w:w="1414" w:type="dxa"/>
            <w:vAlign w:val="center"/>
          </w:tcPr>
          <w:p w14:paraId="0EAEA6F4" w14:textId="29A38FAF" w:rsidR="00811BC0" w:rsidRPr="002106BA" w:rsidRDefault="00811BC0" w:rsidP="00811BC0">
            <w:pPr>
              <w:pStyle w:val="COMTabletext"/>
              <w:ind w:left="-67" w:right="-61"/>
              <w:jc w:val="center"/>
            </w:pPr>
            <w:r w:rsidRPr="002106BA">
              <w:t>n=</w:t>
            </w:r>
            <w:r w:rsidR="00527E83" w:rsidRPr="002106BA">
              <w:t>48</w:t>
            </w:r>
          </w:p>
          <w:p w14:paraId="7755AE3A" w14:textId="77777777" w:rsidR="00157C70" w:rsidRPr="002106BA" w:rsidRDefault="00157C70" w:rsidP="009B1087">
            <w:pPr>
              <w:pStyle w:val="COMTabletext"/>
              <w:ind w:left="-67" w:right="-61"/>
              <w:jc w:val="center"/>
            </w:pPr>
            <w:r w:rsidRPr="002106BA">
              <w:t>19.8 (2.6)</w:t>
            </w:r>
          </w:p>
        </w:tc>
        <w:tc>
          <w:tcPr>
            <w:tcW w:w="1939" w:type="dxa"/>
            <w:vAlign w:val="center"/>
          </w:tcPr>
          <w:p w14:paraId="2D09E9E6" w14:textId="77777777" w:rsidR="00157C70" w:rsidRPr="002106BA" w:rsidRDefault="00157C70" w:rsidP="009B1087">
            <w:pPr>
              <w:pStyle w:val="COMTabletext"/>
              <w:ind w:left="-67" w:right="-61"/>
              <w:jc w:val="center"/>
              <w:rPr>
                <w:b/>
                <w:bCs w:val="0"/>
              </w:rPr>
            </w:pPr>
            <w:r w:rsidRPr="002106BA">
              <w:rPr>
                <w:b/>
                <w:bCs w:val="0"/>
              </w:rPr>
              <w:t>–21.0 (–27.1, –14.9)</w:t>
            </w:r>
          </w:p>
        </w:tc>
      </w:tr>
      <w:tr w:rsidR="00157C70" w:rsidRPr="002106BA" w14:paraId="590947FE" w14:textId="77777777" w:rsidTr="009B1087">
        <w:tc>
          <w:tcPr>
            <w:tcW w:w="1605" w:type="dxa"/>
            <w:vAlign w:val="center"/>
          </w:tcPr>
          <w:p w14:paraId="013A0AC1" w14:textId="77777777" w:rsidR="00157C70" w:rsidRPr="002106BA" w:rsidRDefault="00157C70" w:rsidP="009B1087">
            <w:pPr>
              <w:pStyle w:val="COMTabletext"/>
              <w:ind w:right="-80"/>
            </w:pPr>
            <w:r w:rsidRPr="002106BA">
              <w:t>10-MWT</w:t>
            </w:r>
            <w:r w:rsidRPr="002106BA">
              <w:rPr>
                <w:vertAlign w:val="superscript"/>
              </w:rPr>
              <w:t xml:space="preserve">b,c </w:t>
            </w:r>
            <w:r w:rsidRPr="002106BA">
              <w:t>(m/sec)</w:t>
            </w:r>
          </w:p>
        </w:tc>
        <w:tc>
          <w:tcPr>
            <w:tcW w:w="1330" w:type="dxa"/>
            <w:vAlign w:val="center"/>
          </w:tcPr>
          <w:p w14:paraId="2ABB3AFF" w14:textId="77777777" w:rsidR="00157C70" w:rsidRPr="002106BA" w:rsidRDefault="00157C70" w:rsidP="009B1087">
            <w:pPr>
              <w:pStyle w:val="COMTabletext"/>
              <w:ind w:left="-67" w:right="-61"/>
              <w:jc w:val="center"/>
            </w:pPr>
            <w:r w:rsidRPr="002106BA">
              <w:t>1.006 (0.393)</w:t>
            </w:r>
          </w:p>
        </w:tc>
        <w:tc>
          <w:tcPr>
            <w:tcW w:w="1386" w:type="dxa"/>
            <w:vAlign w:val="center"/>
          </w:tcPr>
          <w:p w14:paraId="6BD31AE8" w14:textId="77777777" w:rsidR="00157C70" w:rsidRPr="002106BA" w:rsidRDefault="00157C70" w:rsidP="009B1087">
            <w:pPr>
              <w:pStyle w:val="COMTabletext"/>
              <w:ind w:left="-67" w:right="-61"/>
              <w:jc w:val="center"/>
            </w:pPr>
            <w:r w:rsidRPr="002106BA">
              <w:t>0.790 (0.319)</w:t>
            </w:r>
          </w:p>
        </w:tc>
        <w:tc>
          <w:tcPr>
            <w:tcW w:w="1344" w:type="dxa"/>
            <w:vAlign w:val="center"/>
          </w:tcPr>
          <w:p w14:paraId="53B0288A" w14:textId="7DC52859" w:rsidR="00811BC0" w:rsidRPr="002106BA" w:rsidRDefault="00811BC0" w:rsidP="00811BC0">
            <w:pPr>
              <w:pStyle w:val="COMTabletext"/>
              <w:ind w:left="-67" w:right="-61"/>
              <w:jc w:val="center"/>
            </w:pPr>
            <w:r w:rsidRPr="002106BA">
              <w:t>n=</w:t>
            </w:r>
            <w:r w:rsidR="00527E83" w:rsidRPr="002106BA">
              <w:t>112</w:t>
            </w:r>
          </w:p>
          <w:p w14:paraId="1CBC2C8F" w14:textId="77777777" w:rsidR="00157C70" w:rsidRPr="002106BA" w:rsidRDefault="00157C70" w:rsidP="009B1087">
            <w:pPr>
              <w:pStyle w:val="COMTabletext"/>
              <w:ind w:left="-67" w:right="-61"/>
              <w:jc w:val="center"/>
            </w:pPr>
            <w:r w:rsidRPr="002106BA">
              <w:t>–0.024(0.025)</w:t>
            </w:r>
          </w:p>
        </w:tc>
        <w:tc>
          <w:tcPr>
            <w:tcW w:w="1414" w:type="dxa"/>
            <w:vAlign w:val="center"/>
          </w:tcPr>
          <w:p w14:paraId="25EA5987" w14:textId="37A37AB1" w:rsidR="00811BC0" w:rsidRPr="002106BA" w:rsidRDefault="00811BC0" w:rsidP="00811BC0">
            <w:pPr>
              <w:pStyle w:val="COMTabletext"/>
              <w:ind w:left="-67" w:right="-61"/>
              <w:jc w:val="center"/>
            </w:pPr>
            <w:r w:rsidRPr="002106BA">
              <w:t>n=</w:t>
            </w:r>
            <w:r w:rsidR="00527E83" w:rsidRPr="002106BA">
              <w:t>55</w:t>
            </w:r>
          </w:p>
          <w:p w14:paraId="7A0625F7" w14:textId="77777777" w:rsidR="00157C70" w:rsidRPr="002106BA" w:rsidRDefault="00157C70" w:rsidP="009B1087">
            <w:pPr>
              <w:pStyle w:val="COMTabletext"/>
              <w:ind w:left="-67" w:right="-61"/>
              <w:jc w:val="center"/>
            </w:pPr>
            <w:r w:rsidRPr="002106BA">
              <w:t>–0.264 (0.036)</w:t>
            </w:r>
          </w:p>
        </w:tc>
        <w:tc>
          <w:tcPr>
            <w:tcW w:w="1939" w:type="dxa"/>
            <w:vAlign w:val="center"/>
          </w:tcPr>
          <w:p w14:paraId="58EB6186" w14:textId="77777777" w:rsidR="00157C70" w:rsidRPr="002106BA" w:rsidRDefault="00157C70" w:rsidP="009B1087">
            <w:pPr>
              <w:pStyle w:val="COMTabletext"/>
              <w:ind w:left="-67" w:right="-61"/>
              <w:jc w:val="center"/>
            </w:pPr>
            <w:r w:rsidRPr="002106BA">
              <w:rPr>
                <w:b/>
                <w:bCs w:val="0"/>
              </w:rPr>
              <w:t>0.239 (0.154, 0.325)</w:t>
            </w:r>
          </w:p>
        </w:tc>
      </w:tr>
      <w:tr w:rsidR="00157C70" w:rsidRPr="002106BA" w14:paraId="76E39018" w14:textId="77777777" w:rsidTr="009B1087">
        <w:tc>
          <w:tcPr>
            <w:tcW w:w="1605" w:type="dxa"/>
            <w:vAlign w:val="center"/>
          </w:tcPr>
          <w:p w14:paraId="541BADD8" w14:textId="77777777" w:rsidR="00157C70" w:rsidRPr="002106BA" w:rsidRDefault="00157C70" w:rsidP="009B1087">
            <w:pPr>
              <w:pStyle w:val="COMTabletext"/>
              <w:ind w:right="-80"/>
            </w:pPr>
            <w:r w:rsidRPr="002106BA">
              <w:t>R-</w:t>
            </w:r>
            <w:proofErr w:type="spellStart"/>
            <w:r w:rsidRPr="002106BA">
              <w:t>ODS</w:t>
            </w:r>
            <w:r w:rsidRPr="002106BA">
              <w:rPr>
                <w:vertAlign w:val="superscript"/>
              </w:rPr>
              <w:t>b,c</w:t>
            </w:r>
            <w:proofErr w:type="spellEnd"/>
          </w:p>
        </w:tc>
        <w:tc>
          <w:tcPr>
            <w:tcW w:w="1330" w:type="dxa"/>
            <w:vAlign w:val="center"/>
          </w:tcPr>
          <w:p w14:paraId="44E917C0" w14:textId="77777777" w:rsidR="00157C70" w:rsidRPr="002106BA" w:rsidRDefault="00157C70" w:rsidP="009B1087">
            <w:pPr>
              <w:pStyle w:val="COMTabletext"/>
              <w:ind w:left="-67" w:right="-61"/>
              <w:jc w:val="center"/>
            </w:pPr>
            <w:r w:rsidRPr="002106BA">
              <w:t>34.1 (11.0)</w:t>
            </w:r>
          </w:p>
        </w:tc>
        <w:tc>
          <w:tcPr>
            <w:tcW w:w="1386" w:type="dxa"/>
            <w:vAlign w:val="center"/>
          </w:tcPr>
          <w:p w14:paraId="3D410A40" w14:textId="77777777" w:rsidR="00157C70" w:rsidRPr="002106BA" w:rsidRDefault="00157C70" w:rsidP="009B1087">
            <w:pPr>
              <w:pStyle w:val="COMTabletext"/>
              <w:ind w:left="-67" w:right="-61"/>
              <w:jc w:val="center"/>
            </w:pPr>
            <w:r w:rsidRPr="002106BA">
              <w:t>29.8 (10.8)</w:t>
            </w:r>
          </w:p>
        </w:tc>
        <w:tc>
          <w:tcPr>
            <w:tcW w:w="1344" w:type="dxa"/>
            <w:vAlign w:val="center"/>
          </w:tcPr>
          <w:p w14:paraId="2073BA41" w14:textId="0E7FE5F7" w:rsidR="00811BC0" w:rsidRPr="002106BA" w:rsidRDefault="00811BC0" w:rsidP="00811BC0">
            <w:pPr>
              <w:pStyle w:val="COMTabletext"/>
              <w:ind w:left="-67" w:right="-61"/>
              <w:jc w:val="center"/>
            </w:pPr>
            <w:r w:rsidRPr="002106BA">
              <w:t>n=</w:t>
            </w:r>
            <w:r w:rsidR="00C36792" w:rsidRPr="002106BA">
              <w:t>113</w:t>
            </w:r>
          </w:p>
          <w:p w14:paraId="03330981" w14:textId="77777777" w:rsidR="00157C70" w:rsidRPr="002106BA" w:rsidRDefault="00157C70" w:rsidP="009B1087">
            <w:pPr>
              <w:pStyle w:val="COMTabletext"/>
              <w:ind w:left="-67" w:right="-61"/>
              <w:jc w:val="center"/>
            </w:pPr>
            <w:r w:rsidRPr="002106BA">
              <w:t>–1.5 (0.6)</w:t>
            </w:r>
          </w:p>
        </w:tc>
        <w:tc>
          <w:tcPr>
            <w:tcW w:w="1414" w:type="dxa"/>
            <w:vAlign w:val="center"/>
          </w:tcPr>
          <w:p w14:paraId="7CD0923D" w14:textId="4889E58D" w:rsidR="00811BC0" w:rsidRPr="002106BA" w:rsidRDefault="00811BC0" w:rsidP="00811BC0">
            <w:pPr>
              <w:pStyle w:val="COMTabletext"/>
              <w:ind w:left="-67" w:right="-61"/>
              <w:jc w:val="center"/>
            </w:pPr>
            <w:r w:rsidRPr="002106BA">
              <w:t>n=</w:t>
            </w:r>
            <w:r w:rsidR="00C36792" w:rsidRPr="002106BA">
              <w:t>54</w:t>
            </w:r>
          </w:p>
          <w:p w14:paraId="58003B94" w14:textId="77777777" w:rsidR="00157C70" w:rsidRPr="002106BA" w:rsidRDefault="00157C70" w:rsidP="009B1087">
            <w:pPr>
              <w:pStyle w:val="COMTabletext"/>
              <w:ind w:left="-67" w:right="-61"/>
              <w:jc w:val="center"/>
            </w:pPr>
            <w:r w:rsidRPr="002106BA">
              <w:t>–9.9 (0.8)</w:t>
            </w:r>
          </w:p>
        </w:tc>
        <w:tc>
          <w:tcPr>
            <w:tcW w:w="1939" w:type="dxa"/>
            <w:vAlign w:val="center"/>
          </w:tcPr>
          <w:p w14:paraId="1BFA92EF" w14:textId="77777777" w:rsidR="00157C70" w:rsidRPr="002106BA" w:rsidRDefault="00157C70" w:rsidP="009B1087">
            <w:pPr>
              <w:pStyle w:val="COMTabletext"/>
              <w:ind w:left="-67" w:right="-61"/>
              <w:jc w:val="center"/>
            </w:pPr>
            <w:r w:rsidRPr="002106BA">
              <w:rPr>
                <w:b/>
                <w:bCs w:val="0"/>
              </w:rPr>
              <w:t>8.4 (6.5, 10.4)</w:t>
            </w:r>
          </w:p>
        </w:tc>
      </w:tr>
      <w:tr w:rsidR="00157C70" w:rsidRPr="002106BA" w14:paraId="694958B0" w14:textId="77777777" w:rsidTr="009B1087">
        <w:tc>
          <w:tcPr>
            <w:tcW w:w="1605" w:type="dxa"/>
            <w:vAlign w:val="center"/>
          </w:tcPr>
          <w:p w14:paraId="131BEE8B" w14:textId="77777777" w:rsidR="00157C70" w:rsidRPr="002106BA" w:rsidRDefault="00157C70" w:rsidP="009B1087">
            <w:pPr>
              <w:pStyle w:val="COMTabletext"/>
              <w:ind w:right="-80"/>
            </w:pPr>
            <w:proofErr w:type="spellStart"/>
            <w:r w:rsidRPr="002106BA">
              <w:t>mBMI</w:t>
            </w:r>
            <w:r w:rsidRPr="002106BA">
              <w:rPr>
                <w:vertAlign w:val="superscript"/>
              </w:rPr>
              <w:t>b,c</w:t>
            </w:r>
            <w:proofErr w:type="spellEnd"/>
            <w:r w:rsidRPr="002106BA">
              <w:rPr>
                <w:vertAlign w:val="superscript"/>
              </w:rPr>
              <w:t xml:space="preserve"> </w:t>
            </w:r>
            <w:r w:rsidRPr="002106BA">
              <w:t>(g/</w:t>
            </w:r>
            <w:proofErr w:type="spellStart"/>
            <w:r w:rsidRPr="002106BA">
              <w:t>L×kg</w:t>
            </w:r>
            <w:proofErr w:type="spellEnd"/>
            <w:r w:rsidRPr="002106BA">
              <w:t>/m</w:t>
            </w:r>
            <w:r w:rsidRPr="002106BA">
              <w:rPr>
                <w:vertAlign w:val="superscript"/>
              </w:rPr>
              <w:t>2</w:t>
            </w:r>
            <w:r w:rsidRPr="002106BA">
              <w:t>)</w:t>
            </w:r>
          </w:p>
        </w:tc>
        <w:tc>
          <w:tcPr>
            <w:tcW w:w="1330" w:type="dxa"/>
            <w:vAlign w:val="center"/>
          </w:tcPr>
          <w:p w14:paraId="319B0DDC" w14:textId="77777777" w:rsidR="00157C70" w:rsidRPr="002106BA" w:rsidRDefault="00157C70" w:rsidP="009B1087">
            <w:pPr>
              <w:pStyle w:val="COMTabletext"/>
              <w:ind w:left="-67" w:right="-61"/>
              <w:jc w:val="center"/>
            </w:pPr>
            <w:r w:rsidRPr="002106BA">
              <w:t>1057.5 (234.0)</w:t>
            </w:r>
          </w:p>
        </w:tc>
        <w:tc>
          <w:tcPr>
            <w:tcW w:w="1386" w:type="dxa"/>
            <w:vAlign w:val="center"/>
          </w:tcPr>
          <w:p w14:paraId="246F6FB7" w14:textId="77777777" w:rsidR="00157C70" w:rsidRPr="002106BA" w:rsidRDefault="00157C70" w:rsidP="009B1087">
            <w:pPr>
              <w:pStyle w:val="COMTabletext"/>
              <w:ind w:left="-67" w:right="-61"/>
              <w:jc w:val="center"/>
            </w:pPr>
            <w:r w:rsidRPr="002106BA">
              <w:t>989.9 (214.2)</w:t>
            </w:r>
          </w:p>
        </w:tc>
        <w:tc>
          <w:tcPr>
            <w:tcW w:w="1344" w:type="dxa"/>
            <w:vAlign w:val="center"/>
          </w:tcPr>
          <w:p w14:paraId="311C95EE" w14:textId="57610491" w:rsidR="00811BC0" w:rsidRPr="002106BA" w:rsidRDefault="00811BC0" w:rsidP="00811BC0">
            <w:pPr>
              <w:pStyle w:val="COMTabletext"/>
              <w:ind w:left="-67" w:right="-61"/>
              <w:jc w:val="center"/>
            </w:pPr>
            <w:r w:rsidRPr="002106BA">
              <w:t>n=</w:t>
            </w:r>
            <w:r w:rsidR="00C36792" w:rsidRPr="002106BA">
              <w:t>113</w:t>
            </w:r>
          </w:p>
          <w:p w14:paraId="621D7B32" w14:textId="77777777" w:rsidR="00157C70" w:rsidRPr="002106BA" w:rsidRDefault="00157C70" w:rsidP="009B1087">
            <w:pPr>
              <w:pStyle w:val="COMTabletext"/>
              <w:ind w:left="-67" w:right="-61"/>
              <w:jc w:val="center"/>
            </w:pPr>
            <w:r w:rsidRPr="002106BA">
              <w:t>25.0 (9.5)</w:t>
            </w:r>
          </w:p>
        </w:tc>
        <w:tc>
          <w:tcPr>
            <w:tcW w:w="1414" w:type="dxa"/>
            <w:vAlign w:val="center"/>
          </w:tcPr>
          <w:p w14:paraId="1163C122" w14:textId="0A0E2C60" w:rsidR="00811BC0" w:rsidRPr="002106BA" w:rsidRDefault="00811BC0" w:rsidP="00811BC0">
            <w:pPr>
              <w:pStyle w:val="COMTabletext"/>
              <w:ind w:left="-67" w:right="-61"/>
              <w:jc w:val="center"/>
            </w:pPr>
            <w:r w:rsidRPr="002106BA">
              <w:t>n=</w:t>
            </w:r>
            <w:r w:rsidR="00C36792" w:rsidRPr="002106BA">
              <w:t>52</w:t>
            </w:r>
          </w:p>
          <w:p w14:paraId="200C2474" w14:textId="77777777" w:rsidR="00157C70" w:rsidRPr="002106BA" w:rsidRDefault="00157C70" w:rsidP="009B1087">
            <w:pPr>
              <w:pStyle w:val="COMTabletext"/>
              <w:ind w:left="-67" w:right="-61"/>
              <w:jc w:val="center"/>
            </w:pPr>
            <w:r w:rsidRPr="002106BA">
              <w:t>–115.7 (13.4)</w:t>
            </w:r>
          </w:p>
        </w:tc>
        <w:tc>
          <w:tcPr>
            <w:tcW w:w="1939" w:type="dxa"/>
            <w:vAlign w:val="center"/>
          </w:tcPr>
          <w:p w14:paraId="0CDF3037" w14:textId="77777777" w:rsidR="00157C70" w:rsidRPr="002106BA" w:rsidRDefault="00157C70" w:rsidP="009B1087">
            <w:pPr>
              <w:pStyle w:val="COMTabletext"/>
              <w:ind w:left="-67" w:right="-61"/>
              <w:jc w:val="center"/>
            </w:pPr>
            <w:r w:rsidRPr="002106BA">
              <w:rPr>
                <w:b/>
                <w:bCs w:val="0"/>
              </w:rPr>
              <w:t>140.7 (108.4, 172.9)</w:t>
            </w:r>
          </w:p>
        </w:tc>
      </w:tr>
    </w:tbl>
    <w:p w14:paraId="3DDC464F" w14:textId="77777777" w:rsidR="00157C70" w:rsidRPr="002106BA" w:rsidRDefault="00157C70" w:rsidP="00157C70">
      <w:pPr>
        <w:pStyle w:val="COMTablefooter"/>
        <w:rPr>
          <w:sz w:val="20"/>
        </w:rPr>
      </w:pPr>
      <w:r w:rsidRPr="002106BA">
        <w:t xml:space="preserve">Source: Table 2.14, p50 of the submission. </w:t>
      </w:r>
    </w:p>
    <w:p w14:paraId="46820D88" w14:textId="77777777" w:rsidR="00157C70" w:rsidRPr="002106BA" w:rsidRDefault="00157C70" w:rsidP="00157C70">
      <w:pPr>
        <w:pStyle w:val="COMTablefooter"/>
        <w:rPr>
          <w:rFonts w:eastAsia="Calibri"/>
        </w:rPr>
      </w:pPr>
      <w:r w:rsidRPr="002106BA">
        <w:rPr>
          <w:rFonts w:eastAsia="Calibri"/>
        </w:rPr>
        <w:t xml:space="preserve">Abbreviations: 10-MWT, 10 metre walk test; CI, confidence interval; LS, least squares; </w:t>
      </w:r>
      <w:proofErr w:type="spellStart"/>
      <w:r w:rsidRPr="002106BA">
        <w:rPr>
          <w:rFonts w:eastAsia="Calibri"/>
        </w:rPr>
        <w:t>mBMI</w:t>
      </w:r>
      <w:proofErr w:type="spellEnd"/>
      <w:r w:rsidRPr="002106BA">
        <w:rPr>
          <w:rFonts w:eastAsia="Calibri"/>
        </w:rPr>
        <w:t xml:space="preserve">, modified body mass index; mITT, modified intention-to-treat; mNIS+7, modified </w:t>
      </w:r>
      <w:r w:rsidRPr="002106BA">
        <w:t>neuropathy impairment score +7;</w:t>
      </w:r>
      <w:r w:rsidRPr="002106BA">
        <w:rPr>
          <w:rFonts w:eastAsia="Calibri"/>
        </w:rPr>
        <w:t xml:space="preserve"> </w:t>
      </w:r>
      <w:r w:rsidRPr="002106BA">
        <w:t>QoL-DN, quality of life-diabetic neuropathy;</w:t>
      </w:r>
      <w:r w:rsidRPr="002106BA">
        <w:rPr>
          <w:rFonts w:eastAsia="Calibri"/>
        </w:rPr>
        <w:t xml:space="preserve"> R-ODS,</w:t>
      </w:r>
      <w:r w:rsidRPr="002106BA">
        <w:t xml:space="preserve"> </w:t>
      </w:r>
      <w:r w:rsidRPr="002106BA">
        <w:rPr>
          <w:rFonts w:eastAsia="Calibri"/>
        </w:rPr>
        <w:t xml:space="preserve">Rasch-built Overall Disability Score; SD, standard deviation; SEM, standard error mean. </w:t>
      </w:r>
    </w:p>
    <w:p w14:paraId="064DE32A" w14:textId="77777777" w:rsidR="00157C70" w:rsidRPr="002106BA" w:rsidRDefault="00157C70" w:rsidP="00157C70">
      <w:pPr>
        <w:pStyle w:val="COMTablefooter"/>
        <w:rPr>
          <w:rFonts w:cstheme="minorHAnsi"/>
          <w:shd w:val="clear" w:color="auto" w:fill="FFFFFF"/>
        </w:rPr>
      </w:pPr>
      <w:r w:rsidRPr="002106BA">
        <w:rPr>
          <w:rFonts w:eastAsia="Calibri"/>
          <w:vertAlign w:val="superscript"/>
        </w:rPr>
        <w:t>a</w:t>
      </w:r>
      <w:r w:rsidRPr="002106BA">
        <w:rPr>
          <w:rFonts w:eastAsia="Calibri"/>
        </w:rPr>
        <w:t xml:space="preserve"> Lower </w:t>
      </w:r>
      <w:r w:rsidRPr="002106BA">
        <w:rPr>
          <w:rFonts w:cstheme="minorHAnsi"/>
          <w:shd w:val="clear" w:color="auto" w:fill="FFFFFF"/>
        </w:rPr>
        <w:t>scores indicate less impairment/fewer symptoms.</w:t>
      </w:r>
    </w:p>
    <w:p w14:paraId="7510840B" w14:textId="77777777" w:rsidR="00157C70" w:rsidRPr="002106BA" w:rsidRDefault="00157C70" w:rsidP="00157C70">
      <w:pPr>
        <w:pStyle w:val="COMTablefooter"/>
        <w:rPr>
          <w:rFonts w:eastAsia="Calibri"/>
        </w:rPr>
      </w:pPr>
      <w:r w:rsidRPr="002106BA">
        <w:rPr>
          <w:rFonts w:cstheme="minorHAnsi"/>
          <w:shd w:val="clear" w:color="auto" w:fill="FFFFFF"/>
          <w:vertAlign w:val="superscript"/>
        </w:rPr>
        <w:t>b</w:t>
      </w:r>
      <w:r w:rsidRPr="002106BA">
        <w:rPr>
          <w:rFonts w:cstheme="minorHAnsi"/>
          <w:shd w:val="clear" w:color="auto" w:fill="FFFFFF"/>
        </w:rPr>
        <w:t xml:space="preserve"> Higher values indicate less disability/less impairment, or better nutritional status. </w:t>
      </w:r>
      <w:proofErr w:type="spellStart"/>
      <w:r w:rsidRPr="002106BA">
        <w:rPr>
          <w:rFonts w:cstheme="minorHAnsi"/>
          <w:shd w:val="clear" w:color="auto" w:fill="FFFFFF"/>
        </w:rPr>
        <w:t>mBMI</w:t>
      </w:r>
      <w:proofErr w:type="spellEnd"/>
      <w:r w:rsidRPr="002106BA">
        <w:rPr>
          <w:rFonts w:cstheme="minorHAnsi"/>
          <w:shd w:val="clear" w:color="auto" w:fill="FFFFFF"/>
        </w:rPr>
        <w:t xml:space="preserve"> = albumin (g/L) x weight (kg) / height (m</w:t>
      </w:r>
      <w:r w:rsidRPr="002106BA">
        <w:rPr>
          <w:rFonts w:cstheme="minorHAnsi"/>
          <w:shd w:val="clear" w:color="auto" w:fill="FFFFFF"/>
          <w:vertAlign w:val="superscript"/>
        </w:rPr>
        <w:t>2</w:t>
      </w:r>
      <w:r w:rsidRPr="002106BA">
        <w:rPr>
          <w:rFonts w:cstheme="minorHAnsi"/>
          <w:shd w:val="clear" w:color="auto" w:fill="FFFFFF"/>
        </w:rPr>
        <w:t>).</w:t>
      </w:r>
    </w:p>
    <w:p w14:paraId="15A68645" w14:textId="77777777" w:rsidR="00157C70" w:rsidRPr="002106BA" w:rsidRDefault="00157C70" w:rsidP="00157C70">
      <w:pPr>
        <w:pStyle w:val="COMTablefooter"/>
        <w:rPr>
          <w:rFonts w:eastAsia="Calibri"/>
        </w:rPr>
      </w:pPr>
      <w:r w:rsidRPr="002106BA">
        <w:rPr>
          <w:rFonts w:cstheme="minorHAnsi"/>
          <w:shd w:val="clear" w:color="auto" w:fill="FFFFFF"/>
          <w:vertAlign w:val="superscript"/>
        </w:rPr>
        <w:t>c</w:t>
      </w:r>
      <w:r w:rsidRPr="002106BA">
        <w:rPr>
          <w:rFonts w:cstheme="minorHAnsi"/>
          <w:shd w:val="clear" w:color="auto" w:fill="FFFFFF"/>
        </w:rPr>
        <w:t xml:space="preserve"> Type I error control for secondary endpoints by hierarchical ordering procedure.</w:t>
      </w:r>
    </w:p>
    <w:p w14:paraId="026314A8" w14:textId="023191A1" w:rsidR="00157C70" w:rsidRPr="002106BA" w:rsidRDefault="00157C70" w:rsidP="00157C70">
      <w:pPr>
        <w:pStyle w:val="COMTablefooter"/>
      </w:pPr>
      <w:r w:rsidRPr="002106BA">
        <w:rPr>
          <w:rFonts w:eastAsia="Calibri"/>
        </w:rPr>
        <w:t xml:space="preserve">Note: </w:t>
      </w:r>
      <w:r w:rsidRPr="002106BA">
        <w:t xml:space="preserve">Statistically significant results in bold. </w:t>
      </w:r>
    </w:p>
    <w:p w14:paraId="78AA565A" w14:textId="00E1E831" w:rsidR="008F7591" w:rsidRPr="002106BA" w:rsidRDefault="00157C70" w:rsidP="00EC5836">
      <w:pPr>
        <w:pStyle w:val="COMexecsummnumbered"/>
        <w:rPr>
          <w:color w:val="0066FF"/>
        </w:rPr>
      </w:pPr>
      <w:r w:rsidRPr="002106BA">
        <w:t>In HELIOS-A, change from baseline to Month 9 in mNIS+7 showed a statistically significant difference between vutrisiran and the APOLLO study placebo arm, favouring vutrisiran. All secondary outcomes showed statistically significant differences favouring vutrisiran compared to the external placebo.</w:t>
      </w:r>
      <w:r w:rsidR="00F5429B" w:rsidRPr="002106BA">
        <w:t xml:space="preserve"> Similarly, in </w:t>
      </w:r>
      <w:r w:rsidR="00723B6D" w:rsidRPr="002106BA">
        <w:t>APOLLO, all secondary outcomes showed statistically significant differences favouring patisiran compared to placebo.</w:t>
      </w:r>
    </w:p>
    <w:p w14:paraId="7DAF6D9E" w14:textId="217EA80E" w:rsidR="00FD3EF3" w:rsidRPr="002106BA" w:rsidRDefault="00FD3EF3" w:rsidP="00FD3EF3">
      <w:pPr>
        <w:pStyle w:val="COMexecsummnumbered"/>
        <w:rPr>
          <w:color w:val="0066FF"/>
        </w:rPr>
      </w:pPr>
      <w:r w:rsidRPr="002106BA">
        <w:lastRenderedPageBreak/>
        <w:t xml:space="preserve">The results of the change in </w:t>
      </w:r>
      <w:r w:rsidRPr="002106BA">
        <w:rPr>
          <w:rFonts w:eastAsia="Calibri"/>
        </w:rPr>
        <w:t xml:space="preserve">EQ-5D-5L from baseline to Month 9 and Month 18, showed statistically significant benefits for patients treated with vutrisiran compared to the external placebo. The least squares mean difference in EQ-5D-5L index between vutrisiran and placebo from baseline to Month 18 (LS mean difference 0.19, 95% CI: 0.14, 0.23) was </w:t>
      </w:r>
      <w:proofErr w:type="gramStart"/>
      <w:r w:rsidRPr="002106BA">
        <w:rPr>
          <w:rFonts w:eastAsia="Calibri"/>
        </w:rPr>
        <w:t>similar to</w:t>
      </w:r>
      <w:proofErr w:type="gramEnd"/>
      <w:r w:rsidRPr="002106BA">
        <w:rPr>
          <w:rFonts w:eastAsia="Calibri"/>
        </w:rPr>
        <w:t xml:space="preserve"> that observed for patisiran versus placebo in the APOLLO study (LS mean difference 0.20, 95% CI: 0.15, 0.25).</w:t>
      </w:r>
    </w:p>
    <w:bookmarkStart w:id="25" w:name="_Ref182993802"/>
    <w:p w14:paraId="59C52B73" w14:textId="01442C2B" w:rsidR="00166FDF" w:rsidRPr="002106BA" w:rsidRDefault="00166FDF" w:rsidP="00166FDF">
      <w:pPr>
        <w:pStyle w:val="COMexecsummnumbered"/>
        <w:rPr>
          <w:color w:val="0066FF"/>
        </w:rPr>
      </w:pPr>
      <w:r w:rsidRPr="002106BA">
        <w:fldChar w:fldCharType="begin"/>
      </w:r>
      <w:r w:rsidRPr="002106BA">
        <w:instrText xml:space="preserve"> REF _Ref176862655 \h </w:instrText>
      </w:r>
      <w:r w:rsidR="00364566" w:rsidRPr="002106BA">
        <w:instrText xml:space="preserve"> \* MERGEFORMAT </w:instrText>
      </w:r>
      <w:r w:rsidRPr="002106BA">
        <w:fldChar w:fldCharType="separate"/>
      </w:r>
      <w:r w:rsidR="00DB6E9D" w:rsidRPr="002106BA">
        <w:t xml:space="preserve">Table </w:t>
      </w:r>
      <w:r w:rsidR="00DB6E9D">
        <w:t>6</w:t>
      </w:r>
      <w:r w:rsidRPr="002106BA">
        <w:fldChar w:fldCharType="end"/>
      </w:r>
      <w:r w:rsidRPr="002106BA">
        <w:t xml:space="preserve"> summarises the preliminary results of the primary and secondary outcomes in the HELIOS-A extension </w:t>
      </w:r>
      <w:r w:rsidR="009F661C" w:rsidRPr="002106BA">
        <w:t>study,</w:t>
      </w:r>
      <w:r w:rsidRPr="002106BA">
        <w:t xml:space="preserve"> from the extension period baseline to 9 months</w:t>
      </w:r>
      <w:r w:rsidRPr="002106BA">
        <w:rPr>
          <w:color w:val="0066FF"/>
        </w:rPr>
        <w:t>.</w:t>
      </w:r>
      <w:bookmarkEnd w:id="25"/>
    </w:p>
    <w:p w14:paraId="7C20C788" w14:textId="271BAAC0" w:rsidR="00166FDF" w:rsidRPr="002106BA" w:rsidRDefault="00166FDF" w:rsidP="00166FDF">
      <w:pPr>
        <w:pStyle w:val="COMTableheadingrow"/>
        <w:rPr>
          <w:lang w:val="en-AU"/>
        </w:rPr>
      </w:pPr>
      <w:bookmarkStart w:id="26" w:name="_Ref176862655"/>
      <w:r w:rsidRPr="002106BA">
        <w:rPr>
          <w:lang w:val="en-AU"/>
        </w:rPr>
        <w:t xml:space="preserve">Table </w:t>
      </w:r>
      <w:r w:rsidRPr="002106BA">
        <w:rPr>
          <w:lang w:val="en-AU"/>
        </w:rPr>
        <w:fldChar w:fldCharType="begin"/>
      </w:r>
      <w:r w:rsidRPr="002106BA">
        <w:rPr>
          <w:lang w:val="en-AU"/>
        </w:rPr>
        <w:instrText xml:space="preserve"> SEQ Table \* ARABIC </w:instrText>
      </w:r>
      <w:r w:rsidRPr="002106BA">
        <w:rPr>
          <w:lang w:val="en-AU"/>
        </w:rPr>
        <w:fldChar w:fldCharType="separate"/>
      </w:r>
      <w:r w:rsidR="00DB6E9D">
        <w:rPr>
          <w:noProof/>
          <w:lang w:val="en-AU"/>
        </w:rPr>
        <w:t>6</w:t>
      </w:r>
      <w:r w:rsidRPr="002106BA">
        <w:rPr>
          <w:lang w:val="en-AU"/>
        </w:rPr>
        <w:fldChar w:fldCharType="end"/>
      </w:r>
      <w:bookmarkEnd w:id="26"/>
      <w:r w:rsidRPr="002106BA">
        <w:rPr>
          <w:lang w:val="en-AU"/>
        </w:rPr>
        <w:t>: HELIOS-A extension primary and secondary outcomes from extension baseline to Month 9</w:t>
      </w:r>
    </w:p>
    <w:tbl>
      <w:tblPr>
        <w:tblStyle w:val="TableGrid"/>
        <w:tblW w:w="9018" w:type="dxa"/>
        <w:tblLayout w:type="fixed"/>
        <w:tblLook w:val="04A0" w:firstRow="1" w:lastRow="0" w:firstColumn="1" w:lastColumn="0" w:noHBand="0" w:noVBand="1"/>
      </w:tblPr>
      <w:tblGrid>
        <w:gridCol w:w="2830"/>
        <w:gridCol w:w="3094"/>
        <w:gridCol w:w="3094"/>
      </w:tblGrid>
      <w:tr w:rsidR="00166FDF" w:rsidRPr="002106BA" w14:paraId="5D9F7139" w14:textId="77777777" w:rsidTr="00715D09">
        <w:tc>
          <w:tcPr>
            <w:tcW w:w="2830" w:type="dxa"/>
            <w:vMerge w:val="restart"/>
            <w:vAlign w:val="center"/>
          </w:tcPr>
          <w:p w14:paraId="1093B262" w14:textId="77777777" w:rsidR="00166FDF" w:rsidRPr="002106BA" w:rsidRDefault="00166FDF" w:rsidP="00715D09">
            <w:pPr>
              <w:pStyle w:val="COMTabletext"/>
              <w:rPr>
                <w:b/>
                <w:bCs w:val="0"/>
              </w:rPr>
            </w:pPr>
            <w:r w:rsidRPr="002106BA">
              <w:rPr>
                <w:b/>
                <w:bCs w:val="0"/>
              </w:rPr>
              <w:t>Outcomes</w:t>
            </w:r>
          </w:p>
        </w:tc>
        <w:tc>
          <w:tcPr>
            <w:tcW w:w="3094" w:type="dxa"/>
            <w:vAlign w:val="center"/>
          </w:tcPr>
          <w:p w14:paraId="0D2F0464" w14:textId="77777777" w:rsidR="00166FDF" w:rsidRPr="002106BA" w:rsidRDefault="00166FDF" w:rsidP="00715D09">
            <w:pPr>
              <w:pStyle w:val="COMTabletext"/>
              <w:ind w:left="-67" w:right="-61"/>
              <w:jc w:val="center"/>
              <w:rPr>
                <w:b/>
                <w:bCs w:val="0"/>
              </w:rPr>
            </w:pPr>
            <w:r w:rsidRPr="002106BA">
              <w:rPr>
                <w:b/>
                <w:bCs w:val="0"/>
              </w:rPr>
              <w:t>Vutrisiran 25 mg (Q3M)</w:t>
            </w:r>
          </w:p>
          <w:p w14:paraId="5FC818F0" w14:textId="77777777" w:rsidR="00166FDF" w:rsidRPr="002106BA" w:rsidRDefault="00166FDF" w:rsidP="00715D09">
            <w:pPr>
              <w:pStyle w:val="COMTabletext"/>
              <w:ind w:left="-67" w:right="-61"/>
              <w:jc w:val="center"/>
              <w:rPr>
                <w:b/>
                <w:bCs w:val="0"/>
              </w:rPr>
            </w:pPr>
            <w:r w:rsidRPr="002106BA">
              <w:rPr>
                <w:b/>
                <w:bCs w:val="0"/>
              </w:rPr>
              <w:t>(n=66)</w:t>
            </w:r>
          </w:p>
        </w:tc>
        <w:tc>
          <w:tcPr>
            <w:tcW w:w="3094" w:type="dxa"/>
            <w:vAlign w:val="center"/>
          </w:tcPr>
          <w:p w14:paraId="1A719A43" w14:textId="77777777" w:rsidR="00166FDF" w:rsidRPr="002106BA" w:rsidRDefault="00166FDF" w:rsidP="00715D09">
            <w:pPr>
              <w:pStyle w:val="COMTabletext"/>
              <w:ind w:left="-67" w:right="-61"/>
              <w:jc w:val="center"/>
              <w:rPr>
                <w:b/>
                <w:bCs w:val="0"/>
              </w:rPr>
            </w:pPr>
            <w:r w:rsidRPr="002106BA">
              <w:rPr>
                <w:b/>
                <w:bCs w:val="0"/>
              </w:rPr>
              <w:t>Vutrisiran 50 mg (Q6M)</w:t>
            </w:r>
          </w:p>
          <w:p w14:paraId="1337C579" w14:textId="77777777" w:rsidR="00166FDF" w:rsidRPr="002106BA" w:rsidRDefault="00166FDF" w:rsidP="00715D09">
            <w:pPr>
              <w:pStyle w:val="COMTabletext"/>
              <w:ind w:left="-67" w:right="-61"/>
              <w:jc w:val="center"/>
            </w:pPr>
            <w:r w:rsidRPr="002106BA">
              <w:rPr>
                <w:b/>
                <w:bCs w:val="0"/>
              </w:rPr>
              <w:t>(n=64)</w:t>
            </w:r>
          </w:p>
        </w:tc>
      </w:tr>
      <w:tr w:rsidR="00166FDF" w:rsidRPr="002106BA" w14:paraId="2EBB10F8" w14:textId="77777777" w:rsidTr="00715D09">
        <w:tc>
          <w:tcPr>
            <w:tcW w:w="2830" w:type="dxa"/>
            <w:vMerge/>
            <w:vAlign w:val="center"/>
          </w:tcPr>
          <w:p w14:paraId="48C76F5F" w14:textId="77777777" w:rsidR="00166FDF" w:rsidRPr="002106BA" w:rsidRDefault="00166FDF" w:rsidP="00715D09">
            <w:pPr>
              <w:pStyle w:val="COMTabletext"/>
            </w:pPr>
          </w:p>
        </w:tc>
        <w:tc>
          <w:tcPr>
            <w:tcW w:w="6188" w:type="dxa"/>
            <w:gridSpan w:val="2"/>
            <w:vAlign w:val="center"/>
          </w:tcPr>
          <w:p w14:paraId="26087D49" w14:textId="77777777" w:rsidR="00166FDF" w:rsidRPr="002106BA" w:rsidRDefault="00166FDF" w:rsidP="00715D09">
            <w:pPr>
              <w:pStyle w:val="COMTabletext"/>
              <w:ind w:left="-67" w:right="-61"/>
              <w:jc w:val="center"/>
            </w:pPr>
            <w:r w:rsidRPr="002106BA">
              <w:rPr>
                <w:b/>
                <w:bCs w:val="0"/>
              </w:rPr>
              <w:t>Mean change (SE)</w:t>
            </w:r>
          </w:p>
        </w:tc>
      </w:tr>
      <w:tr w:rsidR="00166FDF" w:rsidRPr="002106BA" w14:paraId="6FF11A70" w14:textId="77777777" w:rsidTr="00715D09">
        <w:tc>
          <w:tcPr>
            <w:tcW w:w="2830" w:type="dxa"/>
            <w:vAlign w:val="center"/>
          </w:tcPr>
          <w:p w14:paraId="5986BD74" w14:textId="77777777" w:rsidR="00166FDF" w:rsidRPr="002106BA" w:rsidRDefault="00166FDF" w:rsidP="00715D09">
            <w:pPr>
              <w:pStyle w:val="COMTabletext"/>
              <w:ind w:right="-80"/>
            </w:pPr>
            <w:r w:rsidRPr="002106BA">
              <w:t>mNIS+7 (total score)</w:t>
            </w:r>
            <w:r w:rsidRPr="002106BA">
              <w:rPr>
                <w:vertAlign w:val="superscript"/>
              </w:rPr>
              <w:t>a</w:t>
            </w:r>
          </w:p>
        </w:tc>
        <w:tc>
          <w:tcPr>
            <w:tcW w:w="3094" w:type="dxa"/>
            <w:vAlign w:val="center"/>
          </w:tcPr>
          <w:p w14:paraId="211EF04C" w14:textId="77777777" w:rsidR="00166FDF" w:rsidRPr="002106BA" w:rsidRDefault="00166FDF" w:rsidP="00715D09">
            <w:pPr>
              <w:pStyle w:val="COMTabletext"/>
              <w:ind w:left="-67" w:right="-61"/>
              <w:jc w:val="center"/>
            </w:pPr>
            <w:r w:rsidRPr="002106BA">
              <w:t>–0.21 (1.82)</w:t>
            </w:r>
          </w:p>
        </w:tc>
        <w:tc>
          <w:tcPr>
            <w:tcW w:w="3094" w:type="dxa"/>
            <w:vAlign w:val="center"/>
          </w:tcPr>
          <w:p w14:paraId="3AF54F54" w14:textId="77777777" w:rsidR="00166FDF" w:rsidRPr="002106BA" w:rsidRDefault="00166FDF" w:rsidP="00715D09">
            <w:pPr>
              <w:pStyle w:val="COMTabletext"/>
              <w:ind w:left="-67" w:right="-61"/>
              <w:jc w:val="center"/>
              <w:rPr>
                <w:b/>
                <w:bCs w:val="0"/>
              </w:rPr>
            </w:pPr>
            <w:r w:rsidRPr="002106BA">
              <w:t>0.88 (1.64)</w:t>
            </w:r>
          </w:p>
        </w:tc>
      </w:tr>
      <w:tr w:rsidR="00166FDF" w:rsidRPr="002106BA" w14:paraId="03CE15FA" w14:textId="77777777" w:rsidTr="00715D09">
        <w:tc>
          <w:tcPr>
            <w:tcW w:w="2830" w:type="dxa"/>
            <w:vAlign w:val="center"/>
          </w:tcPr>
          <w:p w14:paraId="0F901B20" w14:textId="77777777" w:rsidR="00166FDF" w:rsidRPr="002106BA" w:rsidRDefault="00166FDF" w:rsidP="00715D09">
            <w:pPr>
              <w:pStyle w:val="COMTabletext"/>
              <w:ind w:right="-80"/>
            </w:pPr>
            <w:r w:rsidRPr="002106BA">
              <w:t>Norfolk QoL-</w:t>
            </w:r>
            <w:proofErr w:type="spellStart"/>
            <w:r w:rsidRPr="002106BA">
              <w:t>DN</w:t>
            </w:r>
            <w:r w:rsidRPr="002106BA">
              <w:rPr>
                <w:vertAlign w:val="superscript"/>
              </w:rPr>
              <w:t>a</w:t>
            </w:r>
            <w:proofErr w:type="spellEnd"/>
          </w:p>
        </w:tc>
        <w:tc>
          <w:tcPr>
            <w:tcW w:w="3094" w:type="dxa"/>
            <w:vAlign w:val="center"/>
          </w:tcPr>
          <w:p w14:paraId="266D4569" w14:textId="77777777" w:rsidR="00166FDF" w:rsidRPr="002106BA" w:rsidRDefault="00166FDF" w:rsidP="00715D09">
            <w:pPr>
              <w:pStyle w:val="COMTabletext"/>
              <w:ind w:left="-67" w:right="-61"/>
              <w:jc w:val="center"/>
            </w:pPr>
            <w:r w:rsidRPr="002106BA">
              <w:t>1.1 (2.0)</w:t>
            </w:r>
          </w:p>
        </w:tc>
        <w:tc>
          <w:tcPr>
            <w:tcW w:w="3094" w:type="dxa"/>
            <w:vAlign w:val="center"/>
          </w:tcPr>
          <w:p w14:paraId="490C9C1E" w14:textId="77777777" w:rsidR="00166FDF" w:rsidRPr="002106BA" w:rsidRDefault="00166FDF" w:rsidP="00715D09">
            <w:pPr>
              <w:pStyle w:val="COMTabletext"/>
              <w:ind w:left="-67" w:right="-61"/>
              <w:jc w:val="center"/>
              <w:rPr>
                <w:b/>
                <w:bCs w:val="0"/>
              </w:rPr>
            </w:pPr>
            <w:r w:rsidRPr="002106BA">
              <w:t>4.5 (1.8)</w:t>
            </w:r>
          </w:p>
        </w:tc>
      </w:tr>
      <w:tr w:rsidR="00166FDF" w:rsidRPr="002106BA" w14:paraId="420FB6DE" w14:textId="77777777" w:rsidTr="00715D09">
        <w:tc>
          <w:tcPr>
            <w:tcW w:w="2830" w:type="dxa"/>
            <w:vAlign w:val="center"/>
          </w:tcPr>
          <w:p w14:paraId="142DBA97" w14:textId="77777777" w:rsidR="00166FDF" w:rsidRPr="002106BA" w:rsidRDefault="00166FDF" w:rsidP="00715D09">
            <w:pPr>
              <w:pStyle w:val="COMTabletext"/>
              <w:ind w:right="-80"/>
            </w:pPr>
            <w:r w:rsidRPr="002106BA">
              <w:t>10-MWT</w:t>
            </w:r>
            <w:r w:rsidRPr="002106BA">
              <w:rPr>
                <w:vertAlign w:val="superscript"/>
              </w:rPr>
              <w:t>b</w:t>
            </w:r>
            <w:r w:rsidRPr="002106BA">
              <w:t xml:space="preserve"> (m/sec)</w:t>
            </w:r>
          </w:p>
        </w:tc>
        <w:tc>
          <w:tcPr>
            <w:tcW w:w="3094" w:type="dxa"/>
            <w:vAlign w:val="center"/>
          </w:tcPr>
          <w:p w14:paraId="395BF11F" w14:textId="77777777" w:rsidR="00166FDF" w:rsidRPr="002106BA" w:rsidRDefault="00166FDF" w:rsidP="00715D09">
            <w:pPr>
              <w:pStyle w:val="COMTabletext"/>
              <w:ind w:left="-67" w:right="-61"/>
              <w:jc w:val="center"/>
            </w:pPr>
            <w:r w:rsidRPr="002106BA">
              <w:t>–0.061 (0.023)</w:t>
            </w:r>
          </w:p>
        </w:tc>
        <w:tc>
          <w:tcPr>
            <w:tcW w:w="3094" w:type="dxa"/>
            <w:vAlign w:val="center"/>
          </w:tcPr>
          <w:p w14:paraId="173E09EE" w14:textId="77777777" w:rsidR="00166FDF" w:rsidRPr="002106BA" w:rsidRDefault="00166FDF" w:rsidP="00715D09">
            <w:pPr>
              <w:pStyle w:val="COMTabletext"/>
              <w:ind w:left="-67" w:right="-61"/>
              <w:jc w:val="center"/>
              <w:rPr>
                <w:b/>
                <w:bCs w:val="0"/>
              </w:rPr>
            </w:pPr>
            <w:r w:rsidRPr="002106BA">
              <w:t>–0.069 (0.022)</w:t>
            </w:r>
          </w:p>
        </w:tc>
      </w:tr>
      <w:tr w:rsidR="00166FDF" w:rsidRPr="002106BA" w14:paraId="12C98CA9" w14:textId="77777777" w:rsidTr="00715D09">
        <w:tc>
          <w:tcPr>
            <w:tcW w:w="2830" w:type="dxa"/>
            <w:vAlign w:val="center"/>
          </w:tcPr>
          <w:p w14:paraId="6FE74075" w14:textId="77777777" w:rsidR="00166FDF" w:rsidRPr="002106BA" w:rsidRDefault="00166FDF" w:rsidP="00715D09">
            <w:pPr>
              <w:pStyle w:val="COMTabletext"/>
              <w:ind w:right="-80"/>
            </w:pPr>
            <w:r w:rsidRPr="002106BA">
              <w:t>R-</w:t>
            </w:r>
            <w:proofErr w:type="spellStart"/>
            <w:r w:rsidRPr="002106BA">
              <w:t>ODS</w:t>
            </w:r>
            <w:r w:rsidRPr="002106BA">
              <w:rPr>
                <w:vertAlign w:val="superscript"/>
              </w:rPr>
              <w:t>b</w:t>
            </w:r>
            <w:proofErr w:type="spellEnd"/>
          </w:p>
        </w:tc>
        <w:tc>
          <w:tcPr>
            <w:tcW w:w="3094" w:type="dxa"/>
            <w:vAlign w:val="center"/>
          </w:tcPr>
          <w:p w14:paraId="15A0B23B" w14:textId="77777777" w:rsidR="00166FDF" w:rsidRPr="002106BA" w:rsidRDefault="00166FDF" w:rsidP="00715D09">
            <w:pPr>
              <w:pStyle w:val="COMTabletext"/>
              <w:ind w:left="-67" w:right="-61"/>
              <w:jc w:val="center"/>
            </w:pPr>
            <w:r w:rsidRPr="002106BA">
              <w:t>–1.1 (0.5)</w:t>
            </w:r>
          </w:p>
        </w:tc>
        <w:tc>
          <w:tcPr>
            <w:tcW w:w="3094" w:type="dxa"/>
            <w:vAlign w:val="center"/>
          </w:tcPr>
          <w:p w14:paraId="50E2404C" w14:textId="77777777" w:rsidR="00166FDF" w:rsidRPr="002106BA" w:rsidRDefault="00166FDF" w:rsidP="00715D09">
            <w:pPr>
              <w:pStyle w:val="COMTabletext"/>
              <w:ind w:left="-67" w:right="-61"/>
              <w:jc w:val="center"/>
            </w:pPr>
            <w:r w:rsidRPr="002106BA">
              <w:t>–1.7 (0.6)</w:t>
            </w:r>
          </w:p>
        </w:tc>
      </w:tr>
      <w:tr w:rsidR="00166FDF" w:rsidRPr="002106BA" w14:paraId="79B7C67D" w14:textId="77777777" w:rsidTr="00715D09">
        <w:tc>
          <w:tcPr>
            <w:tcW w:w="2830" w:type="dxa"/>
            <w:vAlign w:val="center"/>
          </w:tcPr>
          <w:p w14:paraId="5925FC32" w14:textId="77777777" w:rsidR="00166FDF" w:rsidRPr="002106BA" w:rsidRDefault="00166FDF" w:rsidP="00715D09">
            <w:pPr>
              <w:pStyle w:val="COMTabletext"/>
              <w:ind w:right="-80"/>
            </w:pPr>
            <w:proofErr w:type="spellStart"/>
            <w:r w:rsidRPr="002106BA">
              <w:t>mBMI</w:t>
            </w:r>
            <w:r w:rsidRPr="002106BA">
              <w:rPr>
                <w:vertAlign w:val="superscript"/>
              </w:rPr>
              <w:t>b</w:t>
            </w:r>
            <w:proofErr w:type="spellEnd"/>
            <w:r w:rsidRPr="002106BA">
              <w:rPr>
                <w:vertAlign w:val="superscript"/>
              </w:rPr>
              <w:t xml:space="preserve"> </w:t>
            </w:r>
            <w:r w:rsidRPr="002106BA">
              <w:t>(g/</w:t>
            </w:r>
            <w:proofErr w:type="spellStart"/>
            <w:r w:rsidRPr="002106BA">
              <w:t>L×kg</w:t>
            </w:r>
            <w:proofErr w:type="spellEnd"/>
            <w:r w:rsidRPr="002106BA">
              <w:t>/m</w:t>
            </w:r>
            <w:r w:rsidRPr="002106BA">
              <w:rPr>
                <w:vertAlign w:val="superscript"/>
              </w:rPr>
              <w:t>2</w:t>
            </w:r>
            <w:r w:rsidRPr="002106BA">
              <w:t>)</w:t>
            </w:r>
          </w:p>
        </w:tc>
        <w:tc>
          <w:tcPr>
            <w:tcW w:w="3094" w:type="dxa"/>
            <w:vAlign w:val="center"/>
          </w:tcPr>
          <w:p w14:paraId="2148EAF9" w14:textId="77777777" w:rsidR="00166FDF" w:rsidRPr="002106BA" w:rsidRDefault="00166FDF" w:rsidP="00715D09">
            <w:pPr>
              <w:pStyle w:val="COMTabletext"/>
              <w:ind w:left="-67" w:right="-61"/>
              <w:jc w:val="center"/>
            </w:pPr>
            <w:r w:rsidRPr="002106BA">
              <w:t>8.5 (10.9)</w:t>
            </w:r>
          </w:p>
        </w:tc>
        <w:tc>
          <w:tcPr>
            <w:tcW w:w="3094" w:type="dxa"/>
            <w:vAlign w:val="center"/>
          </w:tcPr>
          <w:p w14:paraId="056B2003" w14:textId="77777777" w:rsidR="00166FDF" w:rsidRPr="002106BA" w:rsidRDefault="00166FDF" w:rsidP="00715D09">
            <w:pPr>
              <w:pStyle w:val="COMTabletext"/>
              <w:ind w:left="-67" w:right="-61"/>
              <w:jc w:val="center"/>
            </w:pPr>
            <w:r w:rsidRPr="002106BA">
              <w:t>–4.1 (9.7)</w:t>
            </w:r>
          </w:p>
        </w:tc>
      </w:tr>
    </w:tbl>
    <w:p w14:paraId="1A469A7B" w14:textId="77777777" w:rsidR="00166FDF" w:rsidRPr="002106BA" w:rsidRDefault="00166FDF" w:rsidP="00166FDF">
      <w:pPr>
        <w:pStyle w:val="COMTablefooter"/>
        <w:rPr>
          <w:sz w:val="20"/>
        </w:rPr>
      </w:pPr>
      <w:r w:rsidRPr="002106BA">
        <w:t xml:space="preserve">Source: Table 2, p50 Obici et al. (2023). </w:t>
      </w:r>
    </w:p>
    <w:p w14:paraId="21A117E8" w14:textId="77777777" w:rsidR="00166FDF" w:rsidRPr="002106BA" w:rsidRDefault="00166FDF" w:rsidP="00166FDF">
      <w:pPr>
        <w:pStyle w:val="COMTablefooter"/>
        <w:rPr>
          <w:rFonts w:eastAsia="Calibri"/>
        </w:rPr>
      </w:pPr>
      <w:r w:rsidRPr="002106BA">
        <w:rPr>
          <w:rFonts w:eastAsia="Calibri"/>
        </w:rPr>
        <w:t xml:space="preserve">Abbreviations: 10-MWT, 10 metre walk test; CI, confidence interval; </w:t>
      </w:r>
      <w:proofErr w:type="spellStart"/>
      <w:r w:rsidRPr="002106BA">
        <w:rPr>
          <w:rFonts w:eastAsia="Calibri"/>
        </w:rPr>
        <w:t>mBMI</w:t>
      </w:r>
      <w:proofErr w:type="spellEnd"/>
      <w:r w:rsidRPr="002106BA">
        <w:rPr>
          <w:rFonts w:eastAsia="Calibri"/>
        </w:rPr>
        <w:t xml:space="preserve">, modified body mass index; mNIS+7, modified </w:t>
      </w:r>
      <w:r w:rsidRPr="002106BA">
        <w:t>neuropathy impairment score +7;</w:t>
      </w:r>
      <w:r w:rsidRPr="002106BA">
        <w:rPr>
          <w:rFonts w:eastAsia="Calibri"/>
        </w:rPr>
        <w:t xml:space="preserve"> </w:t>
      </w:r>
      <w:r w:rsidRPr="002106BA">
        <w:t>QoL-DN, quality of life-diabetic neuropathy;</w:t>
      </w:r>
      <w:r w:rsidRPr="002106BA">
        <w:rPr>
          <w:rFonts w:eastAsia="Calibri"/>
        </w:rPr>
        <w:t xml:space="preserve"> R-ODS,</w:t>
      </w:r>
      <w:r w:rsidRPr="002106BA">
        <w:t xml:space="preserve"> </w:t>
      </w:r>
      <w:r w:rsidRPr="002106BA">
        <w:rPr>
          <w:rFonts w:eastAsia="Calibri"/>
        </w:rPr>
        <w:t xml:space="preserve">Rasch-built Overall Disability Score; SE, standard error. </w:t>
      </w:r>
    </w:p>
    <w:p w14:paraId="3C1EF41A" w14:textId="77777777" w:rsidR="00166FDF" w:rsidRPr="002106BA" w:rsidRDefault="00166FDF" w:rsidP="00166FDF">
      <w:pPr>
        <w:pStyle w:val="COMTablefooter"/>
        <w:rPr>
          <w:rFonts w:cstheme="minorHAnsi"/>
          <w:shd w:val="clear" w:color="auto" w:fill="FFFFFF"/>
        </w:rPr>
      </w:pPr>
      <w:r w:rsidRPr="002106BA">
        <w:rPr>
          <w:rFonts w:eastAsia="Calibri"/>
          <w:vertAlign w:val="superscript"/>
        </w:rPr>
        <w:t>a</w:t>
      </w:r>
      <w:r w:rsidRPr="002106BA">
        <w:rPr>
          <w:rFonts w:eastAsia="Calibri"/>
        </w:rPr>
        <w:t xml:space="preserve"> Lower </w:t>
      </w:r>
      <w:r w:rsidRPr="002106BA">
        <w:rPr>
          <w:rFonts w:cstheme="minorHAnsi"/>
          <w:shd w:val="clear" w:color="auto" w:fill="FFFFFF"/>
        </w:rPr>
        <w:t>scores indicate less impairment/fewer symptoms.</w:t>
      </w:r>
    </w:p>
    <w:p w14:paraId="0A87549A" w14:textId="77777777" w:rsidR="00166FDF" w:rsidRPr="002106BA" w:rsidRDefault="00166FDF" w:rsidP="00166FDF">
      <w:pPr>
        <w:pStyle w:val="COMTablefooter"/>
        <w:rPr>
          <w:rFonts w:eastAsia="Calibri"/>
        </w:rPr>
      </w:pPr>
      <w:r w:rsidRPr="002106BA">
        <w:rPr>
          <w:rFonts w:cstheme="minorHAnsi"/>
          <w:shd w:val="clear" w:color="auto" w:fill="FFFFFF"/>
          <w:vertAlign w:val="superscript"/>
        </w:rPr>
        <w:t>b</w:t>
      </w:r>
      <w:r w:rsidRPr="002106BA">
        <w:rPr>
          <w:rFonts w:cstheme="minorHAnsi"/>
          <w:shd w:val="clear" w:color="auto" w:fill="FFFFFF"/>
        </w:rPr>
        <w:t xml:space="preserve"> Higher values indicate less disability/less impairment, or better nutritional status. </w:t>
      </w:r>
      <w:proofErr w:type="spellStart"/>
      <w:r w:rsidRPr="002106BA">
        <w:rPr>
          <w:rFonts w:cstheme="minorHAnsi"/>
          <w:shd w:val="clear" w:color="auto" w:fill="FFFFFF"/>
        </w:rPr>
        <w:t>mBMI</w:t>
      </w:r>
      <w:proofErr w:type="spellEnd"/>
      <w:r w:rsidRPr="002106BA">
        <w:rPr>
          <w:rFonts w:cstheme="minorHAnsi"/>
          <w:shd w:val="clear" w:color="auto" w:fill="FFFFFF"/>
        </w:rPr>
        <w:t xml:space="preserve"> = albumin (g/L) x weight (kg) / height (m</w:t>
      </w:r>
      <w:r w:rsidRPr="002106BA">
        <w:rPr>
          <w:rFonts w:cstheme="minorHAnsi"/>
          <w:shd w:val="clear" w:color="auto" w:fill="FFFFFF"/>
          <w:vertAlign w:val="superscript"/>
        </w:rPr>
        <w:t>2</w:t>
      </w:r>
      <w:r w:rsidRPr="002106BA">
        <w:rPr>
          <w:rFonts w:cstheme="minorHAnsi"/>
          <w:shd w:val="clear" w:color="auto" w:fill="FFFFFF"/>
        </w:rPr>
        <w:t>).</w:t>
      </w:r>
    </w:p>
    <w:p w14:paraId="14214920" w14:textId="6E7C84B9" w:rsidR="00DA3167" w:rsidRPr="002106BA" w:rsidRDefault="00157C70" w:rsidP="00EC5836">
      <w:pPr>
        <w:pStyle w:val="COMexecsummnumbered"/>
        <w:rPr>
          <w:color w:val="0066FF"/>
        </w:rPr>
      </w:pPr>
      <w:bookmarkStart w:id="27" w:name="_Ref182993804"/>
      <w:r w:rsidRPr="002106BA">
        <w:t xml:space="preserve">Preliminary results of the HELIOS-A extension </w:t>
      </w:r>
      <w:r w:rsidR="00B90F23" w:rsidRPr="002106BA">
        <w:t xml:space="preserve">period </w:t>
      </w:r>
      <w:r w:rsidRPr="002106BA">
        <w:t>at Month 9, showed similar changes in the primary and secondary outcomes for patients treated with vutrisiran 25</w:t>
      </w:r>
      <w:r w:rsidR="004C7092">
        <w:t> </w:t>
      </w:r>
      <w:r w:rsidRPr="002106BA">
        <w:t>mg once every 3 months</w:t>
      </w:r>
      <w:r w:rsidR="00122B5F" w:rsidRPr="002106BA">
        <w:t xml:space="preserve"> compared to </w:t>
      </w:r>
      <w:r w:rsidR="00E67F7F" w:rsidRPr="002106BA">
        <w:t xml:space="preserve">vutrisiran </w:t>
      </w:r>
      <w:r w:rsidR="00122B5F" w:rsidRPr="002106BA">
        <w:t xml:space="preserve">50 mg </w:t>
      </w:r>
      <w:r w:rsidR="00E67F7F" w:rsidRPr="002106BA">
        <w:t xml:space="preserve">once </w:t>
      </w:r>
      <w:r w:rsidR="00122B5F" w:rsidRPr="002106BA">
        <w:t>every 6 months</w:t>
      </w:r>
      <w:r w:rsidRPr="002106BA">
        <w:t>.</w:t>
      </w:r>
      <w:r w:rsidR="0027663C" w:rsidRPr="002106BA">
        <w:t xml:space="preserve"> The results of the HELIOS-A </w:t>
      </w:r>
      <w:r w:rsidR="00803EED" w:rsidRPr="002106BA">
        <w:t xml:space="preserve">18 month </w:t>
      </w:r>
      <w:r w:rsidR="0027663C" w:rsidRPr="002106BA">
        <w:t xml:space="preserve">extension period </w:t>
      </w:r>
      <w:r w:rsidR="00803EED" w:rsidRPr="002106BA">
        <w:t>at</w:t>
      </w:r>
      <w:r w:rsidR="0027663C" w:rsidRPr="002106BA">
        <w:t xml:space="preserve"> 9 months suggest</w:t>
      </w:r>
      <w:r w:rsidR="00B83EC8" w:rsidRPr="002106BA">
        <w:t>ed</w:t>
      </w:r>
      <w:r w:rsidR="0027663C" w:rsidRPr="002106BA">
        <w:t xml:space="preserve"> </w:t>
      </w:r>
      <w:r w:rsidR="00E0274C" w:rsidRPr="002106BA">
        <w:t xml:space="preserve">that the benefits of </w:t>
      </w:r>
      <w:r w:rsidR="0027663C" w:rsidRPr="002106BA">
        <w:t>treatment with vutrisiran</w:t>
      </w:r>
      <w:r w:rsidR="00E0274C" w:rsidRPr="002106BA">
        <w:t xml:space="preserve"> </w:t>
      </w:r>
      <w:r w:rsidR="00AD03C1" w:rsidRPr="002106BA">
        <w:t xml:space="preserve">may </w:t>
      </w:r>
      <w:r w:rsidR="009D3B52" w:rsidRPr="002106BA">
        <w:t xml:space="preserve">continue to be </w:t>
      </w:r>
      <w:r w:rsidR="00E540E5" w:rsidRPr="002106BA">
        <w:t xml:space="preserve">observed after 9 months of </w:t>
      </w:r>
      <w:r w:rsidR="00B83EC8" w:rsidRPr="002106BA">
        <w:t xml:space="preserve">additional </w:t>
      </w:r>
      <w:r w:rsidR="00E540E5" w:rsidRPr="002106BA">
        <w:t>treatment.</w:t>
      </w:r>
      <w:r w:rsidR="009D3B52" w:rsidRPr="002106BA">
        <w:t xml:space="preserve"> </w:t>
      </w:r>
      <w:r w:rsidR="0088219A" w:rsidRPr="002106BA">
        <w:t xml:space="preserve">However, given </w:t>
      </w:r>
      <w:r w:rsidR="00F138BE" w:rsidRPr="002106BA">
        <w:t xml:space="preserve">that the preliminary results </w:t>
      </w:r>
      <w:r w:rsidR="00AD03C1" w:rsidRPr="002106BA">
        <w:t xml:space="preserve">only </w:t>
      </w:r>
      <w:r w:rsidR="00B83EC8" w:rsidRPr="002106BA">
        <w:t>reported change in outcomes from the extension baseline to 9 months</w:t>
      </w:r>
      <w:r w:rsidR="00C64368" w:rsidRPr="002106BA">
        <w:t xml:space="preserve"> </w:t>
      </w:r>
      <w:r w:rsidR="003418A1" w:rsidRPr="002106BA">
        <w:t xml:space="preserve">comparing </w:t>
      </w:r>
      <w:r w:rsidR="00621B9E" w:rsidRPr="002106BA">
        <w:t xml:space="preserve">the efficacy and safety of </w:t>
      </w:r>
      <w:r w:rsidR="003418A1" w:rsidRPr="002106BA">
        <w:t>vutrisiran dose regimens after re-randomisation</w:t>
      </w:r>
      <w:r w:rsidR="00803EED" w:rsidRPr="002106BA">
        <w:t xml:space="preserve"> and </w:t>
      </w:r>
      <w:r w:rsidR="00B83EC8" w:rsidRPr="002106BA">
        <w:t>included a</w:t>
      </w:r>
      <w:r w:rsidR="0088219A" w:rsidRPr="002106BA">
        <w:t xml:space="preserve"> </w:t>
      </w:r>
      <w:r w:rsidR="00A439E8" w:rsidRPr="002106BA">
        <w:t xml:space="preserve">mix of patients continuing </w:t>
      </w:r>
      <w:r w:rsidR="00803EED" w:rsidRPr="002106BA">
        <w:t xml:space="preserve">vutrisiran </w:t>
      </w:r>
      <w:r w:rsidR="00A439E8" w:rsidRPr="002106BA">
        <w:t xml:space="preserve">or switching </w:t>
      </w:r>
      <w:r w:rsidR="00510715" w:rsidRPr="002106BA">
        <w:t>to vutrisiran from</w:t>
      </w:r>
      <w:r w:rsidR="00A439E8" w:rsidRPr="002106BA">
        <w:t xml:space="preserve"> patisiran</w:t>
      </w:r>
      <w:r w:rsidR="00F138BE" w:rsidRPr="002106BA">
        <w:t xml:space="preserve">, </w:t>
      </w:r>
      <w:r w:rsidR="008802DE">
        <w:t>as well as</w:t>
      </w:r>
      <w:r w:rsidR="008802DE" w:rsidRPr="002106BA">
        <w:t xml:space="preserve"> </w:t>
      </w:r>
      <w:r w:rsidR="007A6E82" w:rsidRPr="002106BA">
        <w:t xml:space="preserve">the poor reporting of </w:t>
      </w:r>
      <w:r w:rsidR="008C20FA" w:rsidRPr="002106BA">
        <w:t xml:space="preserve">patient disposition on re-randomisation, </w:t>
      </w:r>
      <w:r w:rsidR="00C64368" w:rsidRPr="002106BA">
        <w:t>the results should be considered with caution</w:t>
      </w:r>
      <w:r w:rsidR="009A15EC" w:rsidRPr="002106BA">
        <w:t xml:space="preserve"> and are not comparable with other observed vutrisiran or patisiran o</w:t>
      </w:r>
      <w:r w:rsidR="00E67F7F" w:rsidRPr="002106BA">
        <w:t>utcomes.</w:t>
      </w:r>
      <w:bookmarkEnd w:id="27"/>
    </w:p>
    <w:p w14:paraId="00C11E79" w14:textId="46997168" w:rsidR="009350F8" w:rsidRPr="002106BA" w:rsidRDefault="009350F8" w:rsidP="009350F8">
      <w:pPr>
        <w:pStyle w:val="COMH3"/>
        <w:rPr>
          <w:iCs w:val="0"/>
          <w:sz w:val="24"/>
          <w:szCs w:val="22"/>
        </w:rPr>
      </w:pPr>
      <w:r w:rsidRPr="002106BA">
        <w:rPr>
          <w:iCs w:val="0"/>
          <w:sz w:val="24"/>
          <w:szCs w:val="22"/>
        </w:rPr>
        <w:t>Vutrisiran versus patisiran</w:t>
      </w:r>
    </w:p>
    <w:p w14:paraId="61E0C602" w14:textId="2486BAB5" w:rsidR="00247925" w:rsidRPr="002106BA" w:rsidRDefault="0086008A" w:rsidP="00C444A7">
      <w:pPr>
        <w:pStyle w:val="COMexecsummnumbered"/>
      </w:pPr>
      <w:bookmarkStart w:id="28" w:name="_Hlk182807103"/>
      <w:r w:rsidRPr="002106BA">
        <w:t xml:space="preserve">Figure 1 </w:t>
      </w:r>
      <w:bookmarkEnd w:id="28"/>
      <w:r w:rsidR="009350F8" w:rsidRPr="002106BA">
        <w:t>below</w:t>
      </w:r>
      <w:r w:rsidRPr="002106BA">
        <w:t>, summarise</w:t>
      </w:r>
      <w:r w:rsidR="009350F8" w:rsidRPr="002106BA">
        <w:t>s</w:t>
      </w:r>
      <w:r w:rsidRPr="002106BA">
        <w:t xml:space="preserve"> the results of the secondary outcome of percentage serum TTR reduction from baseline to Month 18, comparing the HELIOS-A vutrisiran arm and reference patisiran arm </w:t>
      </w:r>
      <w:r w:rsidR="00416C5F" w:rsidRPr="002106BA">
        <w:t xml:space="preserve">(noninferiority analysis) in the </w:t>
      </w:r>
      <w:r w:rsidRPr="002106BA">
        <w:t>per protocol population</w:t>
      </w:r>
      <w:r w:rsidR="00416C5F" w:rsidRPr="002106BA">
        <w:t xml:space="preserve"> (</w:t>
      </w:r>
      <w:r w:rsidR="00C444A7" w:rsidRPr="002106BA">
        <w:t>i.e. all patients with a TTR assessment at baseline and ≥1 trough TTR assessment between Months 6 and Month 18 that met the postbaseline TTR assessment requirements</w:t>
      </w:r>
      <w:r w:rsidR="00416C5F" w:rsidRPr="002106BA">
        <w:t>)</w:t>
      </w:r>
      <w:r w:rsidRPr="002106BA">
        <w:t>.</w:t>
      </w:r>
      <w:r w:rsidRPr="002106BA">
        <w:rPr>
          <w:color w:val="0066FF"/>
        </w:rPr>
        <w:t xml:space="preserve"> </w:t>
      </w:r>
    </w:p>
    <w:p w14:paraId="72918198" w14:textId="5ED8EA47" w:rsidR="00367E0B" w:rsidRPr="002106BA" w:rsidRDefault="00367E0B" w:rsidP="00367E0B">
      <w:pPr>
        <w:pStyle w:val="COMTableheadingrow"/>
        <w:jc w:val="both"/>
        <w:rPr>
          <w:rFonts w:eastAsia="Calibri"/>
          <w:lang w:val="en-AU"/>
        </w:rPr>
      </w:pPr>
      <w:r w:rsidRPr="002106BA">
        <w:rPr>
          <w:rFonts w:eastAsia="Calibri"/>
          <w:lang w:val="en-AU"/>
        </w:rPr>
        <w:lastRenderedPageBreak/>
        <w:t xml:space="preserve">Figure 1: </w:t>
      </w:r>
      <w:r w:rsidRPr="002106BA">
        <w:rPr>
          <w:lang w:val="en-AU"/>
        </w:rPr>
        <w:t xml:space="preserve">HELIOS-A percentage </w:t>
      </w:r>
      <w:r w:rsidRPr="002106BA">
        <w:rPr>
          <w:rFonts w:eastAsia="Calibri"/>
          <w:lang w:val="en-AU"/>
        </w:rPr>
        <w:t>change in serum TTR</w:t>
      </w:r>
      <w:r w:rsidRPr="002106BA">
        <w:rPr>
          <w:lang w:val="en-AU"/>
        </w:rPr>
        <w:t xml:space="preserve"> to Month 18 (PP)</w:t>
      </w:r>
    </w:p>
    <w:p w14:paraId="53259B47" w14:textId="72D2D2C8" w:rsidR="00367E0B" w:rsidRPr="002106BA" w:rsidRDefault="00D957A6" w:rsidP="00367E0B">
      <w:pPr>
        <w:keepNext/>
        <w:keepLines/>
        <w:rPr>
          <w:rFonts w:eastAsia="Calibri"/>
        </w:rPr>
      </w:pPr>
      <w:r w:rsidRPr="002106BA">
        <w:rPr>
          <w:rFonts w:eastAsia="Calibri"/>
          <w:noProof/>
        </w:rPr>
        <w:drawing>
          <wp:inline distT="0" distB="0" distL="0" distR="0" wp14:anchorId="5FAD8361" wp14:editId="243100E6">
            <wp:extent cx="5724000" cy="3082349"/>
            <wp:effectExtent l="0" t="0" r="0" b="3810"/>
            <wp:docPr id="166377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000" cy="3082349"/>
                    </a:xfrm>
                    <a:prstGeom prst="rect">
                      <a:avLst/>
                    </a:prstGeom>
                    <a:noFill/>
                    <a:ln>
                      <a:noFill/>
                    </a:ln>
                  </pic:spPr>
                </pic:pic>
              </a:graphicData>
            </a:graphic>
          </wp:inline>
        </w:drawing>
      </w:r>
    </w:p>
    <w:p w14:paraId="64C2E4C2" w14:textId="359A4B96" w:rsidR="00367E0B" w:rsidRPr="002106BA" w:rsidRDefault="00367E0B" w:rsidP="00367E0B">
      <w:pPr>
        <w:pStyle w:val="COMTablefooter"/>
        <w:rPr>
          <w:rFonts w:eastAsia="Calibri"/>
        </w:rPr>
      </w:pPr>
      <w:r w:rsidRPr="002106BA">
        <w:rPr>
          <w:rFonts w:eastAsia="Calibri"/>
        </w:rPr>
        <w:t>Source: Figure 2.</w:t>
      </w:r>
      <w:r w:rsidR="006363FF" w:rsidRPr="002106BA">
        <w:rPr>
          <w:rFonts w:eastAsia="Calibri"/>
        </w:rPr>
        <w:t>6</w:t>
      </w:r>
      <w:r w:rsidRPr="002106BA">
        <w:rPr>
          <w:rFonts w:eastAsia="Calibri"/>
        </w:rPr>
        <w:t>, p55 of the submission.</w:t>
      </w:r>
    </w:p>
    <w:p w14:paraId="62B15E5F" w14:textId="46A96D6A" w:rsidR="00367E0B" w:rsidRPr="002106BA" w:rsidRDefault="00367E0B" w:rsidP="00367E0B">
      <w:pPr>
        <w:pStyle w:val="COMTablefooter"/>
        <w:rPr>
          <w:rFonts w:eastAsia="Calibri"/>
        </w:rPr>
      </w:pPr>
      <w:r w:rsidRPr="002106BA">
        <w:rPr>
          <w:rFonts w:eastAsia="Calibri"/>
        </w:rPr>
        <w:t xml:space="preserve">Abbreviations: PP, per protocol; SE, standard error; </w:t>
      </w:r>
      <w:r w:rsidRPr="002106BA">
        <w:t>TTR, transthyretin</w:t>
      </w:r>
      <w:r w:rsidRPr="002106BA">
        <w:rPr>
          <w:rFonts w:eastAsia="Calibri"/>
        </w:rPr>
        <w:t>.</w:t>
      </w:r>
    </w:p>
    <w:p w14:paraId="5CA17290" w14:textId="5545C1EF" w:rsidR="00760C4E" w:rsidRPr="002106BA" w:rsidRDefault="00367E0B" w:rsidP="00EC5836">
      <w:pPr>
        <w:pStyle w:val="COMexecsummnumbered"/>
        <w:rPr>
          <w:color w:val="0066FF"/>
        </w:rPr>
      </w:pPr>
      <w:bookmarkStart w:id="29" w:name="_Hlk174979615"/>
      <w:bookmarkStart w:id="30" w:name="_Ref182406526"/>
      <w:r w:rsidRPr="002106BA">
        <w:t>Patients treated with vutrisiran and patisiran reported a rapid and sustained reduction in serum TTR levels over 18 months. Steady-state mean peak and trough serum TTR reductions from baseline for patients treated with vutrisiran were 87.6% and 81.0% respectively, with a less than 10% difference to steady-state mean peak and trough serum TTR reductions for patients treated with patisiran (86.0% and 74.7% respectively). The results met the prespecified threshold for statistical non-inferiority nominated in the submission</w:t>
      </w:r>
      <w:bookmarkEnd w:id="29"/>
      <w:r w:rsidRPr="002106BA">
        <w:t>.</w:t>
      </w:r>
      <w:bookmarkEnd w:id="30"/>
    </w:p>
    <w:p w14:paraId="493C8A4F" w14:textId="29E2EFE9" w:rsidR="00EB740F" w:rsidRPr="002106BA" w:rsidRDefault="00EB4298" w:rsidP="00EB740F">
      <w:pPr>
        <w:pStyle w:val="COMexecsummnumbered"/>
      </w:pPr>
      <w:r w:rsidRPr="002106BA">
        <w:fldChar w:fldCharType="begin"/>
      </w:r>
      <w:r w:rsidRPr="002106BA">
        <w:instrText xml:space="preserve"> REF _Ref174970389 \h </w:instrText>
      </w:r>
      <w:r w:rsidR="00364566" w:rsidRPr="002106BA">
        <w:instrText xml:space="preserve"> \* MERGEFORMAT </w:instrText>
      </w:r>
      <w:r w:rsidRPr="002106BA">
        <w:fldChar w:fldCharType="separate"/>
      </w:r>
      <w:r w:rsidR="00DB6E9D" w:rsidRPr="002106BA">
        <w:t xml:space="preserve">Table </w:t>
      </w:r>
      <w:r w:rsidR="00DB6E9D">
        <w:t>7</w:t>
      </w:r>
      <w:r w:rsidRPr="002106BA">
        <w:fldChar w:fldCharType="end"/>
      </w:r>
      <w:r w:rsidRPr="002106BA">
        <w:t xml:space="preserve"> summarises the results of post hoc analyses comparing the HELIOS-A vutrisiran and reference patisiran arms, for the primary and key secondary outcomes.</w:t>
      </w:r>
    </w:p>
    <w:p w14:paraId="7EAC55B2" w14:textId="2CD1EDD1" w:rsidR="00EB4298" w:rsidRPr="002106BA" w:rsidRDefault="00EB4298" w:rsidP="009A5140">
      <w:pPr>
        <w:pStyle w:val="Caption"/>
        <w:keepLines/>
      </w:pPr>
      <w:bookmarkStart w:id="31" w:name="_Ref174970389"/>
      <w:r w:rsidRPr="002106BA">
        <w:lastRenderedPageBreak/>
        <w:t xml:space="preserve">Table </w:t>
      </w:r>
      <w:r w:rsidR="0027304F">
        <w:fldChar w:fldCharType="begin"/>
      </w:r>
      <w:r w:rsidR="0027304F">
        <w:instrText xml:space="preserve"> SEQ Table \* ARABIC </w:instrText>
      </w:r>
      <w:r w:rsidR="0027304F">
        <w:fldChar w:fldCharType="separate"/>
      </w:r>
      <w:r w:rsidR="00DB6E9D">
        <w:rPr>
          <w:noProof/>
        </w:rPr>
        <w:t>7</w:t>
      </w:r>
      <w:r w:rsidR="0027304F">
        <w:fldChar w:fldCharType="end"/>
      </w:r>
      <w:bookmarkEnd w:id="31"/>
      <w:r w:rsidRPr="002106BA">
        <w:t>: HELIOS-A post hoc comparison of vutrisiran vs patisiran (reference) for primary and key secondary outcomes at Month 18 (mITT)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382"/>
        <w:gridCol w:w="1381"/>
        <w:gridCol w:w="1381"/>
        <w:gridCol w:w="1383"/>
        <w:gridCol w:w="1933"/>
      </w:tblGrid>
      <w:tr w:rsidR="00EB4298" w:rsidRPr="002106BA" w14:paraId="553FC6B9" w14:textId="77777777" w:rsidTr="009B1087">
        <w:trPr>
          <w:trHeight w:val="232"/>
        </w:trPr>
        <w:tc>
          <w:tcPr>
            <w:tcW w:w="863" w:type="pct"/>
            <w:vMerge w:val="restart"/>
            <w:vAlign w:val="center"/>
          </w:tcPr>
          <w:p w14:paraId="34608224" w14:textId="77777777" w:rsidR="00EB4298" w:rsidRPr="002106BA" w:rsidRDefault="00EB4298" w:rsidP="009A5140">
            <w:pPr>
              <w:keepNext/>
              <w:keepLines/>
              <w:tabs>
                <w:tab w:val="right" w:pos="2156"/>
              </w:tabs>
              <w:ind w:left="-73" w:right="-71"/>
              <w:jc w:val="center"/>
              <w:rPr>
                <w:rFonts w:ascii="Arial Narrow" w:eastAsiaTheme="majorEastAsia" w:hAnsi="Arial Narrow" w:cstheme="majorBidi"/>
                <w:b/>
                <w:sz w:val="20"/>
              </w:rPr>
            </w:pPr>
            <w:r w:rsidRPr="002106BA">
              <w:rPr>
                <w:rFonts w:ascii="Arial Narrow" w:eastAsiaTheme="majorEastAsia" w:hAnsi="Arial Narrow" w:cstheme="majorBidi"/>
                <w:b/>
                <w:sz w:val="20"/>
              </w:rPr>
              <w:t>Outcome</w:t>
            </w:r>
          </w:p>
        </w:tc>
        <w:tc>
          <w:tcPr>
            <w:tcW w:w="3065" w:type="pct"/>
            <w:gridSpan w:val="4"/>
            <w:vAlign w:val="center"/>
          </w:tcPr>
          <w:p w14:paraId="756D73AB"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HELIOS-A</w:t>
            </w:r>
          </w:p>
        </w:tc>
        <w:tc>
          <w:tcPr>
            <w:tcW w:w="1072" w:type="pct"/>
            <w:vMerge w:val="restart"/>
            <w:vAlign w:val="center"/>
          </w:tcPr>
          <w:p w14:paraId="02FB6A1A"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 xml:space="preserve">Difference </w:t>
            </w:r>
          </w:p>
          <w:p w14:paraId="0222080B"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 xml:space="preserve">LS mean change </w:t>
            </w:r>
          </w:p>
          <w:p w14:paraId="6E9B41FF"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(95% CI)</w:t>
            </w:r>
          </w:p>
        </w:tc>
      </w:tr>
      <w:tr w:rsidR="00EB4298" w:rsidRPr="002106BA" w14:paraId="4D374930" w14:textId="77777777" w:rsidTr="009B1087">
        <w:trPr>
          <w:trHeight w:val="232"/>
        </w:trPr>
        <w:tc>
          <w:tcPr>
            <w:tcW w:w="863" w:type="pct"/>
            <w:vMerge/>
            <w:vAlign w:val="center"/>
          </w:tcPr>
          <w:p w14:paraId="0AB7798F" w14:textId="77777777" w:rsidR="00EB4298" w:rsidRPr="002106BA" w:rsidRDefault="00EB4298" w:rsidP="009A5140">
            <w:pPr>
              <w:keepNext/>
              <w:keepLines/>
              <w:tabs>
                <w:tab w:val="right" w:pos="2156"/>
              </w:tabs>
              <w:ind w:left="-73" w:right="-71"/>
              <w:jc w:val="center"/>
              <w:rPr>
                <w:rFonts w:ascii="Arial Narrow" w:eastAsiaTheme="majorEastAsia" w:hAnsi="Arial Narrow" w:cstheme="majorBidi"/>
                <w:b/>
                <w:sz w:val="20"/>
              </w:rPr>
            </w:pPr>
          </w:p>
        </w:tc>
        <w:tc>
          <w:tcPr>
            <w:tcW w:w="766" w:type="pct"/>
            <w:vAlign w:val="center"/>
          </w:tcPr>
          <w:p w14:paraId="3BBF07F7"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Vutrisiran</w:t>
            </w:r>
          </w:p>
          <w:p w14:paraId="2AA15E3B"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(n=122)</w:t>
            </w:r>
          </w:p>
        </w:tc>
        <w:tc>
          <w:tcPr>
            <w:tcW w:w="766" w:type="pct"/>
            <w:vAlign w:val="center"/>
          </w:tcPr>
          <w:p w14:paraId="0BA8CC90"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Patisiran</w:t>
            </w:r>
          </w:p>
          <w:p w14:paraId="65BC5C98"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(n=42)</w:t>
            </w:r>
          </w:p>
        </w:tc>
        <w:tc>
          <w:tcPr>
            <w:tcW w:w="766" w:type="pct"/>
            <w:vAlign w:val="center"/>
          </w:tcPr>
          <w:p w14:paraId="06391A79"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Vutrisiran</w:t>
            </w:r>
          </w:p>
        </w:tc>
        <w:tc>
          <w:tcPr>
            <w:tcW w:w="767" w:type="pct"/>
            <w:vAlign w:val="center"/>
          </w:tcPr>
          <w:p w14:paraId="57B952F8"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Patisiran</w:t>
            </w:r>
          </w:p>
        </w:tc>
        <w:tc>
          <w:tcPr>
            <w:tcW w:w="1072" w:type="pct"/>
            <w:vMerge/>
            <w:vAlign w:val="center"/>
          </w:tcPr>
          <w:p w14:paraId="7BB0EB14"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p>
        </w:tc>
      </w:tr>
      <w:tr w:rsidR="00EB4298" w:rsidRPr="002106BA" w14:paraId="65BD2809" w14:textId="77777777" w:rsidTr="009B1087">
        <w:tc>
          <w:tcPr>
            <w:tcW w:w="863" w:type="pct"/>
            <w:vMerge/>
          </w:tcPr>
          <w:p w14:paraId="5CFF9811" w14:textId="77777777" w:rsidR="00EB4298" w:rsidRPr="002106BA" w:rsidRDefault="00EB4298" w:rsidP="009A5140">
            <w:pPr>
              <w:keepNext/>
              <w:keepLines/>
              <w:tabs>
                <w:tab w:val="right" w:pos="2156"/>
              </w:tabs>
              <w:ind w:left="-73" w:right="-71"/>
              <w:jc w:val="center"/>
              <w:rPr>
                <w:rFonts w:ascii="Arial Narrow" w:eastAsiaTheme="majorEastAsia" w:hAnsi="Arial Narrow" w:cstheme="majorBidi"/>
                <w:bCs/>
                <w:sz w:val="20"/>
              </w:rPr>
            </w:pPr>
          </w:p>
        </w:tc>
        <w:tc>
          <w:tcPr>
            <w:tcW w:w="1532" w:type="pct"/>
            <w:gridSpan w:val="2"/>
            <w:vAlign w:val="center"/>
          </w:tcPr>
          <w:p w14:paraId="5479B804"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Baseline mean (SD)</w:t>
            </w:r>
          </w:p>
        </w:tc>
        <w:tc>
          <w:tcPr>
            <w:tcW w:w="1533" w:type="pct"/>
            <w:gridSpan w:val="2"/>
            <w:vAlign w:val="center"/>
          </w:tcPr>
          <w:p w14:paraId="5C95443F" w14:textId="348E5A20" w:rsidR="00EB4298" w:rsidRPr="002106BA" w:rsidRDefault="00EB4298" w:rsidP="009A5140">
            <w:pPr>
              <w:keepNext/>
              <w:keepLines/>
              <w:tabs>
                <w:tab w:val="right" w:pos="2156"/>
              </w:tabs>
              <w:ind w:left="-73" w:right="-61"/>
              <w:jc w:val="center"/>
              <w:rPr>
                <w:rFonts w:ascii="Arial Narrow" w:eastAsiaTheme="majorEastAsia" w:hAnsi="Arial Narrow" w:cstheme="majorBidi"/>
                <w:b/>
                <w:sz w:val="20"/>
              </w:rPr>
            </w:pPr>
            <w:r w:rsidRPr="002106BA">
              <w:rPr>
                <w:rFonts w:ascii="Arial Narrow" w:eastAsiaTheme="majorEastAsia" w:hAnsi="Arial Narrow" w:cstheme="majorBidi"/>
                <w:b/>
                <w:sz w:val="20"/>
              </w:rPr>
              <w:t>LS mean change</w:t>
            </w:r>
            <w:r w:rsidR="00B45CCC" w:rsidRPr="002106BA">
              <w:rPr>
                <w:rFonts w:ascii="Arial Narrow" w:eastAsiaTheme="majorEastAsia" w:hAnsi="Arial Narrow" w:cstheme="majorBidi"/>
                <w:b/>
                <w:sz w:val="20"/>
              </w:rPr>
              <w:t xml:space="preserve"> from baseline</w:t>
            </w:r>
            <w:r w:rsidRPr="002106BA">
              <w:rPr>
                <w:rFonts w:ascii="Arial Narrow" w:eastAsiaTheme="majorEastAsia" w:hAnsi="Arial Narrow" w:cstheme="majorBidi"/>
                <w:b/>
                <w:sz w:val="20"/>
              </w:rPr>
              <w:t xml:space="preserve"> Month 18 (SEM)</w:t>
            </w:r>
          </w:p>
        </w:tc>
        <w:tc>
          <w:tcPr>
            <w:tcW w:w="1072" w:type="pct"/>
            <w:vMerge/>
          </w:tcPr>
          <w:p w14:paraId="65681A13"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p>
        </w:tc>
      </w:tr>
      <w:tr w:rsidR="00EB4298" w:rsidRPr="002106BA" w14:paraId="7904AF05" w14:textId="77777777" w:rsidTr="009B1087">
        <w:tc>
          <w:tcPr>
            <w:tcW w:w="863" w:type="pct"/>
            <w:vAlign w:val="center"/>
          </w:tcPr>
          <w:p w14:paraId="24B5D902" w14:textId="77777777" w:rsidR="00EB4298" w:rsidRPr="002106BA" w:rsidRDefault="00EB4298" w:rsidP="009A5140">
            <w:pPr>
              <w:pStyle w:val="COMTabletext"/>
              <w:keepLines/>
              <w:ind w:right="-71"/>
            </w:pPr>
            <w:bookmarkStart w:id="32" w:name="_Hlk177058144"/>
            <w:r w:rsidRPr="002106BA">
              <w:t>mNIS+7</w:t>
            </w:r>
          </w:p>
          <w:p w14:paraId="6F52DF3D" w14:textId="77777777" w:rsidR="00EB4298" w:rsidRPr="002106BA" w:rsidRDefault="00EB4298" w:rsidP="009A5140">
            <w:pPr>
              <w:pStyle w:val="COMTabletext"/>
              <w:keepLines/>
              <w:ind w:right="-71"/>
            </w:pPr>
            <w:r w:rsidRPr="002106BA">
              <w:t>(total score)</w:t>
            </w:r>
            <w:bookmarkEnd w:id="32"/>
            <w:r w:rsidRPr="002106BA">
              <w:rPr>
                <w:vertAlign w:val="superscript"/>
              </w:rPr>
              <w:t>a</w:t>
            </w:r>
          </w:p>
        </w:tc>
        <w:tc>
          <w:tcPr>
            <w:tcW w:w="766" w:type="pct"/>
            <w:vAlign w:val="center"/>
          </w:tcPr>
          <w:p w14:paraId="594B2C3B"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60.57 (35.99)</w:t>
            </w:r>
          </w:p>
        </w:tc>
        <w:tc>
          <w:tcPr>
            <w:tcW w:w="766" w:type="pct"/>
            <w:vAlign w:val="center"/>
          </w:tcPr>
          <w:p w14:paraId="33ECC40D"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74.61 (37.04)</w:t>
            </w:r>
          </w:p>
        </w:tc>
        <w:tc>
          <w:tcPr>
            <w:tcW w:w="766" w:type="pct"/>
            <w:vAlign w:val="center"/>
          </w:tcPr>
          <w:p w14:paraId="1D2A00CA"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0.06 (1.48)</w:t>
            </w:r>
          </w:p>
        </w:tc>
        <w:tc>
          <w:tcPr>
            <w:tcW w:w="767" w:type="pct"/>
            <w:vAlign w:val="center"/>
          </w:tcPr>
          <w:p w14:paraId="6F6D0598"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1.53 (2.59)</w:t>
            </w:r>
          </w:p>
        </w:tc>
        <w:tc>
          <w:tcPr>
            <w:tcW w:w="1072" w:type="pct"/>
            <w:vAlign w:val="center"/>
          </w:tcPr>
          <w:p w14:paraId="447C8B9C"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-1.46 (-7.36, 4.43)</w:t>
            </w:r>
          </w:p>
        </w:tc>
      </w:tr>
      <w:tr w:rsidR="00EB4298" w:rsidRPr="002106BA" w14:paraId="1C83D504" w14:textId="77777777" w:rsidTr="009B1087">
        <w:tc>
          <w:tcPr>
            <w:tcW w:w="863" w:type="pct"/>
            <w:vAlign w:val="center"/>
          </w:tcPr>
          <w:p w14:paraId="43BB3A5E" w14:textId="77777777" w:rsidR="00EB4298" w:rsidRPr="002106BA" w:rsidRDefault="00EB4298" w:rsidP="009A5140">
            <w:pPr>
              <w:pStyle w:val="COMTabletext"/>
              <w:keepLines/>
              <w:ind w:right="-71"/>
            </w:pPr>
            <w:bookmarkStart w:id="33" w:name="_Hlk177058174"/>
            <w:r w:rsidRPr="002106BA">
              <w:t>Norfolk QoL-</w:t>
            </w:r>
            <w:proofErr w:type="spellStart"/>
            <w:r w:rsidRPr="002106BA">
              <w:t>DN</w:t>
            </w:r>
            <w:bookmarkEnd w:id="33"/>
            <w:r w:rsidRPr="002106BA">
              <w:rPr>
                <w:vertAlign w:val="superscript"/>
              </w:rPr>
              <w:t>a</w:t>
            </w:r>
            <w:proofErr w:type="spellEnd"/>
          </w:p>
        </w:tc>
        <w:tc>
          <w:tcPr>
            <w:tcW w:w="766" w:type="pct"/>
          </w:tcPr>
          <w:p w14:paraId="00BB0331"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47.1 (26.3)</w:t>
            </w:r>
          </w:p>
        </w:tc>
        <w:tc>
          <w:tcPr>
            <w:tcW w:w="766" w:type="pct"/>
          </w:tcPr>
          <w:p w14:paraId="21761684"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55.5 (24.3)</w:t>
            </w:r>
          </w:p>
        </w:tc>
        <w:tc>
          <w:tcPr>
            <w:tcW w:w="766" w:type="pct"/>
          </w:tcPr>
          <w:p w14:paraId="4A4A83C5"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-2.5 (1.8)</w:t>
            </w:r>
          </w:p>
        </w:tc>
        <w:tc>
          <w:tcPr>
            <w:tcW w:w="767" w:type="pct"/>
          </w:tcPr>
          <w:p w14:paraId="27ADFC4A"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-0.8 (3.0)</w:t>
            </w:r>
          </w:p>
        </w:tc>
        <w:tc>
          <w:tcPr>
            <w:tcW w:w="1072" w:type="pct"/>
            <w:vAlign w:val="center"/>
          </w:tcPr>
          <w:p w14:paraId="58B46B43"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-1.6 (-8.6, 5.4)</w:t>
            </w:r>
          </w:p>
        </w:tc>
      </w:tr>
      <w:tr w:rsidR="00EB4298" w:rsidRPr="002106BA" w14:paraId="05D38FC6" w14:textId="77777777" w:rsidTr="009B1087">
        <w:tc>
          <w:tcPr>
            <w:tcW w:w="863" w:type="pct"/>
            <w:vAlign w:val="center"/>
          </w:tcPr>
          <w:p w14:paraId="088FAE9B" w14:textId="77777777" w:rsidR="00EB4298" w:rsidRPr="002106BA" w:rsidRDefault="00EB4298" w:rsidP="009A5140">
            <w:pPr>
              <w:pStyle w:val="COMTabletext"/>
              <w:keepLines/>
              <w:ind w:right="-71"/>
              <w:rPr>
                <w:vertAlign w:val="superscript"/>
              </w:rPr>
            </w:pPr>
            <w:r w:rsidRPr="002106BA">
              <w:t>10-MWT</w:t>
            </w:r>
            <w:r w:rsidRPr="002106BA">
              <w:rPr>
                <w:vertAlign w:val="superscript"/>
              </w:rPr>
              <w:t xml:space="preserve">b </w:t>
            </w:r>
            <w:r w:rsidRPr="002106BA">
              <w:t>(m/sec)</w:t>
            </w:r>
          </w:p>
        </w:tc>
        <w:tc>
          <w:tcPr>
            <w:tcW w:w="766" w:type="pct"/>
          </w:tcPr>
          <w:p w14:paraId="0B2A33F9"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1.01 (0.39)</w:t>
            </w:r>
          </w:p>
        </w:tc>
        <w:tc>
          <w:tcPr>
            <w:tcW w:w="766" w:type="pct"/>
          </w:tcPr>
          <w:p w14:paraId="6D188BC1"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1.01 (0.40)</w:t>
            </w:r>
          </w:p>
        </w:tc>
        <w:tc>
          <w:tcPr>
            <w:tcW w:w="766" w:type="pct"/>
          </w:tcPr>
          <w:p w14:paraId="61B66312"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-0.02 (0.03)</w:t>
            </w:r>
          </w:p>
        </w:tc>
        <w:tc>
          <w:tcPr>
            <w:tcW w:w="767" w:type="pct"/>
          </w:tcPr>
          <w:p w14:paraId="2D03A266"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-0.05 (0.04)</w:t>
            </w:r>
          </w:p>
        </w:tc>
        <w:tc>
          <w:tcPr>
            <w:tcW w:w="1072" w:type="pct"/>
            <w:vAlign w:val="center"/>
          </w:tcPr>
          <w:p w14:paraId="7F79FC5E"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0.034 (-0.064, 0.132)</w:t>
            </w:r>
          </w:p>
        </w:tc>
      </w:tr>
      <w:tr w:rsidR="00EB4298" w:rsidRPr="002106BA" w14:paraId="7E4B8003" w14:textId="77777777" w:rsidTr="009B1087">
        <w:tc>
          <w:tcPr>
            <w:tcW w:w="863" w:type="pct"/>
            <w:vAlign w:val="center"/>
          </w:tcPr>
          <w:p w14:paraId="203F4884" w14:textId="77777777" w:rsidR="00EB4298" w:rsidRPr="002106BA" w:rsidRDefault="00EB4298" w:rsidP="009A5140">
            <w:pPr>
              <w:pStyle w:val="COMTabletext"/>
              <w:keepLines/>
              <w:ind w:right="-71"/>
            </w:pPr>
            <w:r w:rsidRPr="002106BA">
              <w:t>R-</w:t>
            </w:r>
            <w:proofErr w:type="spellStart"/>
            <w:r w:rsidRPr="002106BA">
              <w:t>ODS</w:t>
            </w:r>
            <w:r w:rsidRPr="002106BA">
              <w:rPr>
                <w:vertAlign w:val="superscript"/>
              </w:rPr>
              <w:t>b</w:t>
            </w:r>
            <w:proofErr w:type="spellEnd"/>
          </w:p>
        </w:tc>
        <w:tc>
          <w:tcPr>
            <w:tcW w:w="766" w:type="pct"/>
          </w:tcPr>
          <w:p w14:paraId="36CDC286"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34.1 (11.0)</w:t>
            </w:r>
          </w:p>
        </w:tc>
        <w:tc>
          <w:tcPr>
            <w:tcW w:w="766" w:type="pct"/>
          </w:tcPr>
          <w:p w14:paraId="0EAC6EF7"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34.0 (10.4)</w:t>
            </w:r>
          </w:p>
        </w:tc>
        <w:tc>
          <w:tcPr>
            <w:tcW w:w="766" w:type="pct"/>
          </w:tcPr>
          <w:p w14:paraId="0829BCDF"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-0.2 (0.5)</w:t>
            </w:r>
          </w:p>
        </w:tc>
        <w:tc>
          <w:tcPr>
            <w:tcW w:w="767" w:type="pct"/>
          </w:tcPr>
          <w:p w14:paraId="443F60E6"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-0.3 (0.9)</w:t>
            </w:r>
          </w:p>
        </w:tc>
        <w:tc>
          <w:tcPr>
            <w:tcW w:w="1072" w:type="pct"/>
            <w:vAlign w:val="center"/>
          </w:tcPr>
          <w:p w14:paraId="4E751FA3"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0.1 (-2.0, 2.2)</w:t>
            </w:r>
          </w:p>
        </w:tc>
      </w:tr>
      <w:tr w:rsidR="00EB4298" w:rsidRPr="002106BA" w14:paraId="00884EDD" w14:textId="77777777" w:rsidTr="009B1087">
        <w:tc>
          <w:tcPr>
            <w:tcW w:w="863" w:type="pct"/>
            <w:vAlign w:val="center"/>
          </w:tcPr>
          <w:p w14:paraId="317ADE17" w14:textId="77777777" w:rsidR="00EB4298" w:rsidRPr="002106BA" w:rsidRDefault="00EB4298" w:rsidP="009A5140">
            <w:pPr>
              <w:pStyle w:val="COMTabletext"/>
              <w:keepLines/>
              <w:ind w:right="-71"/>
              <w:rPr>
                <w:vertAlign w:val="superscript"/>
              </w:rPr>
            </w:pPr>
            <w:proofErr w:type="spellStart"/>
            <w:r w:rsidRPr="002106BA">
              <w:t>mBMI</w:t>
            </w:r>
            <w:r w:rsidRPr="002106BA">
              <w:rPr>
                <w:vertAlign w:val="superscript"/>
              </w:rPr>
              <w:t>b</w:t>
            </w:r>
            <w:proofErr w:type="spellEnd"/>
            <w:r w:rsidRPr="002106BA">
              <w:rPr>
                <w:vertAlign w:val="superscript"/>
              </w:rPr>
              <w:t xml:space="preserve"> </w:t>
            </w:r>
            <w:r w:rsidRPr="002106BA">
              <w:t>(g/</w:t>
            </w:r>
            <w:proofErr w:type="spellStart"/>
            <w:r w:rsidRPr="002106BA">
              <w:t>L×kg</w:t>
            </w:r>
            <w:proofErr w:type="spellEnd"/>
            <w:r w:rsidRPr="002106BA">
              <w:t>/m</w:t>
            </w:r>
            <w:r w:rsidRPr="002106BA">
              <w:rPr>
                <w:vertAlign w:val="superscript"/>
              </w:rPr>
              <w:t>2</w:t>
            </w:r>
            <w:r w:rsidRPr="002106BA">
              <w:t>)</w:t>
            </w:r>
          </w:p>
        </w:tc>
        <w:tc>
          <w:tcPr>
            <w:tcW w:w="766" w:type="pct"/>
          </w:tcPr>
          <w:p w14:paraId="51A6DA84"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1057.4 (233.8)</w:t>
            </w:r>
          </w:p>
        </w:tc>
        <w:tc>
          <w:tcPr>
            <w:tcW w:w="766" w:type="pct"/>
          </w:tcPr>
          <w:p w14:paraId="0919E2B5"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1058.1 (228.8)</w:t>
            </w:r>
          </w:p>
        </w:tc>
        <w:tc>
          <w:tcPr>
            <w:tcW w:w="766" w:type="pct"/>
          </w:tcPr>
          <w:p w14:paraId="411AEAAF"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21.8 (9.2)</w:t>
            </w:r>
          </w:p>
        </w:tc>
        <w:tc>
          <w:tcPr>
            <w:tcW w:w="767" w:type="pct"/>
          </w:tcPr>
          <w:p w14:paraId="40AA0681"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7.6 (15.8)</w:t>
            </w:r>
          </w:p>
        </w:tc>
        <w:tc>
          <w:tcPr>
            <w:tcW w:w="1072" w:type="pct"/>
            <w:vAlign w:val="center"/>
          </w:tcPr>
          <w:p w14:paraId="55C84EEA" w14:textId="77777777" w:rsidR="00EB4298" w:rsidRPr="002106BA" w:rsidRDefault="00EB4298" w:rsidP="009A5140">
            <w:pPr>
              <w:keepNext/>
              <w:keepLines/>
              <w:tabs>
                <w:tab w:val="right" w:pos="2156"/>
              </w:tabs>
              <w:ind w:left="-73" w:right="-61"/>
              <w:jc w:val="center"/>
              <w:rPr>
                <w:rFonts w:ascii="Arial Narrow" w:eastAsiaTheme="majorEastAsia" w:hAnsi="Arial Narrow" w:cstheme="majorBidi"/>
                <w:bCs/>
                <w:sz w:val="20"/>
              </w:rPr>
            </w:pPr>
            <w:r w:rsidRPr="002106BA">
              <w:rPr>
                <w:rFonts w:ascii="Arial Narrow" w:eastAsiaTheme="majorEastAsia" w:hAnsi="Arial Narrow" w:cstheme="majorBidi"/>
                <w:bCs/>
                <w:sz w:val="20"/>
              </w:rPr>
              <w:t>14.2 (-21.9, 50.3)</w:t>
            </w:r>
          </w:p>
        </w:tc>
      </w:tr>
    </w:tbl>
    <w:p w14:paraId="08461E53" w14:textId="77777777" w:rsidR="00EB4298" w:rsidRPr="002106BA" w:rsidRDefault="00EB4298" w:rsidP="009A5140">
      <w:pPr>
        <w:pStyle w:val="COMTablefooter"/>
        <w:keepNext/>
        <w:keepLines/>
        <w:rPr>
          <w:sz w:val="20"/>
        </w:rPr>
      </w:pPr>
      <w:r w:rsidRPr="002106BA">
        <w:t xml:space="preserve">Source: Table 2.14, p50 of the submission. </w:t>
      </w:r>
    </w:p>
    <w:p w14:paraId="050605D0" w14:textId="77777777" w:rsidR="00EB4298" w:rsidRPr="002106BA" w:rsidRDefault="00EB4298" w:rsidP="009A5140">
      <w:pPr>
        <w:pStyle w:val="COMTablefooter"/>
        <w:keepNext/>
        <w:keepLines/>
        <w:rPr>
          <w:rFonts w:eastAsia="Calibri"/>
        </w:rPr>
      </w:pPr>
      <w:r w:rsidRPr="002106BA">
        <w:rPr>
          <w:rFonts w:eastAsia="Calibri"/>
        </w:rPr>
        <w:t xml:space="preserve">Abbreviations: 10-MWT, 10 metre walk test; CI, confidence interval; LS, least squares; </w:t>
      </w:r>
      <w:proofErr w:type="spellStart"/>
      <w:r w:rsidRPr="002106BA">
        <w:rPr>
          <w:rFonts w:eastAsia="Calibri"/>
        </w:rPr>
        <w:t>mBMI</w:t>
      </w:r>
      <w:proofErr w:type="spellEnd"/>
      <w:r w:rsidRPr="002106BA">
        <w:rPr>
          <w:rFonts w:eastAsia="Calibri"/>
        </w:rPr>
        <w:t xml:space="preserve">, modified body mass index; mITT, modified intention-to-treat; mNIS+7, modified </w:t>
      </w:r>
      <w:r w:rsidRPr="002106BA">
        <w:t>neuropathy impairment score +7;</w:t>
      </w:r>
      <w:r w:rsidRPr="002106BA">
        <w:rPr>
          <w:rFonts w:eastAsia="Calibri"/>
        </w:rPr>
        <w:t xml:space="preserve"> </w:t>
      </w:r>
      <w:r w:rsidRPr="002106BA">
        <w:t>QoL-DN, quality of life-diabetic neuropathy;</w:t>
      </w:r>
      <w:r w:rsidRPr="002106BA">
        <w:rPr>
          <w:rFonts w:eastAsia="Calibri"/>
        </w:rPr>
        <w:t xml:space="preserve"> R-ODS,</w:t>
      </w:r>
      <w:r w:rsidRPr="002106BA">
        <w:t xml:space="preserve"> </w:t>
      </w:r>
      <w:r w:rsidRPr="002106BA">
        <w:rPr>
          <w:rFonts w:eastAsia="Calibri"/>
        </w:rPr>
        <w:t xml:space="preserve">Rasch-built Overall Disability Score; SD, standard deviation; SE, standard error mean. </w:t>
      </w:r>
    </w:p>
    <w:p w14:paraId="5319A942" w14:textId="77777777" w:rsidR="00EB4298" w:rsidRPr="002106BA" w:rsidRDefault="00EB4298" w:rsidP="009A5140">
      <w:pPr>
        <w:pStyle w:val="COMTablefooter"/>
        <w:keepNext/>
        <w:keepLines/>
        <w:rPr>
          <w:shd w:val="clear" w:color="auto" w:fill="FFFFFF"/>
        </w:rPr>
      </w:pPr>
      <w:r w:rsidRPr="002106BA">
        <w:rPr>
          <w:rFonts w:eastAsia="Calibri"/>
          <w:vertAlign w:val="superscript"/>
        </w:rPr>
        <w:t>a</w:t>
      </w:r>
      <w:r w:rsidRPr="002106BA">
        <w:rPr>
          <w:rFonts w:eastAsia="Calibri"/>
        </w:rPr>
        <w:t xml:space="preserve"> Lower </w:t>
      </w:r>
      <w:r w:rsidRPr="002106BA">
        <w:rPr>
          <w:shd w:val="clear" w:color="auto" w:fill="FFFFFF"/>
        </w:rPr>
        <w:t>scores indicate less impairment/fewer symptoms.</w:t>
      </w:r>
    </w:p>
    <w:p w14:paraId="1A7F1D03" w14:textId="77777777" w:rsidR="00EB4298" w:rsidRPr="002106BA" w:rsidRDefault="00EB4298" w:rsidP="009A5140">
      <w:pPr>
        <w:pStyle w:val="COMTablefooter"/>
        <w:keepNext/>
        <w:keepLines/>
        <w:rPr>
          <w:rFonts w:eastAsia="Calibri"/>
        </w:rPr>
      </w:pPr>
      <w:r w:rsidRPr="002106BA">
        <w:rPr>
          <w:shd w:val="clear" w:color="auto" w:fill="FFFFFF"/>
          <w:vertAlign w:val="superscript"/>
        </w:rPr>
        <w:t>b</w:t>
      </w:r>
      <w:r w:rsidRPr="002106BA">
        <w:rPr>
          <w:shd w:val="clear" w:color="auto" w:fill="FFFFFF"/>
        </w:rPr>
        <w:t xml:space="preserve"> Higher values indicate less disability/less impairment, or better nutritional status. </w:t>
      </w:r>
      <w:proofErr w:type="spellStart"/>
      <w:r w:rsidRPr="002106BA">
        <w:rPr>
          <w:shd w:val="clear" w:color="auto" w:fill="FFFFFF"/>
        </w:rPr>
        <w:t>mBMI</w:t>
      </w:r>
      <w:proofErr w:type="spellEnd"/>
      <w:r w:rsidRPr="002106BA">
        <w:rPr>
          <w:shd w:val="clear" w:color="auto" w:fill="FFFFFF"/>
        </w:rPr>
        <w:t xml:space="preserve"> = albumin (g/L) x weight (kg) / height (m</w:t>
      </w:r>
      <w:r w:rsidRPr="002106BA">
        <w:rPr>
          <w:shd w:val="clear" w:color="auto" w:fill="FFFFFF"/>
          <w:vertAlign w:val="superscript"/>
        </w:rPr>
        <w:t>2</w:t>
      </w:r>
      <w:r w:rsidRPr="002106BA">
        <w:rPr>
          <w:shd w:val="clear" w:color="auto" w:fill="FFFFFF"/>
        </w:rPr>
        <w:t>).</w:t>
      </w:r>
    </w:p>
    <w:p w14:paraId="1988B796" w14:textId="77777777" w:rsidR="00EB4298" w:rsidRPr="002106BA" w:rsidRDefault="00EB4298" w:rsidP="009A5140">
      <w:pPr>
        <w:pStyle w:val="COMTablefooter"/>
        <w:keepNext/>
        <w:keepLines/>
      </w:pPr>
      <w:r w:rsidRPr="002106BA">
        <w:rPr>
          <w:rFonts w:eastAsia="Calibri"/>
        </w:rPr>
        <w:t xml:space="preserve">Note: </w:t>
      </w:r>
      <w:r w:rsidRPr="002106BA">
        <w:t>Statistically significant results in bold.</w:t>
      </w:r>
    </w:p>
    <w:p w14:paraId="2CF7B183" w14:textId="77777777" w:rsidR="00EB4298" w:rsidRPr="002106BA" w:rsidRDefault="00EB4298" w:rsidP="00F20EFB">
      <w:pPr>
        <w:pStyle w:val="COMTablefooter"/>
        <w:keepLines/>
      </w:pPr>
      <w:r w:rsidRPr="009B43FE">
        <w:t>In the post hoc</w:t>
      </w:r>
      <w:r w:rsidRPr="002106BA">
        <w:t xml:space="preserve"> analyses comparing the HELIOS-A vutrisiran and patisiran arms, there were no statistically significant differences between vutrisiran and placebo in change from baseline to Month 18, in the primary and all secondary outcomes. </w:t>
      </w:r>
    </w:p>
    <w:p w14:paraId="7A672C63" w14:textId="29C274AE" w:rsidR="004E6A6C" w:rsidRPr="002106BA" w:rsidRDefault="004E6A6C" w:rsidP="00B7641F">
      <w:pPr>
        <w:pStyle w:val="COMexecsummnumbered"/>
      </w:pPr>
      <w:r w:rsidRPr="002106BA">
        <w:t xml:space="preserve">In the post hoc analyses comparing the HELIOS-A vutrisiran and patisiran arms, there were no statistically significant differences between vutrisiran and </w:t>
      </w:r>
      <w:r w:rsidR="004D43CA" w:rsidRPr="002106BA">
        <w:t xml:space="preserve">patisiran </w:t>
      </w:r>
      <w:r w:rsidRPr="002106BA">
        <w:t xml:space="preserve">in change from </w:t>
      </w:r>
      <w:r w:rsidRPr="00232DF4">
        <w:t xml:space="preserve">baseline to Month 18, in the primary and all secondary outcomes. </w:t>
      </w:r>
      <w:r w:rsidR="00257258" w:rsidRPr="00232DF4">
        <w:t>The study report also reported that 48.3% of patien</w:t>
      </w:r>
      <w:r w:rsidR="009F4D6C" w:rsidRPr="00232DF4">
        <w:t>t</w:t>
      </w:r>
      <w:r w:rsidR="00257258" w:rsidRPr="00232DF4">
        <w:t xml:space="preserve">s </w:t>
      </w:r>
      <w:r w:rsidR="009F4D6C" w:rsidRPr="00232DF4">
        <w:t xml:space="preserve">(57/118) </w:t>
      </w:r>
      <w:r w:rsidR="00257258" w:rsidRPr="00232DF4">
        <w:t xml:space="preserve">in the vutrisiran arm and 39.0% of patients </w:t>
      </w:r>
      <w:r w:rsidR="009F4D6C" w:rsidRPr="00232DF4">
        <w:t xml:space="preserve">(16/41) </w:t>
      </w:r>
      <w:r w:rsidR="00257258" w:rsidRPr="00232DF4">
        <w:t xml:space="preserve">in the patisiran arm </w:t>
      </w:r>
      <w:r w:rsidR="009F4D6C" w:rsidRPr="00232DF4">
        <w:t>reported improvement</w:t>
      </w:r>
      <w:r w:rsidR="009F4D6C" w:rsidRPr="002106BA">
        <w:t xml:space="preserve"> in mNIS</w:t>
      </w:r>
      <w:r w:rsidR="00C910E7" w:rsidRPr="002106BA">
        <w:t>+7</w:t>
      </w:r>
      <w:r w:rsidR="009F4D6C" w:rsidRPr="002106BA">
        <w:t xml:space="preserve"> over 18</w:t>
      </w:r>
      <w:r w:rsidR="00A667C7">
        <w:t> </w:t>
      </w:r>
      <w:r w:rsidR="009F4D6C" w:rsidRPr="002106BA">
        <w:t xml:space="preserve">months. </w:t>
      </w:r>
      <w:r w:rsidR="004D43CA" w:rsidRPr="002106BA">
        <w:t>The evaluation noted that g</w:t>
      </w:r>
      <w:r w:rsidR="00C70618" w:rsidRPr="002106BA">
        <w:t>iven the d</w:t>
      </w:r>
      <w:r w:rsidR="00E9525E" w:rsidRPr="002106BA">
        <w:t>ifference</w:t>
      </w:r>
      <w:r w:rsidR="005A75ED" w:rsidRPr="002106BA">
        <w:t>s</w:t>
      </w:r>
      <w:r w:rsidR="00E9525E" w:rsidRPr="002106BA">
        <w:t xml:space="preserve"> between </w:t>
      </w:r>
      <w:r w:rsidR="009A5B30" w:rsidRPr="002106BA">
        <w:t xml:space="preserve">vutrisiran and patisiran </w:t>
      </w:r>
      <w:r w:rsidR="00E9525E" w:rsidRPr="002106BA">
        <w:t xml:space="preserve">baseline values </w:t>
      </w:r>
      <w:r w:rsidR="005A75ED" w:rsidRPr="002106BA">
        <w:t>in terms of</w:t>
      </w:r>
      <w:r w:rsidR="00E9525E" w:rsidRPr="002106BA">
        <w:t xml:space="preserve"> </w:t>
      </w:r>
      <w:r w:rsidR="009A5B30" w:rsidRPr="002106BA">
        <w:t>mNIS+7 (total score) and Norfolk QoL-DN</w:t>
      </w:r>
      <w:r w:rsidR="00E67864" w:rsidRPr="002106BA">
        <w:t xml:space="preserve">, and that the comparison </w:t>
      </w:r>
      <w:r w:rsidR="007045CF" w:rsidRPr="002106BA">
        <w:t>was not powered to detect difference</w:t>
      </w:r>
      <w:r w:rsidR="00991379" w:rsidRPr="002106BA">
        <w:t>s</w:t>
      </w:r>
      <w:r w:rsidR="007045CF" w:rsidRPr="002106BA">
        <w:t xml:space="preserve"> between treatment arms</w:t>
      </w:r>
      <w:r w:rsidR="00991379" w:rsidRPr="002106BA">
        <w:t>,</w:t>
      </w:r>
      <w:r w:rsidR="006E09AC" w:rsidRPr="002106BA">
        <w:t xml:space="preserve"> </w:t>
      </w:r>
      <w:r w:rsidR="00991379" w:rsidRPr="002106BA">
        <w:t>the lack of statistical</w:t>
      </w:r>
      <w:r w:rsidR="00E67864" w:rsidRPr="002106BA">
        <w:t>ly</w:t>
      </w:r>
      <w:r w:rsidR="00991379" w:rsidRPr="002106BA">
        <w:t xml:space="preserve"> significant difference</w:t>
      </w:r>
      <w:r w:rsidR="00E67864" w:rsidRPr="002106BA">
        <w:t>s</w:t>
      </w:r>
      <w:r w:rsidR="00991379" w:rsidRPr="002106BA">
        <w:t xml:space="preserve"> between treatments </w:t>
      </w:r>
      <w:r w:rsidR="00E67864" w:rsidRPr="002106BA">
        <w:t xml:space="preserve">is not </w:t>
      </w:r>
      <w:r w:rsidR="00114C4F" w:rsidRPr="002106BA">
        <w:t>sufficient to establish noninferiority</w:t>
      </w:r>
      <w:r w:rsidR="006E09AC" w:rsidRPr="002106BA">
        <w:t>.</w:t>
      </w:r>
      <w:r w:rsidR="00FC1FA3" w:rsidRPr="002106BA">
        <w:t xml:space="preserve"> </w:t>
      </w:r>
      <w:r w:rsidR="006F08A4" w:rsidRPr="002106BA">
        <w:t>The Pre-PBAC Response argued that although non-inferiority margins for these outcomes were not defined, the totality of the evidence supports a conclusion that vutrisiran is at least of non-inferior comparative effectiveness to patisiran.</w:t>
      </w:r>
    </w:p>
    <w:p w14:paraId="4299DB8A" w14:textId="705A1F89" w:rsidR="000A7FCF" w:rsidRPr="002106BA" w:rsidRDefault="004E6A6C" w:rsidP="004E6A6C">
      <w:pPr>
        <w:pStyle w:val="COMH3"/>
        <w:rPr>
          <w:iCs w:val="0"/>
          <w:color w:val="0066FF"/>
        </w:rPr>
      </w:pPr>
      <w:r w:rsidRPr="002106BA">
        <w:rPr>
          <w:iCs w:val="0"/>
          <w:sz w:val="24"/>
          <w:szCs w:val="22"/>
        </w:rPr>
        <w:t>Supportive network meta-analysis</w:t>
      </w:r>
    </w:p>
    <w:p w14:paraId="1721C742" w14:textId="398B4904" w:rsidR="00585793" w:rsidRPr="002106BA" w:rsidRDefault="00585793" w:rsidP="00EC5836">
      <w:pPr>
        <w:pStyle w:val="COMexecsummnumbered"/>
        <w:rPr>
          <w:color w:val="0066FF"/>
        </w:rPr>
      </w:pPr>
      <w:r w:rsidRPr="002106BA">
        <w:t>The submission presented a supportive indirect treatment comparison using a Bayesian network meta-analysis (NMA) of adult patients with hATTR amyloidosis with polyneuropathy with Stage 1 or 2 disease, to assess the comparative efficacy of vutrisiran versus patisiran. The analysis was based on 2 arms from the HELIOS-A study (vutrisiran and patisiran) and 2 arms from the APOLLO study (patisiran and placebo)</w:t>
      </w:r>
      <w:r w:rsidR="00CD3AC4" w:rsidRPr="002106BA">
        <w:t>.</w:t>
      </w:r>
      <w:r w:rsidR="00787E79" w:rsidRPr="002106BA">
        <w:t xml:space="preserve"> </w:t>
      </w:r>
    </w:p>
    <w:p w14:paraId="36D530C9" w14:textId="585025E5" w:rsidR="00585793" w:rsidRPr="002106BA" w:rsidRDefault="00585793" w:rsidP="004C7B59">
      <w:pPr>
        <w:pStyle w:val="COMexecsummnumbered"/>
        <w:rPr>
          <w:color w:val="0066FF"/>
        </w:rPr>
      </w:pPr>
      <w:r w:rsidRPr="002106BA">
        <w:t xml:space="preserve">The results of the </w:t>
      </w:r>
      <w:r w:rsidR="00004B33" w:rsidRPr="002106BA">
        <w:t>NMA</w:t>
      </w:r>
      <w:r w:rsidRPr="002106BA">
        <w:t xml:space="preserve"> </w:t>
      </w:r>
      <w:r w:rsidR="00004B33" w:rsidRPr="002106BA">
        <w:t>showed</w:t>
      </w:r>
      <w:r w:rsidRPr="002106BA">
        <w:t xml:space="preserve"> that </w:t>
      </w:r>
      <w:r w:rsidR="00004B33" w:rsidRPr="002106BA">
        <w:t xml:space="preserve">both </w:t>
      </w:r>
      <w:r w:rsidRPr="002106BA">
        <w:t xml:space="preserve">vutrisiran and patisiran were superior to placebo in the treatment of adult patients with hATTR amyloidosis with polyneuropathy stage 1 and stage 2, </w:t>
      </w:r>
      <w:r w:rsidR="00004B33" w:rsidRPr="002106BA">
        <w:t>and showed</w:t>
      </w:r>
      <w:r w:rsidRPr="002106BA">
        <w:t xml:space="preserve"> no statistically significant difference</w:t>
      </w:r>
      <w:r w:rsidR="00A61B3D" w:rsidRPr="002106BA">
        <w:t>s</w:t>
      </w:r>
      <w:r w:rsidRPr="002106BA">
        <w:t xml:space="preserve"> between vutrisiran and patisiran in terms of </w:t>
      </w:r>
      <w:r w:rsidR="00410DF6" w:rsidRPr="002106BA">
        <w:t>improvement or no change in PND score</w:t>
      </w:r>
      <w:r w:rsidR="00A23192" w:rsidRPr="002106BA">
        <w:t>,</w:t>
      </w:r>
      <w:r w:rsidR="00410DF6" w:rsidRPr="002106BA">
        <w:t xml:space="preserve"> </w:t>
      </w:r>
      <w:r w:rsidRPr="002106BA">
        <w:t xml:space="preserve">change in mNIS+7 and Norfolk QOL-DN score from baseline to Month 18. </w:t>
      </w:r>
      <w:r w:rsidR="0065056B" w:rsidRPr="002106BA">
        <w:t xml:space="preserve">The evaluation noted </w:t>
      </w:r>
      <w:r w:rsidR="009C7346" w:rsidRPr="002106BA">
        <w:t xml:space="preserve">there </w:t>
      </w:r>
      <w:r w:rsidR="0065056B" w:rsidRPr="002106BA">
        <w:t xml:space="preserve">were </w:t>
      </w:r>
      <w:r w:rsidR="009C7346" w:rsidRPr="002106BA">
        <w:t xml:space="preserve">insufficient data to support noninferiority of vutrisiran </w:t>
      </w:r>
      <w:r w:rsidR="009C7346" w:rsidRPr="002106BA">
        <w:lastRenderedPageBreak/>
        <w:t>and patisiran</w:t>
      </w:r>
      <w:r w:rsidR="00065510" w:rsidRPr="002106BA">
        <w:t xml:space="preserve"> within the NMA</w:t>
      </w:r>
      <w:r w:rsidR="009C7346" w:rsidRPr="002106BA">
        <w:t xml:space="preserve">, given </w:t>
      </w:r>
      <w:r w:rsidR="00065510" w:rsidRPr="002106BA">
        <w:t>it</w:t>
      </w:r>
      <w:r w:rsidR="009C7346" w:rsidRPr="002106BA">
        <w:t xml:space="preserve"> relied on only two trials, </w:t>
      </w:r>
      <w:r w:rsidR="00065510" w:rsidRPr="002106BA">
        <w:t>with</w:t>
      </w:r>
      <w:r w:rsidR="009C7346" w:rsidRPr="002106BA">
        <w:t xml:space="preserve"> wide credible intervals and </w:t>
      </w:r>
      <w:r w:rsidR="00065510" w:rsidRPr="002106BA">
        <w:t xml:space="preserve">a </w:t>
      </w:r>
      <w:r w:rsidR="009C7346" w:rsidRPr="002106BA">
        <w:t>lack of nominated noninferiority margins.</w:t>
      </w:r>
      <w:r w:rsidR="007C6504" w:rsidRPr="002106BA">
        <w:t xml:space="preserve"> The PSCR argued that </w:t>
      </w:r>
      <w:r w:rsidR="00441788" w:rsidRPr="002106BA">
        <w:t xml:space="preserve">the NMA was informative, </w:t>
      </w:r>
      <w:r w:rsidR="007C6504" w:rsidRPr="002106BA">
        <w:t xml:space="preserve">despite </w:t>
      </w:r>
      <w:r w:rsidR="00EB740F" w:rsidRPr="002106BA">
        <w:t xml:space="preserve">differences in </w:t>
      </w:r>
      <w:r w:rsidR="007C6504" w:rsidRPr="002106BA">
        <w:t xml:space="preserve">baseline </w:t>
      </w:r>
      <w:r w:rsidR="00EB740F" w:rsidRPr="002106BA">
        <w:t>characteristics</w:t>
      </w:r>
      <w:r w:rsidR="007C6504" w:rsidRPr="002106BA">
        <w:t xml:space="preserve"> </w:t>
      </w:r>
      <w:r w:rsidR="00441788" w:rsidRPr="002106BA">
        <w:t>of patients in the HELIOS-A study compared with the APOLLO study</w:t>
      </w:r>
      <w:r w:rsidR="007C6504" w:rsidRPr="002106BA">
        <w:t xml:space="preserve">, </w:t>
      </w:r>
      <w:r w:rsidR="0065056B" w:rsidRPr="002106BA">
        <w:t xml:space="preserve">noting </w:t>
      </w:r>
      <w:r w:rsidR="00441788" w:rsidRPr="002106BA">
        <w:t>the NMA</w:t>
      </w:r>
      <w:r w:rsidR="007C6504" w:rsidRPr="002106BA">
        <w:t xml:space="preserve"> increased the number of patients for patisiran and resulted in narrower 95% CIs.</w:t>
      </w:r>
      <w:r w:rsidR="00441788" w:rsidRPr="002106BA">
        <w:t xml:space="preserve"> </w:t>
      </w:r>
    </w:p>
    <w:p w14:paraId="1452C351" w14:textId="0D19F1B0" w:rsidR="00B60939" w:rsidRPr="002106BA" w:rsidRDefault="00B60939" w:rsidP="003D5DE7">
      <w:pPr>
        <w:pStyle w:val="COMH2-non-numbered"/>
      </w:pPr>
      <w:bookmarkStart w:id="34" w:name="_Toc22897642"/>
      <w:bookmarkStart w:id="35" w:name="_Toc177559179"/>
      <w:r w:rsidRPr="002106BA">
        <w:t>Comparative harms</w:t>
      </w:r>
      <w:bookmarkEnd w:id="34"/>
      <w:bookmarkEnd w:id="35"/>
    </w:p>
    <w:p w14:paraId="6A402766" w14:textId="1EEA396E" w:rsidR="00790F35" w:rsidRPr="002106BA" w:rsidRDefault="00790F35" w:rsidP="00D86231">
      <w:pPr>
        <w:pStyle w:val="COMexecsummnumbered"/>
        <w:rPr>
          <w:color w:val="0066FF"/>
        </w:rPr>
      </w:pPr>
      <w:r w:rsidRPr="002106BA">
        <w:t xml:space="preserve">Key adverse events occurring in the APOLLO </w:t>
      </w:r>
      <w:r w:rsidR="005E6F41" w:rsidRPr="002106BA">
        <w:t xml:space="preserve">study </w:t>
      </w:r>
      <w:r w:rsidRPr="002106BA">
        <w:t>are summarised in</w:t>
      </w:r>
      <w:r w:rsidR="00E47B27" w:rsidRPr="002106BA">
        <w:t xml:space="preserve"> </w:t>
      </w:r>
      <w:r w:rsidR="00E47B27" w:rsidRPr="002106BA">
        <w:fldChar w:fldCharType="begin"/>
      </w:r>
      <w:r w:rsidR="00E47B27" w:rsidRPr="002106BA">
        <w:instrText xml:space="preserve"> REF _Ref174960143 \h </w:instrText>
      </w:r>
      <w:r w:rsidR="00364566" w:rsidRPr="002106BA">
        <w:instrText xml:space="preserve"> \* MERGEFORMAT </w:instrText>
      </w:r>
      <w:r w:rsidR="00E47B27" w:rsidRPr="002106BA">
        <w:fldChar w:fldCharType="separate"/>
      </w:r>
      <w:r w:rsidR="00DB6E9D" w:rsidRPr="002106BA">
        <w:t xml:space="preserve">Table </w:t>
      </w:r>
      <w:r w:rsidR="00DB6E9D">
        <w:t>8</w:t>
      </w:r>
      <w:r w:rsidR="00E47B27" w:rsidRPr="002106BA">
        <w:fldChar w:fldCharType="end"/>
      </w:r>
      <w:r w:rsidRPr="002106BA">
        <w:t>. All safety analyses were performed with the safety population (patients who received at least one dose of the study drug</w:t>
      </w:r>
      <w:bookmarkStart w:id="36" w:name="_Hlk104801403"/>
      <w:r w:rsidR="008B3216" w:rsidRPr="002106BA">
        <w:t>)</w:t>
      </w:r>
      <w:r w:rsidRPr="002106BA">
        <w:t>.</w:t>
      </w:r>
    </w:p>
    <w:p w14:paraId="3332BFC6" w14:textId="3B73C5ED" w:rsidR="00E47B27" w:rsidRPr="002106BA" w:rsidRDefault="00E47B27" w:rsidP="00E47B27">
      <w:pPr>
        <w:pStyle w:val="COMtablefigcaption"/>
      </w:pPr>
      <w:bookmarkStart w:id="37" w:name="_Ref174960143"/>
      <w:r w:rsidRPr="002106BA">
        <w:t xml:space="preserve">Table </w:t>
      </w:r>
      <w:r w:rsidR="0027304F">
        <w:fldChar w:fldCharType="begin"/>
      </w:r>
      <w:r w:rsidR="0027304F">
        <w:instrText xml:space="preserve"> SEQ Table \* ARABIC </w:instrText>
      </w:r>
      <w:r w:rsidR="0027304F">
        <w:fldChar w:fldCharType="separate"/>
      </w:r>
      <w:r w:rsidR="00DB6E9D">
        <w:rPr>
          <w:noProof/>
        </w:rPr>
        <w:t>8</w:t>
      </w:r>
      <w:r w:rsidR="0027304F">
        <w:fldChar w:fldCharType="end"/>
      </w:r>
      <w:bookmarkEnd w:id="37"/>
      <w:r w:rsidRPr="002106BA">
        <w:t>: Summary of patients experiencing adverse events in the HELIOS-A and APOLLO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05"/>
        <w:gridCol w:w="1405"/>
        <w:gridCol w:w="1405"/>
        <w:gridCol w:w="1405"/>
      </w:tblGrid>
      <w:tr w:rsidR="00E47B27" w:rsidRPr="002106BA" w14:paraId="7D288558" w14:textId="77777777" w:rsidTr="009B1087">
        <w:trPr>
          <w:tblHeader/>
        </w:trPr>
        <w:tc>
          <w:tcPr>
            <w:tcW w:w="3397" w:type="dxa"/>
            <w:vMerge w:val="restart"/>
            <w:vAlign w:val="center"/>
          </w:tcPr>
          <w:p w14:paraId="3CF3D92F" w14:textId="5D17B956" w:rsidR="00E47B27" w:rsidRPr="002106BA" w:rsidRDefault="00C763CA" w:rsidP="009B1087">
            <w:pPr>
              <w:pStyle w:val="COMTableheadingrow"/>
              <w:rPr>
                <w:lang w:val="en-AU"/>
              </w:rPr>
            </w:pPr>
            <w:r w:rsidRPr="002106BA">
              <w:rPr>
                <w:lang w:val="en-AU"/>
              </w:rPr>
              <w:t>Adverse events</w:t>
            </w:r>
            <w:r w:rsidR="00E47B27" w:rsidRPr="002106BA">
              <w:rPr>
                <w:lang w:val="en-AU"/>
              </w:rPr>
              <w:t>, n (%)</w:t>
            </w:r>
          </w:p>
        </w:tc>
        <w:tc>
          <w:tcPr>
            <w:tcW w:w="2810" w:type="dxa"/>
            <w:gridSpan w:val="2"/>
            <w:tcBorders>
              <w:right w:val="double" w:sz="4" w:space="0" w:color="auto"/>
            </w:tcBorders>
            <w:vAlign w:val="center"/>
          </w:tcPr>
          <w:p w14:paraId="71DFBA23" w14:textId="77777777" w:rsidR="00E47B27" w:rsidRPr="002106BA" w:rsidRDefault="00E47B27" w:rsidP="009B1087">
            <w:pPr>
              <w:pStyle w:val="TableText"/>
            </w:pPr>
            <w:r w:rsidRPr="002106BA">
              <w:t>HELIOS-A</w:t>
            </w:r>
          </w:p>
        </w:tc>
        <w:tc>
          <w:tcPr>
            <w:tcW w:w="2810" w:type="dxa"/>
            <w:gridSpan w:val="2"/>
            <w:tcBorders>
              <w:left w:val="double" w:sz="4" w:space="0" w:color="auto"/>
            </w:tcBorders>
            <w:vAlign w:val="center"/>
          </w:tcPr>
          <w:p w14:paraId="2EF4B74B" w14:textId="77777777" w:rsidR="00E47B27" w:rsidRPr="002106BA" w:rsidRDefault="00E47B27" w:rsidP="009B1087">
            <w:pPr>
              <w:pStyle w:val="COMTableheadingrow"/>
              <w:ind w:left="-107" w:right="-122"/>
              <w:jc w:val="center"/>
              <w:rPr>
                <w:lang w:val="en-AU"/>
              </w:rPr>
            </w:pPr>
            <w:r w:rsidRPr="002106BA">
              <w:rPr>
                <w:lang w:val="en-AU"/>
              </w:rPr>
              <w:t>APOLLO</w:t>
            </w:r>
          </w:p>
        </w:tc>
      </w:tr>
      <w:tr w:rsidR="00E47B27" w:rsidRPr="002106BA" w14:paraId="23E8FCD1" w14:textId="77777777" w:rsidTr="009B1087">
        <w:trPr>
          <w:tblHeader/>
        </w:trPr>
        <w:tc>
          <w:tcPr>
            <w:tcW w:w="3397" w:type="dxa"/>
            <w:vMerge/>
            <w:vAlign w:val="center"/>
          </w:tcPr>
          <w:p w14:paraId="16907DA7" w14:textId="77777777" w:rsidR="00E47B27" w:rsidRPr="002106BA" w:rsidRDefault="00E47B27" w:rsidP="009B1087">
            <w:pPr>
              <w:pStyle w:val="COMTableheadingrow"/>
              <w:rPr>
                <w:lang w:val="en-AU"/>
              </w:rPr>
            </w:pPr>
          </w:p>
        </w:tc>
        <w:tc>
          <w:tcPr>
            <w:tcW w:w="1405" w:type="dxa"/>
            <w:vAlign w:val="center"/>
          </w:tcPr>
          <w:p w14:paraId="40312CBC" w14:textId="77777777" w:rsidR="00E47B27" w:rsidRPr="002106BA" w:rsidRDefault="00E47B27" w:rsidP="009B1087">
            <w:pPr>
              <w:pStyle w:val="TableText"/>
            </w:pPr>
            <w:r w:rsidRPr="002106BA">
              <w:t>Vutrisiran</w:t>
            </w:r>
          </w:p>
          <w:p w14:paraId="398E038F" w14:textId="77777777" w:rsidR="00E47B27" w:rsidRPr="002106BA" w:rsidRDefault="00E47B27" w:rsidP="009B1087">
            <w:pPr>
              <w:pStyle w:val="TableText"/>
            </w:pPr>
            <w:r w:rsidRPr="002106BA">
              <w:t>(n=122)</w:t>
            </w:r>
          </w:p>
        </w:tc>
        <w:tc>
          <w:tcPr>
            <w:tcW w:w="1405" w:type="dxa"/>
            <w:tcBorders>
              <w:right w:val="double" w:sz="4" w:space="0" w:color="auto"/>
            </w:tcBorders>
            <w:vAlign w:val="center"/>
          </w:tcPr>
          <w:p w14:paraId="182B67EF" w14:textId="77777777" w:rsidR="00E47B27" w:rsidRPr="002106BA" w:rsidRDefault="00E47B27" w:rsidP="009B1087">
            <w:pPr>
              <w:pStyle w:val="COMTableheadingrow"/>
              <w:ind w:left="-107" w:right="-122"/>
              <w:jc w:val="center"/>
              <w:rPr>
                <w:lang w:val="en-AU"/>
              </w:rPr>
            </w:pPr>
            <w:r w:rsidRPr="002106BA">
              <w:rPr>
                <w:lang w:val="en-AU"/>
              </w:rPr>
              <w:t>Patisiran</w:t>
            </w:r>
          </w:p>
          <w:p w14:paraId="543EED47" w14:textId="77777777" w:rsidR="00E47B27" w:rsidRPr="002106BA" w:rsidRDefault="00E47B27" w:rsidP="009B1087">
            <w:pPr>
              <w:pStyle w:val="COMTableheadingrow"/>
              <w:ind w:left="-107" w:right="-122"/>
              <w:jc w:val="center"/>
              <w:rPr>
                <w:lang w:val="en-AU"/>
              </w:rPr>
            </w:pPr>
            <w:r w:rsidRPr="002106BA">
              <w:rPr>
                <w:lang w:val="en-AU"/>
              </w:rPr>
              <w:t>(n=42)</w:t>
            </w:r>
          </w:p>
        </w:tc>
        <w:tc>
          <w:tcPr>
            <w:tcW w:w="1405" w:type="dxa"/>
            <w:tcBorders>
              <w:left w:val="double" w:sz="4" w:space="0" w:color="auto"/>
            </w:tcBorders>
            <w:vAlign w:val="center"/>
          </w:tcPr>
          <w:p w14:paraId="0D219224" w14:textId="77777777" w:rsidR="00E47B27" w:rsidRPr="002106BA" w:rsidRDefault="00E47B27" w:rsidP="009B1087">
            <w:pPr>
              <w:pStyle w:val="COMTableheadingrow"/>
              <w:ind w:left="-107" w:right="-122"/>
              <w:jc w:val="center"/>
              <w:rPr>
                <w:lang w:val="en-AU"/>
              </w:rPr>
            </w:pPr>
            <w:r w:rsidRPr="002106BA">
              <w:rPr>
                <w:lang w:val="en-AU"/>
              </w:rPr>
              <w:t xml:space="preserve">Patisiran </w:t>
            </w:r>
          </w:p>
          <w:p w14:paraId="5BF01E48" w14:textId="77777777" w:rsidR="00E47B27" w:rsidRPr="002106BA" w:rsidRDefault="00E47B27" w:rsidP="009B1087">
            <w:pPr>
              <w:pStyle w:val="COMTableheadingrow"/>
              <w:ind w:left="-107" w:right="-122"/>
              <w:jc w:val="center"/>
              <w:rPr>
                <w:lang w:val="en-AU"/>
              </w:rPr>
            </w:pPr>
            <w:r w:rsidRPr="002106BA">
              <w:rPr>
                <w:lang w:val="en-AU"/>
              </w:rPr>
              <w:t>(n=148)</w:t>
            </w:r>
          </w:p>
        </w:tc>
        <w:tc>
          <w:tcPr>
            <w:tcW w:w="1405" w:type="dxa"/>
            <w:vAlign w:val="center"/>
          </w:tcPr>
          <w:p w14:paraId="25C69AA2" w14:textId="77777777" w:rsidR="00E47B27" w:rsidRPr="002106BA" w:rsidRDefault="00E47B27" w:rsidP="009B1087">
            <w:pPr>
              <w:pStyle w:val="COMTableheadingrow"/>
              <w:ind w:left="-107" w:right="-122"/>
              <w:jc w:val="center"/>
              <w:rPr>
                <w:lang w:val="en-AU"/>
              </w:rPr>
            </w:pPr>
            <w:r w:rsidRPr="002106BA">
              <w:rPr>
                <w:lang w:val="en-AU"/>
              </w:rPr>
              <w:t>Placebo</w:t>
            </w:r>
          </w:p>
          <w:p w14:paraId="4F26F099" w14:textId="77777777" w:rsidR="00E47B27" w:rsidRPr="002106BA" w:rsidRDefault="00E47B27" w:rsidP="009B1087">
            <w:pPr>
              <w:pStyle w:val="COMTableheadingrow"/>
              <w:ind w:left="-107" w:right="-122"/>
              <w:jc w:val="center"/>
              <w:rPr>
                <w:lang w:val="en-AU"/>
              </w:rPr>
            </w:pPr>
            <w:r w:rsidRPr="002106BA">
              <w:rPr>
                <w:lang w:val="en-AU"/>
              </w:rPr>
              <w:t>(n=77)</w:t>
            </w:r>
          </w:p>
        </w:tc>
      </w:tr>
      <w:tr w:rsidR="00E47B27" w:rsidRPr="002106BA" w14:paraId="2F8FDCC9" w14:textId="77777777" w:rsidTr="009B1087">
        <w:tc>
          <w:tcPr>
            <w:tcW w:w="3397" w:type="dxa"/>
            <w:vAlign w:val="center"/>
          </w:tcPr>
          <w:p w14:paraId="3C37B298" w14:textId="77777777" w:rsidR="00E47B27" w:rsidRPr="002106BA" w:rsidRDefault="00E47B27" w:rsidP="009B1087">
            <w:pPr>
              <w:pStyle w:val="COMTabletext"/>
              <w:ind w:right="-55"/>
            </w:pPr>
            <w:r w:rsidRPr="002106BA">
              <w:t>Any adverse events</w:t>
            </w:r>
          </w:p>
        </w:tc>
        <w:tc>
          <w:tcPr>
            <w:tcW w:w="1405" w:type="dxa"/>
          </w:tcPr>
          <w:p w14:paraId="3FCB54CC" w14:textId="77777777" w:rsidR="00E47B27" w:rsidRPr="002106BA" w:rsidRDefault="00E47B27" w:rsidP="009B1087">
            <w:pPr>
              <w:pStyle w:val="COMTabletext"/>
              <w:jc w:val="center"/>
            </w:pPr>
            <w:r w:rsidRPr="002106BA">
              <w:t>119 (98%)</w:t>
            </w:r>
          </w:p>
        </w:tc>
        <w:tc>
          <w:tcPr>
            <w:tcW w:w="1405" w:type="dxa"/>
            <w:tcBorders>
              <w:right w:val="double" w:sz="4" w:space="0" w:color="auto"/>
            </w:tcBorders>
          </w:tcPr>
          <w:p w14:paraId="7680FF4E" w14:textId="77777777" w:rsidR="00E47B27" w:rsidRPr="002106BA" w:rsidRDefault="00E47B27" w:rsidP="009B1087">
            <w:pPr>
              <w:pStyle w:val="COMTabletext"/>
              <w:jc w:val="center"/>
            </w:pPr>
            <w:r w:rsidRPr="002106BA">
              <w:t>41 (98%)</w:t>
            </w:r>
          </w:p>
        </w:tc>
        <w:tc>
          <w:tcPr>
            <w:tcW w:w="1405" w:type="dxa"/>
            <w:tcBorders>
              <w:left w:val="double" w:sz="4" w:space="0" w:color="auto"/>
            </w:tcBorders>
          </w:tcPr>
          <w:p w14:paraId="4DCF5470" w14:textId="77777777" w:rsidR="00E47B27" w:rsidRPr="002106BA" w:rsidRDefault="00E47B27" w:rsidP="009B1087">
            <w:pPr>
              <w:pStyle w:val="COMTabletext"/>
              <w:jc w:val="center"/>
            </w:pPr>
            <w:r w:rsidRPr="002106BA">
              <w:t>143 (97%)</w:t>
            </w:r>
          </w:p>
        </w:tc>
        <w:tc>
          <w:tcPr>
            <w:tcW w:w="1405" w:type="dxa"/>
          </w:tcPr>
          <w:p w14:paraId="25E72554" w14:textId="77777777" w:rsidR="00E47B27" w:rsidRPr="002106BA" w:rsidRDefault="00E47B27" w:rsidP="009B1087">
            <w:pPr>
              <w:pStyle w:val="COMTabletext"/>
              <w:jc w:val="center"/>
            </w:pPr>
            <w:r w:rsidRPr="002106BA">
              <w:t>75 (97%)</w:t>
            </w:r>
          </w:p>
        </w:tc>
      </w:tr>
      <w:tr w:rsidR="00E47B27" w:rsidRPr="002106BA" w14:paraId="7C4F30B5" w14:textId="77777777" w:rsidTr="009B1087">
        <w:tc>
          <w:tcPr>
            <w:tcW w:w="3397" w:type="dxa"/>
            <w:vAlign w:val="center"/>
          </w:tcPr>
          <w:p w14:paraId="3D15D99F" w14:textId="77777777" w:rsidR="00E47B27" w:rsidRPr="002106BA" w:rsidRDefault="00E47B27" w:rsidP="009B1087">
            <w:pPr>
              <w:pStyle w:val="COMTabletext"/>
              <w:ind w:right="-55"/>
              <w:rPr>
                <w:vertAlign w:val="superscript"/>
              </w:rPr>
            </w:pPr>
            <w:r w:rsidRPr="002106BA">
              <w:t>Serious AEs, n (%), number of events</w:t>
            </w:r>
          </w:p>
        </w:tc>
        <w:tc>
          <w:tcPr>
            <w:tcW w:w="1405" w:type="dxa"/>
            <w:vAlign w:val="center"/>
          </w:tcPr>
          <w:p w14:paraId="0A4A70FF" w14:textId="77777777" w:rsidR="00E47B27" w:rsidRPr="002106BA" w:rsidRDefault="00E47B27" w:rsidP="009B1087">
            <w:pPr>
              <w:pStyle w:val="COMTabletext"/>
              <w:jc w:val="center"/>
            </w:pPr>
            <w:r w:rsidRPr="002106BA">
              <w:t>32 (26.2%), 63</w:t>
            </w:r>
          </w:p>
        </w:tc>
        <w:tc>
          <w:tcPr>
            <w:tcW w:w="1405" w:type="dxa"/>
            <w:tcBorders>
              <w:right w:val="double" w:sz="4" w:space="0" w:color="auto"/>
            </w:tcBorders>
            <w:vAlign w:val="center"/>
          </w:tcPr>
          <w:p w14:paraId="64DD9E02" w14:textId="77777777" w:rsidR="00E47B27" w:rsidRPr="002106BA" w:rsidRDefault="00E47B27" w:rsidP="009B1087">
            <w:pPr>
              <w:pStyle w:val="COMTabletext"/>
              <w:jc w:val="center"/>
            </w:pPr>
            <w:r w:rsidRPr="002106BA">
              <w:t>18 (42.9%), 42</w:t>
            </w:r>
          </w:p>
        </w:tc>
        <w:tc>
          <w:tcPr>
            <w:tcW w:w="1405" w:type="dxa"/>
            <w:tcBorders>
              <w:left w:val="double" w:sz="4" w:space="0" w:color="auto"/>
            </w:tcBorders>
            <w:vAlign w:val="center"/>
          </w:tcPr>
          <w:p w14:paraId="2503957C" w14:textId="77777777" w:rsidR="00E47B27" w:rsidRPr="002106BA" w:rsidRDefault="00E47B27" w:rsidP="009B1087">
            <w:pPr>
              <w:pStyle w:val="COMTabletext"/>
              <w:jc w:val="center"/>
            </w:pPr>
            <w:r w:rsidRPr="002106BA">
              <w:t>54 (36.5%), 101</w:t>
            </w:r>
          </w:p>
        </w:tc>
        <w:tc>
          <w:tcPr>
            <w:tcW w:w="1405" w:type="dxa"/>
            <w:vAlign w:val="center"/>
          </w:tcPr>
          <w:p w14:paraId="158A78F6" w14:textId="77777777" w:rsidR="00E47B27" w:rsidRPr="002106BA" w:rsidRDefault="00E47B27" w:rsidP="009B1087">
            <w:pPr>
              <w:pStyle w:val="COMTabletext"/>
              <w:jc w:val="center"/>
            </w:pPr>
            <w:r w:rsidRPr="002106BA">
              <w:t>31 (40.3%), 99</w:t>
            </w:r>
          </w:p>
        </w:tc>
      </w:tr>
      <w:tr w:rsidR="00E47B27" w:rsidRPr="002106BA" w14:paraId="7B192CEC" w14:textId="77777777" w:rsidTr="009B1087">
        <w:tc>
          <w:tcPr>
            <w:tcW w:w="3397" w:type="dxa"/>
            <w:vAlign w:val="center"/>
          </w:tcPr>
          <w:p w14:paraId="050C8A91" w14:textId="77777777" w:rsidR="00E47B27" w:rsidRPr="002106BA" w:rsidRDefault="00E47B27" w:rsidP="009B1087">
            <w:pPr>
              <w:pStyle w:val="COMTabletext"/>
              <w:ind w:right="-55"/>
            </w:pPr>
            <w:r w:rsidRPr="002106BA">
              <w:t>At least 1 severe adverse event</w:t>
            </w:r>
          </w:p>
        </w:tc>
        <w:tc>
          <w:tcPr>
            <w:tcW w:w="1405" w:type="dxa"/>
          </w:tcPr>
          <w:p w14:paraId="4D2C8510" w14:textId="77777777" w:rsidR="00E47B27" w:rsidRPr="002106BA" w:rsidRDefault="00E47B27" w:rsidP="009B1087">
            <w:pPr>
              <w:pStyle w:val="COMTabletext"/>
              <w:jc w:val="center"/>
            </w:pPr>
            <w:r w:rsidRPr="002106BA">
              <w:t>19 (15.6%)</w:t>
            </w:r>
          </w:p>
        </w:tc>
        <w:tc>
          <w:tcPr>
            <w:tcW w:w="1405" w:type="dxa"/>
            <w:tcBorders>
              <w:right w:val="double" w:sz="4" w:space="0" w:color="auto"/>
            </w:tcBorders>
          </w:tcPr>
          <w:p w14:paraId="3FF98CFB" w14:textId="77777777" w:rsidR="00E47B27" w:rsidRPr="002106BA" w:rsidRDefault="00E47B27" w:rsidP="009B1087">
            <w:pPr>
              <w:pStyle w:val="COMTabletext"/>
              <w:jc w:val="center"/>
            </w:pPr>
            <w:r w:rsidRPr="002106BA">
              <w:t>16 (38.1%)</w:t>
            </w:r>
          </w:p>
        </w:tc>
        <w:tc>
          <w:tcPr>
            <w:tcW w:w="1405" w:type="dxa"/>
            <w:tcBorders>
              <w:left w:val="double" w:sz="4" w:space="0" w:color="auto"/>
            </w:tcBorders>
          </w:tcPr>
          <w:p w14:paraId="63A24EAD" w14:textId="77777777" w:rsidR="00E47B27" w:rsidRPr="002106BA" w:rsidRDefault="00E47B27" w:rsidP="009B1087">
            <w:pPr>
              <w:pStyle w:val="COMTabletext"/>
              <w:jc w:val="center"/>
            </w:pPr>
            <w:r w:rsidRPr="002106BA">
              <w:t>42 (28.4%)</w:t>
            </w:r>
          </w:p>
        </w:tc>
        <w:tc>
          <w:tcPr>
            <w:tcW w:w="1405" w:type="dxa"/>
          </w:tcPr>
          <w:p w14:paraId="64B1265A" w14:textId="77777777" w:rsidR="00E47B27" w:rsidRPr="002106BA" w:rsidRDefault="00E47B27" w:rsidP="009B1087">
            <w:pPr>
              <w:pStyle w:val="COMTabletext"/>
              <w:jc w:val="center"/>
            </w:pPr>
            <w:r w:rsidRPr="002106BA">
              <w:t>28 (36.4%)</w:t>
            </w:r>
          </w:p>
        </w:tc>
      </w:tr>
      <w:tr w:rsidR="00E47B27" w:rsidRPr="002106BA" w14:paraId="2C79A9AA" w14:textId="77777777" w:rsidTr="009B1087">
        <w:tc>
          <w:tcPr>
            <w:tcW w:w="3397" w:type="dxa"/>
            <w:vAlign w:val="center"/>
          </w:tcPr>
          <w:p w14:paraId="0FDD5EF6" w14:textId="77777777" w:rsidR="00E47B27" w:rsidRPr="002106BA" w:rsidRDefault="00E47B27" w:rsidP="009B1087">
            <w:pPr>
              <w:pStyle w:val="COMTabletext"/>
              <w:ind w:right="-55"/>
            </w:pPr>
            <w:r w:rsidRPr="002106BA">
              <w:t xml:space="preserve">Treatment discontinuation due to AEs </w:t>
            </w:r>
          </w:p>
        </w:tc>
        <w:tc>
          <w:tcPr>
            <w:tcW w:w="1405" w:type="dxa"/>
            <w:vAlign w:val="center"/>
          </w:tcPr>
          <w:p w14:paraId="3A90B558" w14:textId="77777777" w:rsidR="00E47B27" w:rsidRPr="002106BA" w:rsidRDefault="00E47B27" w:rsidP="009B1087">
            <w:pPr>
              <w:pStyle w:val="COMTabletext"/>
              <w:jc w:val="center"/>
            </w:pPr>
            <w:r w:rsidRPr="002106BA">
              <w:t>3 (2.5%)</w:t>
            </w:r>
          </w:p>
        </w:tc>
        <w:tc>
          <w:tcPr>
            <w:tcW w:w="1405" w:type="dxa"/>
            <w:tcBorders>
              <w:right w:val="double" w:sz="4" w:space="0" w:color="auto"/>
            </w:tcBorders>
            <w:vAlign w:val="center"/>
          </w:tcPr>
          <w:p w14:paraId="5C89D0BA" w14:textId="77777777" w:rsidR="00E47B27" w:rsidRPr="002106BA" w:rsidRDefault="00E47B27" w:rsidP="009B1087">
            <w:pPr>
              <w:pStyle w:val="COMTabletext"/>
              <w:jc w:val="center"/>
            </w:pPr>
            <w:r w:rsidRPr="002106BA">
              <w:t>3 (7.1%)</w:t>
            </w:r>
          </w:p>
        </w:tc>
        <w:tc>
          <w:tcPr>
            <w:tcW w:w="1405" w:type="dxa"/>
            <w:tcBorders>
              <w:left w:val="double" w:sz="4" w:space="0" w:color="auto"/>
            </w:tcBorders>
            <w:vAlign w:val="center"/>
          </w:tcPr>
          <w:p w14:paraId="2E194EA8" w14:textId="77777777" w:rsidR="00E47B27" w:rsidRPr="002106BA" w:rsidRDefault="00E47B27" w:rsidP="009B1087">
            <w:pPr>
              <w:pStyle w:val="COMTabletext"/>
              <w:jc w:val="center"/>
            </w:pPr>
            <w:r w:rsidRPr="002106BA">
              <w:t>7 (4.7%)</w:t>
            </w:r>
          </w:p>
        </w:tc>
        <w:tc>
          <w:tcPr>
            <w:tcW w:w="1405" w:type="dxa"/>
            <w:vAlign w:val="center"/>
          </w:tcPr>
          <w:p w14:paraId="1BEB49C4" w14:textId="77777777" w:rsidR="00E47B27" w:rsidRPr="002106BA" w:rsidRDefault="00E47B27" w:rsidP="009B1087">
            <w:pPr>
              <w:pStyle w:val="COMTabletext"/>
              <w:jc w:val="center"/>
            </w:pPr>
            <w:r w:rsidRPr="002106BA">
              <w:t>11 (14.3%)</w:t>
            </w:r>
          </w:p>
        </w:tc>
      </w:tr>
      <w:tr w:rsidR="00E47B27" w:rsidRPr="002106BA" w14:paraId="27CD3D2E" w14:textId="77777777" w:rsidTr="009B1087">
        <w:tc>
          <w:tcPr>
            <w:tcW w:w="3397" w:type="dxa"/>
            <w:vAlign w:val="center"/>
          </w:tcPr>
          <w:p w14:paraId="526EA0D8" w14:textId="77777777" w:rsidR="00E47B27" w:rsidRPr="002106BA" w:rsidRDefault="00E47B27" w:rsidP="009B1087">
            <w:pPr>
              <w:pStyle w:val="COMTabletext"/>
              <w:ind w:right="-55"/>
            </w:pPr>
            <w:r w:rsidRPr="002106BA">
              <w:t xml:space="preserve">Study withdrawal due to AEs </w:t>
            </w:r>
          </w:p>
        </w:tc>
        <w:tc>
          <w:tcPr>
            <w:tcW w:w="1405" w:type="dxa"/>
          </w:tcPr>
          <w:p w14:paraId="791D603F" w14:textId="77777777" w:rsidR="00E47B27" w:rsidRPr="002106BA" w:rsidRDefault="00E47B27" w:rsidP="009B1087">
            <w:pPr>
              <w:pStyle w:val="COMTabletext"/>
              <w:jc w:val="center"/>
            </w:pPr>
            <w:r w:rsidRPr="002106BA">
              <w:t>3 (2.5%)</w:t>
            </w:r>
          </w:p>
        </w:tc>
        <w:tc>
          <w:tcPr>
            <w:tcW w:w="1405" w:type="dxa"/>
            <w:tcBorders>
              <w:right w:val="double" w:sz="4" w:space="0" w:color="auto"/>
            </w:tcBorders>
          </w:tcPr>
          <w:p w14:paraId="770252A9" w14:textId="77777777" w:rsidR="00E47B27" w:rsidRPr="002106BA" w:rsidRDefault="00E47B27" w:rsidP="009B1087">
            <w:pPr>
              <w:pStyle w:val="COMTabletext"/>
              <w:jc w:val="center"/>
            </w:pPr>
            <w:r w:rsidRPr="002106BA">
              <w:t>2 (4.8%)</w:t>
            </w:r>
          </w:p>
        </w:tc>
        <w:tc>
          <w:tcPr>
            <w:tcW w:w="1405" w:type="dxa"/>
            <w:tcBorders>
              <w:left w:val="double" w:sz="4" w:space="0" w:color="auto"/>
            </w:tcBorders>
            <w:vAlign w:val="bottom"/>
          </w:tcPr>
          <w:p w14:paraId="2F2A0E50" w14:textId="77777777" w:rsidR="00E47B27" w:rsidRPr="002106BA" w:rsidRDefault="00E47B27" w:rsidP="009B1087">
            <w:pPr>
              <w:pStyle w:val="COMTabletext"/>
              <w:jc w:val="center"/>
            </w:pPr>
            <w:r w:rsidRPr="002106BA">
              <w:t>7 (4.7%)</w:t>
            </w:r>
          </w:p>
        </w:tc>
        <w:tc>
          <w:tcPr>
            <w:tcW w:w="1405" w:type="dxa"/>
          </w:tcPr>
          <w:p w14:paraId="7B73E2B5" w14:textId="77777777" w:rsidR="00E47B27" w:rsidRPr="002106BA" w:rsidRDefault="00E47B27" w:rsidP="009B1087">
            <w:pPr>
              <w:pStyle w:val="COMTabletext"/>
              <w:jc w:val="center"/>
            </w:pPr>
            <w:r w:rsidRPr="002106BA">
              <w:t>9 (11.7%)</w:t>
            </w:r>
          </w:p>
        </w:tc>
      </w:tr>
      <w:tr w:rsidR="00E47B27" w:rsidRPr="002106BA" w14:paraId="63868DA0" w14:textId="77777777" w:rsidTr="009B1087">
        <w:tc>
          <w:tcPr>
            <w:tcW w:w="3397" w:type="dxa"/>
            <w:vAlign w:val="center"/>
          </w:tcPr>
          <w:p w14:paraId="07B0D845" w14:textId="77777777" w:rsidR="00E47B27" w:rsidRPr="002106BA" w:rsidRDefault="00E47B27" w:rsidP="009B1087">
            <w:pPr>
              <w:pStyle w:val="COMTabletext"/>
              <w:ind w:right="-55"/>
            </w:pPr>
            <w:r w:rsidRPr="002106BA">
              <w:t xml:space="preserve">Deaths due to AEs </w:t>
            </w:r>
          </w:p>
        </w:tc>
        <w:tc>
          <w:tcPr>
            <w:tcW w:w="1405" w:type="dxa"/>
          </w:tcPr>
          <w:p w14:paraId="26657847" w14:textId="77777777" w:rsidR="00E47B27" w:rsidRPr="002106BA" w:rsidRDefault="00E47B27" w:rsidP="009B1087">
            <w:pPr>
              <w:pStyle w:val="COMTabletext"/>
              <w:jc w:val="center"/>
            </w:pPr>
            <w:r w:rsidRPr="002106BA">
              <w:t>2 (1.6%)</w:t>
            </w:r>
          </w:p>
        </w:tc>
        <w:tc>
          <w:tcPr>
            <w:tcW w:w="1405" w:type="dxa"/>
            <w:tcBorders>
              <w:right w:val="double" w:sz="4" w:space="0" w:color="auto"/>
            </w:tcBorders>
          </w:tcPr>
          <w:p w14:paraId="1DC411E3" w14:textId="77777777" w:rsidR="00E47B27" w:rsidRPr="002106BA" w:rsidRDefault="00E47B27" w:rsidP="009B1087">
            <w:pPr>
              <w:pStyle w:val="COMTabletext"/>
              <w:jc w:val="center"/>
            </w:pPr>
            <w:r w:rsidRPr="002106BA">
              <w:t>3 (7.1%)</w:t>
            </w:r>
          </w:p>
        </w:tc>
        <w:tc>
          <w:tcPr>
            <w:tcW w:w="1405" w:type="dxa"/>
            <w:tcBorders>
              <w:left w:val="double" w:sz="4" w:space="0" w:color="auto"/>
            </w:tcBorders>
          </w:tcPr>
          <w:p w14:paraId="05EEFFFE" w14:textId="77777777" w:rsidR="00E47B27" w:rsidRPr="002106BA" w:rsidRDefault="00E47B27" w:rsidP="009B1087">
            <w:pPr>
              <w:pStyle w:val="COMTabletext"/>
              <w:jc w:val="center"/>
            </w:pPr>
            <w:r w:rsidRPr="002106BA">
              <w:t>7 (4.7%)</w:t>
            </w:r>
          </w:p>
        </w:tc>
        <w:tc>
          <w:tcPr>
            <w:tcW w:w="1405" w:type="dxa"/>
          </w:tcPr>
          <w:p w14:paraId="3CDF7489" w14:textId="77777777" w:rsidR="00E47B27" w:rsidRPr="002106BA" w:rsidRDefault="00E47B27" w:rsidP="009B1087">
            <w:pPr>
              <w:pStyle w:val="COMTabletext"/>
              <w:jc w:val="center"/>
            </w:pPr>
            <w:r w:rsidRPr="002106BA">
              <w:t>6 (7.8%)</w:t>
            </w:r>
          </w:p>
        </w:tc>
      </w:tr>
      <w:tr w:rsidR="00E47B27" w:rsidRPr="002106BA" w14:paraId="5C3D2501" w14:textId="77777777" w:rsidTr="009B1087">
        <w:tc>
          <w:tcPr>
            <w:tcW w:w="3397" w:type="dxa"/>
            <w:tcBorders>
              <w:top w:val="single" w:sz="4" w:space="0" w:color="auto"/>
              <w:left w:val="single" w:sz="4" w:space="0" w:color="auto"/>
              <w:bottom w:val="single" w:sz="4" w:space="0" w:color="auto"/>
              <w:right w:val="single" w:sz="4" w:space="0" w:color="auto"/>
            </w:tcBorders>
            <w:vAlign w:val="center"/>
          </w:tcPr>
          <w:p w14:paraId="3BF41582" w14:textId="77777777" w:rsidR="00E47B27" w:rsidRPr="002106BA" w:rsidRDefault="00E47B27" w:rsidP="009B1087">
            <w:pPr>
              <w:pStyle w:val="COMTabletext"/>
              <w:ind w:right="-55"/>
            </w:pPr>
            <w:r w:rsidRPr="002106BA">
              <w:t>Adverse events related to study drug, n (%)</w:t>
            </w:r>
          </w:p>
        </w:tc>
        <w:tc>
          <w:tcPr>
            <w:tcW w:w="1405" w:type="dxa"/>
            <w:tcBorders>
              <w:top w:val="single" w:sz="4" w:space="0" w:color="auto"/>
              <w:left w:val="single" w:sz="4" w:space="0" w:color="auto"/>
              <w:bottom w:val="single" w:sz="4" w:space="0" w:color="auto"/>
              <w:right w:val="single" w:sz="4" w:space="0" w:color="auto"/>
            </w:tcBorders>
          </w:tcPr>
          <w:p w14:paraId="1DE9E2A9" w14:textId="77777777" w:rsidR="00E47B27" w:rsidRPr="002106BA" w:rsidRDefault="00E47B27" w:rsidP="009B1087">
            <w:pPr>
              <w:pStyle w:val="COMTabletext"/>
              <w:jc w:val="center"/>
            </w:pPr>
            <w:r w:rsidRPr="002106BA">
              <w:t>29 (23.8%)</w:t>
            </w:r>
          </w:p>
        </w:tc>
        <w:tc>
          <w:tcPr>
            <w:tcW w:w="1405" w:type="dxa"/>
            <w:tcBorders>
              <w:top w:val="single" w:sz="4" w:space="0" w:color="auto"/>
              <w:left w:val="single" w:sz="4" w:space="0" w:color="auto"/>
              <w:bottom w:val="single" w:sz="4" w:space="0" w:color="auto"/>
              <w:right w:val="double" w:sz="4" w:space="0" w:color="auto"/>
            </w:tcBorders>
          </w:tcPr>
          <w:p w14:paraId="30A93D58" w14:textId="77777777" w:rsidR="00E47B27" w:rsidRPr="002106BA" w:rsidRDefault="00E47B27" w:rsidP="009B1087">
            <w:pPr>
              <w:pStyle w:val="COMTabletext"/>
              <w:jc w:val="center"/>
            </w:pPr>
            <w:r w:rsidRPr="002106BA">
              <w:t>15 (35.7%)</w:t>
            </w:r>
          </w:p>
        </w:tc>
        <w:tc>
          <w:tcPr>
            <w:tcW w:w="1405" w:type="dxa"/>
            <w:tcBorders>
              <w:top w:val="single" w:sz="4" w:space="0" w:color="auto"/>
              <w:left w:val="double" w:sz="4" w:space="0" w:color="auto"/>
              <w:bottom w:val="single" w:sz="4" w:space="0" w:color="auto"/>
              <w:right w:val="single" w:sz="4" w:space="0" w:color="auto"/>
            </w:tcBorders>
          </w:tcPr>
          <w:p w14:paraId="67A32B8A" w14:textId="77777777" w:rsidR="00E47B27" w:rsidRPr="002106BA" w:rsidRDefault="00E47B27" w:rsidP="009B1087">
            <w:pPr>
              <w:pStyle w:val="COMTabletext"/>
              <w:jc w:val="center"/>
            </w:pPr>
            <w:r w:rsidRPr="002106BA">
              <w:t>73 (49.3%)</w:t>
            </w:r>
          </w:p>
        </w:tc>
        <w:tc>
          <w:tcPr>
            <w:tcW w:w="1405" w:type="dxa"/>
            <w:tcBorders>
              <w:top w:val="single" w:sz="4" w:space="0" w:color="auto"/>
              <w:left w:val="single" w:sz="4" w:space="0" w:color="auto"/>
              <w:bottom w:val="single" w:sz="4" w:space="0" w:color="auto"/>
              <w:right w:val="single" w:sz="4" w:space="0" w:color="auto"/>
            </w:tcBorders>
          </w:tcPr>
          <w:p w14:paraId="79CA2D6A" w14:textId="77777777" w:rsidR="00E47B27" w:rsidRPr="002106BA" w:rsidRDefault="00E47B27" w:rsidP="009B1087">
            <w:pPr>
              <w:pStyle w:val="COMTabletext"/>
              <w:jc w:val="center"/>
            </w:pPr>
            <w:r w:rsidRPr="002106BA">
              <w:t>30 (39.0%)</w:t>
            </w:r>
          </w:p>
        </w:tc>
      </w:tr>
      <w:tr w:rsidR="0013385F" w:rsidRPr="002106BA" w14:paraId="2B6D38EC" w14:textId="77777777" w:rsidTr="009B1087">
        <w:tc>
          <w:tcPr>
            <w:tcW w:w="3397" w:type="dxa"/>
            <w:tcBorders>
              <w:top w:val="single" w:sz="4" w:space="0" w:color="auto"/>
              <w:left w:val="single" w:sz="4" w:space="0" w:color="auto"/>
              <w:bottom w:val="single" w:sz="4" w:space="0" w:color="auto"/>
              <w:right w:val="single" w:sz="4" w:space="0" w:color="auto"/>
            </w:tcBorders>
            <w:vAlign w:val="center"/>
          </w:tcPr>
          <w:p w14:paraId="478FC892" w14:textId="5FD5E662" w:rsidR="0013385F" w:rsidRPr="002106BA" w:rsidRDefault="0013385F" w:rsidP="0013385F">
            <w:pPr>
              <w:pStyle w:val="COMTabletext"/>
              <w:ind w:right="-55"/>
            </w:pPr>
            <w:r w:rsidRPr="002106BA">
              <w:t>Infusion related reaction</w:t>
            </w:r>
          </w:p>
        </w:tc>
        <w:tc>
          <w:tcPr>
            <w:tcW w:w="1405" w:type="dxa"/>
            <w:tcBorders>
              <w:top w:val="single" w:sz="4" w:space="0" w:color="auto"/>
              <w:left w:val="single" w:sz="4" w:space="0" w:color="auto"/>
              <w:bottom w:val="single" w:sz="4" w:space="0" w:color="auto"/>
              <w:right w:val="single" w:sz="4" w:space="0" w:color="auto"/>
            </w:tcBorders>
          </w:tcPr>
          <w:p w14:paraId="720E7409" w14:textId="321A88C8" w:rsidR="0013385F" w:rsidRPr="002106BA" w:rsidRDefault="0013385F" w:rsidP="0013385F">
            <w:pPr>
              <w:pStyle w:val="COMTabletext"/>
              <w:jc w:val="center"/>
            </w:pPr>
            <w:r w:rsidRPr="002106BA">
              <w:t>0</w:t>
            </w:r>
          </w:p>
        </w:tc>
        <w:tc>
          <w:tcPr>
            <w:tcW w:w="1405" w:type="dxa"/>
            <w:tcBorders>
              <w:top w:val="single" w:sz="4" w:space="0" w:color="auto"/>
              <w:left w:val="single" w:sz="4" w:space="0" w:color="auto"/>
              <w:bottom w:val="single" w:sz="4" w:space="0" w:color="auto"/>
              <w:right w:val="double" w:sz="4" w:space="0" w:color="auto"/>
            </w:tcBorders>
          </w:tcPr>
          <w:p w14:paraId="2F867CCC" w14:textId="3EFE38C6" w:rsidR="0013385F" w:rsidRPr="002106BA" w:rsidRDefault="0013385F" w:rsidP="0013385F">
            <w:pPr>
              <w:pStyle w:val="COMTabletext"/>
              <w:jc w:val="center"/>
            </w:pPr>
            <w:r w:rsidRPr="002106BA">
              <w:t>10 (23.8%)</w:t>
            </w:r>
          </w:p>
        </w:tc>
        <w:tc>
          <w:tcPr>
            <w:tcW w:w="1405" w:type="dxa"/>
            <w:tcBorders>
              <w:top w:val="single" w:sz="4" w:space="0" w:color="auto"/>
              <w:left w:val="double" w:sz="4" w:space="0" w:color="auto"/>
              <w:bottom w:val="single" w:sz="4" w:space="0" w:color="auto"/>
              <w:right w:val="single" w:sz="4" w:space="0" w:color="auto"/>
            </w:tcBorders>
          </w:tcPr>
          <w:p w14:paraId="556E7DF1" w14:textId="39D4CEC9" w:rsidR="0013385F" w:rsidRPr="002106BA" w:rsidRDefault="0013385F" w:rsidP="0013385F">
            <w:pPr>
              <w:pStyle w:val="COMTabletext"/>
              <w:jc w:val="center"/>
            </w:pPr>
            <w:r w:rsidRPr="002106BA">
              <w:t>28 (18.9%)</w:t>
            </w:r>
          </w:p>
        </w:tc>
        <w:tc>
          <w:tcPr>
            <w:tcW w:w="1405" w:type="dxa"/>
            <w:tcBorders>
              <w:top w:val="single" w:sz="4" w:space="0" w:color="auto"/>
              <w:left w:val="single" w:sz="4" w:space="0" w:color="auto"/>
              <w:bottom w:val="single" w:sz="4" w:space="0" w:color="auto"/>
              <w:right w:val="single" w:sz="4" w:space="0" w:color="auto"/>
            </w:tcBorders>
          </w:tcPr>
          <w:p w14:paraId="0AE26C9B" w14:textId="340DBA1B" w:rsidR="0013385F" w:rsidRPr="002106BA" w:rsidRDefault="0013385F" w:rsidP="0013385F">
            <w:pPr>
              <w:pStyle w:val="COMTabletext"/>
              <w:jc w:val="center"/>
            </w:pPr>
            <w:r w:rsidRPr="002106BA">
              <w:t>7 (9.1%)</w:t>
            </w:r>
          </w:p>
        </w:tc>
      </w:tr>
    </w:tbl>
    <w:p w14:paraId="30C18DFA" w14:textId="77777777" w:rsidR="00E47B27" w:rsidRPr="002106BA" w:rsidRDefault="00E47B27" w:rsidP="00E47B27">
      <w:pPr>
        <w:pStyle w:val="COMTablefooter"/>
        <w:rPr>
          <w:sz w:val="20"/>
        </w:rPr>
      </w:pPr>
      <w:r w:rsidRPr="002106BA">
        <w:t xml:space="preserve">Source: Tables 2.22 to 2.25, pp57-61 </w:t>
      </w:r>
      <w:r w:rsidRPr="002106BA">
        <w:rPr>
          <w:rFonts w:cstheme="minorHAnsi"/>
          <w:szCs w:val="18"/>
        </w:rPr>
        <w:t>of the submission</w:t>
      </w:r>
      <w:r w:rsidRPr="002106BA">
        <w:t>.</w:t>
      </w:r>
    </w:p>
    <w:p w14:paraId="7656835D" w14:textId="5C6645FF" w:rsidR="00E47B27" w:rsidRPr="002106BA" w:rsidRDefault="00E47B27" w:rsidP="003750F8">
      <w:pPr>
        <w:pStyle w:val="COMTablefooter"/>
      </w:pPr>
      <w:r w:rsidRPr="002106BA">
        <w:rPr>
          <w:rFonts w:eastAsia="Calibri"/>
        </w:rPr>
        <w:t>Abbreviations: AE, adverse event.</w:t>
      </w:r>
      <w:r w:rsidRPr="002106BA">
        <w:t xml:space="preserve"> </w:t>
      </w:r>
    </w:p>
    <w:p w14:paraId="4F45A09D" w14:textId="5FAEF784" w:rsidR="00E47B27" w:rsidRPr="002106BA" w:rsidRDefault="003750F8" w:rsidP="00213977">
      <w:pPr>
        <w:pStyle w:val="COMexecsummnumbered"/>
        <w:rPr>
          <w:color w:val="0066FF"/>
        </w:rPr>
      </w:pPr>
      <w:r w:rsidRPr="002106BA">
        <w:t xml:space="preserve">The proportions of patients reporting any adverse events </w:t>
      </w:r>
      <w:r w:rsidR="00FA173D" w:rsidRPr="002106BA">
        <w:t xml:space="preserve">were </w:t>
      </w:r>
      <w:r w:rsidRPr="002106BA">
        <w:t>high in the HELIOS-A and APOLLO studies, but similar between treatments. In the HELIOS-A study larger proportions of patients treated with patisiran reported one or more severe adverse event (vutrisiran 15.6%; patisiran 38.1%) or serious adverse events (vutrisiran 26.2%; patisiran 42.9%).</w:t>
      </w:r>
      <w:r w:rsidR="00636224" w:rsidRPr="002106BA">
        <w:t xml:space="preserve"> </w:t>
      </w:r>
      <w:r w:rsidR="00213977" w:rsidRPr="002106BA">
        <w:t xml:space="preserve">The proportions of patisiran-treated patients reporting severe adverse events or serious adverse events were higher in the HELIOS-A study compared with the APOLLO study (severe: 38.1% vs 28.4% respectively; serious: 42.9% vs 36.5%, respectively). </w:t>
      </w:r>
      <w:r w:rsidR="00636224" w:rsidRPr="002106BA">
        <w:t xml:space="preserve">This is consistent with patients in </w:t>
      </w:r>
      <w:r w:rsidR="00FA2609" w:rsidRPr="002106BA">
        <w:t xml:space="preserve">the </w:t>
      </w:r>
      <w:r w:rsidR="00636224" w:rsidRPr="002106BA">
        <w:t xml:space="preserve">HELIOS-A </w:t>
      </w:r>
      <w:r w:rsidR="00FA2609" w:rsidRPr="002106BA">
        <w:t xml:space="preserve">study </w:t>
      </w:r>
      <w:r w:rsidR="00636224" w:rsidRPr="002106BA">
        <w:t>reporting less severely impact</w:t>
      </w:r>
      <w:r w:rsidR="00F96DF8" w:rsidRPr="002106BA">
        <w:t>ed</w:t>
      </w:r>
      <w:r w:rsidR="00636224" w:rsidRPr="002106BA">
        <w:t xml:space="preserve"> function </w:t>
      </w:r>
      <w:r w:rsidR="00971007" w:rsidRPr="002106BA">
        <w:t>in terms of FAP and PND scores</w:t>
      </w:r>
      <w:r w:rsidR="00B1571C" w:rsidRPr="002106BA">
        <w:t xml:space="preserve"> at baseline</w:t>
      </w:r>
      <w:r w:rsidR="00971007" w:rsidRPr="002106BA">
        <w:t xml:space="preserve">, </w:t>
      </w:r>
      <w:r w:rsidR="00636224" w:rsidRPr="002106BA">
        <w:t>com</w:t>
      </w:r>
      <w:r w:rsidR="00F96DF8" w:rsidRPr="002106BA">
        <w:t xml:space="preserve">pared to </w:t>
      </w:r>
      <w:r w:rsidR="00971007" w:rsidRPr="002106BA">
        <w:t xml:space="preserve">the </w:t>
      </w:r>
      <w:r w:rsidR="00F96DF8" w:rsidRPr="002106BA">
        <w:t>APOLLO</w:t>
      </w:r>
      <w:r w:rsidR="00971007" w:rsidRPr="002106BA">
        <w:t xml:space="preserve"> study</w:t>
      </w:r>
      <w:r w:rsidR="00F96DF8" w:rsidRPr="002106BA">
        <w:t>.</w:t>
      </w:r>
    </w:p>
    <w:p w14:paraId="5062A93E" w14:textId="2CBBC719" w:rsidR="00E47B27" w:rsidRPr="002106BA" w:rsidRDefault="00943AD9" w:rsidP="00D86231">
      <w:pPr>
        <w:pStyle w:val="COMexecsummnumbered"/>
        <w:rPr>
          <w:color w:val="0066FF"/>
        </w:rPr>
      </w:pPr>
      <w:r w:rsidRPr="002106BA">
        <w:t xml:space="preserve">In the HELIOS-A study, the </w:t>
      </w:r>
      <w:proofErr w:type="gramStart"/>
      <w:r w:rsidRPr="002106BA">
        <w:t>most commonly reported</w:t>
      </w:r>
      <w:proofErr w:type="gramEnd"/>
      <w:r w:rsidRPr="002106BA">
        <w:t xml:space="preserve"> adverse events in patients treated with vutrisiran were falls (18.0%), pain in an extremity (14.8%) diarrhoea (13.9%), peripheral oedema (13.1%), urinary tract infection (13.1%), arthralgia (10.7%), and dizziness (10.7%). The </w:t>
      </w:r>
      <w:proofErr w:type="gramStart"/>
      <w:r w:rsidRPr="002106BA">
        <w:t>most commonly reported</w:t>
      </w:r>
      <w:proofErr w:type="gramEnd"/>
      <w:r w:rsidRPr="002106BA">
        <w:t xml:space="preserve"> adverse events in patients treated with patisiran were infusion related adverse events (23.8%), urinary tract infection (19.0%), diarrhoea (16.7%), falls (14.3%), peripheral oedema (13.1%), headache (11.9%), and constipation (11.9%). No patients in the patisiran arm of HELIOS-A discontinued treatment or study participation due to infusion related adverse events</w:t>
      </w:r>
      <w:r w:rsidR="003750F8" w:rsidRPr="002106BA">
        <w:t>.</w:t>
      </w:r>
    </w:p>
    <w:bookmarkEnd w:id="36"/>
    <w:p w14:paraId="2DAF16D1" w14:textId="3010EC2F" w:rsidR="00B60939" w:rsidRPr="002106BA" w:rsidRDefault="00F41BB1" w:rsidP="00D86231">
      <w:pPr>
        <w:pStyle w:val="COMexecsummnumbered"/>
        <w:rPr>
          <w:color w:val="0066FF"/>
        </w:rPr>
      </w:pPr>
      <w:r w:rsidRPr="002106BA">
        <w:lastRenderedPageBreak/>
        <w:t xml:space="preserve">The </w:t>
      </w:r>
      <w:proofErr w:type="gramStart"/>
      <w:r w:rsidRPr="002106BA">
        <w:t>most commonly reported</w:t>
      </w:r>
      <w:proofErr w:type="gramEnd"/>
      <w:r w:rsidRPr="002106BA">
        <w:t xml:space="preserve"> adverse events in the APOLLO study were diarrhoea (patisiran 37.2%; placebo 37.7%), peripheral oedema (29.7%; 22.1%), falls (16.9%; 28.6%), nausea (14.9%; 20.8%), urinary tract infection (12.8%; 18.2%), constipation (14.9%; 16.9%), dizziness (12.8%; 14.3%), muscular weakness (3.4%; 14.3%), and infusion related adverse events (patisiran 18.9%; placebo 9.1%). </w:t>
      </w:r>
    </w:p>
    <w:p w14:paraId="0AD85DA6" w14:textId="0242BC28" w:rsidR="00F41BB1" w:rsidRPr="002106BA" w:rsidRDefault="00F41BB1" w:rsidP="00D86231">
      <w:pPr>
        <w:pStyle w:val="COMexecsummnumbered"/>
        <w:rPr>
          <w:color w:val="0066FF"/>
        </w:rPr>
      </w:pPr>
      <w:r w:rsidRPr="002106BA">
        <w:t>Larger proportions of patients in the APOLLO study, treated with patisiran or placebo, reported adverse events compared to the HELIOS-A study. The proportions of patients treated with patisiran reporting infusion relation adverse events was similar between studies (HELIOS-A 23.8%; APOLLO 18.9%).</w:t>
      </w:r>
    </w:p>
    <w:p w14:paraId="04908C7F" w14:textId="415B9B7D" w:rsidR="007F1017" w:rsidRPr="002106BA" w:rsidRDefault="007F1017" w:rsidP="003D5DE7">
      <w:pPr>
        <w:pStyle w:val="COMH2-non-numbered"/>
      </w:pPr>
      <w:bookmarkStart w:id="38" w:name="_Toc22897643"/>
      <w:bookmarkStart w:id="39" w:name="_Toc177559180"/>
      <w:r w:rsidRPr="002106BA">
        <w:t>Benefits/harms</w:t>
      </w:r>
      <w:bookmarkEnd w:id="38"/>
      <w:bookmarkEnd w:id="39"/>
    </w:p>
    <w:p w14:paraId="02B9BDE3" w14:textId="63CD8182" w:rsidR="007A1345" w:rsidRPr="002106BA" w:rsidRDefault="00311D9B" w:rsidP="00D2155B">
      <w:pPr>
        <w:pStyle w:val="COMexecsummnumbered"/>
      </w:pPr>
      <w:r w:rsidRPr="002106BA">
        <w:t>A benefits and harms table is not presented as the submission made a claim of non-inferiority.</w:t>
      </w:r>
      <w:r w:rsidR="00E926A5" w:rsidRPr="002106BA">
        <w:t xml:space="preserve"> </w:t>
      </w:r>
    </w:p>
    <w:p w14:paraId="7A1772B6" w14:textId="23BB3145" w:rsidR="00B60939" w:rsidRPr="002106BA" w:rsidRDefault="00B60939" w:rsidP="003D5DE7">
      <w:pPr>
        <w:pStyle w:val="COMH2-non-numbered"/>
      </w:pPr>
      <w:bookmarkStart w:id="40" w:name="_Toc22897644"/>
      <w:bookmarkStart w:id="41" w:name="_Toc177559181"/>
      <w:r w:rsidRPr="002106BA">
        <w:t>Clinical claim</w:t>
      </w:r>
      <w:bookmarkEnd w:id="40"/>
      <w:bookmarkEnd w:id="41"/>
    </w:p>
    <w:p w14:paraId="52462823" w14:textId="7192170C" w:rsidR="00233F2E" w:rsidRPr="002106BA" w:rsidRDefault="008C3BC0" w:rsidP="00F20EFB">
      <w:pPr>
        <w:pStyle w:val="COMexecsummnumbered"/>
        <w:spacing w:before="120"/>
        <w:rPr>
          <w:color w:val="0066FF"/>
        </w:rPr>
      </w:pPr>
      <w:r w:rsidRPr="002106BA">
        <w:t xml:space="preserve">The submission described vutrisiran as comparable in terms of effectiveness compared to patisiran and comparable or superior in terms of safety compared to patisiran. The submission noted that </w:t>
      </w:r>
      <w:r w:rsidRPr="002106BA">
        <w:rPr>
          <w:rFonts w:cstheme="minorHAnsi"/>
        </w:rPr>
        <w:t>vutrisiran provides a decreased burden for patients, caregivers, and the Australian healthcare system by virtue of its once 3</w:t>
      </w:r>
      <w:r w:rsidR="00B71F25">
        <w:rPr>
          <w:rFonts w:cstheme="minorHAnsi"/>
        </w:rPr>
        <w:t> </w:t>
      </w:r>
      <w:r w:rsidRPr="002106BA">
        <w:rPr>
          <w:rFonts w:cstheme="minorHAnsi"/>
        </w:rPr>
        <w:t>monthly subcutaneous administration, compared to the patisiran once 3 weekly intravenous infusion</w:t>
      </w:r>
      <w:r w:rsidRPr="002106BA">
        <w:rPr>
          <w:color w:val="0066FF"/>
        </w:rPr>
        <w:t>.</w:t>
      </w:r>
    </w:p>
    <w:p w14:paraId="54D3A82D" w14:textId="305DA904" w:rsidR="005F7588" w:rsidRPr="002106BA" w:rsidRDefault="008C3BC0" w:rsidP="00F20EFB">
      <w:pPr>
        <w:pStyle w:val="COMexecsummnumbered"/>
        <w:spacing w:before="120"/>
        <w:rPr>
          <w:color w:val="0066FF"/>
        </w:rPr>
      </w:pPr>
      <w:r w:rsidRPr="002106BA">
        <w:t>The</w:t>
      </w:r>
      <w:r w:rsidR="0098567F" w:rsidRPr="002106BA">
        <w:t xml:space="preserve"> evaluation considered the</w:t>
      </w:r>
      <w:r w:rsidRPr="002106BA">
        <w:t xml:space="preserve"> therapeutic conclusion presented in the submission </w:t>
      </w:r>
      <w:r w:rsidR="00E35E79" w:rsidRPr="002106BA">
        <w:t xml:space="preserve">was </w:t>
      </w:r>
      <w:r w:rsidRPr="002106BA">
        <w:t>uncertain for the following reasons</w:t>
      </w:r>
      <w:r w:rsidR="007D5E6A" w:rsidRPr="002106BA">
        <w:rPr>
          <w:rFonts w:eastAsia="Calibri"/>
        </w:rPr>
        <w:t>:</w:t>
      </w:r>
      <w:r w:rsidR="00A64D65" w:rsidRPr="002106BA">
        <w:rPr>
          <w:rFonts w:eastAsia="Calibri"/>
        </w:rPr>
        <w:t xml:space="preserve"> </w:t>
      </w:r>
    </w:p>
    <w:p w14:paraId="3ECA9355" w14:textId="29F139C4" w:rsidR="00742C31" w:rsidRPr="002106BA" w:rsidRDefault="00742C31" w:rsidP="00F20EFB">
      <w:pPr>
        <w:pStyle w:val="COMBody"/>
        <w:numPr>
          <w:ilvl w:val="0"/>
          <w:numId w:val="6"/>
        </w:numPr>
        <w:spacing w:before="120" w:after="120"/>
        <w:ind w:left="1134"/>
      </w:pPr>
      <w:r w:rsidRPr="002106BA">
        <w:t>The claim of noninferior efficacy was supported by a pre-specified noninferiority comparison of vutrisiran versus patisiran in HELIOS-A based on the biomarker, serum TTR.</w:t>
      </w:r>
      <w:r w:rsidR="005E706D" w:rsidRPr="002106BA">
        <w:t xml:space="preserve"> However, s</w:t>
      </w:r>
      <w:r w:rsidRPr="002106BA">
        <w:t>upportive evidence from the underpowered post hoc analyses from HELIOS-A relied on a lack of statistically significant differences between vutrisiran and patisiran, there were baseline differences between treatments for some outcomes, wide confidence intervals, and a lack of nominated noninferiority margins.</w:t>
      </w:r>
      <w:r w:rsidR="006D5569" w:rsidRPr="002106BA">
        <w:t xml:space="preserve"> Similarly, t</w:t>
      </w:r>
      <w:r w:rsidRPr="002106BA">
        <w:t>he supportive</w:t>
      </w:r>
      <w:r w:rsidR="0098567F" w:rsidRPr="002106BA">
        <w:t xml:space="preserve"> Bayesian</w:t>
      </w:r>
      <w:r w:rsidRPr="002106BA">
        <w:t xml:space="preserve"> NMA, based </w:t>
      </w:r>
      <w:r w:rsidR="008802DE">
        <w:t xml:space="preserve">on </w:t>
      </w:r>
      <w:r w:rsidRPr="002106BA">
        <w:t>only 2 trials, relied on a lack of statistically significant differences between vutrisiran and patisiran, there were wide credible intervals and a lack of nominated noninferiority margins.</w:t>
      </w:r>
    </w:p>
    <w:p w14:paraId="6631AF75" w14:textId="356745F2" w:rsidR="00FB070F" w:rsidRPr="002106BA" w:rsidRDefault="00742C31" w:rsidP="00F20EFB">
      <w:pPr>
        <w:pStyle w:val="COMBody"/>
        <w:numPr>
          <w:ilvl w:val="0"/>
          <w:numId w:val="6"/>
        </w:numPr>
        <w:spacing w:before="120" w:after="120"/>
        <w:ind w:left="1134"/>
      </w:pPr>
      <w:r w:rsidRPr="002106BA">
        <w:t xml:space="preserve">The long-term comparative efficacy and safety of vutrisiran and patisiran is uncertain, with comparative evidence between vutrisiran and patisiran from the HELIOS-A </w:t>
      </w:r>
      <w:r w:rsidR="005E6F41" w:rsidRPr="002106BA">
        <w:t xml:space="preserve">study </w:t>
      </w:r>
      <w:r w:rsidRPr="002106BA">
        <w:t xml:space="preserve">limited to 18 months. </w:t>
      </w:r>
      <w:r w:rsidR="00746519" w:rsidRPr="002106BA">
        <w:t>Limited results are available from the 18</w:t>
      </w:r>
      <w:r w:rsidR="0065164F" w:rsidRPr="002106BA">
        <w:noBreakHyphen/>
      </w:r>
      <w:r w:rsidR="00746519" w:rsidRPr="002106BA">
        <w:t xml:space="preserve">month HELIOS-A extension study (9-month results reported in an abstract/poster; all patients receiving vutrisiran treatment). </w:t>
      </w:r>
      <w:r w:rsidRPr="002106BA">
        <w:t xml:space="preserve">The PBAC previously considered that the duration of benefit of patisiran (based on the 18-month placebo-controlled APOLLO </w:t>
      </w:r>
      <w:r w:rsidR="005E6F41" w:rsidRPr="002106BA">
        <w:t>study</w:t>
      </w:r>
      <w:r w:rsidRPr="002106BA">
        <w:t>) was uncertain due to the limited follow-up (</w:t>
      </w:r>
      <w:proofErr w:type="spellStart"/>
      <w:r w:rsidRPr="002106BA">
        <w:t>para</w:t>
      </w:r>
      <w:r w:rsidR="007E4E5D">
        <w:t>grph</w:t>
      </w:r>
      <w:proofErr w:type="spellEnd"/>
      <w:r w:rsidRPr="002106BA">
        <w:t xml:space="preserve"> 7.6 patisiran PSD, July 2023 PBAC meeting).</w:t>
      </w:r>
    </w:p>
    <w:p w14:paraId="4E1F22D2" w14:textId="15CAB4AF" w:rsidR="00802BB0" w:rsidRPr="002106BA" w:rsidRDefault="00802BB0" w:rsidP="00F20EFB">
      <w:pPr>
        <w:pStyle w:val="COMBody"/>
        <w:numPr>
          <w:ilvl w:val="0"/>
          <w:numId w:val="6"/>
        </w:numPr>
        <w:spacing w:before="120" w:after="120"/>
        <w:ind w:left="1134"/>
      </w:pPr>
      <w:r w:rsidRPr="002106BA">
        <w:lastRenderedPageBreak/>
        <w:t xml:space="preserve">It is uncertain whether the results of the HELIOS-A and APOLLO studies are applicable to the Australian setting, given </w:t>
      </w:r>
      <w:r w:rsidRPr="002106BA">
        <w:rPr>
          <w:rFonts w:asciiTheme="minorHAnsi" w:hAnsiTheme="minorHAnsi" w:cstheme="minorBidi"/>
        </w:rPr>
        <w:t xml:space="preserve">larger proportions of patients in the estimated Australian population (based on AAN registry data) with PND 1 (53.7%), compared to the HELIOS-A (36.0%) and APOLLO (24.9%) studies, and smaller proportions of patients with less progressed disease, particularly PND IIIA, in the Australian setting (7.4%), compared to the HELIOS-A (14.0%) and APOLLO (28.0%) studies. In addition, </w:t>
      </w:r>
      <w:r w:rsidRPr="002106BA">
        <w:t>a history of type 1 diabetes, type 2 diabetes (</w:t>
      </w:r>
      <w:r w:rsidRPr="002106BA">
        <w:rPr>
          <w:rFonts w:cs="Calibri"/>
        </w:rPr>
        <w:t>≥</w:t>
      </w:r>
      <w:r w:rsidRPr="002106BA">
        <w:t>5 years), acute coronary syndrome, uncontrolled cardiac arrhythmias or unstable angina, and there was no evidence presented supporting the use of vutrisiran in these populations</w:t>
      </w:r>
      <w:r w:rsidRPr="002106BA">
        <w:rPr>
          <w:rFonts w:asciiTheme="minorHAnsi" w:hAnsiTheme="minorHAnsi" w:cstheme="minorBidi"/>
        </w:rPr>
        <w:t>.</w:t>
      </w:r>
      <w:r w:rsidR="005558B5" w:rsidRPr="002106BA">
        <w:rPr>
          <w:rFonts w:asciiTheme="minorHAnsi" w:hAnsiTheme="minorHAnsi" w:cstheme="minorBidi"/>
        </w:rPr>
        <w:t xml:space="preserve"> </w:t>
      </w:r>
      <w:r w:rsidR="0098567F" w:rsidRPr="002106BA">
        <w:rPr>
          <w:rFonts w:asciiTheme="minorHAnsi" w:hAnsiTheme="minorHAnsi" w:cstheme="minorBidi"/>
        </w:rPr>
        <w:t xml:space="preserve">The PSCR noted HELIOS-A enrolled 12 Australian patients, representing a substantial proportion of the 62 patients </w:t>
      </w:r>
      <w:r w:rsidR="0065176F" w:rsidRPr="002106BA">
        <w:rPr>
          <w:rFonts w:asciiTheme="minorHAnsi" w:hAnsiTheme="minorHAnsi" w:cstheme="minorBidi"/>
        </w:rPr>
        <w:t xml:space="preserve">in Australia </w:t>
      </w:r>
      <w:r w:rsidR="0098567F" w:rsidRPr="002106BA">
        <w:rPr>
          <w:rFonts w:asciiTheme="minorHAnsi" w:hAnsiTheme="minorHAnsi" w:cstheme="minorBidi"/>
        </w:rPr>
        <w:t>with PND scores of 1 or higher (based on AAN registry data) and argued that</w:t>
      </w:r>
      <w:r w:rsidR="000E3886" w:rsidRPr="002106BA">
        <w:rPr>
          <w:rFonts w:asciiTheme="minorHAnsi" w:hAnsiTheme="minorHAnsi" w:cstheme="minorBidi"/>
        </w:rPr>
        <w:t>,</w:t>
      </w:r>
      <w:r w:rsidR="0098567F" w:rsidRPr="002106BA">
        <w:rPr>
          <w:rFonts w:asciiTheme="minorHAnsi" w:hAnsiTheme="minorHAnsi" w:cstheme="minorBidi"/>
        </w:rPr>
        <w:t xml:space="preserve"> despite differences in the distribution of patients across PND scores between HELIOS-A, APOLLO and the Australian population, the efficacy of vutrisiran is consistent across all patients and there is no indication this is limited to a PND subgroup.</w:t>
      </w:r>
    </w:p>
    <w:p w14:paraId="3A3ADC79" w14:textId="03F4D95C" w:rsidR="007D5E6A" w:rsidRPr="002106BA" w:rsidRDefault="007D5E6A" w:rsidP="00F20EFB">
      <w:pPr>
        <w:pStyle w:val="COMexecsummnumbered"/>
        <w:spacing w:before="120"/>
      </w:pPr>
      <w:bookmarkStart w:id="42" w:name="_Ref179842355"/>
      <w:r w:rsidRPr="002106BA">
        <w:t>The ESC considered the issues raised by the evaluation remained sources of uncertainty with regards to the clinical claims of non-inferior comparative effectiveness and safety of vutrisiran and patisiran. However, the ESC</w:t>
      </w:r>
      <w:r w:rsidR="00483D30" w:rsidRPr="002106BA">
        <w:t xml:space="preserve"> also</w:t>
      </w:r>
      <w:r w:rsidRPr="002106BA">
        <w:t xml:space="preserve"> considered</w:t>
      </w:r>
      <w:r w:rsidR="00483D30" w:rsidRPr="002106BA">
        <w:t xml:space="preserve"> the totality of the evidence, including</w:t>
      </w:r>
      <w:r w:rsidRPr="002106BA">
        <w:t xml:space="preserve"> the </w:t>
      </w:r>
      <w:r w:rsidR="00483D30" w:rsidRPr="002106BA">
        <w:t xml:space="preserve">comparison </w:t>
      </w:r>
      <w:r w:rsidR="00E35E79" w:rsidRPr="002106BA">
        <w:t>based on</w:t>
      </w:r>
      <w:r w:rsidR="00483D30" w:rsidRPr="002106BA">
        <w:t xml:space="preserve"> the </w:t>
      </w:r>
      <w:r w:rsidRPr="002106BA">
        <w:t xml:space="preserve">surrogate marker of serum TTR, </w:t>
      </w:r>
      <w:r w:rsidR="00483D30" w:rsidRPr="002106BA">
        <w:t>and</w:t>
      </w:r>
      <w:r w:rsidRPr="002106BA">
        <w:t xml:space="preserve"> the available evidence for more patient-relevant outcomes, was </w:t>
      </w:r>
      <w:r w:rsidR="00483D30" w:rsidRPr="002106BA">
        <w:t>supportive of a conclusion that vutrisiran</w:t>
      </w:r>
      <w:r w:rsidRPr="002106BA">
        <w:t xml:space="preserve"> is likely to be comparable to patisiran in terms of comparative effectiveness and safety. Furthermore, the ESC considered that, whilst the approach to compare vutrisiran to placebo was atypical, the available data is supportive of a conclusion that vutrisiran is effective and superior to placebo over a period of at least 18 months (the </w:t>
      </w:r>
      <w:r w:rsidR="00BC2A51" w:rsidRPr="002106BA">
        <w:t xml:space="preserve">limit of presented </w:t>
      </w:r>
      <w:r w:rsidRPr="002106BA">
        <w:t xml:space="preserve">data). The ESC also acknowledged vutrisiran has less burdensome administration requirements than patisiran, which </w:t>
      </w:r>
      <w:r w:rsidR="000278D8" w:rsidRPr="002106BA">
        <w:t>will be preferred by some patients.</w:t>
      </w:r>
      <w:bookmarkEnd w:id="42"/>
      <w:r w:rsidR="000278D8" w:rsidRPr="002106BA">
        <w:t xml:space="preserve"> </w:t>
      </w:r>
    </w:p>
    <w:p w14:paraId="264F9E05" w14:textId="2A8317D4" w:rsidR="00F84B63" w:rsidRPr="002106BA" w:rsidRDefault="00F84B63" w:rsidP="00F84B63">
      <w:pPr>
        <w:widowControl w:val="0"/>
        <w:numPr>
          <w:ilvl w:val="1"/>
          <w:numId w:val="1"/>
        </w:numPr>
        <w:spacing w:after="120"/>
        <w:rPr>
          <w:rFonts w:asciiTheme="minorHAnsi" w:hAnsiTheme="minorHAnsi"/>
          <w:snapToGrid w:val="0"/>
          <w:szCs w:val="20"/>
        </w:rPr>
      </w:pPr>
      <w:bookmarkStart w:id="43" w:name="_Hlk76376200"/>
      <w:r w:rsidRPr="002106BA">
        <w:rPr>
          <w:rFonts w:asciiTheme="minorHAnsi" w:hAnsiTheme="minorHAnsi"/>
          <w:snapToGrid w:val="0"/>
        </w:rPr>
        <w:t>The PBAC considered that the claim that vutrisiran is of comparable effectiveness and safety to patisiran was reasonable, noting that uncertainties remained regarding the long-term benefits and risks of both medicines.</w:t>
      </w:r>
    </w:p>
    <w:p w14:paraId="74A1172E" w14:textId="128C170E" w:rsidR="00B60939" w:rsidRPr="002106BA" w:rsidRDefault="00B60939" w:rsidP="003D5DE7">
      <w:pPr>
        <w:pStyle w:val="COMH2-non-numbered"/>
      </w:pPr>
      <w:bookmarkStart w:id="44" w:name="_Toc22897645"/>
      <w:bookmarkStart w:id="45" w:name="_Toc177559182"/>
      <w:bookmarkEnd w:id="43"/>
      <w:r w:rsidRPr="002106BA">
        <w:t>Economic analysis</w:t>
      </w:r>
      <w:bookmarkEnd w:id="44"/>
      <w:bookmarkEnd w:id="45"/>
      <w:r w:rsidR="00491B3A" w:rsidRPr="002106BA">
        <w:t xml:space="preserve"> </w:t>
      </w:r>
    </w:p>
    <w:p w14:paraId="65819C44" w14:textId="0B8A8E67" w:rsidR="00DC1888" w:rsidRPr="002106BA" w:rsidRDefault="00DC1888" w:rsidP="00DC1888">
      <w:pPr>
        <w:pStyle w:val="COMexecsummnumbered"/>
      </w:pPr>
      <w:bookmarkStart w:id="46" w:name="_Toc22897646"/>
      <w:r w:rsidRPr="002106BA">
        <w:t xml:space="preserve">The submission presented a cost-minimisation of vutrisiran versus patisiran for the treatment of adult patients with hATTR amyloidosis and stage 1 or 2 polyneuropathy, over 18 months (HELIOS-A treatment duration). </w:t>
      </w:r>
      <w:r w:rsidR="00402532" w:rsidRPr="002106BA">
        <w:t xml:space="preserve">The submission used a </w:t>
      </w:r>
      <w:r w:rsidRPr="002106BA">
        <w:t xml:space="preserve">modelled </w:t>
      </w:r>
      <w:r w:rsidR="00402532" w:rsidRPr="002106BA">
        <w:t>approach</w:t>
      </w:r>
      <w:r w:rsidRPr="002106BA">
        <w:t xml:space="preserve">, with 3 </w:t>
      </w:r>
      <w:r w:rsidR="008802DE">
        <w:t xml:space="preserve">x </w:t>
      </w:r>
      <w:r w:rsidRPr="002106BA">
        <w:t>6</w:t>
      </w:r>
      <w:r w:rsidRPr="002106BA">
        <w:noBreakHyphen/>
        <w:t>monthly cycles (with half-cycle correction)</w:t>
      </w:r>
      <w:r w:rsidR="00402532" w:rsidRPr="002106BA">
        <w:t>,</w:t>
      </w:r>
      <w:r w:rsidRPr="002106BA">
        <w:t xml:space="preserve"> incorporating time-dependent risks of treatment discontinuation and mortality. The </w:t>
      </w:r>
      <w:r w:rsidR="00EE55AC" w:rsidRPr="002106BA">
        <w:t xml:space="preserve">ESC agreed with the evaluation that the </w:t>
      </w:r>
      <w:r w:rsidRPr="002106BA">
        <w:t xml:space="preserve">use of a modelled </w:t>
      </w:r>
      <w:r w:rsidR="00543962" w:rsidRPr="002106BA">
        <w:t>cost-minimisation approach</w:t>
      </w:r>
      <w:r w:rsidRPr="002106BA">
        <w:t xml:space="preserve"> was not adequately justified, and introduced unnecessary complexity to the cost minimisation.</w:t>
      </w:r>
    </w:p>
    <w:p w14:paraId="3854C800" w14:textId="165A3735" w:rsidR="00DC1888" w:rsidRPr="002106BA" w:rsidRDefault="00DC1888" w:rsidP="00DC1888">
      <w:pPr>
        <w:pStyle w:val="COMexecsummnumbered"/>
      </w:pPr>
      <w:r w:rsidRPr="002106BA">
        <w:t xml:space="preserve">The key components of the </w:t>
      </w:r>
      <w:r w:rsidR="00543962" w:rsidRPr="002106BA">
        <w:t>cost-minimisation approach</w:t>
      </w:r>
      <w:r w:rsidRPr="002106BA">
        <w:t xml:space="preserve"> are summarised in </w:t>
      </w:r>
      <w:r w:rsidRPr="002106BA">
        <w:fldChar w:fldCharType="begin"/>
      </w:r>
      <w:r w:rsidRPr="002106BA">
        <w:instrText xml:space="preserve"> REF _Ref174959979 \h </w:instrText>
      </w:r>
      <w:r w:rsidR="00364566" w:rsidRPr="002106BA">
        <w:instrText xml:space="preserve"> \* MERGEFORMAT </w:instrText>
      </w:r>
      <w:r w:rsidRPr="002106BA">
        <w:fldChar w:fldCharType="separate"/>
      </w:r>
      <w:r w:rsidR="00DB6E9D" w:rsidRPr="002106BA">
        <w:t xml:space="preserve">Table </w:t>
      </w:r>
      <w:r w:rsidR="00DB6E9D">
        <w:t>9</w:t>
      </w:r>
      <w:r w:rsidRPr="002106BA">
        <w:fldChar w:fldCharType="end"/>
      </w:r>
      <w:r w:rsidRPr="002106BA">
        <w:t>.</w:t>
      </w:r>
    </w:p>
    <w:p w14:paraId="27898609" w14:textId="53EF0041" w:rsidR="00DC1888" w:rsidRPr="002106BA" w:rsidRDefault="00DC1888" w:rsidP="00DC1888">
      <w:pPr>
        <w:pStyle w:val="COMTableheadingrow"/>
        <w:rPr>
          <w:lang w:val="en-AU"/>
        </w:rPr>
      </w:pPr>
      <w:bookmarkStart w:id="47" w:name="_Ref174959979"/>
      <w:r w:rsidRPr="002106BA">
        <w:rPr>
          <w:lang w:val="en-AU"/>
        </w:rPr>
        <w:lastRenderedPageBreak/>
        <w:t xml:space="preserve">Table </w:t>
      </w:r>
      <w:r w:rsidRPr="002106BA">
        <w:rPr>
          <w:lang w:val="en-AU"/>
        </w:rPr>
        <w:fldChar w:fldCharType="begin"/>
      </w:r>
      <w:r w:rsidRPr="002106BA">
        <w:rPr>
          <w:lang w:val="en-AU"/>
        </w:rPr>
        <w:instrText xml:space="preserve"> SEQ Table \* ARABIC </w:instrText>
      </w:r>
      <w:r w:rsidRPr="002106BA">
        <w:rPr>
          <w:lang w:val="en-AU"/>
        </w:rPr>
        <w:fldChar w:fldCharType="separate"/>
      </w:r>
      <w:r w:rsidR="00DB6E9D">
        <w:rPr>
          <w:noProof/>
          <w:lang w:val="en-AU"/>
        </w:rPr>
        <w:t>9</w:t>
      </w:r>
      <w:r w:rsidRPr="002106BA">
        <w:rPr>
          <w:lang w:val="en-AU"/>
        </w:rPr>
        <w:fldChar w:fldCharType="end"/>
      </w:r>
      <w:bookmarkEnd w:id="47"/>
      <w:r w:rsidRPr="002106BA">
        <w:rPr>
          <w:lang w:val="en-AU"/>
        </w:rPr>
        <w:t>: Key components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7058"/>
      </w:tblGrid>
      <w:tr w:rsidR="00DC1888" w:rsidRPr="002106BA" w14:paraId="5A334827" w14:textId="77777777" w:rsidTr="00715D09">
        <w:tc>
          <w:tcPr>
            <w:tcW w:w="2122" w:type="dxa"/>
            <w:vAlign w:val="center"/>
          </w:tcPr>
          <w:p w14:paraId="61E7DF89" w14:textId="77777777" w:rsidR="00DC1888" w:rsidRPr="002106BA" w:rsidRDefault="00DC1888" w:rsidP="00715D09">
            <w:pPr>
              <w:pStyle w:val="COMTableheadingrow"/>
              <w:rPr>
                <w:lang w:val="en-AU"/>
              </w:rPr>
            </w:pPr>
            <w:r w:rsidRPr="002106BA">
              <w:rPr>
                <w:lang w:val="en-AU"/>
              </w:rPr>
              <w:t>Component</w:t>
            </w:r>
          </w:p>
        </w:tc>
        <w:tc>
          <w:tcPr>
            <w:tcW w:w="7058" w:type="dxa"/>
            <w:vAlign w:val="center"/>
          </w:tcPr>
          <w:p w14:paraId="17776390" w14:textId="77777777" w:rsidR="00DC1888" w:rsidRPr="002106BA" w:rsidRDefault="00DC1888" w:rsidP="00715D09">
            <w:pPr>
              <w:pStyle w:val="COMTableheadingrow"/>
              <w:rPr>
                <w:lang w:val="en-AU"/>
              </w:rPr>
            </w:pPr>
            <w:r w:rsidRPr="002106BA">
              <w:rPr>
                <w:lang w:val="en-AU"/>
              </w:rPr>
              <w:t>Claim or assumption</w:t>
            </w:r>
          </w:p>
        </w:tc>
      </w:tr>
      <w:tr w:rsidR="00DC1888" w:rsidRPr="002106BA" w14:paraId="76FC6F0A" w14:textId="77777777" w:rsidTr="00715D09">
        <w:tc>
          <w:tcPr>
            <w:tcW w:w="2122" w:type="dxa"/>
            <w:vAlign w:val="center"/>
          </w:tcPr>
          <w:p w14:paraId="7C63ECE3" w14:textId="77777777" w:rsidR="00DC1888" w:rsidRPr="002106BA" w:rsidRDefault="00DC1888" w:rsidP="00715D09">
            <w:pPr>
              <w:pStyle w:val="COMTabletext"/>
            </w:pPr>
            <w:r w:rsidRPr="002106BA">
              <w:t>Therapeutic claim: effectiveness</w:t>
            </w:r>
          </w:p>
        </w:tc>
        <w:tc>
          <w:tcPr>
            <w:tcW w:w="7058" w:type="dxa"/>
            <w:vAlign w:val="center"/>
          </w:tcPr>
          <w:p w14:paraId="2083AFCF" w14:textId="28FDAB10" w:rsidR="00DC1888" w:rsidRPr="002106BA" w:rsidRDefault="00DC1888" w:rsidP="00715D09">
            <w:pPr>
              <w:pStyle w:val="COMTabletext"/>
            </w:pPr>
            <w:r w:rsidRPr="002106BA">
              <w:t>Based on evidence presented, the effectiveness of vutrisiran is claimed to be comparable to patisiran.</w:t>
            </w:r>
          </w:p>
        </w:tc>
      </w:tr>
      <w:tr w:rsidR="00DC1888" w:rsidRPr="002106BA" w14:paraId="548A7D6D" w14:textId="77777777" w:rsidTr="00715D09">
        <w:tc>
          <w:tcPr>
            <w:tcW w:w="2122" w:type="dxa"/>
            <w:vAlign w:val="center"/>
          </w:tcPr>
          <w:p w14:paraId="4D3CC07A" w14:textId="77777777" w:rsidR="00DC1888" w:rsidRPr="002106BA" w:rsidRDefault="00DC1888" w:rsidP="00715D09">
            <w:pPr>
              <w:pStyle w:val="COMTabletext"/>
            </w:pPr>
            <w:r w:rsidRPr="002106BA">
              <w:t>Therapeutic claim: safety</w:t>
            </w:r>
          </w:p>
        </w:tc>
        <w:tc>
          <w:tcPr>
            <w:tcW w:w="7058" w:type="dxa"/>
            <w:vAlign w:val="center"/>
          </w:tcPr>
          <w:p w14:paraId="2EB0ED40" w14:textId="7B323129" w:rsidR="00DC1888" w:rsidRPr="002106BA" w:rsidRDefault="00DC1888" w:rsidP="00715D09">
            <w:pPr>
              <w:pStyle w:val="COMTabletext"/>
            </w:pPr>
            <w:r w:rsidRPr="002106BA">
              <w:t>Based on evidence presented, the safety of vutrisiran is claimed to be to be comparable or superior to patisiran.</w:t>
            </w:r>
          </w:p>
        </w:tc>
      </w:tr>
      <w:tr w:rsidR="00DC1888" w:rsidRPr="002106BA" w14:paraId="13A125F1" w14:textId="77777777" w:rsidTr="00715D09">
        <w:tc>
          <w:tcPr>
            <w:tcW w:w="2122" w:type="dxa"/>
            <w:vAlign w:val="center"/>
          </w:tcPr>
          <w:p w14:paraId="5FFA9BE2" w14:textId="77777777" w:rsidR="00DC1888" w:rsidRPr="002106BA" w:rsidRDefault="00DC1888" w:rsidP="00715D09">
            <w:pPr>
              <w:pStyle w:val="COMTabletext"/>
            </w:pPr>
            <w:r w:rsidRPr="002106BA">
              <w:t>Evidence base</w:t>
            </w:r>
          </w:p>
        </w:tc>
        <w:tc>
          <w:tcPr>
            <w:tcW w:w="7058" w:type="dxa"/>
            <w:vAlign w:val="center"/>
          </w:tcPr>
          <w:p w14:paraId="7057F3C7" w14:textId="77777777" w:rsidR="00DC1888" w:rsidRPr="002106BA" w:rsidRDefault="00DC1888" w:rsidP="00715D09">
            <w:pPr>
              <w:pStyle w:val="COMTabletext"/>
              <w:spacing w:after="60"/>
            </w:pPr>
            <w:r w:rsidRPr="002106BA">
              <w:t>A prespecified noninferiority analysis of vutrisiran versus patisiran for the secondary outcome of change in serum TTR in the HELIOS-A study.</w:t>
            </w:r>
          </w:p>
          <w:p w14:paraId="79301F1D" w14:textId="77777777" w:rsidR="00DC1888" w:rsidRPr="002106BA" w:rsidRDefault="00DC1888" w:rsidP="00715D09">
            <w:pPr>
              <w:pStyle w:val="COMTabletext"/>
              <w:spacing w:after="60"/>
            </w:pPr>
            <w:r w:rsidRPr="002106BA">
              <w:t>A post hoc comparison of the vutrisiran and reference patisiran arms of the HELIOS-A study.</w:t>
            </w:r>
          </w:p>
          <w:p w14:paraId="4ED31A34" w14:textId="77777777" w:rsidR="00DC1888" w:rsidRPr="002106BA" w:rsidRDefault="00DC1888" w:rsidP="00715D09">
            <w:pPr>
              <w:pStyle w:val="COMTabletext"/>
            </w:pPr>
            <w:r w:rsidRPr="002106BA">
              <w:t>A supportive network meta-analysis based on the HELIOS-A and APOLLO studies.</w:t>
            </w:r>
          </w:p>
        </w:tc>
      </w:tr>
      <w:tr w:rsidR="00DC1888" w:rsidRPr="002106BA" w14:paraId="7567E245" w14:textId="77777777" w:rsidTr="00715D09">
        <w:tc>
          <w:tcPr>
            <w:tcW w:w="2122" w:type="dxa"/>
            <w:vAlign w:val="center"/>
          </w:tcPr>
          <w:p w14:paraId="28395B5B" w14:textId="77777777" w:rsidR="00DC1888" w:rsidRPr="002106BA" w:rsidRDefault="00DC1888" w:rsidP="00715D09">
            <w:pPr>
              <w:pStyle w:val="COMTabletext"/>
            </w:pPr>
            <w:r w:rsidRPr="002106BA">
              <w:t>Equi-effective doses</w:t>
            </w:r>
          </w:p>
        </w:tc>
        <w:tc>
          <w:tcPr>
            <w:tcW w:w="7058" w:type="dxa"/>
            <w:vAlign w:val="center"/>
          </w:tcPr>
          <w:p w14:paraId="3B726C81" w14:textId="77777777" w:rsidR="00DC1888" w:rsidRPr="002106BA" w:rsidRDefault="00DC1888" w:rsidP="00715D09">
            <w:pPr>
              <w:pStyle w:val="COMTabletext"/>
            </w:pPr>
            <w:r w:rsidRPr="002106BA">
              <w:t xml:space="preserve">Vutrisiran 50.0 mg (2 doses over 6 months, 25.0 mg per dose once every 3 months by subcutaneous injection), is equivalent to </w:t>
            </w:r>
          </w:p>
          <w:p w14:paraId="2FB95E6A" w14:textId="77777777" w:rsidR="00DC1888" w:rsidRPr="002106BA" w:rsidRDefault="00DC1888" w:rsidP="00715D09">
            <w:pPr>
              <w:pStyle w:val="COMTabletext"/>
            </w:pPr>
            <w:r w:rsidRPr="002106BA">
              <w:t>Patisiran 223.7 mg (8.696 doses over 6 months, 25.732 mg per dose once every 3 weeks by intravenous infusion).</w:t>
            </w:r>
          </w:p>
        </w:tc>
      </w:tr>
      <w:tr w:rsidR="00DC1888" w:rsidRPr="002106BA" w14:paraId="7D7B7AE0" w14:textId="77777777" w:rsidTr="00715D09">
        <w:tc>
          <w:tcPr>
            <w:tcW w:w="2122" w:type="dxa"/>
            <w:vAlign w:val="center"/>
          </w:tcPr>
          <w:p w14:paraId="2D606222" w14:textId="77777777" w:rsidR="00DC1888" w:rsidRPr="002106BA" w:rsidRDefault="00DC1888" w:rsidP="00715D09">
            <w:pPr>
              <w:pStyle w:val="COMTabletext"/>
            </w:pPr>
            <w:r w:rsidRPr="002106BA">
              <w:t>Direct medicine costs</w:t>
            </w:r>
          </w:p>
        </w:tc>
        <w:tc>
          <w:tcPr>
            <w:tcW w:w="7058" w:type="dxa"/>
            <w:vAlign w:val="center"/>
          </w:tcPr>
          <w:p w14:paraId="65A18FEF" w14:textId="00DEEB25" w:rsidR="00DC1888" w:rsidRPr="002106BA" w:rsidRDefault="00DC1888" w:rsidP="00715D09">
            <w:pPr>
              <w:pStyle w:val="COMTabletext"/>
            </w:pPr>
            <w:r w:rsidRPr="002106BA">
              <w:t>Vutrisiran effective AEMP: $</w:t>
            </w:r>
            <w:r w:rsidR="00DD7F0E" w:rsidRPr="00DD7F0E">
              <w:rPr>
                <w:color w:val="000000"/>
                <w:spacing w:val="54"/>
                <w:shd w:val="solid" w:color="000000" w:fill="000000"/>
                <w:fitText w:val="333" w:id="-761617406"/>
                <w14:textFill>
                  <w14:solidFill>
                    <w14:srgbClr w14:val="000000">
                      <w14:alpha w14:val="100000"/>
                    </w14:srgbClr>
                  </w14:solidFill>
                </w14:textFill>
              </w:rPr>
              <w:t>|||</w:t>
            </w:r>
            <w:r w:rsidR="00DD7F0E" w:rsidRPr="00DD7F0E">
              <w:rPr>
                <w:color w:val="000000"/>
                <w:spacing w:val="1"/>
                <w:shd w:val="solid" w:color="000000" w:fill="000000"/>
                <w:fitText w:val="333" w:id="-761617406"/>
                <w14:textFill>
                  <w14:solidFill>
                    <w14:srgbClr w14:val="000000">
                      <w14:alpha w14:val="100000"/>
                    </w14:srgbClr>
                  </w14:solidFill>
                </w14:textFill>
              </w:rPr>
              <w:t>|</w:t>
            </w:r>
            <w:r w:rsidRPr="002106BA">
              <w:t xml:space="preserve"> per 25 mg prefilled syringe.</w:t>
            </w:r>
          </w:p>
          <w:p w14:paraId="021BBF03" w14:textId="27BB7174" w:rsidR="00DC1888" w:rsidRPr="002106BA" w:rsidRDefault="00DC1888" w:rsidP="00715D09">
            <w:pPr>
              <w:pStyle w:val="COMTabletext"/>
            </w:pPr>
            <w:r w:rsidRPr="002106BA">
              <w:t>Patisiran effective AEMP: $</w:t>
            </w:r>
            <w:r w:rsidR="00DD7F0E">
              <w:rPr>
                <w:color w:val="000000"/>
                <w:spacing w:val="54"/>
                <w:shd w:val="solid" w:color="000000" w:fill="000000"/>
                <w:fitText w:val="334" w:id="-761617405"/>
                <w14:textFill>
                  <w14:solidFill>
                    <w14:srgbClr w14:val="000000">
                      <w14:alpha w14:val="100000"/>
                    </w14:srgbClr>
                  </w14:solidFill>
                </w14:textFill>
              </w:rPr>
              <w:t>|||</w:t>
            </w:r>
            <w:r w:rsidR="00DD7F0E">
              <w:rPr>
                <w:color w:val="000000"/>
                <w:shd w:val="solid" w:color="000000" w:fill="000000"/>
                <w:fitText w:val="334" w:id="-761617405"/>
                <w14:textFill>
                  <w14:solidFill>
                    <w14:srgbClr w14:val="000000">
                      <w14:alpha w14:val="100000"/>
                    </w14:srgbClr>
                  </w14:solidFill>
                </w14:textFill>
              </w:rPr>
              <w:t>|</w:t>
            </w:r>
            <w:r w:rsidRPr="002106BA">
              <w:t xml:space="preserve"> per 10 mg vial.</w:t>
            </w:r>
          </w:p>
        </w:tc>
      </w:tr>
      <w:tr w:rsidR="00DC1888" w:rsidRPr="002106BA" w14:paraId="789B23DB" w14:textId="77777777" w:rsidTr="00715D09">
        <w:tc>
          <w:tcPr>
            <w:tcW w:w="2122" w:type="dxa"/>
            <w:vAlign w:val="center"/>
          </w:tcPr>
          <w:p w14:paraId="0525EAB4" w14:textId="77777777" w:rsidR="00DC1888" w:rsidRPr="002106BA" w:rsidRDefault="00DC1888" w:rsidP="00715D09">
            <w:pPr>
              <w:pStyle w:val="COMTabletext"/>
            </w:pPr>
            <w:r w:rsidRPr="002106BA">
              <w:t>Other costs or cost offsets</w:t>
            </w:r>
          </w:p>
        </w:tc>
        <w:tc>
          <w:tcPr>
            <w:tcW w:w="7058" w:type="dxa"/>
            <w:vAlign w:val="center"/>
          </w:tcPr>
          <w:p w14:paraId="1AA9A13B" w14:textId="77777777" w:rsidR="00DC1888" w:rsidRPr="002106BA" w:rsidRDefault="00DC1888" w:rsidP="00715D09">
            <w:pPr>
              <w:pStyle w:val="COMTabletext"/>
            </w:pPr>
            <w:r w:rsidRPr="002106BA">
              <w:rPr>
                <w:szCs w:val="20"/>
              </w:rPr>
              <w:t>Premedication costs (patisiran), drug administration costs (vutrisiran and patisiran), costs associated with treating serious infusion related adverse events (patisiran), costs associated with end-of-life care.</w:t>
            </w:r>
          </w:p>
        </w:tc>
      </w:tr>
    </w:tbl>
    <w:p w14:paraId="72BB7713" w14:textId="77777777" w:rsidR="00DC1888" w:rsidRPr="002106BA" w:rsidRDefault="00DC1888" w:rsidP="00DC1888">
      <w:pPr>
        <w:pStyle w:val="COMTablefooter"/>
        <w:rPr>
          <w:sz w:val="20"/>
        </w:rPr>
      </w:pPr>
      <w:r w:rsidRPr="002106BA">
        <w:t>Source: Table 3.1, p69 of the submission.</w:t>
      </w:r>
    </w:p>
    <w:p w14:paraId="1CD4111C" w14:textId="50881BEC" w:rsidR="00DC1888" w:rsidRPr="002106BA" w:rsidRDefault="00DC1888" w:rsidP="00DC1888">
      <w:pPr>
        <w:pStyle w:val="COMexecsummnumbered"/>
      </w:pPr>
      <w:r w:rsidRPr="002106BA">
        <w:t>The submission estimated the equi-effective doses of vutrisiran and patisiran over 6</w:t>
      </w:r>
      <w:r w:rsidR="00B71F25">
        <w:t> </w:t>
      </w:r>
      <w:r w:rsidRPr="002106BA">
        <w:t>months of treatment, based on recommended dosing regimens: vutrisiran 25</w:t>
      </w:r>
      <w:r w:rsidR="0077220F" w:rsidRPr="002106BA">
        <w:t> </w:t>
      </w:r>
      <w:r w:rsidRPr="002106BA">
        <w:t>mg (prefilled syringe) once every 3 months by subcutaneous injection; patisiran 0.3</w:t>
      </w:r>
      <w:r w:rsidR="00CB4746" w:rsidRPr="002106BA">
        <w:t> </w:t>
      </w:r>
      <w:r w:rsidRPr="002106BA">
        <w:t xml:space="preserve">mg/kg bodyweight (to a maximum of 30 mg) by intravenous infusion once every 3 weeks. </w:t>
      </w:r>
    </w:p>
    <w:p w14:paraId="0EA126BB" w14:textId="29061904" w:rsidR="00DC1888" w:rsidRPr="002106BA" w:rsidRDefault="00DC1888" w:rsidP="00DC1888">
      <w:pPr>
        <w:pStyle w:val="COMexecsummnumbered"/>
      </w:pPr>
      <w:bookmarkStart w:id="48" w:name="_Ref180414341"/>
      <w:r w:rsidRPr="002106BA">
        <w:t xml:space="preserve">Patients treated with vutrisiran were </w:t>
      </w:r>
      <w:r w:rsidR="00CB4746" w:rsidRPr="002106BA">
        <w:t xml:space="preserve">estimated </w:t>
      </w:r>
      <w:r w:rsidRPr="002106BA">
        <w:t xml:space="preserve">to receive 50 mg every 6 months (i.e. vutrisiran 25 mg once every 3 months × 2). While this is consistent with the proposed product information for vutrisiran, in the HELIOS-A </w:t>
      </w:r>
      <w:r w:rsidR="005E6F41" w:rsidRPr="002106BA">
        <w:t>study</w:t>
      </w:r>
      <w:r w:rsidRPr="002106BA">
        <w:t xml:space="preserve">, vutrisiran dosing every 3 months was defined as every 12 weeks </w:t>
      </w:r>
      <w:r w:rsidRPr="002106BA">
        <w:rPr>
          <w:rFonts w:cstheme="minorHAnsi"/>
        </w:rPr>
        <w:t>±</w:t>
      </w:r>
      <w:r w:rsidRPr="002106BA">
        <w:t xml:space="preserve"> 3 days.</w:t>
      </w:r>
      <w:bookmarkEnd w:id="48"/>
    </w:p>
    <w:p w14:paraId="57579951" w14:textId="77777777" w:rsidR="00DC1888" w:rsidRPr="002106BA" w:rsidRDefault="00DC1888" w:rsidP="00DC1888">
      <w:pPr>
        <w:pStyle w:val="COMexecsummnumbered"/>
      </w:pPr>
      <w:r w:rsidRPr="002106BA">
        <w:t xml:space="preserve">Patients treated with patisiran were expected to receive 8.696 administrations every 6 months (52.18 weeks per year × 0.5 years ÷ dose frequency of 3 weeks). The average dose per administration of patisiran was 25.732 mg, based on the distribution of patient weights in the HELIOS-A study (2.5732 vials per patient dose × 10 mg per vial). </w:t>
      </w:r>
    </w:p>
    <w:p w14:paraId="56A199E8" w14:textId="77777777" w:rsidR="00DC1888" w:rsidRPr="002106BA" w:rsidRDefault="00DC1888" w:rsidP="00DC1888">
      <w:pPr>
        <w:pStyle w:val="COMexecsummnumbered"/>
      </w:pPr>
      <w:r w:rsidRPr="002106BA">
        <w:t>The estimated equi-effective doses of vutrisiran versus patisiran were:</w:t>
      </w:r>
    </w:p>
    <w:p w14:paraId="109A3F30" w14:textId="77777777" w:rsidR="00DC1888" w:rsidRPr="002106BA" w:rsidRDefault="00DC1888" w:rsidP="00DC1888">
      <w:pPr>
        <w:pStyle w:val="COMexecsummbulletlist"/>
        <w:numPr>
          <w:ilvl w:val="0"/>
          <w:numId w:val="0"/>
        </w:numPr>
        <w:spacing w:after="60"/>
        <w:ind w:left="1134"/>
      </w:pPr>
      <w:r w:rsidRPr="002106BA">
        <w:t xml:space="preserve">Vutrisiran 50 mg (2 doses over 6 months, 25 mg per dose), is equivalent to </w:t>
      </w:r>
    </w:p>
    <w:p w14:paraId="0876C91E" w14:textId="77777777" w:rsidR="00DC1888" w:rsidRPr="002106BA" w:rsidRDefault="00DC1888" w:rsidP="00DC1888">
      <w:pPr>
        <w:pStyle w:val="COMexecsummbulletlist"/>
        <w:numPr>
          <w:ilvl w:val="0"/>
          <w:numId w:val="0"/>
        </w:numPr>
        <w:ind w:left="1134"/>
      </w:pPr>
      <w:r w:rsidRPr="002106BA">
        <w:t>Patisiran 223.77 mg (8.696 doses over 6 months, 25.732 mg per dose).</w:t>
      </w:r>
    </w:p>
    <w:p w14:paraId="500E2B9C" w14:textId="77777777" w:rsidR="00DC1888" w:rsidRPr="002106BA" w:rsidRDefault="00DC1888" w:rsidP="00DC1888">
      <w:pPr>
        <w:pStyle w:val="COMexecsummnumbered"/>
      </w:pPr>
      <w:r w:rsidRPr="002106BA">
        <w:t>The equi-effective doses were not adjusted for compliance and assumed perfect adherence and persistence. However, treatment adherence and persistence were incorporated in the estimated costs included in the cost minimisation.</w:t>
      </w:r>
    </w:p>
    <w:p w14:paraId="4AABE3DA" w14:textId="77777777" w:rsidR="00DC1888" w:rsidRPr="002106BA" w:rsidRDefault="00DC1888" w:rsidP="00DC1888">
      <w:pPr>
        <w:pStyle w:val="COMexecsummnumbered"/>
      </w:pPr>
      <w:r w:rsidRPr="002106BA">
        <w:t xml:space="preserve">Treatment discontinuations for vutrisiran and patisiran were based on observed risks of treatment discontinuation at Months 9 and 18 in HELIOS-A, converted to monthly rates. The monthly rate derived from treatment discontinuation at Month 9 was used to estimate the proportion of patients on treatment in the first 6 months; and the monthly rate from treatment discontinuation at Month 18 was used to estimate the </w:t>
      </w:r>
      <w:r w:rsidRPr="002106BA">
        <w:lastRenderedPageBreak/>
        <w:t xml:space="preserve">proportions of patients on treatment at 12 and 18 months, with appropriate conversion to probabilities. </w:t>
      </w:r>
    </w:p>
    <w:p w14:paraId="3F50F66A" w14:textId="15143413" w:rsidR="00DC1888" w:rsidRPr="002106BA" w:rsidRDefault="00DC1888" w:rsidP="00DC1888">
      <w:pPr>
        <w:pStyle w:val="COMexecsummnumbered"/>
      </w:pPr>
      <w:r w:rsidRPr="002106BA">
        <w:t>Mortality for vutrisiran and patisiran was assumed to be the same for both agents (given HELIOS-A was not powered to detect differences in mortality between treatment arms), and was based on vutrisiran mortality data observed in the HELIOS</w:t>
      </w:r>
      <w:r w:rsidR="0077220F" w:rsidRPr="002106BA">
        <w:noBreakHyphen/>
      </w:r>
      <w:r w:rsidRPr="002106BA">
        <w:t>A study 18 month treatment phase, applied using the same approach used to estimate treatment discontinuations.</w:t>
      </w:r>
    </w:p>
    <w:p w14:paraId="200A20A5" w14:textId="792DBCD4" w:rsidR="00DC1888" w:rsidRPr="002106BA" w:rsidRDefault="00DC1888" w:rsidP="00DC1888">
      <w:pPr>
        <w:pStyle w:val="COMexecsummnumbered"/>
      </w:pPr>
      <w:r w:rsidRPr="002106BA">
        <w:fldChar w:fldCharType="begin"/>
      </w:r>
      <w:r w:rsidRPr="002106BA">
        <w:instrText xml:space="preserve"> REF _Ref174961345 \h </w:instrText>
      </w:r>
      <w:r w:rsidR="00364566" w:rsidRPr="002106BA">
        <w:instrText xml:space="preserve"> \* MERGEFORMAT </w:instrText>
      </w:r>
      <w:r w:rsidRPr="002106BA">
        <w:fldChar w:fldCharType="separate"/>
      </w:r>
      <w:r w:rsidR="00DB6E9D" w:rsidRPr="002106BA">
        <w:t xml:space="preserve">Table </w:t>
      </w:r>
      <w:r w:rsidR="00DB6E9D">
        <w:t>10</w:t>
      </w:r>
      <w:r w:rsidRPr="002106BA">
        <w:fldChar w:fldCharType="end"/>
      </w:r>
      <w:r w:rsidRPr="002106BA">
        <w:t xml:space="preserve"> summarises the costs included in the cost minimisation model.</w:t>
      </w:r>
    </w:p>
    <w:p w14:paraId="3F930F24" w14:textId="2B755521" w:rsidR="00DC1888" w:rsidRPr="002106BA" w:rsidRDefault="00DC1888" w:rsidP="009A5140">
      <w:pPr>
        <w:pStyle w:val="Caption"/>
        <w:keepLines/>
      </w:pPr>
      <w:bookmarkStart w:id="49" w:name="_Ref174961345"/>
      <w:r w:rsidRPr="002106BA">
        <w:lastRenderedPageBreak/>
        <w:t xml:space="preserve">Table </w:t>
      </w:r>
      <w:r w:rsidR="0027304F">
        <w:fldChar w:fldCharType="begin"/>
      </w:r>
      <w:r w:rsidR="0027304F">
        <w:instrText xml:space="preserve"> SEQ Table \* ARABIC </w:instrText>
      </w:r>
      <w:r w:rsidR="0027304F">
        <w:fldChar w:fldCharType="separate"/>
      </w:r>
      <w:r w:rsidR="00DB6E9D">
        <w:rPr>
          <w:noProof/>
        </w:rPr>
        <w:t>10</w:t>
      </w:r>
      <w:r w:rsidR="0027304F">
        <w:fldChar w:fldCharType="end"/>
      </w:r>
      <w:bookmarkEnd w:id="49"/>
      <w:r w:rsidRPr="002106BA">
        <w:t>: Costs included in the cost minimisation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29"/>
        <w:gridCol w:w="1041"/>
        <w:gridCol w:w="1041"/>
        <w:gridCol w:w="5506"/>
      </w:tblGrid>
      <w:tr w:rsidR="00DC1888" w:rsidRPr="002106BA" w14:paraId="351BA98B" w14:textId="77777777" w:rsidTr="002F09B3">
        <w:trPr>
          <w:trHeight w:val="64"/>
          <w:tblHeader/>
        </w:trPr>
        <w:tc>
          <w:tcPr>
            <w:tcW w:w="0" w:type="auto"/>
            <w:vMerge w:val="restart"/>
            <w:vAlign w:val="center"/>
          </w:tcPr>
          <w:p w14:paraId="07B8B092" w14:textId="77777777" w:rsidR="00DC1888" w:rsidRPr="002106BA" w:rsidRDefault="00DC1888" w:rsidP="009A5140">
            <w:pPr>
              <w:pStyle w:val="COMTabletext"/>
              <w:keepLines/>
              <w:rPr>
                <w:b/>
                <w:bCs w:val="0"/>
              </w:rPr>
            </w:pPr>
            <w:r w:rsidRPr="002106BA">
              <w:rPr>
                <w:b/>
                <w:bCs w:val="0"/>
              </w:rPr>
              <w:t>Cost</w:t>
            </w:r>
          </w:p>
        </w:tc>
        <w:tc>
          <w:tcPr>
            <w:tcW w:w="0" w:type="auto"/>
            <w:gridSpan w:val="2"/>
            <w:vAlign w:val="center"/>
          </w:tcPr>
          <w:p w14:paraId="535A985F" w14:textId="77777777" w:rsidR="00DC1888" w:rsidRPr="002106BA" w:rsidRDefault="00DC1888" w:rsidP="009A5140">
            <w:pPr>
              <w:pStyle w:val="COMTabletext"/>
              <w:keepLines/>
              <w:jc w:val="center"/>
              <w:rPr>
                <w:b/>
                <w:bCs w:val="0"/>
              </w:rPr>
            </w:pPr>
            <w:r w:rsidRPr="002106BA">
              <w:rPr>
                <w:b/>
                <w:bCs w:val="0"/>
              </w:rPr>
              <w:t>Cost per 6 month cycle</w:t>
            </w:r>
          </w:p>
        </w:tc>
        <w:tc>
          <w:tcPr>
            <w:tcW w:w="0" w:type="auto"/>
            <w:vMerge w:val="restart"/>
            <w:vAlign w:val="center"/>
          </w:tcPr>
          <w:p w14:paraId="55944B5A" w14:textId="77777777" w:rsidR="00DC1888" w:rsidRPr="002106BA" w:rsidRDefault="00DC1888" w:rsidP="009A5140">
            <w:pPr>
              <w:pStyle w:val="COMTabletext"/>
              <w:keepLines/>
              <w:jc w:val="center"/>
              <w:rPr>
                <w:b/>
                <w:bCs w:val="0"/>
              </w:rPr>
            </w:pPr>
            <w:r w:rsidRPr="002106BA">
              <w:rPr>
                <w:b/>
                <w:bCs w:val="0"/>
              </w:rPr>
              <w:t>Source</w:t>
            </w:r>
          </w:p>
        </w:tc>
      </w:tr>
      <w:tr w:rsidR="00DC1888" w:rsidRPr="002106BA" w14:paraId="3A350501" w14:textId="77777777" w:rsidTr="002F09B3">
        <w:trPr>
          <w:trHeight w:val="63"/>
          <w:tblHeader/>
        </w:trPr>
        <w:tc>
          <w:tcPr>
            <w:tcW w:w="0" w:type="auto"/>
            <w:vMerge/>
            <w:vAlign w:val="center"/>
          </w:tcPr>
          <w:p w14:paraId="0143F7EA" w14:textId="77777777" w:rsidR="00DC1888" w:rsidRPr="002106BA" w:rsidRDefault="00DC1888" w:rsidP="009A5140">
            <w:pPr>
              <w:pStyle w:val="COMTabletext"/>
              <w:keepLines/>
              <w:rPr>
                <w:b/>
                <w:bCs w:val="0"/>
              </w:rPr>
            </w:pPr>
          </w:p>
        </w:tc>
        <w:tc>
          <w:tcPr>
            <w:tcW w:w="0" w:type="auto"/>
            <w:vAlign w:val="center"/>
          </w:tcPr>
          <w:p w14:paraId="278A8B40" w14:textId="77777777" w:rsidR="00DC1888" w:rsidRPr="002106BA" w:rsidRDefault="00DC1888" w:rsidP="009A5140">
            <w:pPr>
              <w:pStyle w:val="COMTabletext"/>
              <w:keepLines/>
              <w:jc w:val="center"/>
              <w:rPr>
                <w:b/>
                <w:bCs w:val="0"/>
              </w:rPr>
            </w:pPr>
            <w:r w:rsidRPr="002106BA">
              <w:rPr>
                <w:b/>
                <w:bCs w:val="0"/>
              </w:rPr>
              <w:t>Vutrisiran</w:t>
            </w:r>
          </w:p>
        </w:tc>
        <w:tc>
          <w:tcPr>
            <w:tcW w:w="0" w:type="auto"/>
            <w:vAlign w:val="center"/>
          </w:tcPr>
          <w:p w14:paraId="090CD56B" w14:textId="77777777" w:rsidR="00DC1888" w:rsidRPr="002106BA" w:rsidRDefault="00DC1888" w:rsidP="009A5140">
            <w:pPr>
              <w:pStyle w:val="COMTabletext"/>
              <w:keepLines/>
              <w:jc w:val="center"/>
              <w:rPr>
                <w:b/>
                <w:bCs w:val="0"/>
              </w:rPr>
            </w:pPr>
            <w:r w:rsidRPr="002106BA">
              <w:rPr>
                <w:b/>
                <w:bCs w:val="0"/>
              </w:rPr>
              <w:t>Patisiran</w:t>
            </w:r>
          </w:p>
        </w:tc>
        <w:tc>
          <w:tcPr>
            <w:tcW w:w="0" w:type="auto"/>
            <w:vMerge/>
            <w:vAlign w:val="center"/>
          </w:tcPr>
          <w:p w14:paraId="4C642D92" w14:textId="77777777" w:rsidR="00DC1888" w:rsidRPr="002106BA" w:rsidRDefault="00DC1888" w:rsidP="009A5140">
            <w:pPr>
              <w:pStyle w:val="COMTabletext"/>
              <w:keepLines/>
              <w:jc w:val="center"/>
              <w:rPr>
                <w:b/>
                <w:bCs w:val="0"/>
              </w:rPr>
            </w:pPr>
          </w:p>
        </w:tc>
      </w:tr>
      <w:tr w:rsidR="00DC1888" w:rsidRPr="002106BA" w14:paraId="71759A2C" w14:textId="77777777" w:rsidTr="002F09B3">
        <w:tc>
          <w:tcPr>
            <w:tcW w:w="0" w:type="auto"/>
            <w:gridSpan w:val="4"/>
          </w:tcPr>
          <w:p w14:paraId="1F0DDA1F" w14:textId="77777777" w:rsidR="00DC1888" w:rsidRPr="002106BA" w:rsidRDefault="00DC1888" w:rsidP="009A5140">
            <w:pPr>
              <w:pStyle w:val="COMTabletext"/>
              <w:keepLines/>
              <w:rPr>
                <w:b/>
                <w:bCs w:val="0"/>
              </w:rPr>
            </w:pPr>
            <w:r w:rsidRPr="002106BA">
              <w:rPr>
                <w:b/>
                <w:bCs w:val="0"/>
              </w:rPr>
              <w:t>Drug costs</w:t>
            </w:r>
          </w:p>
        </w:tc>
      </w:tr>
      <w:tr w:rsidR="00DC1888" w:rsidRPr="002106BA" w14:paraId="44D008B4" w14:textId="77777777" w:rsidTr="002F09B3">
        <w:tc>
          <w:tcPr>
            <w:tcW w:w="0" w:type="auto"/>
            <w:vMerge w:val="restart"/>
            <w:vAlign w:val="center"/>
          </w:tcPr>
          <w:p w14:paraId="47A86BB1" w14:textId="77777777" w:rsidR="00DC1888" w:rsidRPr="002106BA" w:rsidRDefault="00DC1888" w:rsidP="009A5140">
            <w:pPr>
              <w:pStyle w:val="COMTabletext"/>
              <w:keepLines/>
            </w:pPr>
            <w:r w:rsidRPr="002106BA">
              <w:t>Drug acquisition costs</w:t>
            </w:r>
          </w:p>
        </w:tc>
        <w:tc>
          <w:tcPr>
            <w:tcW w:w="0" w:type="auto"/>
            <w:vMerge w:val="restart"/>
            <w:vAlign w:val="center"/>
          </w:tcPr>
          <w:p w14:paraId="233839BF" w14:textId="70FCD2B8" w:rsidR="00DC1888" w:rsidRPr="002106BA" w:rsidRDefault="00DC1888" w:rsidP="009A5140">
            <w:pPr>
              <w:pStyle w:val="COMTabletext"/>
              <w:keepLines/>
              <w:jc w:val="center"/>
            </w:pPr>
            <w:r w:rsidRPr="002106BA">
              <w:rPr>
                <w:rFonts w:eastAsia="Times New Roman"/>
                <w:lang w:eastAsia="it-IT"/>
              </w:rPr>
              <w:t>$</w:t>
            </w:r>
            <w:r w:rsidR="00DD7F0E" w:rsidRPr="00DD7F0E">
              <w:rPr>
                <w:rFonts w:eastAsia="Times New Roman" w:hint="eastAsia"/>
                <w:color w:val="000000"/>
                <w:w w:val="24"/>
                <w:shd w:val="solid" w:color="000000" w:fill="000000"/>
                <w:fitText w:val="107" w:id="-761617404"/>
                <w:lang w:eastAsia="it-IT"/>
                <w14:textFill>
                  <w14:solidFill>
                    <w14:srgbClr w14:val="000000">
                      <w14:alpha w14:val="100000"/>
                    </w14:srgbClr>
                  </w14:solidFill>
                </w14:textFill>
              </w:rPr>
              <w:t xml:space="preserve">　</w:t>
            </w:r>
            <w:r w:rsidR="00DD7F0E" w:rsidRPr="00DD7F0E">
              <w:rPr>
                <w:rFonts w:eastAsia="Times New Roman"/>
                <w:color w:val="000000"/>
                <w:w w:val="24"/>
                <w:shd w:val="solid" w:color="000000" w:fill="000000"/>
                <w:fitText w:val="107" w:id="-761617404"/>
                <w:lang w:eastAsia="it-IT"/>
                <w14:textFill>
                  <w14:solidFill>
                    <w14:srgbClr w14:val="000000">
                      <w14:alpha w14:val="100000"/>
                    </w14:srgbClr>
                  </w14:solidFill>
                </w14:textFill>
              </w:rPr>
              <w:t>|</w:t>
            </w:r>
            <w:r w:rsidR="00DD7F0E" w:rsidRPr="00DD7F0E">
              <w:rPr>
                <w:rFonts w:eastAsia="Times New Roman" w:hint="eastAsia"/>
                <w:color w:val="000000"/>
                <w:spacing w:val="3"/>
                <w:w w:val="24"/>
                <w:shd w:val="solid" w:color="000000" w:fill="000000"/>
                <w:fitText w:val="107" w:id="-761617404"/>
                <w:lang w:eastAsia="it-IT"/>
                <w14:textFill>
                  <w14:solidFill>
                    <w14:srgbClr w14:val="000000">
                      <w14:alpha w14:val="100000"/>
                    </w14:srgbClr>
                  </w14:solidFill>
                </w14:textFill>
              </w:rPr>
              <w:t xml:space="preserve">　</w:t>
            </w:r>
          </w:p>
        </w:tc>
        <w:tc>
          <w:tcPr>
            <w:tcW w:w="0" w:type="auto"/>
            <w:vMerge w:val="restart"/>
            <w:vAlign w:val="center"/>
          </w:tcPr>
          <w:p w14:paraId="3F0C2310" w14:textId="06714677" w:rsidR="00DC1888" w:rsidRPr="002106BA" w:rsidRDefault="00DC1888" w:rsidP="009A5140">
            <w:pPr>
              <w:pStyle w:val="COMTabletext"/>
              <w:keepLines/>
              <w:jc w:val="center"/>
              <w:rPr>
                <w:rFonts w:eastAsia="Times New Roman"/>
              </w:rPr>
            </w:pPr>
            <w:r w:rsidRPr="002106BA">
              <w:rPr>
                <w:rFonts w:eastAsia="Times New Roman"/>
              </w:rPr>
              <w:t>$</w:t>
            </w:r>
            <w:r w:rsidR="00DD7F0E" w:rsidRPr="00DD7F0E">
              <w:rPr>
                <w:rFonts w:eastAsia="Times New Roman" w:hint="eastAsia"/>
                <w:color w:val="000000"/>
                <w:w w:val="24"/>
                <w:shd w:val="solid" w:color="000000" w:fill="000000"/>
                <w:fitText w:val="107" w:id="-761617403"/>
                <w14:textFill>
                  <w14:solidFill>
                    <w14:srgbClr w14:val="000000">
                      <w14:alpha w14:val="100000"/>
                    </w14:srgbClr>
                  </w14:solidFill>
                </w14:textFill>
              </w:rPr>
              <w:t xml:space="preserve">　</w:t>
            </w:r>
            <w:r w:rsidR="00DD7F0E" w:rsidRPr="00DD7F0E">
              <w:rPr>
                <w:rFonts w:eastAsia="Times New Roman"/>
                <w:color w:val="000000"/>
                <w:w w:val="24"/>
                <w:shd w:val="solid" w:color="000000" w:fill="000000"/>
                <w:fitText w:val="107" w:id="-761617403"/>
                <w14:textFill>
                  <w14:solidFill>
                    <w14:srgbClr w14:val="000000">
                      <w14:alpha w14:val="100000"/>
                    </w14:srgbClr>
                  </w14:solidFill>
                </w14:textFill>
              </w:rPr>
              <w:t>|</w:t>
            </w:r>
            <w:r w:rsidR="00DD7F0E" w:rsidRPr="00DD7F0E">
              <w:rPr>
                <w:rFonts w:eastAsia="Times New Roman" w:hint="eastAsia"/>
                <w:color w:val="000000"/>
                <w:spacing w:val="3"/>
                <w:w w:val="24"/>
                <w:shd w:val="solid" w:color="000000" w:fill="000000"/>
                <w:fitText w:val="107" w:id="-761617403"/>
                <w14:textFill>
                  <w14:solidFill>
                    <w14:srgbClr w14:val="000000">
                      <w14:alpha w14:val="100000"/>
                    </w14:srgbClr>
                  </w14:solidFill>
                </w14:textFill>
              </w:rPr>
              <w:t xml:space="preserve">　</w:t>
            </w:r>
          </w:p>
        </w:tc>
        <w:tc>
          <w:tcPr>
            <w:tcW w:w="0" w:type="auto"/>
            <w:vAlign w:val="center"/>
          </w:tcPr>
          <w:p w14:paraId="4FA9EC03" w14:textId="2CE04F8B" w:rsidR="00DC1888" w:rsidRPr="002106BA" w:rsidRDefault="00DC1888" w:rsidP="009A5140">
            <w:pPr>
              <w:pStyle w:val="COMTabletext"/>
              <w:keepLines/>
            </w:pPr>
            <w:r w:rsidRPr="002106BA">
              <w:t>Vutrisiran proposed effective AEMP of $</w:t>
            </w:r>
            <w:r w:rsidR="00DD7F0E" w:rsidRPr="00DD7F0E">
              <w:rPr>
                <w:color w:val="000000"/>
                <w:spacing w:val="54"/>
                <w:shd w:val="solid" w:color="000000" w:fill="000000"/>
                <w:fitText w:val="333" w:id="-761617402"/>
                <w14:textFill>
                  <w14:solidFill>
                    <w14:srgbClr w14:val="000000">
                      <w14:alpha w14:val="100000"/>
                    </w14:srgbClr>
                  </w14:solidFill>
                </w14:textFill>
              </w:rPr>
              <w:t>|||</w:t>
            </w:r>
            <w:r w:rsidR="00DD7F0E" w:rsidRPr="00DD7F0E">
              <w:rPr>
                <w:color w:val="000000"/>
                <w:spacing w:val="1"/>
                <w:shd w:val="solid" w:color="000000" w:fill="000000"/>
                <w:fitText w:val="333" w:id="-761617402"/>
                <w14:textFill>
                  <w14:solidFill>
                    <w14:srgbClr w14:val="000000">
                      <w14:alpha w14:val="100000"/>
                    </w14:srgbClr>
                  </w14:solidFill>
                </w14:textFill>
              </w:rPr>
              <w:t>|</w:t>
            </w:r>
            <w:r w:rsidRPr="002106BA">
              <w:t xml:space="preserve"> per 25 mg prefilled syringe. </w:t>
            </w:r>
            <w:r w:rsidRPr="002106BA">
              <w:br/>
              <w:t>Drug cost of $</w:t>
            </w:r>
            <w:r w:rsidR="00DD7F0E" w:rsidRPr="00DD7F0E">
              <w:rPr>
                <w:color w:val="000000"/>
                <w:spacing w:val="49"/>
                <w:shd w:val="solid" w:color="000000" w:fill="000000"/>
                <w:fitText w:val="320" w:id="-761617401"/>
                <w14:textFill>
                  <w14:solidFill>
                    <w14:srgbClr w14:val="000000">
                      <w14:alpha w14:val="100000"/>
                    </w14:srgbClr>
                  </w14:solidFill>
                </w14:textFill>
              </w:rPr>
              <w:t>|||</w:t>
            </w:r>
            <w:r w:rsidR="00DD7F0E" w:rsidRPr="00DD7F0E">
              <w:rPr>
                <w:color w:val="000000"/>
                <w:spacing w:val="3"/>
                <w:shd w:val="solid" w:color="000000" w:fill="000000"/>
                <w:fitText w:val="320" w:id="-761617401"/>
                <w14:textFill>
                  <w14:solidFill>
                    <w14:srgbClr w14:val="000000">
                      <w14:alpha w14:val="100000"/>
                    </w14:srgbClr>
                  </w14:solidFill>
                </w14:textFill>
              </w:rPr>
              <w:t>|</w:t>
            </w:r>
            <w:r w:rsidRPr="002106BA">
              <w:t xml:space="preserve"> per 6 month cycle, assuming recommended dosing regimen (Q3M), adjusted for relative dose intensity of 99.88% (ratio of cumulative number of doses of vutrisiran received by patients in HELIOS-A divided by the total number of doses per protocol). It was assumed that there would be no costs associated with any switching from patisiran to vutrisiran treatment.</w:t>
            </w:r>
          </w:p>
        </w:tc>
      </w:tr>
      <w:tr w:rsidR="00DC1888" w:rsidRPr="002106BA" w14:paraId="3AAC1152" w14:textId="77777777" w:rsidTr="002F09B3">
        <w:tc>
          <w:tcPr>
            <w:tcW w:w="0" w:type="auto"/>
            <w:vMerge/>
            <w:vAlign w:val="center"/>
          </w:tcPr>
          <w:p w14:paraId="7BEAC484" w14:textId="77777777" w:rsidR="00DC1888" w:rsidRPr="002106BA" w:rsidRDefault="00DC1888" w:rsidP="009A5140">
            <w:pPr>
              <w:pStyle w:val="COMTabletext"/>
              <w:keepLines/>
            </w:pPr>
          </w:p>
        </w:tc>
        <w:tc>
          <w:tcPr>
            <w:tcW w:w="0" w:type="auto"/>
            <w:vMerge/>
            <w:vAlign w:val="center"/>
          </w:tcPr>
          <w:p w14:paraId="78820811" w14:textId="77777777" w:rsidR="00DC1888" w:rsidRPr="002106BA" w:rsidRDefault="00DC1888" w:rsidP="009A5140">
            <w:pPr>
              <w:pStyle w:val="COMTabletext"/>
              <w:keepLines/>
              <w:jc w:val="center"/>
            </w:pPr>
          </w:p>
        </w:tc>
        <w:tc>
          <w:tcPr>
            <w:tcW w:w="0" w:type="auto"/>
            <w:vMerge/>
            <w:vAlign w:val="center"/>
          </w:tcPr>
          <w:p w14:paraId="2F7C67CB" w14:textId="77777777" w:rsidR="00DC1888" w:rsidRPr="002106BA" w:rsidRDefault="00DC1888" w:rsidP="009A5140">
            <w:pPr>
              <w:pStyle w:val="COMTabletext"/>
              <w:keepLines/>
              <w:jc w:val="center"/>
            </w:pPr>
          </w:p>
        </w:tc>
        <w:tc>
          <w:tcPr>
            <w:tcW w:w="0" w:type="auto"/>
            <w:vAlign w:val="center"/>
          </w:tcPr>
          <w:p w14:paraId="52A694B6" w14:textId="4E1A462E" w:rsidR="00DC1888" w:rsidRPr="002106BA" w:rsidRDefault="00DC1888" w:rsidP="009A5140">
            <w:pPr>
              <w:pStyle w:val="COMTabletext"/>
              <w:keepLines/>
            </w:pPr>
            <w:r w:rsidRPr="002106BA">
              <w:t>Patisiran effective AEMP of $</w:t>
            </w:r>
            <w:r w:rsidR="00DD7F0E">
              <w:rPr>
                <w:color w:val="000000"/>
                <w:spacing w:val="49"/>
                <w:shd w:val="solid" w:color="000000" w:fill="000000"/>
                <w:fitText w:val="320" w:id="-761617400"/>
                <w14:textFill>
                  <w14:solidFill>
                    <w14:srgbClr w14:val="000000">
                      <w14:alpha w14:val="100000"/>
                    </w14:srgbClr>
                  </w14:solidFill>
                </w14:textFill>
              </w:rPr>
              <w:t>|||</w:t>
            </w:r>
            <w:r w:rsidR="00DD7F0E">
              <w:rPr>
                <w:color w:val="000000"/>
                <w:spacing w:val="1"/>
                <w:shd w:val="solid" w:color="000000" w:fill="000000"/>
                <w:fitText w:val="320" w:id="-761617400"/>
                <w14:textFill>
                  <w14:solidFill>
                    <w14:srgbClr w14:val="000000">
                      <w14:alpha w14:val="100000"/>
                    </w14:srgbClr>
                  </w14:solidFill>
                </w14:textFill>
              </w:rPr>
              <w:t>|</w:t>
            </w:r>
            <w:r w:rsidRPr="002106BA">
              <w:t xml:space="preserve"> per 10 mg vial. </w:t>
            </w:r>
          </w:p>
          <w:p w14:paraId="5BA3EC46" w14:textId="77777777" w:rsidR="00DC1888" w:rsidRPr="002106BA" w:rsidRDefault="00DC1888" w:rsidP="009A5140">
            <w:pPr>
              <w:pStyle w:val="COMTabletext"/>
              <w:keepLines/>
            </w:pPr>
            <w:r w:rsidRPr="002106BA">
              <w:t xml:space="preserve">Calculated assuming recommended dosing regimen (0.3 mg/kg Q3W with a maximum dose of 30 mg), applied to HELIOS-A individual patient weight data to derive weighted average of 2.5732 × 10 mg vials per administration and 8.696 administrations every 6 months, adjusted for relative dose intensity of 96.29% (same method as vutrisiran for HELIOS-A patisiran arm). </w:t>
            </w:r>
          </w:p>
        </w:tc>
      </w:tr>
      <w:tr w:rsidR="00DC1888" w:rsidRPr="002106BA" w14:paraId="26993010" w14:textId="77777777" w:rsidTr="002F09B3">
        <w:trPr>
          <w:trHeight w:val="70"/>
          <w:tblHeader/>
        </w:trPr>
        <w:tc>
          <w:tcPr>
            <w:tcW w:w="0" w:type="auto"/>
            <w:vAlign w:val="center"/>
          </w:tcPr>
          <w:p w14:paraId="76215319" w14:textId="77777777" w:rsidR="00DC1888" w:rsidRPr="002106BA" w:rsidRDefault="00DC1888" w:rsidP="009A5140">
            <w:pPr>
              <w:pStyle w:val="COMTabletext"/>
              <w:keepLines/>
              <w:rPr>
                <w:vertAlign w:val="superscript"/>
              </w:rPr>
            </w:pPr>
            <w:proofErr w:type="spellStart"/>
            <w:r w:rsidRPr="002106BA">
              <w:t>Premedication</w:t>
            </w:r>
            <w:r w:rsidRPr="002106BA">
              <w:rPr>
                <w:vertAlign w:val="superscript"/>
              </w:rPr>
              <w:t>a</w:t>
            </w:r>
            <w:proofErr w:type="spellEnd"/>
          </w:p>
        </w:tc>
        <w:tc>
          <w:tcPr>
            <w:tcW w:w="0" w:type="auto"/>
            <w:vAlign w:val="center"/>
          </w:tcPr>
          <w:p w14:paraId="777DDDE4" w14:textId="77777777" w:rsidR="00DC1888" w:rsidRPr="002106BA" w:rsidRDefault="00DC1888" w:rsidP="009A5140">
            <w:pPr>
              <w:pStyle w:val="COMTabletext"/>
              <w:keepLines/>
              <w:jc w:val="center"/>
            </w:pPr>
            <w:r w:rsidRPr="002106BA">
              <w:t>NA</w:t>
            </w:r>
          </w:p>
        </w:tc>
        <w:tc>
          <w:tcPr>
            <w:tcW w:w="0" w:type="auto"/>
            <w:vAlign w:val="center"/>
          </w:tcPr>
          <w:p w14:paraId="32B65EC0" w14:textId="77777777" w:rsidR="00DC1888" w:rsidRPr="002106BA" w:rsidRDefault="00DC1888" w:rsidP="009A5140">
            <w:pPr>
              <w:pStyle w:val="COMTabletext"/>
              <w:keepLines/>
              <w:jc w:val="center"/>
            </w:pPr>
            <w:r w:rsidRPr="002106BA">
              <w:t>$24.68</w:t>
            </w:r>
          </w:p>
          <w:p w14:paraId="195DCD62" w14:textId="77777777" w:rsidR="00DC1888" w:rsidRPr="002106BA" w:rsidRDefault="00DC1888" w:rsidP="009A5140">
            <w:pPr>
              <w:pStyle w:val="COMTabletext"/>
              <w:keepLines/>
              <w:jc w:val="center"/>
            </w:pPr>
            <w:r w:rsidRPr="002106BA">
              <w:t>($2.95 per dose)</w:t>
            </w:r>
          </w:p>
        </w:tc>
        <w:tc>
          <w:tcPr>
            <w:tcW w:w="0" w:type="auto"/>
            <w:vAlign w:val="center"/>
          </w:tcPr>
          <w:p w14:paraId="3E9CF614" w14:textId="77777777" w:rsidR="00DC1888" w:rsidRPr="002106BA" w:rsidRDefault="00DC1888" w:rsidP="009A5140">
            <w:pPr>
              <w:pStyle w:val="COMTabletext"/>
              <w:keepLines/>
            </w:pPr>
            <w:r w:rsidRPr="002106BA">
              <w:t xml:space="preserve">Drug costs assumed use of selected oral PBS items dexamethasone, paracetamol, H1 antagonist and H2 antagonist, updated to 1 May 2024 Schedule, assuming patisiran administered 8.696 times each 6 month cycle, adjusted for patisiran dose intensity of 96.39%. </w:t>
            </w:r>
          </w:p>
        </w:tc>
      </w:tr>
      <w:tr w:rsidR="00DC1888" w:rsidRPr="002106BA" w14:paraId="60F7CB5D" w14:textId="77777777" w:rsidTr="002F09B3">
        <w:trPr>
          <w:tblHeader/>
        </w:trPr>
        <w:tc>
          <w:tcPr>
            <w:tcW w:w="0" w:type="auto"/>
            <w:vMerge w:val="restart"/>
            <w:vAlign w:val="center"/>
          </w:tcPr>
          <w:p w14:paraId="5DD5A4A3" w14:textId="1BFF799E" w:rsidR="00DC1888" w:rsidRPr="002106BA" w:rsidRDefault="00DC1888" w:rsidP="009A5140">
            <w:pPr>
              <w:pStyle w:val="COMTabletext"/>
              <w:keepLines/>
            </w:pPr>
            <w:r w:rsidRPr="002106BA">
              <w:t>Drug administration</w:t>
            </w:r>
          </w:p>
        </w:tc>
        <w:tc>
          <w:tcPr>
            <w:tcW w:w="0" w:type="auto"/>
            <w:vAlign w:val="center"/>
          </w:tcPr>
          <w:p w14:paraId="6819DE59" w14:textId="77777777" w:rsidR="00DC1888" w:rsidRPr="002106BA" w:rsidRDefault="00DC1888" w:rsidP="009A5140">
            <w:pPr>
              <w:pStyle w:val="COMTabletext"/>
              <w:keepLines/>
              <w:jc w:val="center"/>
            </w:pPr>
            <w:r w:rsidRPr="002106BA">
              <w:t>$168.50</w:t>
            </w:r>
          </w:p>
          <w:p w14:paraId="4373F411" w14:textId="77777777" w:rsidR="00DC1888" w:rsidRPr="002106BA" w:rsidRDefault="00DC1888" w:rsidP="009A5140">
            <w:pPr>
              <w:pStyle w:val="COMTabletext"/>
              <w:keepLines/>
              <w:jc w:val="center"/>
            </w:pPr>
            <w:r w:rsidRPr="002106BA">
              <w:t>($84.35 per dose)</w:t>
            </w:r>
          </w:p>
        </w:tc>
        <w:tc>
          <w:tcPr>
            <w:tcW w:w="0" w:type="auto"/>
            <w:vAlign w:val="center"/>
          </w:tcPr>
          <w:p w14:paraId="5267140E" w14:textId="77777777" w:rsidR="00DC1888" w:rsidRPr="002106BA" w:rsidRDefault="00DC1888" w:rsidP="009A5140">
            <w:pPr>
              <w:pStyle w:val="COMTabletext"/>
              <w:keepLines/>
              <w:jc w:val="center"/>
            </w:pPr>
            <w:r w:rsidRPr="002106BA">
              <w:t>-</w:t>
            </w:r>
          </w:p>
        </w:tc>
        <w:tc>
          <w:tcPr>
            <w:tcW w:w="0" w:type="auto"/>
            <w:vAlign w:val="center"/>
          </w:tcPr>
          <w:p w14:paraId="57793BCB" w14:textId="77777777" w:rsidR="00DC1888" w:rsidRPr="002106BA" w:rsidRDefault="00DC1888" w:rsidP="009A5140">
            <w:pPr>
              <w:pStyle w:val="COMTabletext"/>
              <w:keepLines/>
            </w:pPr>
            <w:r w:rsidRPr="002106BA">
              <w:t>Administration of vutrisiran by subcutaneous injection in a hospital, based on MBS item 116: Professional attendance at consulting rooms or hospital, by a consultant physician in the practice of the consultant physician's specialty (June 2024 MBS Schedule). MBS fee at time of evaluation $87.30.</w:t>
            </w:r>
          </w:p>
        </w:tc>
      </w:tr>
      <w:tr w:rsidR="00DC1888" w:rsidRPr="002106BA" w14:paraId="694FB9D9" w14:textId="77777777" w:rsidTr="002F09B3">
        <w:trPr>
          <w:tblHeader/>
        </w:trPr>
        <w:tc>
          <w:tcPr>
            <w:tcW w:w="0" w:type="auto"/>
            <w:vMerge/>
            <w:vAlign w:val="center"/>
          </w:tcPr>
          <w:p w14:paraId="1D4188DA" w14:textId="77777777" w:rsidR="00DC1888" w:rsidRPr="002106BA" w:rsidRDefault="00DC1888" w:rsidP="009A5140">
            <w:pPr>
              <w:pStyle w:val="COMTabletext"/>
              <w:keepLines/>
            </w:pPr>
          </w:p>
        </w:tc>
        <w:tc>
          <w:tcPr>
            <w:tcW w:w="0" w:type="auto"/>
            <w:vAlign w:val="center"/>
          </w:tcPr>
          <w:p w14:paraId="762BD368" w14:textId="77777777" w:rsidR="00DC1888" w:rsidRPr="002106BA" w:rsidRDefault="00DC1888" w:rsidP="009A5140">
            <w:pPr>
              <w:pStyle w:val="COMTabletext"/>
              <w:keepLines/>
              <w:jc w:val="center"/>
            </w:pPr>
            <w:r w:rsidRPr="002106BA">
              <w:t>-</w:t>
            </w:r>
          </w:p>
        </w:tc>
        <w:tc>
          <w:tcPr>
            <w:tcW w:w="0" w:type="auto"/>
            <w:vAlign w:val="center"/>
          </w:tcPr>
          <w:p w14:paraId="0A5A302D" w14:textId="77777777" w:rsidR="00DC1888" w:rsidRPr="002106BA" w:rsidRDefault="00DC1888" w:rsidP="009A5140">
            <w:pPr>
              <w:pStyle w:val="COMTabletext"/>
              <w:keepLines/>
              <w:jc w:val="center"/>
            </w:pPr>
            <w:r w:rsidRPr="002106BA">
              <w:t>$995.67</w:t>
            </w:r>
          </w:p>
          <w:p w14:paraId="40F6D755" w14:textId="77777777" w:rsidR="00DC1888" w:rsidRPr="002106BA" w:rsidRDefault="00DC1888" w:rsidP="009A5140">
            <w:pPr>
              <w:pStyle w:val="COMTabletext"/>
              <w:keepLines/>
              <w:jc w:val="center"/>
            </w:pPr>
            <w:r w:rsidRPr="002106BA">
              <w:t>($118.90 per dose)</w:t>
            </w:r>
          </w:p>
        </w:tc>
        <w:tc>
          <w:tcPr>
            <w:tcW w:w="0" w:type="auto"/>
            <w:vAlign w:val="center"/>
          </w:tcPr>
          <w:p w14:paraId="58AFBF6E" w14:textId="77777777" w:rsidR="00DC1888" w:rsidRPr="002106BA" w:rsidRDefault="00DC1888" w:rsidP="009A5140">
            <w:pPr>
              <w:pStyle w:val="COMTabletext"/>
              <w:keepLines/>
            </w:pPr>
            <w:r w:rsidRPr="002106BA">
              <w:t>Administration of patisiran by intravenous infusion in a hospital, based on MBS item 13950: Parenteral administration of one or more antineoplastic agents (June 2024 MBS Schedule)</w:t>
            </w:r>
            <w:proofErr w:type="spellStart"/>
            <w:r w:rsidRPr="002106BA">
              <w:rPr>
                <w:vertAlign w:val="superscript"/>
              </w:rPr>
              <w:t>a,b</w:t>
            </w:r>
            <w:proofErr w:type="spellEnd"/>
            <w:r w:rsidRPr="002106BA">
              <w:t>. MBS fee at time of evaluation $123.05.</w:t>
            </w:r>
          </w:p>
        </w:tc>
      </w:tr>
      <w:tr w:rsidR="00DC1888" w:rsidRPr="002106BA" w14:paraId="4AA8C94D" w14:textId="77777777" w:rsidTr="002F09B3">
        <w:trPr>
          <w:tblHeader/>
        </w:trPr>
        <w:tc>
          <w:tcPr>
            <w:tcW w:w="0" w:type="auto"/>
            <w:gridSpan w:val="4"/>
            <w:vAlign w:val="center"/>
          </w:tcPr>
          <w:p w14:paraId="3299A056" w14:textId="77777777" w:rsidR="00DC1888" w:rsidRPr="002106BA" w:rsidRDefault="00DC1888" w:rsidP="009A5140">
            <w:pPr>
              <w:pStyle w:val="COMTabletext"/>
              <w:keepLines/>
              <w:ind w:left="-29" w:right="-61"/>
              <w:rPr>
                <w:b/>
                <w:bCs w:val="0"/>
              </w:rPr>
            </w:pPr>
            <w:r w:rsidRPr="002106BA">
              <w:rPr>
                <w:b/>
                <w:bCs w:val="0"/>
              </w:rPr>
              <w:t>Event costs</w:t>
            </w:r>
          </w:p>
        </w:tc>
      </w:tr>
      <w:tr w:rsidR="00DC1888" w:rsidRPr="002106BA" w14:paraId="6DDD0E25" w14:textId="77777777" w:rsidTr="002F09B3">
        <w:trPr>
          <w:trHeight w:val="70"/>
          <w:tblHeader/>
        </w:trPr>
        <w:tc>
          <w:tcPr>
            <w:tcW w:w="0" w:type="auto"/>
            <w:vAlign w:val="center"/>
          </w:tcPr>
          <w:p w14:paraId="483F6271" w14:textId="4790D60B" w:rsidR="00DC1888" w:rsidRPr="002106BA" w:rsidRDefault="00DC1888" w:rsidP="009A5140">
            <w:pPr>
              <w:pStyle w:val="COMTabletext"/>
              <w:keepLines/>
            </w:pPr>
            <w:bookmarkStart w:id="50" w:name="_Hlk182804833"/>
            <w:r w:rsidRPr="002106BA">
              <w:t xml:space="preserve">Serious treatment-related adverse events </w:t>
            </w:r>
          </w:p>
        </w:tc>
        <w:tc>
          <w:tcPr>
            <w:tcW w:w="0" w:type="auto"/>
            <w:vAlign w:val="center"/>
          </w:tcPr>
          <w:p w14:paraId="42B0703A" w14:textId="77777777" w:rsidR="00DC1888" w:rsidRPr="002106BA" w:rsidRDefault="00DC1888" w:rsidP="009A5140">
            <w:pPr>
              <w:pStyle w:val="COMTabletext"/>
              <w:keepLines/>
              <w:jc w:val="center"/>
            </w:pPr>
            <w:r w:rsidRPr="002106BA">
              <w:t>NA</w:t>
            </w:r>
          </w:p>
        </w:tc>
        <w:tc>
          <w:tcPr>
            <w:tcW w:w="0" w:type="auto"/>
            <w:vAlign w:val="center"/>
          </w:tcPr>
          <w:p w14:paraId="05CE3F7C" w14:textId="77777777" w:rsidR="00DC1888" w:rsidRPr="002106BA" w:rsidRDefault="00DC1888" w:rsidP="009A5140">
            <w:pPr>
              <w:pStyle w:val="COMTabletext"/>
              <w:keepLines/>
              <w:jc w:val="center"/>
            </w:pPr>
            <w:r w:rsidRPr="002106BA">
              <w:t>$148.41</w:t>
            </w:r>
          </w:p>
        </w:tc>
        <w:tc>
          <w:tcPr>
            <w:tcW w:w="0" w:type="auto"/>
            <w:vAlign w:val="center"/>
          </w:tcPr>
          <w:p w14:paraId="5466266D" w14:textId="315C50D7" w:rsidR="00DC1888" w:rsidRPr="002106BA" w:rsidRDefault="00DC1888" w:rsidP="009A5140">
            <w:pPr>
              <w:pStyle w:val="COMTabletext"/>
              <w:keepLines/>
            </w:pPr>
            <w:r w:rsidRPr="002106BA">
              <w:t>Based on the incidence of treatment-related serious adverse events occurring in ≥2% of patients in either arm of HELIOS-A (vutrisiran: no AEs; patisiran: infusion phlebitis [2.4%], infusion related reactions [7.1%] and infusion site cellulitis [4.8%]); converted to a 6-monthly risk. AR-DRG costs for infusion phlebitis (F63B, $2,003.34), infusion related reactions (Q61A, Q61B, Q61C; weighted by separations $2,727.36), infusion site cellulitis (T16B, $4,080.48).</w:t>
            </w:r>
          </w:p>
        </w:tc>
      </w:tr>
      <w:tr w:rsidR="00DC1888" w:rsidRPr="002106BA" w14:paraId="62546C5A" w14:textId="77777777" w:rsidTr="002F09B3">
        <w:trPr>
          <w:trHeight w:val="70"/>
          <w:tblHeader/>
        </w:trPr>
        <w:tc>
          <w:tcPr>
            <w:tcW w:w="0" w:type="auto"/>
            <w:vAlign w:val="center"/>
          </w:tcPr>
          <w:p w14:paraId="54748685" w14:textId="77777777" w:rsidR="00DC1888" w:rsidRPr="002106BA" w:rsidRDefault="00DC1888" w:rsidP="009A5140">
            <w:pPr>
              <w:pStyle w:val="COMTabletext"/>
              <w:keepLines/>
            </w:pPr>
            <w:bookmarkStart w:id="51" w:name="_Hlk182805026"/>
            <w:bookmarkEnd w:id="50"/>
            <w:r w:rsidRPr="002106BA">
              <w:t xml:space="preserve">End-of-life </w:t>
            </w:r>
            <w:proofErr w:type="spellStart"/>
            <w:r w:rsidRPr="002106BA">
              <w:t>costs</w:t>
            </w:r>
            <w:r w:rsidRPr="002106BA">
              <w:rPr>
                <w:vertAlign w:val="superscript"/>
              </w:rPr>
              <w:t>a</w:t>
            </w:r>
            <w:proofErr w:type="spellEnd"/>
          </w:p>
        </w:tc>
        <w:tc>
          <w:tcPr>
            <w:tcW w:w="0" w:type="auto"/>
            <w:vAlign w:val="center"/>
          </w:tcPr>
          <w:p w14:paraId="15597782" w14:textId="77777777" w:rsidR="00DC1888" w:rsidRPr="002106BA" w:rsidRDefault="00DC1888" w:rsidP="009A5140">
            <w:pPr>
              <w:pStyle w:val="COMTabletext"/>
              <w:keepLines/>
              <w:jc w:val="center"/>
            </w:pPr>
            <w:r w:rsidRPr="002106BA">
              <w:t>$134.81</w:t>
            </w:r>
          </w:p>
          <w:p w14:paraId="244A6BE1" w14:textId="77777777" w:rsidR="00DC1888" w:rsidRPr="002106BA" w:rsidRDefault="00DC1888" w:rsidP="009A5140">
            <w:pPr>
              <w:pStyle w:val="COMTabletext"/>
              <w:keepLines/>
              <w:jc w:val="center"/>
            </w:pPr>
            <w:r w:rsidRPr="002106BA">
              <w:t>($24,602.09 per event)</w:t>
            </w:r>
          </w:p>
        </w:tc>
        <w:tc>
          <w:tcPr>
            <w:tcW w:w="0" w:type="auto"/>
            <w:vAlign w:val="center"/>
          </w:tcPr>
          <w:p w14:paraId="56194C50" w14:textId="77777777" w:rsidR="00DC1888" w:rsidRPr="002106BA" w:rsidRDefault="00DC1888" w:rsidP="009A5140">
            <w:pPr>
              <w:pStyle w:val="COMTabletext"/>
              <w:keepLines/>
              <w:jc w:val="center"/>
            </w:pPr>
            <w:r w:rsidRPr="002106BA">
              <w:t>$134.81</w:t>
            </w:r>
          </w:p>
          <w:p w14:paraId="23916E09" w14:textId="77777777" w:rsidR="00DC1888" w:rsidRPr="002106BA" w:rsidRDefault="00DC1888" w:rsidP="009A5140">
            <w:pPr>
              <w:pStyle w:val="COMTabletext"/>
              <w:keepLines/>
              <w:jc w:val="center"/>
            </w:pPr>
            <w:r w:rsidRPr="002106BA">
              <w:t>($24,602.09 per event)</w:t>
            </w:r>
          </w:p>
        </w:tc>
        <w:tc>
          <w:tcPr>
            <w:tcW w:w="0" w:type="auto"/>
            <w:vAlign w:val="center"/>
          </w:tcPr>
          <w:p w14:paraId="1D370200" w14:textId="3D962325" w:rsidR="00DC1888" w:rsidRPr="002106BA" w:rsidRDefault="00DC1888" w:rsidP="009A5140">
            <w:pPr>
              <w:pStyle w:val="COMTabletext"/>
              <w:keepLines/>
              <w:rPr>
                <w:vertAlign w:val="superscript"/>
              </w:rPr>
            </w:pPr>
            <w:r w:rsidRPr="002106BA">
              <w:t xml:space="preserve">Applied to the proportion of patients that die in the model. Based on Reeve et al. (2017), a retrospective study of costs associated with treating Australian patients in their final six months of life, including hospitalisations, emergency department visits, prescription drugs, clinician visits, pathology, and procedures ($19,696.00), indexed to 2024 dollars using the </w:t>
            </w:r>
            <w:proofErr w:type="spellStart"/>
            <w:r w:rsidRPr="002106BA">
              <w:t>CPI.</w:t>
            </w:r>
            <w:r w:rsidRPr="002106BA">
              <w:rPr>
                <w:vertAlign w:val="superscript"/>
              </w:rPr>
              <w:t>c</w:t>
            </w:r>
            <w:proofErr w:type="spellEnd"/>
          </w:p>
        </w:tc>
      </w:tr>
    </w:tbl>
    <w:bookmarkEnd w:id="51"/>
    <w:p w14:paraId="5BCD94EE" w14:textId="77777777" w:rsidR="00DC1888" w:rsidRPr="002106BA" w:rsidRDefault="00DC1888" w:rsidP="009A5140">
      <w:pPr>
        <w:pStyle w:val="COMTablefooter"/>
        <w:keepNext/>
        <w:keepLines/>
      </w:pPr>
      <w:r w:rsidRPr="002106BA">
        <w:t>Source: Table 3.7, p74 of the submission.</w:t>
      </w:r>
    </w:p>
    <w:p w14:paraId="796FFBF0" w14:textId="000737C9" w:rsidR="00DC1888" w:rsidRPr="002106BA" w:rsidRDefault="00DC1888" w:rsidP="009A5140">
      <w:pPr>
        <w:pStyle w:val="COMTablefooter"/>
        <w:keepNext/>
        <w:keepLines/>
      </w:pPr>
      <w:r w:rsidRPr="002106BA">
        <w:t>Abbreviations: AEMP, approved ex-manufacturer price; AR-DRG, Australian Refined Diagnosis Related Group; CPI, consumer price index; MBS, Medicare Benefits Schedule; NA, not applicable; Q3M, once 3 monthly; Q3W, once 3 weekly.</w:t>
      </w:r>
    </w:p>
    <w:p w14:paraId="582126D7" w14:textId="7B09BC3C" w:rsidR="00DC1888" w:rsidRPr="002106BA" w:rsidRDefault="00DC1888" w:rsidP="009A5140">
      <w:pPr>
        <w:pStyle w:val="COMTablefooter"/>
        <w:keepNext/>
        <w:keepLines/>
      </w:pPr>
      <w:proofErr w:type="spellStart"/>
      <w:r w:rsidRPr="002106BA">
        <w:rPr>
          <w:vertAlign w:val="superscript"/>
        </w:rPr>
        <w:t>a</w:t>
      </w:r>
      <w:proofErr w:type="spellEnd"/>
      <w:r w:rsidRPr="002106BA">
        <w:rPr>
          <w:vertAlign w:val="superscript"/>
        </w:rPr>
        <w:t xml:space="preserve"> </w:t>
      </w:r>
      <w:r w:rsidRPr="002106BA">
        <w:t xml:space="preserve">Sources and methods as previously considered by the PBAC </w:t>
      </w:r>
      <w:r w:rsidR="002F09B3" w:rsidRPr="002106BA">
        <w:t xml:space="preserve">for patisiran </w:t>
      </w:r>
      <w:r w:rsidRPr="002106BA">
        <w:t>(para</w:t>
      </w:r>
      <w:r w:rsidR="00E21D44">
        <w:t>gr</w:t>
      </w:r>
      <w:r w:rsidR="005D48E0">
        <w:t>a</w:t>
      </w:r>
      <w:r w:rsidR="00E21D44">
        <w:t>ph</w:t>
      </w:r>
      <w:r w:rsidRPr="002106BA">
        <w:t xml:space="preserve"> 6.48, Patisiran PSD, July 2023 PBAC meeting).</w:t>
      </w:r>
    </w:p>
    <w:p w14:paraId="0ADBDB4D" w14:textId="7C8B00D0" w:rsidR="00DC1888" w:rsidRPr="002106BA" w:rsidRDefault="00DC1888" w:rsidP="009A5140">
      <w:pPr>
        <w:pStyle w:val="COMTablefooter"/>
        <w:keepNext/>
        <w:keepLines/>
      </w:pPr>
      <w:r w:rsidRPr="002106BA">
        <w:rPr>
          <w:vertAlign w:val="superscript"/>
        </w:rPr>
        <w:t>b</w:t>
      </w:r>
      <w:r w:rsidRPr="002106BA">
        <w:t xml:space="preserve"> DUSC previously considered that MBS item 13950 was not reasonable, given that patisiran is not an antineoplastic agent (Table 15, patisiran PSD, July 2023 PBAC meeting). However, patisiran administration costs had a minimal impact on the cost minimisation. </w:t>
      </w:r>
    </w:p>
    <w:p w14:paraId="2F78E09B" w14:textId="6BA4A3C6" w:rsidR="00DC1888" w:rsidRPr="002106BA" w:rsidRDefault="00DC1888" w:rsidP="00DC1888">
      <w:pPr>
        <w:pStyle w:val="COMTablefooter"/>
      </w:pPr>
      <w:r w:rsidRPr="002106BA">
        <w:rPr>
          <w:vertAlign w:val="superscript"/>
        </w:rPr>
        <w:t xml:space="preserve">c </w:t>
      </w:r>
      <w:r w:rsidRPr="002106BA">
        <w:t>Use of the CPI to inflate costs was inconsistent with the PBAC Guidelines which recommend the AIHW total health price index.</w:t>
      </w:r>
    </w:p>
    <w:p w14:paraId="46F9EFE5" w14:textId="0A4B06A6" w:rsidR="005A63D6" w:rsidRPr="002106BA" w:rsidRDefault="005A63D6" w:rsidP="00517A9A">
      <w:pPr>
        <w:pStyle w:val="COMexecsummnumbered"/>
        <w:spacing w:before="120"/>
      </w:pPr>
      <w:r w:rsidRPr="002106BA">
        <w:t xml:space="preserve">Costs were included based on the incidence of treatment-related serious adverse events occurring in ≥2% of patients in either arm of HELIOS-A (vutrisiran: no AEs; </w:t>
      </w:r>
      <w:r w:rsidRPr="002106BA">
        <w:lastRenderedPageBreak/>
        <w:t>patisiran: infusion phlebitis [2.4%], infusion related reactions [7.1%] and infusion site cellulitis [4.8%]); converted to a 6-monthly risk.</w:t>
      </w:r>
    </w:p>
    <w:p w14:paraId="4B4D66A9" w14:textId="1359D785" w:rsidR="00DC1888" w:rsidRPr="002106BA" w:rsidRDefault="005A63D6" w:rsidP="00517A9A">
      <w:pPr>
        <w:pStyle w:val="COMexecsummnumbered"/>
        <w:spacing w:before="120"/>
      </w:pPr>
      <w:r w:rsidRPr="002106BA">
        <w:t xml:space="preserve">End-of-life costs were included in the model, based on Reeve et al. (2017), a retrospective study of costs associated with treating Australian patients in their final six months of life, including hospitalisations, emergency department visits, prescription drugs, clinician visits, pathology, and procedures, indexed to 2024 dollars using the CPI. </w:t>
      </w:r>
      <w:r w:rsidR="00DC1888" w:rsidRPr="002106BA">
        <w:t>The inclusion of mortality/end-of-life care costs in the cost minimisation was not adequately justified, given the assumption of no difference between treatment arms.</w:t>
      </w:r>
    </w:p>
    <w:p w14:paraId="73683EC1" w14:textId="77777777" w:rsidR="00DC1888" w:rsidRPr="002106BA" w:rsidRDefault="00DC1888" w:rsidP="00517A9A">
      <w:pPr>
        <w:pStyle w:val="COMexecsummnumbered"/>
        <w:spacing w:before="120"/>
      </w:pPr>
      <w:r w:rsidRPr="002106BA">
        <w:t>The costs used in the cost minimisation model are uncertain for the following reasons:</w:t>
      </w:r>
    </w:p>
    <w:p w14:paraId="013C5865" w14:textId="49888A81" w:rsidR="00DC1888" w:rsidRPr="002106BA" w:rsidRDefault="00DC1888" w:rsidP="00517A9A">
      <w:pPr>
        <w:pStyle w:val="COMexecsummbulletlist"/>
        <w:spacing w:before="120"/>
        <w:rPr>
          <w:rFonts w:eastAsiaTheme="minorHAnsi"/>
        </w:rPr>
      </w:pPr>
      <w:r w:rsidRPr="002106BA">
        <w:rPr>
          <w:rFonts w:eastAsiaTheme="minorHAnsi"/>
        </w:rPr>
        <w:t xml:space="preserve">Costs associated with patisiran were dependent on estimates of treatment persistence, patient weight distribution and the incidence of serious adverse events derived from the small patisiran reference arm in the HELIOS-A </w:t>
      </w:r>
      <w:r w:rsidR="005E6F41" w:rsidRPr="002106BA">
        <w:rPr>
          <w:rFonts w:eastAsiaTheme="minorHAnsi"/>
        </w:rPr>
        <w:t xml:space="preserve">study </w:t>
      </w:r>
      <w:r w:rsidRPr="002106BA">
        <w:rPr>
          <w:rFonts w:eastAsiaTheme="minorHAnsi"/>
        </w:rPr>
        <w:t>(N=42); which may not provide robust estimates.</w:t>
      </w:r>
    </w:p>
    <w:p w14:paraId="0317CBEC" w14:textId="321F0DB5" w:rsidR="00DC1888" w:rsidRPr="002106BA" w:rsidRDefault="00DC1888" w:rsidP="00517A9A">
      <w:pPr>
        <w:pStyle w:val="COMexecsummbulletlist"/>
        <w:spacing w:before="120"/>
        <w:rPr>
          <w:rFonts w:eastAsiaTheme="minorHAnsi"/>
        </w:rPr>
      </w:pPr>
      <w:r w:rsidRPr="002106BA">
        <w:rPr>
          <w:rFonts w:eastAsiaTheme="minorHAnsi"/>
        </w:rPr>
        <w:t xml:space="preserve">In HELIOS-A, larger proportions of patients treated with patisiran (42.9%) experienced delayed or missed doses due to COVID-19, compared to vutrisiran (13.9%). </w:t>
      </w:r>
    </w:p>
    <w:p w14:paraId="42F6DD2D" w14:textId="77777777" w:rsidR="00DC1888" w:rsidRPr="002106BA" w:rsidRDefault="00DC1888" w:rsidP="00517A9A">
      <w:pPr>
        <w:pStyle w:val="COMexecsummbulletlist"/>
        <w:spacing w:before="120"/>
        <w:rPr>
          <w:rFonts w:eastAsiaTheme="minorHAnsi"/>
        </w:rPr>
      </w:pPr>
      <w:r w:rsidRPr="002106BA">
        <w:rPr>
          <w:rFonts w:eastAsiaTheme="minorHAnsi"/>
        </w:rPr>
        <w:t>The use of selected oral PBS medicines in the estimated costs of premedication was not adequately justified. Costs may be higher than estimated if recommended intravenous formulations of corticosteroids, and H1/H2 blockers are used.</w:t>
      </w:r>
    </w:p>
    <w:p w14:paraId="138FCE6B" w14:textId="049788EE" w:rsidR="00DC1888" w:rsidRPr="002106BA" w:rsidRDefault="00DC1888" w:rsidP="00517A9A">
      <w:pPr>
        <w:pStyle w:val="COMexecsummnumbered"/>
        <w:spacing w:before="120"/>
      </w:pPr>
      <w:r w:rsidRPr="002106BA">
        <w:fldChar w:fldCharType="begin"/>
      </w:r>
      <w:r w:rsidRPr="002106BA">
        <w:instrText xml:space="preserve"> REF _Ref174960645 \h </w:instrText>
      </w:r>
      <w:r w:rsidR="00364566" w:rsidRPr="002106BA">
        <w:instrText xml:space="preserve"> \* MERGEFORMAT </w:instrText>
      </w:r>
      <w:r w:rsidRPr="002106BA">
        <w:fldChar w:fldCharType="separate"/>
      </w:r>
      <w:r w:rsidR="00DB6E9D" w:rsidRPr="002106BA">
        <w:t xml:space="preserve">Table </w:t>
      </w:r>
      <w:r w:rsidR="00DB6E9D">
        <w:t>11</w:t>
      </w:r>
      <w:r w:rsidRPr="002106BA">
        <w:fldChar w:fldCharType="end"/>
      </w:r>
      <w:r w:rsidRPr="002106BA">
        <w:t xml:space="preserve"> presents the results of the cost minimisation of vutrisiran versus patisiran.</w:t>
      </w:r>
    </w:p>
    <w:p w14:paraId="0EEE998B" w14:textId="253D5D50" w:rsidR="00DC1888" w:rsidRPr="002106BA" w:rsidRDefault="00DC1888" w:rsidP="00DC1888">
      <w:pPr>
        <w:pStyle w:val="Caption"/>
      </w:pPr>
      <w:bookmarkStart w:id="52" w:name="_Ref174960645"/>
      <w:r w:rsidRPr="002106BA">
        <w:t xml:space="preserve">Table </w:t>
      </w:r>
      <w:r w:rsidR="0027304F">
        <w:fldChar w:fldCharType="begin"/>
      </w:r>
      <w:r w:rsidR="0027304F">
        <w:instrText xml:space="preserve"> SEQ Table \* ARABIC </w:instrText>
      </w:r>
      <w:r w:rsidR="0027304F">
        <w:fldChar w:fldCharType="separate"/>
      </w:r>
      <w:r w:rsidR="00DB6E9D">
        <w:rPr>
          <w:noProof/>
        </w:rPr>
        <w:t>11</w:t>
      </w:r>
      <w:r w:rsidR="0027304F">
        <w:fldChar w:fldCharType="end"/>
      </w:r>
      <w:bookmarkEnd w:id="52"/>
      <w:r w:rsidRPr="002106BA">
        <w:t>: Results of the cost-minimisation approach over 18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78"/>
        <w:gridCol w:w="1779"/>
        <w:gridCol w:w="1779"/>
      </w:tblGrid>
      <w:tr w:rsidR="00DC1888" w:rsidRPr="002106BA" w14:paraId="09D32E2F" w14:textId="77777777" w:rsidTr="00715D09">
        <w:tc>
          <w:tcPr>
            <w:tcW w:w="3681" w:type="dxa"/>
          </w:tcPr>
          <w:p w14:paraId="72852596" w14:textId="77777777" w:rsidR="00DC1888" w:rsidRPr="002106BA" w:rsidRDefault="00DC1888" w:rsidP="00715D09">
            <w:pPr>
              <w:pStyle w:val="COMTableheadingrow"/>
              <w:rPr>
                <w:lang w:val="en-AU"/>
              </w:rPr>
            </w:pPr>
            <w:r w:rsidRPr="002106BA">
              <w:rPr>
                <w:lang w:val="en-AU"/>
              </w:rPr>
              <w:t>Component</w:t>
            </w:r>
          </w:p>
        </w:tc>
        <w:tc>
          <w:tcPr>
            <w:tcW w:w="1778" w:type="dxa"/>
          </w:tcPr>
          <w:p w14:paraId="78FFDF41" w14:textId="77777777" w:rsidR="00DC1888" w:rsidRPr="002106BA" w:rsidRDefault="00DC1888" w:rsidP="00715D09">
            <w:pPr>
              <w:pStyle w:val="COMTableheadingrow"/>
              <w:jc w:val="center"/>
              <w:rPr>
                <w:lang w:val="en-AU"/>
              </w:rPr>
            </w:pPr>
            <w:r w:rsidRPr="002106BA">
              <w:rPr>
                <w:lang w:val="en-AU"/>
              </w:rPr>
              <w:t>Vutrisiran</w:t>
            </w:r>
          </w:p>
        </w:tc>
        <w:tc>
          <w:tcPr>
            <w:tcW w:w="1779" w:type="dxa"/>
          </w:tcPr>
          <w:p w14:paraId="0B24B2E2" w14:textId="77777777" w:rsidR="00DC1888" w:rsidRPr="002106BA" w:rsidRDefault="00DC1888" w:rsidP="00715D09">
            <w:pPr>
              <w:pStyle w:val="COMTableheadingrow"/>
              <w:jc w:val="center"/>
              <w:rPr>
                <w:lang w:val="en-AU"/>
              </w:rPr>
            </w:pPr>
            <w:r w:rsidRPr="002106BA">
              <w:rPr>
                <w:lang w:val="en-AU"/>
              </w:rPr>
              <w:t>Patisiran</w:t>
            </w:r>
          </w:p>
        </w:tc>
        <w:tc>
          <w:tcPr>
            <w:tcW w:w="1779" w:type="dxa"/>
          </w:tcPr>
          <w:p w14:paraId="19EF3BBB" w14:textId="77777777" w:rsidR="00DC1888" w:rsidRPr="002106BA" w:rsidRDefault="00DC1888" w:rsidP="00715D09">
            <w:pPr>
              <w:pStyle w:val="COMTableheadingrow"/>
              <w:jc w:val="center"/>
              <w:rPr>
                <w:lang w:val="en-AU"/>
              </w:rPr>
            </w:pPr>
            <w:r w:rsidRPr="002106BA">
              <w:rPr>
                <w:lang w:val="en-AU"/>
              </w:rPr>
              <w:t>Incremental costs</w:t>
            </w:r>
          </w:p>
        </w:tc>
      </w:tr>
      <w:tr w:rsidR="00DC1888" w:rsidRPr="002106BA" w14:paraId="6EA59A01" w14:textId="77777777" w:rsidTr="00715D09">
        <w:tc>
          <w:tcPr>
            <w:tcW w:w="3681" w:type="dxa"/>
          </w:tcPr>
          <w:p w14:paraId="059F6BDD" w14:textId="77777777" w:rsidR="00DC1888" w:rsidRPr="002106BA" w:rsidRDefault="00DC1888" w:rsidP="00715D09">
            <w:pPr>
              <w:pStyle w:val="COMTabletext"/>
            </w:pPr>
            <w:r w:rsidRPr="002106BA">
              <w:t xml:space="preserve">Drug costs </w:t>
            </w:r>
          </w:p>
        </w:tc>
        <w:tc>
          <w:tcPr>
            <w:tcW w:w="1778" w:type="dxa"/>
          </w:tcPr>
          <w:p w14:paraId="4FF9A5E5" w14:textId="4DFF5C5F" w:rsidR="00DC1888" w:rsidRPr="002106BA" w:rsidRDefault="00DC1888" w:rsidP="00715D09">
            <w:pPr>
              <w:pStyle w:val="COMTabletext"/>
              <w:jc w:val="center"/>
            </w:pPr>
            <w:r w:rsidRPr="002106BA">
              <w:t>$</w:t>
            </w:r>
            <w:r w:rsidR="00DD7F0E" w:rsidRPr="00DD7F0E">
              <w:rPr>
                <w:color w:val="000000"/>
                <w:shd w:val="solid" w:color="000000" w:fill="000000"/>
                <w14:textFill>
                  <w14:solidFill>
                    <w14:srgbClr w14:val="000000">
                      <w14:alpha w14:val="100000"/>
                    </w14:srgbClr>
                  </w14:solidFill>
                </w14:textFill>
              </w:rPr>
              <w:t>|</w:t>
            </w:r>
          </w:p>
        </w:tc>
        <w:tc>
          <w:tcPr>
            <w:tcW w:w="1779" w:type="dxa"/>
          </w:tcPr>
          <w:p w14:paraId="375E2D44" w14:textId="4351A2D3" w:rsidR="00DC1888" w:rsidRPr="002106BA" w:rsidRDefault="00DC1888" w:rsidP="00715D09">
            <w:pPr>
              <w:pStyle w:val="COMTabletext"/>
              <w:jc w:val="center"/>
            </w:pPr>
            <w:r w:rsidRPr="002106BA">
              <w:t>$</w:t>
            </w:r>
            <w:r w:rsidR="00DD7F0E" w:rsidRPr="00DD7F0E">
              <w:rPr>
                <w:color w:val="000000"/>
                <w:shd w:val="solid" w:color="000000" w:fill="000000"/>
                <w14:textFill>
                  <w14:solidFill>
                    <w14:srgbClr w14:val="000000">
                      <w14:alpha w14:val="100000"/>
                    </w14:srgbClr>
                  </w14:solidFill>
                </w14:textFill>
              </w:rPr>
              <w:t>|</w:t>
            </w:r>
          </w:p>
        </w:tc>
        <w:tc>
          <w:tcPr>
            <w:tcW w:w="1779" w:type="dxa"/>
          </w:tcPr>
          <w:p w14:paraId="32FB52D6" w14:textId="2C3512B4" w:rsidR="00DC1888" w:rsidRPr="002106BA" w:rsidRDefault="00DC1888" w:rsidP="00715D09">
            <w:pPr>
              <w:pStyle w:val="COMTabletext"/>
              <w:jc w:val="center"/>
            </w:pPr>
            <w:r w:rsidRPr="002106BA">
              <w:t>$</w:t>
            </w:r>
            <w:r w:rsidR="00DD7F0E" w:rsidRPr="00DD7F0E">
              <w:rPr>
                <w:color w:val="000000"/>
                <w:shd w:val="solid" w:color="000000" w:fill="000000"/>
                <w14:textFill>
                  <w14:solidFill>
                    <w14:srgbClr w14:val="000000">
                      <w14:alpha w14:val="100000"/>
                    </w14:srgbClr>
                  </w14:solidFill>
                </w14:textFill>
              </w:rPr>
              <w:t>|</w:t>
            </w:r>
          </w:p>
        </w:tc>
      </w:tr>
      <w:tr w:rsidR="00DC1888" w:rsidRPr="002106BA" w14:paraId="3202AE86" w14:textId="77777777" w:rsidTr="00715D09">
        <w:tc>
          <w:tcPr>
            <w:tcW w:w="3681" w:type="dxa"/>
          </w:tcPr>
          <w:p w14:paraId="62121664" w14:textId="77777777" w:rsidR="00DC1888" w:rsidRPr="002106BA" w:rsidRDefault="00DC1888" w:rsidP="00715D09">
            <w:pPr>
              <w:pStyle w:val="COMTabletext"/>
            </w:pPr>
            <w:r w:rsidRPr="002106BA">
              <w:t>Administration costs</w:t>
            </w:r>
          </w:p>
        </w:tc>
        <w:tc>
          <w:tcPr>
            <w:tcW w:w="1778" w:type="dxa"/>
          </w:tcPr>
          <w:p w14:paraId="6AF1E83F" w14:textId="77777777" w:rsidR="00DC1888" w:rsidRPr="002106BA" w:rsidRDefault="00DC1888" w:rsidP="00715D09">
            <w:pPr>
              <w:pStyle w:val="COMTabletext"/>
              <w:jc w:val="center"/>
            </w:pPr>
            <w:r w:rsidRPr="002106BA">
              <w:t>$495</w:t>
            </w:r>
          </w:p>
        </w:tc>
        <w:tc>
          <w:tcPr>
            <w:tcW w:w="1779" w:type="dxa"/>
          </w:tcPr>
          <w:p w14:paraId="5D67A4A2" w14:textId="77777777" w:rsidR="00DC1888" w:rsidRPr="002106BA" w:rsidRDefault="00DC1888" w:rsidP="00715D09">
            <w:pPr>
              <w:pStyle w:val="COMTabletext"/>
              <w:jc w:val="center"/>
            </w:pPr>
            <w:r w:rsidRPr="002106BA">
              <w:t>$2,930</w:t>
            </w:r>
          </w:p>
        </w:tc>
        <w:tc>
          <w:tcPr>
            <w:tcW w:w="1779" w:type="dxa"/>
          </w:tcPr>
          <w:p w14:paraId="6C23BC7B" w14:textId="77777777" w:rsidR="00DC1888" w:rsidRPr="002106BA" w:rsidRDefault="00DC1888" w:rsidP="00715D09">
            <w:pPr>
              <w:pStyle w:val="COMTabletext"/>
              <w:jc w:val="center"/>
            </w:pPr>
            <w:r w:rsidRPr="002106BA">
              <w:t>-$2,435</w:t>
            </w:r>
          </w:p>
        </w:tc>
      </w:tr>
      <w:tr w:rsidR="00DC1888" w:rsidRPr="002106BA" w14:paraId="37C43C55" w14:textId="77777777" w:rsidTr="00715D09">
        <w:tc>
          <w:tcPr>
            <w:tcW w:w="3681" w:type="dxa"/>
          </w:tcPr>
          <w:p w14:paraId="2BEE1DA0" w14:textId="77777777" w:rsidR="00DC1888" w:rsidRPr="002106BA" w:rsidRDefault="00DC1888" w:rsidP="00715D09">
            <w:pPr>
              <w:pStyle w:val="COMTabletext"/>
            </w:pPr>
            <w:r w:rsidRPr="002106BA">
              <w:t>Premedication costs</w:t>
            </w:r>
          </w:p>
        </w:tc>
        <w:tc>
          <w:tcPr>
            <w:tcW w:w="1778" w:type="dxa"/>
          </w:tcPr>
          <w:p w14:paraId="68F35FE2" w14:textId="77777777" w:rsidR="00DC1888" w:rsidRPr="002106BA" w:rsidRDefault="00DC1888" w:rsidP="00715D09">
            <w:pPr>
              <w:pStyle w:val="COMTabletext"/>
              <w:jc w:val="center"/>
            </w:pPr>
            <w:r w:rsidRPr="002106BA">
              <w:t>$0</w:t>
            </w:r>
          </w:p>
        </w:tc>
        <w:tc>
          <w:tcPr>
            <w:tcW w:w="1779" w:type="dxa"/>
          </w:tcPr>
          <w:p w14:paraId="5BB25C5B" w14:textId="77777777" w:rsidR="00DC1888" w:rsidRPr="002106BA" w:rsidRDefault="00DC1888" w:rsidP="00715D09">
            <w:pPr>
              <w:pStyle w:val="COMTabletext"/>
              <w:jc w:val="center"/>
            </w:pPr>
            <w:r w:rsidRPr="002106BA">
              <w:t>$73</w:t>
            </w:r>
          </w:p>
        </w:tc>
        <w:tc>
          <w:tcPr>
            <w:tcW w:w="1779" w:type="dxa"/>
          </w:tcPr>
          <w:p w14:paraId="648E078B" w14:textId="77777777" w:rsidR="00DC1888" w:rsidRPr="002106BA" w:rsidRDefault="00DC1888" w:rsidP="00715D09">
            <w:pPr>
              <w:pStyle w:val="COMTabletext"/>
              <w:jc w:val="center"/>
            </w:pPr>
            <w:r w:rsidRPr="002106BA">
              <w:t>-$73</w:t>
            </w:r>
          </w:p>
        </w:tc>
      </w:tr>
      <w:tr w:rsidR="00DC1888" w:rsidRPr="002106BA" w14:paraId="24D50FC6" w14:textId="77777777" w:rsidTr="00715D09">
        <w:tc>
          <w:tcPr>
            <w:tcW w:w="3681" w:type="dxa"/>
          </w:tcPr>
          <w:p w14:paraId="7E4B64BD" w14:textId="77777777" w:rsidR="00DC1888" w:rsidRPr="002106BA" w:rsidRDefault="00DC1888" w:rsidP="00715D09">
            <w:pPr>
              <w:pStyle w:val="COMTabletext"/>
            </w:pPr>
            <w:r w:rsidRPr="002106BA">
              <w:t>Infusion related adverse events</w:t>
            </w:r>
          </w:p>
        </w:tc>
        <w:tc>
          <w:tcPr>
            <w:tcW w:w="1778" w:type="dxa"/>
          </w:tcPr>
          <w:p w14:paraId="2D649B06" w14:textId="77777777" w:rsidR="00DC1888" w:rsidRPr="002106BA" w:rsidRDefault="00DC1888" w:rsidP="00715D09">
            <w:pPr>
              <w:pStyle w:val="COMTabletext"/>
              <w:jc w:val="center"/>
            </w:pPr>
            <w:r w:rsidRPr="002106BA">
              <w:t>$0</w:t>
            </w:r>
          </w:p>
        </w:tc>
        <w:tc>
          <w:tcPr>
            <w:tcW w:w="1779" w:type="dxa"/>
          </w:tcPr>
          <w:p w14:paraId="079C1278" w14:textId="77777777" w:rsidR="00DC1888" w:rsidRPr="002106BA" w:rsidRDefault="00DC1888" w:rsidP="00715D09">
            <w:pPr>
              <w:pStyle w:val="COMTabletext"/>
              <w:jc w:val="center"/>
            </w:pPr>
            <w:r w:rsidRPr="002106BA">
              <w:t>$437</w:t>
            </w:r>
          </w:p>
        </w:tc>
        <w:tc>
          <w:tcPr>
            <w:tcW w:w="1779" w:type="dxa"/>
          </w:tcPr>
          <w:p w14:paraId="097D3E8B" w14:textId="77777777" w:rsidR="00DC1888" w:rsidRPr="002106BA" w:rsidRDefault="00DC1888" w:rsidP="00715D09">
            <w:pPr>
              <w:pStyle w:val="COMTabletext"/>
              <w:jc w:val="center"/>
            </w:pPr>
            <w:r w:rsidRPr="002106BA">
              <w:t>-$437</w:t>
            </w:r>
          </w:p>
        </w:tc>
      </w:tr>
      <w:tr w:rsidR="00DC1888" w:rsidRPr="002106BA" w14:paraId="6EB10647" w14:textId="77777777" w:rsidTr="00715D09">
        <w:tc>
          <w:tcPr>
            <w:tcW w:w="3681" w:type="dxa"/>
          </w:tcPr>
          <w:p w14:paraId="1CCAD807" w14:textId="77777777" w:rsidR="00DC1888" w:rsidRPr="002106BA" w:rsidRDefault="00DC1888" w:rsidP="00715D09">
            <w:pPr>
              <w:pStyle w:val="COMTabletext"/>
            </w:pPr>
            <w:r w:rsidRPr="002106BA">
              <w:t>End-of-life care related costs</w:t>
            </w:r>
          </w:p>
        </w:tc>
        <w:tc>
          <w:tcPr>
            <w:tcW w:w="1778" w:type="dxa"/>
          </w:tcPr>
          <w:p w14:paraId="2CCE47C1" w14:textId="77777777" w:rsidR="00DC1888" w:rsidRPr="002106BA" w:rsidRDefault="00DC1888" w:rsidP="00715D09">
            <w:pPr>
              <w:pStyle w:val="COMTabletext"/>
              <w:jc w:val="center"/>
            </w:pPr>
            <w:r w:rsidRPr="002106BA">
              <w:t>$336</w:t>
            </w:r>
          </w:p>
        </w:tc>
        <w:tc>
          <w:tcPr>
            <w:tcW w:w="1779" w:type="dxa"/>
          </w:tcPr>
          <w:p w14:paraId="00A38E56" w14:textId="77777777" w:rsidR="00DC1888" w:rsidRPr="002106BA" w:rsidRDefault="00DC1888" w:rsidP="00715D09">
            <w:pPr>
              <w:pStyle w:val="COMTabletext"/>
              <w:jc w:val="center"/>
            </w:pPr>
            <w:r w:rsidRPr="002106BA">
              <w:t>$336</w:t>
            </w:r>
          </w:p>
        </w:tc>
        <w:tc>
          <w:tcPr>
            <w:tcW w:w="1779" w:type="dxa"/>
          </w:tcPr>
          <w:p w14:paraId="1D9816D7" w14:textId="77777777" w:rsidR="00DC1888" w:rsidRPr="002106BA" w:rsidRDefault="00DC1888" w:rsidP="00715D09">
            <w:pPr>
              <w:pStyle w:val="COMTabletext"/>
              <w:jc w:val="center"/>
            </w:pPr>
            <w:r w:rsidRPr="002106BA">
              <w:t>0</w:t>
            </w:r>
          </w:p>
        </w:tc>
      </w:tr>
      <w:tr w:rsidR="00DC1888" w:rsidRPr="002106BA" w14:paraId="6A55548E" w14:textId="77777777" w:rsidTr="00715D09">
        <w:tc>
          <w:tcPr>
            <w:tcW w:w="3681" w:type="dxa"/>
          </w:tcPr>
          <w:p w14:paraId="184AC4C6" w14:textId="77777777" w:rsidR="00DC1888" w:rsidRPr="002106BA" w:rsidRDefault="00DC1888" w:rsidP="00715D09">
            <w:pPr>
              <w:pStyle w:val="COMTabletext"/>
              <w:rPr>
                <w:b/>
                <w:bCs w:val="0"/>
              </w:rPr>
            </w:pPr>
            <w:r w:rsidRPr="002106BA">
              <w:rPr>
                <w:b/>
                <w:bCs w:val="0"/>
              </w:rPr>
              <w:t>Total</w:t>
            </w:r>
          </w:p>
        </w:tc>
        <w:tc>
          <w:tcPr>
            <w:tcW w:w="1778" w:type="dxa"/>
          </w:tcPr>
          <w:p w14:paraId="076B9C40" w14:textId="270B7988" w:rsidR="00DC1888" w:rsidRPr="002106BA" w:rsidRDefault="00DC1888" w:rsidP="00715D09">
            <w:pPr>
              <w:pStyle w:val="COMTabletext"/>
              <w:jc w:val="center"/>
              <w:rPr>
                <w:b/>
                <w:bCs w:val="0"/>
              </w:rPr>
            </w:pPr>
            <w:r w:rsidRPr="002106BA">
              <w:rPr>
                <w:b/>
                <w:bCs w:val="0"/>
              </w:rPr>
              <w:t>$</w:t>
            </w:r>
            <w:r w:rsidR="00DD7F0E" w:rsidRPr="00DD7F0E">
              <w:rPr>
                <w:b/>
                <w:bCs w:val="0"/>
                <w:color w:val="000000"/>
                <w:shd w:val="solid" w:color="000000" w:fill="000000"/>
                <w14:textFill>
                  <w14:solidFill>
                    <w14:srgbClr w14:val="000000">
                      <w14:alpha w14:val="100000"/>
                    </w14:srgbClr>
                  </w14:solidFill>
                </w14:textFill>
              </w:rPr>
              <w:t>|</w:t>
            </w:r>
          </w:p>
        </w:tc>
        <w:tc>
          <w:tcPr>
            <w:tcW w:w="1779" w:type="dxa"/>
          </w:tcPr>
          <w:p w14:paraId="4655FF31" w14:textId="11B6BCE5" w:rsidR="00DC1888" w:rsidRPr="002106BA" w:rsidRDefault="00DC1888" w:rsidP="00715D09">
            <w:pPr>
              <w:pStyle w:val="COMTabletext"/>
              <w:jc w:val="center"/>
              <w:rPr>
                <w:b/>
                <w:bCs w:val="0"/>
              </w:rPr>
            </w:pPr>
            <w:r w:rsidRPr="002106BA">
              <w:rPr>
                <w:b/>
                <w:bCs w:val="0"/>
              </w:rPr>
              <w:t>$</w:t>
            </w:r>
            <w:r w:rsidR="00DD7F0E" w:rsidRPr="00DD7F0E">
              <w:rPr>
                <w:b/>
                <w:bCs w:val="0"/>
                <w:color w:val="000000"/>
                <w:shd w:val="solid" w:color="000000" w:fill="000000"/>
                <w14:textFill>
                  <w14:solidFill>
                    <w14:srgbClr w14:val="000000">
                      <w14:alpha w14:val="100000"/>
                    </w14:srgbClr>
                  </w14:solidFill>
                </w14:textFill>
              </w:rPr>
              <w:t>|</w:t>
            </w:r>
          </w:p>
        </w:tc>
        <w:tc>
          <w:tcPr>
            <w:tcW w:w="1779" w:type="dxa"/>
          </w:tcPr>
          <w:p w14:paraId="6C2BE0A0" w14:textId="1C6BAB1B" w:rsidR="00DC1888" w:rsidRPr="002106BA" w:rsidRDefault="00DC1888" w:rsidP="00715D09">
            <w:pPr>
              <w:pStyle w:val="COMTabletext"/>
              <w:jc w:val="center"/>
              <w:rPr>
                <w:b/>
                <w:bCs w:val="0"/>
              </w:rPr>
            </w:pPr>
            <w:r w:rsidRPr="002106BA">
              <w:rPr>
                <w:b/>
                <w:bCs w:val="0"/>
              </w:rPr>
              <w:t>-$</w:t>
            </w:r>
            <w:r w:rsidR="00DD7F0E" w:rsidRPr="00DD7F0E">
              <w:rPr>
                <w:b/>
                <w:bCs w:val="0"/>
                <w:color w:val="000000"/>
                <w:shd w:val="solid" w:color="000000" w:fill="000000"/>
                <w14:textFill>
                  <w14:solidFill>
                    <w14:srgbClr w14:val="000000">
                      <w14:alpha w14:val="100000"/>
                    </w14:srgbClr>
                  </w14:solidFill>
                </w14:textFill>
              </w:rPr>
              <w:t>|</w:t>
            </w:r>
          </w:p>
        </w:tc>
      </w:tr>
    </w:tbl>
    <w:p w14:paraId="6699C44B" w14:textId="77777777" w:rsidR="00DC1888" w:rsidRPr="002106BA" w:rsidRDefault="00DC1888" w:rsidP="00DC1888">
      <w:pPr>
        <w:pStyle w:val="COMTablefooter"/>
      </w:pPr>
      <w:r w:rsidRPr="002106BA">
        <w:t>Source: Table 3.10, p77 of the submission.</w:t>
      </w:r>
    </w:p>
    <w:p w14:paraId="340C62FD" w14:textId="22CE1999" w:rsidR="00DC1888" w:rsidRPr="002106BA" w:rsidRDefault="00DC1888" w:rsidP="00DC1888">
      <w:pPr>
        <w:pStyle w:val="COMexecsummnumbered"/>
      </w:pPr>
      <w:r w:rsidRPr="002106BA">
        <w:t>Based on the proposed effective vutrisiran AEMP of $</w:t>
      </w:r>
      <w:r w:rsidR="00DD7F0E" w:rsidRPr="00DD7F0E">
        <w:rPr>
          <w:color w:val="000000"/>
          <w:w w:val="61"/>
          <w:shd w:val="solid" w:color="000000" w:fill="000000"/>
          <w:fitText w:val="474" w:id="-761617399"/>
          <w14:textFill>
            <w14:solidFill>
              <w14:srgbClr w14:val="000000">
                <w14:alpha w14:val="100000"/>
              </w14:srgbClr>
            </w14:solidFill>
          </w14:textFill>
        </w:rPr>
        <w:t>|||  ||</w:t>
      </w:r>
      <w:r w:rsidR="00DD7F0E" w:rsidRPr="00DD7F0E">
        <w:rPr>
          <w:color w:val="000000"/>
          <w:spacing w:val="4"/>
          <w:w w:val="61"/>
          <w:shd w:val="solid" w:color="000000" w:fill="000000"/>
          <w:fitText w:val="474" w:id="-761617399"/>
          <w14:textFill>
            <w14:solidFill>
              <w14:srgbClr w14:val="000000">
                <w14:alpha w14:val="100000"/>
              </w14:srgbClr>
            </w14:solidFill>
          </w14:textFill>
        </w:rPr>
        <w:t>|</w:t>
      </w:r>
      <w:r w:rsidRPr="002106BA">
        <w:t xml:space="preserve"> per 25 mg prefilled syringe, the submission estimated that vutrisiran has similar costs to patisiran over 18 months. </w:t>
      </w:r>
    </w:p>
    <w:p w14:paraId="5A3E5368" w14:textId="7F4F9ADD" w:rsidR="00DC1888" w:rsidRPr="002106BA" w:rsidRDefault="00BF51DB" w:rsidP="00DC1888">
      <w:pPr>
        <w:pStyle w:val="COMexecsummnumbered"/>
      </w:pPr>
      <w:r w:rsidRPr="002106BA">
        <w:t>Th</w:t>
      </w:r>
      <w:r w:rsidR="00DC1888" w:rsidRPr="002106BA">
        <w:t>e</w:t>
      </w:r>
      <w:r w:rsidRPr="002106BA">
        <w:t xml:space="preserve"> validity of the</w:t>
      </w:r>
      <w:r w:rsidR="00DC1888" w:rsidRPr="002106BA">
        <w:t xml:space="preserve"> </w:t>
      </w:r>
      <w:r w:rsidR="00543962" w:rsidRPr="002106BA">
        <w:t>cost-minimisation approach</w:t>
      </w:r>
      <w:r w:rsidR="00DC1888" w:rsidRPr="002106BA">
        <w:t xml:space="preserve"> is dependent on acceptance of the non-inferiority claim for vutrisiran versus patisiran.</w:t>
      </w:r>
    </w:p>
    <w:p w14:paraId="2412B245" w14:textId="5237F5FE" w:rsidR="00DC1888" w:rsidRPr="002106BA" w:rsidRDefault="00DC1888" w:rsidP="00DC1888">
      <w:pPr>
        <w:pStyle w:val="COMexecsummnumbered"/>
      </w:pPr>
      <w:r w:rsidRPr="002106BA">
        <w:fldChar w:fldCharType="begin"/>
      </w:r>
      <w:r w:rsidRPr="002106BA">
        <w:instrText xml:space="preserve"> REF _Ref177049158 \h  \* MERGEFORMAT </w:instrText>
      </w:r>
      <w:r w:rsidRPr="002106BA">
        <w:fldChar w:fldCharType="separate"/>
      </w:r>
      <w:r w:rsidR="00DB6E9D" w:rsidRPr="002106BA">
        <w:t xml:space="preserve">Table </w:t>
      </w:r>
      <w:r w:rsidR="00DB6E9D">
        <w:t>12</w:t>
      </w:r>
      <w:r w:rsidRPr="002106BA">
        <w:fldChar w:fldCharType="end"/>
      </w:r>
      <w:r w:rsidRPr="002106BA">
        <w:t xml:space="preserve"> summarises the results of key sensitivity analyses conducted during the evaluation exploring the impact of alternative vutrisiran and patisiran dosing, and perfect treatment adherence. </w:t>
      </w:r>
    </w:p>
    <w:p w14:paraId="7C4DD3B5" w14:textId="45125C8D" w:rsidR="00DC1888" w:rsidRPr="002106BA" w:rsidRDefault="00DC1888" w:rsidP="00C367C4">
      <w:pPr>
        <w:pStyle w:val="Caption"/>
        <w:keepLines/>
      </w:pPr>
      <w:bookmarkStart w:id="53" w:name="_Ref177049158"/>
      <w:bookmarkStart w:id="54" w:name="_Ref183448264"/>
      <w:r w:rsidRPr="002106BA">
        <w:lastRenderedPageBreak/>
        <w:t xml:space="preserve">Table </w:t>
      </w:r>
      <w:r w:rsidR="0027304F">
        <w:fldChar w:fldCharType="begin"/>
      </w:r>
      <w:r w:rsidR="0027304F">
        <w:instrText xml:space="preserve"> SEQ Table \* ARABIC </w:instrText>
      </w:r>
      <w:r w:rsidR="0027304F">
        <w:fldChar w:fldCharType="separate"/>
      </w:r>
      <w:r w:rsidR="00DB6E9D">
        <w:rPr>
          <w:noProof/>
        </w:rPr>
        <w:t>12</w:t>
      </w:r>
      <w:r w:rsidR="0027304F">
        <w:fldChar w:fldCharType="end"/>
      </w:r>
      <w:bookmarkEnd w:id="53"/>
      <w:r w:rsidRPr="002106BA">
        <w:t>: Key sensitivity analyses</w:t>
      </w:r>
      <w:bookmarkEnd w:id="54"/>
    </w:p>
    <w:tbl>
      <w:tblPr>
        <w:tblStyle w:val="TableGrid"/>
        <w:tblW w:w="0" w:type="auto"/>
        <w:tblCellMar>
          <w:left w:w="28" w:type="dxa"/>
          <w:right w:w="28" w:type="dxa"/>
        </w:tblCellMar>
        <w:tblLook w:val="04A0" w:firstRow="1" w:lastRow="0" w:firstColumn="1" w:lastColumn="0" w:noHBand="0" w:noVBand="1"/>
      </w:tblPr>
      <w:tblGrid>
        <w:gridCol w:w="3114"/>
        <w:gridCol w:w="1370"/>
        <w:gridCol w:w="1370"/>
        <w:gridCol w:w="1371"/>
        <w:gridCol w:w="1791"/>
      </w:tblGrid>
      <w:tr w:rsidR="00DC1888" w:rsidRPr="002106BA" w14:paraId="60336E76" w14:textId="77777777" w:rsidTr="00715D09">
        <w:trPr>
          <w:trHeight w:val="112"/>
        </w:trPr>
        <w:tc>
          <w:tcPr>
            <w:tcW w:w="3114" w:type="dxa"/>
            <w:vMerge w:val="restart"/>
            <w:vAlign w:val="center"/>
          </w:tcPr>
          <w:p w14:paraId="50BFD45E" w14:textId="77777777" w:rsidR="00DC1888" w:rsidRPr="002106BA" w:rsidRDefault="00DC1888" w:rsidP="00C367C4">
            <w:pPr>
              <w:keepNext/>
              <w:keepLines/>
              <w:jc w:val="left"/>
              <w:rPr>
                <w:rFonts w:ascii="Arial Narrow" w:hAnsi="Arial Narrow"/>
                <w:b/>
                <w:bCs/>
                <w:sz w:val="20"/>
                <w:szCs w:val="20"/>
              </w:rPr>
            </w:pPr>
            <w:r w:rsidRPr="002106BA">
              <w:rPr>
                <w:rFonts w:ascii="Arial Narrow" w:hAnsi="Arial Narrow"/>
                <w:b/>
                <w:bCs/>
                <w:sz w:val="20"/>
                <w:szCs w:val="20"/>
              </w:rPr>
              <w:t>Scenario</w:t>
            </w:r>
          </w:p>
        </w:tc>
        <w:tc>
          <w:tcPr>
            <w:tcW w:w="4111" w:type="dxa"/>
            <w:gridSpan w:val="3"/>
            <w:vAlign w:val="center"/>
          </w:tcPr>
          <w:p w14:paraId="6A42FFAD" w14:textId="77777777" w:rsidR="00DC1888" w:rsidRPr="002106BA" w:rsidRDefault="00DC1888" w:rsidP="00C367C4">
            <w:pPr>
              <w:keepNext/>
              <w:keepLines/>
              <w:jc w:val="center"/>
              <w:rPr>
                <w:rFonts w:ascii="Arial Narrow" w:hAnsi="Arial Narrow"/>
                <w:b/>
                <w:bCs/>
                <w:sz w:val="20"/>
                <w:szCs w:val="20"/>
              </w:rPr>
            </w:pPr>
            <w:r w:rsidRPr="002106BA">
              <w:rPr>
                <w:rFonts w:ascii="Arial Narrow" w:hAnsi="Arial Narrow"/>
                <w:b/>
                <w:bCs/>
                <w:sz w:val="20"/>
                <w:szCs w:val="20"/>
              </w:rPr>
              <w:t>Total cost over 18 months</w:t>
            </w:r>
          </w:p>
        </w:tc>
        <w:tc>
          <w:tcPr>
            <w:tcW w:w="1791" w:type="dxa"/>
            <w:vMerge w:val="restart"/>
            <w:vAlign w:val="center"/>
          </w:tcPr>
          <w:p w14:paraId="27576E69" w14:textId="6EDFFD90" w:rsidR="00DC1888" w:rsidRPr="002106BA" w:rsidRDefault="00DC1888" w:rsidP="00C367C4">
            <w:pPr>
              <w:keepNext/>
              <w:keepLines/>
              <w:jc w:val="center"/>
              <w:rPr>
                <w:rFonts w:ascii="Arial Narrow" w:hAnsi="Arial Narrow"/>
                <w:b/>
                <w:bCs/>
                <w:sz w:val="20"/>
                <w:szCs w:val="20"/>
              </w:rPr>
            </w:pPr>
            <w:r w:rsidRPr="002106BA">
              <w:rPr>
                <w:rFonts w:ascii="Arial Narrow" w:hAnsi="Arial Narrow"/>
                <w:b/>
                <w:bCs/>
                <w:sz w:val="20"/>
                <w:szCs w:val="20"/>
              </w:rPr>
              <w:t>Cost-minimised vutrisiran AEMP</w:t>
            </w:r>
            <w:r w:rsidR="0052591F">
              <w:rPr>
                <w:rFonts w:ascii="Arial Narrow" w:hAnsi="Arial Narrow"/>
                <w:b/>
                <w:bCs/>
                <w:sz w:val="20"/>
                <w:szCs w:val="20"/>
              </w:rPr>
              <w:t xml:space="preserve"> </w:t>
            </w:r>
          </w:p>
        </w:tc>
      </w:tr>
      <w:tr w:rsidR="00DC1888" w:rsidRPr="002106BA" w14:paraId="0E94B701" w14:textId="77777777" w:rsidTr="00DD7F0E">
        <w:tc>
          <w:tcPr>
            <w:tcW w:w="3114" w:type="dxa"/>
            <w:vMerge/>
            <w:vAlign w:val="center"/>
          </w:tcPr>
          <w:p w14:paraId="3021872D" w14:textId="77777777" w:rsidR="00DC1888" w:rsidRPr="002106BA" w:rsidRDefault="00DC1888" w:rsidP="00C367C4">
            <w:pPr>
              <w:keepNext/>
              <w:keepLines/>
              <w:jc w:val="left"/>
              <w:rPr>
                <w:rFonts w:ascii="Arial Narrow" w:hAnsi="Arial Narrow"/>
                <w:b/>
                <w:bCs/>
                <w:sz w:val="20"/>
                <w:szCs w:val="20"/>
              </w:rPr>
            </w:pPr>
          </w:p>
        </w:tc>
        <w:tc>
          <w:tcPr>
            <w:tcW w:w="1370" w:type="dxa"/>
            <w:tcBorders>
              <w:bottom w:val="single" w:sz="4" w:space="0" w:color="auto"/>
            </w:tcBorders>
            <w:vAlign w:val="center"/>
          </w:tcPr>
          <w:p w14:paraId="114B88D1" w14:textId="6851442B" w:rsidR="00DC1888" w:rsidRPr="002106BA" w:rsidRDefault="00DC1888" w:rsidP="00C367C4">
            <w:pPr>
              <w:keepNext/>
              <w:keepLines/>
              <w:jc w:val="center"/>
              <w:rPr>
                <w:rFonts w:ascii="Arial Narrow" w:hAnsi="Arial Narrow"/>
                <w:b/>
                <w:bCs/>
                <w:sz w:val="20"/>
                <w:szCs w:val="20"/>
              </w:rPr>
            </w:pPr>
            <w:r w:rsidRPr="002106BA">
              <w:rPr>
                <w:rFonts w:ascii="Arial Narrow" w:hAnsi="Arial Narrow"/>
                <w:b/>
                <w:bCs/>
                <w:sz w:val="20"/>
                <w:szCs w:val="20"/>
              </w:rPr>
              <w:t>Vutrisiran</w:t>
            </w:r>
            <w:r w:rsidR="008C2529">
              <w:rPr>
                <w:rFonts w:ascii="Arial Narrow" w:hAnsi="Arial Narrow"/>
                <w:b/>
                <w:bCs/>
                <w:sz w:val="20"/>
                <w:szCs w:val="20"/>
              </w:rPr>
              <w:t xml:space="preserve"> ($)</w:t>
            </w:r>
          </w:p>
        </w:tc>
        <w:tc>
          <w:tcPr>
            <w:tcW w:w="1370" w:type="dxa"/>
            <w:tcBorders>
              <w:bottom w:val="single" w:sz="4" w:space="0" w:color="auto"/>
            </w:tcBorders>
            <w:vAlign w:val="center"/>
          </w:tcPr>
          <w:p w14:paraId="19CC67A2" w14:textId="45E88852" w:rsidR="00DC1888" w:rsidRPr="002106BA" w:rsidRDefault="00DC1888" w:rsidP="00C367C4">
            <w:pPr>
              <w:keepNext/>
              <w:keepLines/>
              <w:jc w:val="center"/>
              <w:rPr>
                <w:rFonts w:ascii="Arial Narrow" w:hAnsi="Arial Narrow"/>
                <w:b/>
                <w:bCs/>
                <w:sz w:val="20"/>
                <w:szCs w:val="20"/>
              </w:rPr>
            </w:pPr>
            <w:r w:rsidRPr="002106BA">
              <w:rPr>
                <w:rFonts w:ascii="Arial Narrow" w:hAnsi="Arial Narrow"/>
                <w:b/>
                <w:bCs/>
                <w:sz w:val="20"/>
                <w:szCs w:val="20"/>
              </w:rPr>
              <w:t>Patisiran</w:t>
            </w:r>
            <w:r w:rsidR="008C2529">
              <w:rPr>
                <w:rFonts w:ascii="Arial Narrow" w:hAnsi="Arial Narrow"/>
                <w:b/>
                <w:bCs/>
                <w:sz w:val="20"/>
                <w:szCs w:val="20"/>
              </w:rPr>
              <w:t xml:space="preserve"> ($)</w:t>
            </w:r>
          </w:p>
        </w:tc>
        <w:tc>
          <w:tcPr>
            <w:tcW w:w="1371" w:type="dxa"/>
            <w:vAlign w:val="center"/>
          </w:tcPr>
          <w:p w14:paraId="51B0840C" w14:textId="03D4E0BD" w:rsidR="00DC1888" w:rsidRPr="002106BA" w:rsidRDefault="00DC1888" w:rsidP="00C367C4">
            <w:pPr>
              <w:keepNext/>
              <w:keepLines/>
              <w:jc w:val="center"/>
              <w:rPr>
                <w:rFonts w:ascii="Arial Narrow" w:hAnsi="Arial Narrow"/>
                <w:b/>
                <w:bCs/>
                <w:sz w:val="20"/>
                <w:szCs w:val="20"/>
              </w:rPr>
            </w:pPr>
            <w:r w:rsidRPr="002106BA">
              <w:rPr>
                <w:rFonts w:ascii="Arial Narrow" w:hAnsi="Arial Narrow"/>
                <w:b/>
                <w:bCs/>
                <w:sz w:val="20"/>
                <w:szCs w:val="20"/>
              </w:rPr>
              <w:t>Incremental cost</w:t>
            </w:r>
            <w:r w:rsidR="006A322A">
              <w:rPr>
                <w:rFonts w:ascii="Arial Narrow" w:hAnsi="Arial Narrow"/>
                <w:b/>
                <w:bCs/>
                <w:sz w:val="20"/>
                <w:szCs w:val="20"/>
              </w:rPr>
              <w:t xml:space="preserve"> </w:t>
            </w:r>
          </w:p>
        </w:tc>
        <w:tc>
          <w:tcPr>
            <w:tcW w:w="1791" w:type="dxa"/>
            <w:vMerge/>
            <w:vAlign w:val="center"/>
          </w:tcPr>
          <w:p w14:paraId="7BC6A429" w14:textId="77777777" w:rsidR="00DC1888" w:rsidRPr="002106BA" w:rsidRDefault="00DC1888" w:rsidP="00C367C4">
            <w:pPr>
              <w:keepNext/>
              <w:keepLines/>
              <w:jc w:val="center"/>
              <w:rPr>
                <w:rFonts w:ascii="Arial Narrow" w:hAnsi="Arial Narrow"/>
                <w:b/>
                <w:bCs/>
                <w:sz w:val="20"/>
                <w:szCs w:val="20"/>
              </w:rPr>
            </w:pPr>
          </w:p>
        </w:tc>
      </w:tr>
      <w:tr w:rsidR="00406AA8" w:rsidRPr="002106BA" w14:paraId="5D744AAC" w14:textId="77777777" w:rsidTr="000C6971">
        <w:tc>
          <w:tcPr>
            <w:tcW w:w="3114" w:type="dxa"/>
          </w:tcPr>
          <w:p w14:paraId="7A3D4972" w14:textId="77777777" w:rsidR="00406AA8" w:rsidRPr="002106BA" w:rsidRDefault="00406AA8" w:rsidP="00406AA8">
            <w:pPr>
              <w:keepNext/>
              <w:keepLines/>
              <w:jc w:val="left"/>
              <w:rPr>
                <w:rFonts w:ascii="Arial Narrow" w:hAnsi="Arial Narrow"/>
                <w:sz w:val="20"/>
                <w:szCs w:val="20"/>
              </w:rPr>
            </w:pPr>
            <w:r w:rsidRPr="002106BA">
              <w:rPr>
                <w:rFonts w:ascii="Arial Narrow" w:hAnsi="Arial Narrow"/>
                <w:sz w:val="20"/>
                <w:szCs w:val="20"/>
              </w:rPr>
              <w:t xml:space="preserve">Base </w:t>
            </w:r>
            <w:proofErr w:type="spellStart"/>
            <w:r w:rsidRPr="002106BA">
              <w:rPr>
                <w:rFonts w:ascii="Arial Narrow" w:hAnsi="Arial Narrow"/>
                <w:sz w:val="20"/>
                <w:szCs w:val="20"/>
              </w:rPr>
              <w:t>case</w:t>
            </w:r>
            <w:r w:rsidRPr="002106BA">
              <w:rPr>
                <w:rFonts w:ascii="Arial Narrow" w:hAnsi="Arial Narrow"/>
                <w:sz w:val="20"/>
                <w:szCs w:val="20"/>
                <w:vertAlign w:val="superscript"/>
              </w:rPr>
              <w:t>a</w:t>
            </w:r>
            <w:proofErr w:type="spellEnd"/>
          </w:p>
        </w:tc>
        <w:tc>
          <w:tcPr>
            <w:tcW w:w="1370" w:type="dxa"/>
            <w:tcBorders>
              <w:bottom w:val="single" w:sz="4" w:space="0" w:color="auto"/>
            </w:tcBorders>
            <w:shd w:val="clear" w:color="auto" w:fill="auto"/>
          </w:tcPr>
          <w:p w14:paraId="1C37A170" w14:textId="01A47216" w:rsidR="00406AA8" w:rsidRPr="009721A1" w:rsidRDefault="00406AA8" w:rsidP="00406AA8">
            <w:pPr>
              <w:keepNext/>
              <w:keepLines/>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1D390574" w14:textId="4CC657BE" w:rsidR="00406AA8" w:rsidRPr="009721A1" w:rsidRDefault="00406AA8" w:rsidP="00406AA8">
            <w:pPr>
              <w:keepNext/>
              <w:keepLines/>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2F92FCB9" w14:textId="4B30126C" w:rsidR="00406AA8" w:rsidRPr="002106BA" w:rsidRDefault="00406AA8" w:rsidP="00406AA8">
            <w:pPr>
              <w:keepNext/>
              <w:keepLines/>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34F606EC" w14:textId="63FDA255" w:rsidR="00406AA8" w:rsidRPr="002106BA" w:rsidRDefault="00406AA8" w:rsidP="00406AA8">
            <w:pPr>
              <w:keepNext/>
              <w:keepLines/>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r>
      <w:tr w:rsidR="00406AA8" w:rsidRPr="002106BA" w14:paraId="2DFDEC27" w14:textId="77777777" w:rsidTr="000C6971">
        <w:tc>
          <w:tcPr>
            <w:tcW w:w="3114" w:type="dxa"/>
          </w:tcPr>
          <w:p w14:paraId="51619880" w14:textId="77777777" w:rsidR="00406AA8" w:rsidRPr="002106BA" w:rsidRDefault="00406AA8" w:rsidP="00406AA8">
            <w:pPr>
              <w:keepNext/>
              <w:keepLines/>
              <w:jc w:val="left"/>
              <w:rPr>
                <w:rFonts w:ascii="Arial Narrow" w:hAnsi="Arial Narrow"/>
                <w:sz w:val="20"/>
                <w:szCs w:val="20"/>
              </w:rPr>
            </w:pPr>
            <w:r w:rsidRPr="002106BA">
              <w:rPr>
                <w:rFonts w:ascii="Arial Narrow" w:hAnsi="Arial Narrow"/>
                <w:sz w:val="20"/>
                <w:szCs w:val="20"/>
              </w:rPr>
              <w:t>Vutrisiran dosing every 12 weeks (2.17 administrations per 6-month period)</w:t>
            </w:r>
          </w:p>
        </w:tc>
        <w:tc>
          <w:tcPr>
            <w:tcW w:w="1370" w:type="dxa"/>
            <w:tcBorders>
              <w:bottom w:val="single" w:sz="4" w:space="0" w:color="auto"/>
            </w:tcBorders>
            <w:shd w:val="clear" w:color="auto" w:fill="auto"/>
          </w:tcPr>
          <w:p w14:paraId="2824558C" w14:textId="0EA002D3" w:rsidR="00406AA8" w:rsidRPr="009721A1" w:rsidRDefault="00406AA8" w:rsidP="00406AA8">
            <w:pPr>
              <w:keepNext/>
              <w:keepLines/>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14F296AE" w14:textId="3D1AE8E2" w:rsidR="00406AA8" w:rsidRPr="009721A1" w:rsidRDefault="00406AA8" w:rsidP="00406AA8">
            <w:pPr>
              <w:keepNext/>
              <w:keepLines/>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398B5B3E" w14:textId="32B68E5E" w:rsidR="00406AA8" w:rsidRPr="002106BA" w:rsidRDefault="00406AA8" w:rsidP="00406AA8">
            <w:pPr>
              <w:keepNext/>
              <w:keepLines/>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32381EAF" w14:textId="3CE290A5" w:rsidR="00406AA8" w:rsidRPr="002106BA" w:rsidRDefault="00406AA8" w:rsidP="00406AA8">
            <w:pPr>
              <w:keepNext/>
              <w:keepLines/>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A04D15">
              <w:rPr>
                <w:rFonts w:ascii="Arial Narrow" w:hAnsi="Arial Narrow"/>
                <w:sz w:val="20"/>
                <w:szCs w:val="20"/>
              </w:rPr>
              <w:t>(-8%)</w:t>
            </w:r>
          </w:p>
        </w:tc>
      </w:tr>
      <w:tr w:rsidR="00406AA8" w:rsidRPr="002106BA" w14:paraId="5F14F187" w14:textId="77777777" w:rsidTr="000C6971">
        <w:tc>
          <w:tcPr>
            <w:tcW w:w="3114" w:type="dxa"/>
          </w:tcPr>
          <w:p w14:paraId="01596013" w14:textId="77777777" w:rsidR="00406AA8" w:rsidRPr="002106BA" w:rsidRDefault="00406AA8" w:rsidP="00406AA8">
            <w:pPr>
              <w:jc w:val="left"/>
              <w:rPr>
                <w:rFonts w:ascii="Arial Narrow" w:hAnsi="Arial Narrow"/>
                <w:sz w:val="20"/>
                <w:szCs w:val="20"/>
              </w:rPr>
            </w:pPr>
            <w:r w:rsidRPr="002106BA">
              <w:rPr>
                <w:rFonts w:ascii="Arial Narrow" w:hAnsi="Arial Narrow"/>
                <w:sz w:val="20"/>
                <w:szCs w:val="20"/>
              </w:rPr>
              <w:t>2 vials of patisiran per administration</w:t>
            </w:r>
          </w:p>
        </w:tc>
        <w:tc>
          <w:tcPr>
            <w:tcW w:w="1370" w:type="dxa"/>
            <w:tcBorders>
              <w:bottom w:val="single" w:sz="4" w:space="0" w:color="auto"/>
            </w:tcBorders>
            <w:shd w:val="clear" w:color="auto" w:fill="auto"/>
          </w:tcPr>
          <w:p w14:paraId="5CC76C74" w14:textId="29AB2D24"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699876C8" w14:textId="5BC0FAF1"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1911B764" w14:textId="596D6720"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57B53DE9" w14:textId="17FD9CA3"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A04D15">
              <w:rPr>
                <w:rFonts w:ascii="Arial Narrow" w:hAnsi="Arial Narrow"/>
                <w:sz w:val="20"/>
                <w:szCs w:val="20"/>
              </w:rPr>
              <w:t>22%</w:t>
            </w:r>
            <w:r w:rsidRPr="002106BA">
              <w:rPr>
                <w:rFonts w:ascii="Arial Narrow" w:hAnsi="Arial Narrow"/>
                <w:sz w:val="20"/>
                <w:szCs w:val="20"/>
              </w:rPr>
              <w:t>)</w:t>
            </w:r>
          </w:p>
        </w:tc>
      </w:tr>
      <w:tr w:rsidR="00406AA8" w:rsidRPr="002106BA" w14:paraId="1D9F81B3" w14:textId="77777777" w:rsidTr="000C6971">
        <w:tc>
          <w:tcPr>
            <w:tcW w:w="3114" w:type="dxa"/>
          </w:tcPr>
          <w:p w14:paraId="4182B8BC" w14:textId="13F2A9E8" w:rsidR="00406AA8" w:rsidRPr="002106BA" w:rsidRDefault="00406AA8" w:rsidP="00406AA8">
            <w:pPr>
              <w:jc w:val="left"/>
              <w:rPr>
                <w:rFonts w:ascii="Arial Narrow" w:hAnsi="Arial Narrow"/>
                <w:sz w:val="20"/>
                <w:szCs w:val="20"/>
              </w:rPr>
            </w:pPr>
            <w:r w:rsidRPr="002106BA">
              <w:rPr>
                <w:rFonts w:ascii="Arial Narrow" w:hAnsi="Arial Narrow"/>
                <w:sz w:val="20"/>
                <w:szCs w:val="20"/>
              </w:rPr>
              <w:t>2.38 vials of patisiran per administration based on APOLLO study (basis of December 2023 PBAC recommendation)</w:t>
            </w:r>
            <w:r w:rsidRPr="002106BA">
              <w:rPr>
                <w:rFonts w:ascii="Arial Narrow" w:hAnsi="Arial Narrow"/>
                <w:sz w:val="20"/>
                <w:szCs w:val="20"/>
                <w:vertAlign w:val="superscript"/>
              </w:rPr>
              <w:t>b</w:t>
            </w:r>
          </w:p>
        </w:tc>
        <w:tc>
          <w:tcPr>
            <w:tcW w:w="1370" w:type="dxa"/>
            <w:tcBorders>
              <w:bottom w:val="single" w:sz="4" w:space="0" w:color="auto"/>
            </w:tcBorders>
            <w:shd w:val="clear" w:color="auto" w:fill="auto"/>
          </w:tcPr>
          <w:p w14:paraId="4EF5E554" w14:textId="4D275C33"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4A6BA9F9" w14:textId="4D65E7CE"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1F6482DC" w14:textId="6C5E79F9"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6DFCFDBF" w14:textId="3725DF93"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A04D15">
              <w:rPr>
                <w:rFonts w:ascii="Arial Narrow" w:hAnsi="Arial Narrow"/>
                <w:sz w:val="20"/>
                <w:szCs w:val="20"/>
              </w:rPr>
              <w:t>7</w:t>
            </w:r>
            <w:r w:rsidRPr="002106BA">
              <w:rPr>
                <w:rFonts w:ascii="Arial Narrow" w:hAnsi="Arial Narrow"/>
                <w:sz w:val="20"/>
                <w:szCs w:val="20"/>
              </w:rPr>
              <w:t>%)</w:t>
            </w:r>
          </w:p>
        </w:tc>
      </w:tr>
      <w:tr w:rsidR="00406AA8" w:rsidRPr="002106BA" w14:paraId="06C643B1" w14:textId="77777777" w:rsidTr="000C6971">
        <w:tc>
          <w:tcPr>
            <w:tcW w:w="3114" w:type="dxa"/>
          </w:tcPr>
          <w:p w14:paraId="0B3F6681" w14:textId="77777777" w:rsidR="00406AA8" w:rsidRPr="002106BA" w:rsidRDefault="00406AA8" w:rsidP="00406AA8">
            <w:pPr>
              <w:jc w:val="left"/>
              <w:rPr>
                <w:rFonts w:ascii="Arial Narrow" w:hAnsi="Arial Narrow"/>
                <w:sz w:val="20"/>
                <w:szCs w:val="20"/>
              </w:rPr>
            </w:pPr>
            <w:r w:rsidRPr="002106BA">
              <w:rPr>
                <w:rFonts w:ascii="Arial Narrow" w:hAnsi="Arial Narrow"/>
                <w:sz w:val="20"/>
                <w:szCs w:val="20"/>
              </w:rPr>
              <w:t>3 vials of patisiran per administration</w:t>
            </w:r>
          </w:p>
        </w:tc>
        <w:tc>
          <w:tcPr>
            <w:tcW w:w="1370" w:type="dxa"/>
            <w:tcBorders>
              <w:bottom w:val="single" w:sz="4" w:space="0" w:color="auto"/>
            </w:tcBorders>
            <w:shd w:val="clear" w:color="auto" w:fill="auto"/>
          </w:tcPr>
          <w:p w14:paraId="1A4C185D" w14:textId="422C8445"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744F75C8" w14:textId="5186EE47"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27667D3B" w14:textId="12CF66EA"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21DF18C7" w14:textId="7384AD99"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275E96">
              <w:rPr>
                <w:rFonts w:ascii="Arial Narrow" w:hAnsi="Arial Narrow"/>
                <w:sz w:val="20"/>
                <w:szCs w:val="20"/>
              </w:rPr>
              <w:t>16</w:t>
            </w:r>
            <w:r w:rsidRPr="002106BA">
              <w:rPr>
                <w:rFonts w:ascii="Arial Narrow" w:hAnsi="Arial Narrow"/>
                <w:sz w:val="20"/>
                <w:szCs w:val="20"/>
              </w:rPr>
              <w:t>%)</w:t>
            </w:r>
          </w:p>
        </w:tc>
      </w:tr>
      <w:tr w:rsidR="00406AA8" w:rsidRPr="002106BA" w14:paraId="6465ED91" w14:textId="77777777" w:rsidTr="000C6971">
        <w:tc>
          <w:tcPr>
            <w:tcW w:w="3114" w:type="dxa"/>
          </w:tcPr>
          <w:p w14:paraId="7F1F9605" w14:textId="77777777" w:rsidR="00406AA8" w:rsidRPr="002106BA" w:rsidRDefault="00406AA8" w:rsidP="00406AA8">
            <w:pPr>
              <w:jc w:val="left"/>
              <w:rPr>
                <w:rFonts w:ascii="Arial Narrow" w:hAnsi="Arial Narrow"/>
                <w:sz w:val="20"/>
                <w:szCs w:val="20"/>
              </w:rPr>
            </w:pPr>
            <w:r w:rsidRPr="002106BA">
              <w:rPr>
                <w:rFonts w:ascii="Arial Narrow" w:hAnsi="Arial Narrow"/>
                <w:sz w:val="20"/>
                <w:szCs w:val="20"/>
              </w:rPr>
              <w:t>Assume perfect adherence</w:t>
            </w:r>
          </w:p>
        </w:tc>
        <w:tc>
          <w:tcPr>
            <w:tcW w:w="1370" w:type="dxa"/>
            <w:shd w:val="clear" w:color="auto" w:fill="auto"/>
          </w:tcPr>
          <w:p w14:paraId="79CB2AE9" w14:textId="30913C0F"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tcPr>
          <w:p w14:paraId="023A1878" w14:textId="21BA2156" w:rsidR="00406AA8" w:rsidRPr="009721A1" w:rsidRDefault="00406AA8" w:rsidP="00406AA8">
            <w:pPr>
              <w:jc w:val="center"/>
              <w:rPr>
                <w:rFonts w:ascii="Arial Narrow" w:hAnsi="Arial Narrow"/>
                <w:sz w:val="20"/>
                <w:szCs w:val="20"/>
                <w:highlight w:val="darkGray"/>
              </w:rPr>
            </w:pPr>
            <w:r w:rsidRPr="00BB716A">
              <w:rPr>
                <w:rFonts w:ascii="Arial Narrow" w:hAnsi="Arial Narrow"/>
                <w:sz w:val="20"/>
                <w:szCs w:val="20"/>
              </w:rPr>
              <w:t>$</w:t>
            </w:r>
            <w:r w:rsidRPr="00BB716A">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09C975C2" w14:textId="510D4B76"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10B755DE" w14:textId="60631161"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275E96">
              <w:rPr>
                <w:rFonts w:ascii="Arial Narrow" w:hAnsi="Arial Narrow"/>
                <w:sz w:val="20"/>
                <w:szCs w:val="20"/>
              </w:rPr>
              <w:t>4</w:t>
            </w:r>
            <w:r w:rsidRPr="002106BA">
              <w:rPr>
                <w:rFonts w:ascii="Arial Narrow" w:hAnsi="Arial Narrow"/>
                <w:sz w:val="20"/>
                <w:szCs w:val="20"/>
              </w:rPr>
              <w:t>%)</w:t>
            </w:r>
          </w:p>
        </w:tc>
      </w:tr>
      <w:tr w:rsidR="00A61A9C" w:rsidRPr="002106BA" w14:paraId="6BF06D16" w14:textId="77777777" w:rsidTr="00406AA8">
        <w:tc>
          <w:tcPr>
            <w:tcW w:w="3114" w:type="dxa"/>
          </w:tcPr>
          <w:p w14:paraId="13D9827D" w14:textId="77777777" w:rsidR="00A61A9C" w:rsidRPr="002106BA" w:rsidRDefault="00A61A9C" w:rsidP="002713D8">
            <w:pPr>
              <w:jc w:val="left"/>
              <w:rPr>
                <w:rFonts w:ascii="Arial Narrow" w:hAnsi="Arial Narrow"/>
                <w:sz w:val="20"/>
                <w:szCs w:val="20"/>
              </w:rPr>
            </w:pPr>
            <w:r w:rsidRPr="002106BA">
              <w:rPr>
                <w:rFonts w:ascii="Arial Narrow" w:hAnsi="Arial Narrow"/>
                <w:sz w:val="20"/>
                <w:szCs w:val="20"/>
              </w:rPr>
              <w:t xml:space="preserve">Treatment-related serious adverse event costs </w:t>
            </w:r>
            <w:proofErr w:type="spellStart"/>
            <w:r w:rsidRPr="002106BA">
              <w:rPr>
                <w:rFonts w:ascii="Arial Narrow" w:hAnsi="Arial Narrow"/>
                <w:sz w:val="20"/>
                <w:szCs w:val="20"/>
              </w:rPr>
              <w:t>excluded</w:t>
            </w:r>
            <w:r w:rsidRPr="002106BA">
              <w:rPr>
                <w:rFonts w:ascii="Arial Narrow" w:hAnsi="Arial Narrow"/>
                <w:sz w:val="20"/>
                <w:szCs w:val="20"/>
                <w:vertAlign w:val="superscript"/>
              </w:rPr>
              <w:t>c</w:t>
            </w:r>
            <w:proofErr w:type="spellEnd"/>
          </w:p>
        </w:tc>
        <w:tc>
          <w:tcPr>
            <w:tcW w:w="1370" w:type="dxa"/>
            <w:tcBorders>
              <w:bottom w:val="single" w:sz="4" w:space="0" w:color="auto"/>
            </w:tcBorders>
            <w:vAlign w:val="center"/>
          </w:tcPr>
          <w:p w14:paraId="1A6FB16E" w14:textId="09E7FDBB" w:rsidR="00A61A9C" w:rsidRPr="002106BA" w:rsidRDefault="00A61A9C" w:rsidP="002713D8">
            <w:pPr>
              <w:jc w:val="center"/>
              <w:rPr>
                <w:rFonts w:ascii="Arial Narrow" w:hAnsi="Arial Narrow"/>
                <w:sz w:val="20"/>
                <w:szCs w:val="20"/>
              </w:rPr>
            </w:pPr>
            <w:r w:rsidRPr="002106BA">
              <w:rPr>
                <w:rFonts w:ascii="Arial Narrow" w:hAnsi="Arial Narrow"/>
                <w:sz w:val="20"/>
                <w:szCs w:val="20"/>
              </w:rPr>
              <w:t>$</w:t>
            </w:r>
            <w:r w:rsidR="00DD7F0E"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vAlign w:val="center"/>
          </w:tcPr>
          <w:p w14:paraId="49F68F65" w14:textId="327A44C3" w:rsidR="00A61A9C" w:rsidRPr="00DB4890" w:rsidRDefault="00DD7F0E" w:rsidP="002713D8">
            <w:pPr>
              <w:jc w:val="center"/>
              <w:rPr>
                <w:rFonts w:ascii="Arial Narrow" w:hAnsi="Arial Narrow"/>
                <w:sz w:val="20"/>
                <w:szCs w:val="20"/>
                <w:highlight w:val="darkGray"/>
              </w:rPr>
            </w:pPr>
            <w:r w:rsidRPr="00DD7F0E">
              <w:rPr>
                <w:rFonts w:ascii="Arial Narrow" w:hAnsi="Arial Narrow"/>
                <w:color w:val="000000"/>
                <w:sz w:val="20"/>
                <w:szCs w:val="20"/>
                <w14:textFill>
                  <w14:solidFill>
                    <w14:srgbClr w14:val="000000">
                      <w14:alpha w14:val="100000"/>
                    </w14:srgbClr>
                  </w14:solidFill>
                </w14:textFill>
              </w:rPr>
              <w:t>|</w:t>
            </w:r>
            <w:r w:rsidR="00406AA8" w:rsidRPr="002106BA">
              <w:rPr>
                <w:rFonts w:ascii="Arial Narrow" w:hAnsi="Arial Narrow"/>
                <w:sz w:val="20"/>
                <w:szCs w:val="20"/>
              </w:rPr>
              <w:t>$</w:t>
            </w:r>
            <w:r w:rsidR="00406AA8"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12E7E5A5" w14:textId="2DBD2D2F" w:rsidR="00A61A9C" w:rsidRPr="002106BA" w:rsidRDefault="00A61A9C" w:rsidP="002713D8">
            <w:pPr>
              <w:jc w:val="center"/>
              <w:rPr>
                <w:rFonts w:ascii="Arial Narrow" w:hAnsi="Arial Narrow"/>
                <w:sz w:val="20"/>
                <w:szCs w:val="20"/>
              </w:rPr>
            </w:pPr>
            <w:r w:rsidRPr="002106BA">
              <w:rPr>
                <w:rFonts w:ascii="Arial Narrow" w:hAnsi="Arial Narrow"/>
                <w:sz w:val="20"/>
                <w:szCs w:val="20"/>
              </w:rPr>
              <w:t>$</w:t>
            </w:r>
            <w:r w:rsidR="00DD7F0E"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65619726" w14:textId="55F26553" w:rsidR="00A61A9C" w:rsidRPr="002106BA" w:rsidRDefault="00A61A9C" w:rsidP="002713D8">
            <w:pPr>
              <w:jc w:val="center"/>
              <w:rPr>
                <w:rFonts w:ascii="Arial Narrow" w:hAnsi="Arial Narrow"/>
                <w:sz w:val="20"/>
                <w:szCs w:val="20"/>
              </w:rPr>
            </w:pPr>
            <w:r w:rsidRPr="002106BA">
              <w:rPr>
                <w:rFonts w:ascii="Arial Narrow" w:hAnsi="Arial Narrow"/>
                <w:sz w:val="20"/>
                <w:szCs w:val="20"/>
              </w:rPr>
              <w:t>$</w:t>
            </w:r>
            <w:r w:rsidR="00DD7F0E"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w:t>
            </w:r>
            <w:r w:rsidRPr="00275E96">
              <w:rPr>
                <w:rFonts w:ascii="Arial Narrow" w:hAnsi="Arial Narrow"/>
                <w:sz w:val="20"/>
                <w:szCs w:val="20"/>
              </w:rPr>
              <w:t>0</w:t>
            </w:r>
            <w:r w:rsidRPr="002106BA">
              <w:rPr>
                <w:rFonts w:ascii="Arial Narrow" w:hAnsi="Arial Narrow"/>
                <w:sz w:val="20"/>
                <w:szCs w:val="20"/>
              </w:rPr>
              <w:t>%)</w:t>
            </w:r>
          </w:p>
        </w:tc>
      </w:tr>
      <w:tr w:rsidR="00406AA8" w:rsidRPr="002106BA" w14:paraId="0F47776C" w14:textId="77777777" w:rsidTr="00406AA8">
        <w:tc>
          <w:tcPr>
            <w:tcW w:w="3114" w:type="dxa"/>
          </w:tcPr>
          <w:p w14:paraId="74DDB8DB" w14:textId="6F000712" w:rsidR="00406AA8" w:rsidRPr="002106BA" w:rsidRDefault="00406AA8" w:rsidP="00406AA8">
            <w:pPr>
              <w:jc w:val="left"/>
              <w:rPr>
                <w:rFonts w:ascii="Arial Narrow" w:hAnsi="Arial Narrow"/>
                <w:sz w:val="20"/>
                <w:szCs w:val="20"/>
              </w:rPr>
            </w:pPr>
            <w:r w:rsidRPr="002106BA">
              <w:rPr>
                <w:rFonts w:ascii="Arial Narrow" w:hAnsi="Arial Narrow"/>
                <w:sz w:val="20"/>
                <w:szCs w:val="20"/>
              </w:rPr>
              <w:t>ESC 1: Simplified base case</w:t>
            </w:r>
            <w:r w:rsidRPr="002106BA">
              <w:rPr>
                <w:rFonts w:ascii="Arial Narrow" w:hAnsi="Arial Narrow"/>
                <w:sz w:val="20"/>
                <w:szCs w:val="20"/>
                <w:vertAlign w:val="superscript"/>
              </w:rPr>
              <w:t>d</w:t>
            </w:r>
            <w:r w:rsidRPr="002106BA">
              <w:rPr>
                <w:rFonts w:ascii="Arial Narrow" w:hAnsi="Arial Narrow"/>
                <w:sz w:val="20"/>
                <w:szCs w:val="20"/>
              </w:rPr>
              <w:t xml:space="preserve">. </w:t>
            </w:r>
          </w:p>
          <w:p w14:paraId="34650BA1" w14:textId="11C19827" w:rsidR="00406AA8" w:rsidRPr="002106BA" w:rsidRDefault="00406AA8" w:rsidP="00406AA8">
            <w:pPr>
              <w:jc w:val="left"/>
              <w:rPr>
                <w:rFonts w:ascii="Arial Narrow" w:hAnsi="Arial Narrow"/>
                <w:sz w:val="20"/>
                <w:szCs w:val="20"/>
              </w:rPr>
            </w:pPr>
            <w:r w:rsidRPr="002106BA">
              <w:rPr>
                <w:rFonts w:ascii="Arial Narrow" w:hAnsi="Arial Narrow"/>
                <w:sz w:val="20"/>
                <w:szCs w:val="20"/>
              </w:rPr>
              <w:t>Modelled aspects removed. Treatment persistence based on based on mean duration of treatment from HELIOS-A.</w:t>
            </w:r>
          </w:p>
        </w:tc>
        <w:tc>
          <w:tcPr>
            <w:tcW w:w="1370" w:type="dxa"/>
            <w:tcBorders>
              <w:bottom w:val="single" w:sz="4" w:space="0" w:color="auto"/>
            </w:tcBorders>
            <w:shd w:val="clear" w:color="auto" w:fill="auto"/>
            <w:vAlign w:val="center"/>
          </w:tcPr>
          <w:p w14:paraId="237BF788" w14:textId="638F951F"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vAlign w:val="center"/>
          </w:tcPr>
          <w:p w14:paraId="65D3E04A" w14:textId="7C369C26"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0C506674" w14:textId="08DB4115"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03773561" w14:textId="2BF2AF0F"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(-4%)</w:t>
            </w:r>
          </w:p>
        </w:tc>
      </w:tr>
      <w:tr w:rsidR="00406AA8" w:rsidRPr="002106BA" w14:paraId="7DCB8351" w14:textId="77777777" w:rsidTr="00406AA8">
        <w:tc>
          <w:tcPr>
            <w:tcW w:w="3114" w:type="dxa"/>
          </w:tcPr>
          <w:p w14:paraId="084B2858" w14:textId="2194AA0B" w:rsidR="00406AA8" w:rsidRPr="002106BA" w:rsidRDefault="00406AA8" w:rsidP="00406AA8">
            <w:pPr>
              <w:jc w:val="left"/>
              <w:rPr>
                <w:rFonts w:ascii="Arial Narrow" w:hAnsi="Arial Narrow"/>
                <w:sz w:val="20"/>
                <w:szCs w:val="20"/>
              </w:rPr>
            </w:pPr>
            <w:bookmarkStart w:id="55" w:name="_Hlk182811119"/>
            <w:r w:rsidRPr="002106BA">
              <w:rPr>
                <w:rFonts w:ascii="Arial Narrow" w:hAnsi="Arial Narrow"/>
                <w:sz w:val="20"/>
                <w:szCs w:val="20"/>
              </w:rPr>
              <w:t xml:space="preserve">ESC 2: As per submission base case </w:t>
            </w:r>
            <w:proofErr w:type="spellStart"/>
            <w:r w:rsidRPr="002106BA">
              <w:rPr>
                <w:rFonts w:ascii="Arial Narrow" w:hAnsi="Arial Narrow"/>
                <w:sz w:val="20"/>
                <w:szCs w:val="20"/>
              </w:rPr>
              <w:t>and</w:t>
            </w:r>
            <w:r w:rsidRPr="002106BA">
              <w:rPr>
                <w:rFonts w:ascii="Arial Narrow" w:hAnsi="Arial Narrow"/>
                <w:sz w:val="20"/>
                <w:szCs w:val="20"/>
                <w:vertAlign w:val="superscript"/>
              </w:rPr>
              <w:t>e</w:t>
            </w:r>
            <w:proofErr w:type="spellEnd"/>
            <w:r w:rsidRPr="002106BA">
              <w:rPr>
                <w:rFonts w:ascii="Arial Narrow" w:hAnsi="Arial Narrow"/>
                <w:sz w:val="20"/>
                <w:szCs w:val="20"/>
              </w:rPr>
              <w:t>:</w:t>
            </w:r>
          </w:p>
          <w:p w14:paraId="0DD744CB" w14:textId="77777777" w:rsidR="00406AA8" w:rsidRPr="002106BA" w:rsidRDefault="00406AA8" w:rsidP="00406AA8">
            <w:pPr>
              <w:pStyle w:val="ListParagraph"/>
              <w:numPr>
                <w:ilvl w:val="0"/>
                <w:numId w:val="10"/>
              </w:numPr>
              <w:spacing w:after="0" w:line="240" w:lineRule="auto"/>
              <w:ind w:left="170" w:hanging="170"/>
              <w:jc w:val="left"/>
              <w:rPr>
                <w:rFonts w:ascii="Arial Narrow" w:hAnsi="Arial Narrow"/>
                <w:sz w:val="20"/>
                <w:szCs w:val="20"/>
              </w:rPr>
            </w:pPr>
            <w:r w:rsidRPr="002106BA">
              <w:rPr>
                <w:rFonts w:ascii="Arial Narrow" w:hAnsi="Arial Narrow"/>
                <w:sz w:val="20"/>
                <w:szCs w:val="20"/>
              </w:rPr>
              <w:t>Vutrisiran dosing every 12 weeks (2.17 administrations per 6-month period); and</w:t>
            </w:r>
          </w:p>
          <w:p w14:paraId="41BADCCE" w14:textId="06DE00F4" w:rsidR="00406AA8" w:rsidRPr="002106BA" w:rsidRDefault="00406AA8" w:rsidP="00406AA8">
            <w:pPr>
              <w:pStyle w:val="ListParagraph"/>
              <w:numPr>
                <w:ilvl w:val="0"/>
                <w:numId w:val="10"/>
              </w:numPr>
              <w:spacing w:after="0" w:line="240" w:lineRule="auto"/>
              <w:ind w:left="170" w:hanging="170"/>
              <w:jc w:val="left"/>
              <w:rPr>
                <w:rFonts w:ascii="Arial Narrow" w:hAnsi="Arial Narrow"/>
                <w:sz w:val="20"/>
                <w:szCs w:val="20"/>
              </w:rPr>
            </w:pPr>
            <w:r w:rsidRPr="002106BA">
              <w:rPr>
                <w:rFonts w:ascii="Arial Narrow" w:hAnsi="Arial Narrow"/>
                <w:sz w:val="20"/>
                <w:szCs w:val="20"/>
              </w:rPr>
              <w:t xml:space="preserve">2.38 vials of patisiran per administration based on APOLLO. </w:t>
            </w:r>
            <w:bookmarkEnd w:id="55"/>
          </w:p>
        </w:tc>
        <w:tc>
          <w:tcPr>
            <w:tcW w:w="1370" w:type="dxa"/>
            <w:tcBorders>
              <w:bottom w:val="single" w:sz="4" w:space="0" w:color="auto"/>
            </w:tcBorders>
            <w:shd w:val="clear" w:color="auto" w:fill="auto"/>
            <w:vAlign w:val="center"/>
          </w:tcPr>
          <w:p w14:paraId="38B59FE1" w14:textId="61D78D8C"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vAlign w:val="center"/>
          </w:tcPr>
          <w:p w14:paraId="2AC35ACC" w14:textId="722551EC"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237F18B5" w14:textId="4A06A117"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5DE38E00" w14:textId="1D1C2918"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(-15%)</w:t>
            </w:r>
          </w:p>
        </w:tc>
      </w:tr>
      <w:tr w:rsidR="00406AA8" w:rsidRPr="002106BA" w14:paraId="2603F8EF" w14:textId="77777777" w:rsidTr="00406AA8">
        <w:tc>
          <w:tcPr>
            <w:tcW w:w="3114" w:type="dxa"/>
          </w:tcPr>
          <w:p w14:paraId="4129949E" w14:textId="531AEC79" w:rsidR="00406AA8" w:rsidRPr="002106BA" w:rsidRDefault="00406AA8" w:rsidP="00406AA8">
            <w:pPr>
              <w:jc w:val="left"/>
              <w:rPr>
                <w:rFonts w:ascii="Arial Narrow" w:hAnsi="Arial Narrow"/>
                <w:sz w:val="20"/>
                <w:szCs w:val="20"/>
              </w:rPr>
            </w:pPr>
            <w:r w:rsidRPr="002106BA">
              <w:rPr>
                <w:rFonts w:ascii="Arial Narrow" w:hAnsi="Arial Narrow"/>
                <w:sz w:val="20"/>
                <w:szCs w:val="20"/>
              </w:rPr>
              <w:t>ESC 3 (preferred): Combine ESC 1 and ESC 2</w:t>
            </w:r>
          </w:p>
        </w:tc>
        <w:tc>
          <w:tcPr>
            <w:tcW w:w="1370" w:type="dxa"/>
            <w:shd w:val="clear" w:color="auto" w:fill="auto"/>
            <w:vAlign w:val="center"/>
          </w:tcPr>
          <w:p w14:paraId="73373FC5" w14:textId="2479DB1D"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shd w:val="clear" w:color="auto" w:fill="auto"/>
            <w:vAlign w:val="center"/>
          </w:tcPr>
          <w:p w14:paraId="2996689F" w14:textId="40E17698" w:rsidR="00406AA8" w:rsidRPr="00DB4890" w:rsidRDefault="00406AA8" w:rsidP="00406AA8">
            <w:pPr>
              <w:jc w:val="center"/>
              <w:rPr>
                <w:rFonts w:ascii="Arial Narrow" w:hAnsi="Arial Narrow"/>
                <w:sz w:val="20"/>
                <w:szCs w:val="20"/>
                <w:highlight w:val="darkGray"/>
              </w:rPr>
            </w:pPr>
            <w:r w:rsidRPr="00B6748E">
              <w:rPr>
                <w:rFonts w:ascii="Arial Narrow" w:hAnsi="Arial Narrow"/>
                <w:sz w:val="20"/>
                <w:szCs w:val="20"/>
              </w:rPr>
              <w:t>$</w:t>
            </w:r>
            <w:r w:rsidRPr="00B6748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0A385F93" w14:textId="25E93AC8"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2FB74CA4" w14:textId="16D123A9" w:rsidR="00406AA8" w:rsidRPr="002106BA" w:rsidRDefault="00406AA8" w:rsidP="00406AA8">
            <w:pPr>
              <w:jc w:val="center"/>
              <w:rPr>
                <w:rFonts w:ascii="Arial Narrow" w:hAnsi="Arial Narrow"/>
                <w:sz w:val="20"/>
                <w:szCs w:val="20"/>
              </w:rPr>
            </w:pPr>
            <w:r w:rsidRPr="002106BA">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2106BA">
              <w:rPr>
                <w:rFonts w:ascii="Arial Narrow" w:hAnsi="Arial Narrow"/>
                <w:sz w:val="20"/>
                <w:szCs w:val="20"/>
              </w:rPr>
              <w:t xml:space="preserve"> (-18%)</w:t>
            </w:r>
          </w:p>
        </w:tc>
      </w:tr>
      <w:tr w:rsidR="00D0198E" w:rsidRPr="002106BA" w14:paraId="22E25CF6" w14:textId="77777777" w:rsidTr="00F2101B">
        <w:tc>
          <w:tcPr>
            <w:tcW w:w="9016" w:type="dxa"/>
            <w:gridSpan w:val="5"/>
          </w:tcPr>
          <w:p w14:paraId="05302404" w14:textId="19A461A2" w:rsidR="00D0198E" w:rsidRPr="00186594" w:rsidRDefault="00D0198E" w:rsidP="002713D8">
            <w:pPr>
              <w:jc w:val="left"/>
              <w:rPr>
                <w:rFonts w:ascii="Arial Narrow" w:hAnsi="Arial Narrow"/>
                <w:b/>
                <w:bCs/>
                <w:sz w:val="20"/>
                <w:szCs w:val="20"/>
              </w:rPr>
            </w:pPr>
            <w:r w:rsidRPr="00186594">
              <w:rPr>
                <w:rFonts w:ascii="Arial Narrow" w:hAnsi="Arial Narrow"/>
                <w:b/>
                <w:bCs/>
                <w:sz w:val="20"/>
                <w:szCs w:val="20"/>
              </w:rPr>
              <w:t>Additional analyses considered by the PBAC</w:t>
            </w:r>
          </w:p>
        </w:tc>
      </w:tr>
      <w:tr w:rsidR="00406AA8" w:rsidRPr="002106BA" w14:paraId="57878FBB" w14:textId="77777777" w:rsidTr="00406AA8">
        <w:tc>
          <w:tcPr>
            <w:tcW w:w="3114" w:type="dxa"/>
          </w:tcPr>
          <w:p w14:paraId="3597BC6C" w14:textId="77777777" w:rsidR="00406AA8" w:rsidRPr="00186594" w:rsidRDefault="00406AA8" w:rsidP="00406AA8">
            <w:pPr>
              <w:jc w:val="left"/>
              <w:rPr>
                <w:rFonts w:ascii="Arial Narrow" w:hAnsi="Arial Narrow"/>
                <w:sz w:val="20"/>
                <w:szCs w:val="20"/>
              </w:rPr>
            </w:pPr>
            <w:r w:rsidRPr="00186594">
              <w:rPr>
                <w:rFonts w:ascii="Arial Narrow" w:hAnsi="Arial Narrow"/>
                <w:sz w:val="20"/>
                <w:szCs w:val="20"/>
              </w:rPr>
              <w:t>Submission base case</w:t>
            </w:r>
            <w:r w:rsidRPr="00186594">
              <w:rPr>
                <w:rFonts w:ascii="Arial Narrow" w:hAnsi="Arial Narrow"/>
                <w:sz w:val="20"/>
                <w:szCs w:val="20"/>
                <w:vertAlign w:val="superscript"/>
              </w:rPr>
              <w:t xml:space="preserve"> </w:t>
            </w:r>
            <w:r w:rsidRPr="00186594">
              <w:rPr>
                <w:rFonts w:ascii="Arial Narrow" w:hAnsi="Arial Narrow"/>
                <w:sz w:val="20"/>
                <w:szCs w:val="20"/>
              </w:rPr>
              <w:t xml:space="preserve">and: </w:t>
            </w:r>
          </w:p>
          <w:p w14:paraId="19245500" w14:textId="77777777" w:rsidR="00406AA8" w:rsidRPr="00186594" w:rsidRDefault="00406AA8" w:rsidP="00406AA8">
            <w:pPr>
              <w:pStyle w:val="ListParagraph"/>
              <w:numPr>
                <w:ilvl w:val="0"/>
                <w:numId w:val="10"/>
              </w:numPr>
              <w:spacing w:after="0" w:line="240" w:lineRule="auto"/>
              <w:ind w:left="170" w:hanging="170"/>
              <w:jc w:val="left"/>
              <w:rPr>
                <w:rFonts w:ascii="Arial Narrow" w:hAnsi="Arial Narrow"/>
                <w:sz w:val="20"/>
                <w:szCs w:val="20"/>
              </w:rPr>
            </w:pPr>
            <w:r w:rsidRPr="00186594">
              <w:rPr>
                <w:rFonts w:ascii="Arial Narrow" w:hAnsi="Arial Narrow"/>
                <w:sz w:val="20"/>
                <w:szCs w:val="20"/>
              </w:rPr>
              <w:t>Vutrisiran dosing every 87 days; and</w:t>
            </w:r>
          </w:p>
          <w:p w14:paraId="6BD2C38B" w14:textId="21DDABB5" w:rsidR="00406AA8" w:rsidRPr="00186594" w:rsidRDefault="00406AA8" w:rsidP="00406AA8">
            <w:pPr>
              <w:pStyle w:val="ListParagraph"/>
              <w:numPr>
                <w:ilvl w:val="0"/>
                <w:numId w:val="10"/>
              </w:numPr>
              <w:spacing w:after="0" w:line="240" w:lineRule="auto"/>
              <w:ind w:left="170" w:hanging="170"/>
              <w:jc w:val="left"/>
              <w:rPr>
                <w:rFonts w:ascii="Arial Narrow" w:hAnsi="Arial Narrow"/>
                <w:sz w:val="20"/>
                <w:szCs w:val="20"/>
              </w:rPr>
            </w:pPr>
            <w:r w:rsidRPr="00186594">
              <w:rPr>
                <w:rFonts w:ascii="Arial Narrow" w:hAnsi="Arial Narrow"/>
                <w:sz w:val="20"/>
                <w:szCs w:val="20"/>
              </w:rPr>
              <w:t>2.38 vials of patisiran per administration based on APOLLO.</w:t>
            </w:r>
          </w:p>
        </w:tc>
        <w:tc>
          <w:tcPr>
            <w:tcW w:w="1370" w:type="dxa"/>
            <w:tcBorders>
              <w:bottom w:val="single" w:sz="4" w:space="0" w:color="auto"/>
            </w:tcBorders>
            <w:shd w:val="clear" w:color="auto" w:fill="auto"/>
            <w:vAlign w:val="center"/>
          </w:tcPr>
          <w:p w14:paraId="0FA4A628" w14:textId="1DDC8F21" w:rsidR="00406AA8" w:rsidRPr="0004643F" w:rsidRDefault="00406AA8" w:rsidP="00406AA8">
            <w:pPr>
              <w:jc w:val="center"/>
              <w:rPr>
                <w:rFonts w:ascii="Arial Narrow" w:hAnsi="Arial Narrow"/>
                <w:sz w:val="20"/>
                <w:szCs w:val="20"/>
                <w:highlight w:val="darkGray"/>
              </w:rPr>
            </w:pPr>
            <w:r w:rsidRPr="0095756C">
              <w:rPr>
                <w:rFonts w:ascii="Arial Narrow" w:hAnsi="Arial Narrow"/>
                <w:sz w:val="20"/>
                <w:szCs w:val="20"/>
              </w:rPr>
              <w:t>$</w:t>
            </w:r>
            <w:r w:rsidRPr="0095756C">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tcBorders>
              <w:bottom w:val="single" w:sz="4" w:space="0" w:color="auto"/>
            </w:tcBorders>
            <w:shd w:val="clear" w:color="auto" w:fill="auto"/>
            <w:vAlign w:val="center"/>
          </w:tcPr>
          <w:p w14:paraId="3A870D58" w14:textId="090C902A" w:rsidR="00406AA8" w:rsidRPr="0004643F" w:rsidRDefault="00406AA8" w:rsidP="00406AA8">
            <w:pPr>
              <w:jc w:val="center"/>
              <w:rPr>
                <w:rFonts w:ascii="Arial Narrow" w:hAnsi="Arial Narrow"/>
                <w:sz w:val="20"/>
                <w:szCs w:val="20"/>
                <w:highlight w:val="darkGray"/>
              </w:rPr>
            </w:pPr>
            <w:r w:rsidRPr="0095756C">
              <w:rPr>
                <w:rFonts w:ascii="Arial Narrow" w:hAnsi="Arial Narrow"/>
                <w:sz w:val="20"/>
                <w:szCs w:val="20"/>
              </w:rPr>
              <w:t>$</w:t>
            </w:r>
            <w:r w:rsidRPr="0095756C">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6A17C760" w14:textId="1605349C" w:rsidR="00406AA8" w:rsidRPr="00186594" w:rsidRDefault="00406AA8" w:rsidP="00406AA8">
            <w:pPr>
              <w:jc w:val="center"/>
              <w:rPr>
                <w:rFonts w:ascii="Arial Narrow" w:hAnsi="Arial Narrow"/>
                <w:sz w:val="20"/>
                <w:szCs w:val="20"/>
              </w:rPr>
            </w:pPr>
            <w:r w:rsidRPr="00186594">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2D48A8FC" w14:textId="45C09740" w:rsidR="00406AA8" w:rsidRPr="00186594" w:rsidRDefault="00406AA8" w:rsidP="00406AA8">
            <w:pPr>
              <w:jc w:val="center"/>
              <w:rPr>
                <w:rFonts w:ascii="Arial Narrow" w:hAnsi="Arial Narrow"/>
                <w:sz w:val="20"/>
                <w:szCs w:val="20"/>
              </w:rPr>
            </w:pPr>
            <w:r w:rsidRPr="00186594">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186594">
              <w:rPr>
                <w:rFonts w:ascii="Arial Narrow" w:hAnsi="Arial Narrow"/>
                <w:sz w:val="20"/>
                <w:szCs w:val="20"/>
              </w:rPr>
              <w:t xml:space="preserve"> (-12%)</w:t>
            </w:r>
          </w:p>
        </w:tc>
      </w:tr>
      <w:tr w:rsidR="00406AA8" w:rsidRPr="002106BA" w14:paraId="50F00317" w14:textId="77777777" w:rsidTr="00406AA8">
        <w:tc>
          <w:tcPr>
            <w:tcW w:w="3114" w:type="dxa"/>
          </w:tcPr>
          <w:p w14:paraId="686D19BD" w14:textId="77777777" w:rsidR="00406AA8" w:rsidRPr="00186594" w:rsidRDefault="00406AA8" w:rsidP="00406AA8">
            <w:pPr>
              <w:jc w:val="left"/>
              <w:rPr>
                <w:rFonts w:ascii="Arial Narrow" w:hAnsi="Arial Narrow"/>
                <w:sz w:val="20"/>
                <w:szCs w:val="20"/>
              </w:rPr>
            </w:pPr>
            <w:r w:rsidRPr="00186594">
              <w:rPr>
                <w:rFonts w:ascii="Arial Narrow" w:hAnsi="Arial Narrow"/>
                <w:sz w:val="20"/>
                <w:szCs w:val="20"/>
              </w:rPr>
              <w:t>Simplified base case</w:t>
            </w:r>
            <w:r w:rsidRPr="00186594">
              <w:rPr>
                <w:rFonts w:ascii="Arial Narrow" w:hAnsi="Arial Narrow"/>
                <w:sz w:val="20"/>
                <w:szCs w:val="20"/>
                <w:vertAlign w:val="superscript"/>
              </w:rPr>
              <w:t xml:space="preserve">d </w:t>
            </w:r>
            <w:r w:rsidRPr="00186594">
              <w:rPr>
                <w:rFonts w:ascii="Arial Narrow" w:hAnsi="Arial Narrow"/>
                <w:sz w:val="20"/>
                <w:szCs w:val="20"/>
              </w:rPr>
              <w:t xml:space="preserve">and: </w:t>
            </w:r>
          </w:p>
          <w:p w14:paraId="1390DBEF" w14:textId="33861C08" w:rsidR="00406AA8" w:rsidRPr="00186594" w:rsidDel="00C52BE5" w:rsidRDefault="00406AA8" w:rsidP="00406AA8">
            <w:pPr>
              <w:pStyle w:val="ListParagraph"/>
              <w:numPr>
                <w:ilvl w:val="0"/>
                <w:numId w:val="10"/>
              </w:numPr>
              <w:spacing w:after="0" w:line="240" w:lineRule="auto"/>
              <w:ind w:left="170" w:hanging="170"/>
              <w:jc w:val="left"/>
              <w:rPr>
                <w:rFonts w:ascii="Arial Narrow" w:hAnsi="Arial Narrow"/>
                <w:sz w:val="20"/>
                <w:szCs w:val="20"/>
              </w:rPr>
            </w:pPr>
            <w:r w:rsidRPr="00186594">
              <w:rPr>
                <w:rFonts w:ascii="Arial Narrow" w:hAnsi="Arial Narrow"/>
                <w:sz w:val="20"/>
                <w:szCs w:val="20"/>
              </w:rPr>
              <w:t>Vutrisiran dosing every 87 days; and2.38 vials of patisiran per administration based on APOLLO.</w:t>
            </w:r>
          </w:p>
        </w:tc>
        <w:tc>
          <w:tcPr>
            <w:tcW w:w="1370" w:type="dxa"/>
            <w:shd w:val="clear" w:color="auto" w:fill="auto"/>
            <w:vAlign w:val="center"/>
          </w:tcPr>
          <w:p w14:paraId="37520CB5" w14:textId="316BA102" w:rsidR="00406AA8" w:rsidRPr="0004643F" w:rsidRDefault="00406AA8" w:rsidP="00406AA8">
            <w:pPr>
              <w:jc w:val="center"/>
              <w:rPr>
                <w:rFonts w:ascii="Arial Narrow" w:hAnsi="Arial Narrow"/>
                <w:sz w:val="20"/>
                <w:szCs w:val="20"/>
                <w:highlight w:val="darkGray"/>
              </w:rPr>
            </w:pPr>
            <w:r w:rsidRPr="0095756C">
              <w:rPr>
                <w:rFonts w:ascii="Arial Narrow" w:hAnsi="Arial Narrow"/>
                <w:sz w:val="20"/>
                <w:szCs w:val="20"/>
              </w:rPr>
              <w:t>$</w:t>
            </w:r>
            <w:r w:rsidRPr="0095756C">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0" w:type="dxa"/>
            <w:shd w:val="clear" w:color="auto" w:fill="auto"/>
            <w:vAlign w:val="center"/>
          </w:tcPr>
          <w:p w14:paraId="61BE4E06" w14:textId="420344D8" w:rsidR="00406AA8" w:rsidRPr="0004643F" w:rsidRDefault="00406AA8" w:rsidP="00406AA8">
            <w:pPr>
              <w:jc w:val="center"/>
              <w:rPr>
                <w:rFonts w:ascii="Arial Narrow" w:hAnsi="Arial Narrow"/>
                <w:sz w:val="20"/>
                <w:szCs w:val="20"/>
                <w:highlight w:val="darkGray"/>
              </w:rPr>
            </w:pPr>
            <w:r w:rsidRPr="0095756C">
              <w:rPr>
                <w:rFonts w:ascii="Arial Narrow" w:hAnsi="Arial Narrow"/>
                <w:sz w:val="20"/>
                <w:szCs w:val="20"/>
              </w:rPr>
              <w:t>$</w:t>
            </w:r>
            <w:r w:rsidRPr="0095756C">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71" w:type="dxa"/>
            <w:vAlign w:val="center"/>
          </w:tcPr>
          <w:p w14:paraId="5CC426F3" w14:textId="7EA5DAE5" w:rsidR="00406AA8" w:rsidRPr="00186594" w:rsidRDefault="00406AA8" w:rsidP="00406AA8">
            <w:pPr>
              <w:jc w:val="center"/>
              <w:rPr>
                <w:rFonts w:ascii="Arial Narrow" w:hAnsi="Arial Narrow"/>
                <w:sz w:val="20"/>
                <w:szCs w:val="20"/>
              </w:rPr>
            </w:pPr>
            <w:r w:rsidRPr="00186594">
              <w:rPr>
                <w:rFonts w:ascii="Arial Narrow" w:hAnsi="Arial Narrow"/>
                <w:color w:val="000000"/>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p>
        </w:tc>
        <w:tc>
          <w:tcPr>
            <w:tcW w:w="1791" w:type="dxa"/>
            <w:vAlign w:val="center"/>
          </w:tcPr>
          <w:p w14:paraId="6C173242" w14:textId="579A4214" w:rsidR="00406AA8" w:rsidRPr="00186594" w:rsidRDefault="00406AA8" w:rsidP="00406AA8">
            <w:pPr>
              <w:jc w:val="center"/>
              <w:rPr>
                <w:rFonts w:ascii="Arial Narrow" w:hAnsi="Arial Narrow"/>
                <w:sz w:val="20"/>
                <w:szCs w:val="20"/>
              </w:rPr>
            </w:pPr>
            <w:r w:rsidRPr="00186594">
              <w:rPr>
                <w:rFonts w:ascii="Arial Narrow" w:hAnsi="Arial Narrow"/>
                <w:sz w:val="20"/>
                <w:szCs w:val="20"/>
              </w:rPr>
              <w:t>$</w:t>
            </w:r>
            <w:r w:rsidRPr="00DD7F0E">
              <w:rPr>
                <w:rFonts w:ascii="Arial Narrow" w:hAnsi="Arial Narrow"/>
                <w:color w:val="000000"/>
                <w:sz w:val="20"/>
                <w:szCs w:val="20"/>
                <w:shd w:val="solid" w:color="000000" w:fill="000000"/>
                <w14:textFill>
                  <w14:solidFill>
                    <w14:srgbClr w14:val="000000">
                      <w14:alpha w14:val="100000"/>
                    </w14:srgbClr>
                  </w14:solidFill>
                </w14:textFill>
              </w:rPr>
              <w:t>|</w:t>
            </w:r>
            <w:r w:rsidRPr="00186594">
              <w:rPr>
                <w:rFonts w:ascii="Arial Narrow" w:hAnsi="Arial Narrow"/>
                <w:sz w:val="20"/>
                <w:szCs w:val="20"/>
              </w:rPr>
              <w:t xml:space="preserve"> (-</w:t>
            </w:r>
            <w:r w:rsidRPr="00275E96">
              <w:rPr>
                <w:rFonts w:ascii="Arial Narrow" w:hAnsi="Arial Narrow"/>
                <w:sz w:val="20"/>
                <w:szCs w:val="20"/>
              </w:rPr>
              <w:t>15</w:t>
            </w:r>
            <w:r w:rsidRPr="00186594">
              <w:rPr>
                <w:rFonts w:ascii="Arial Narrow" w:hAnsi="Arial Narrow"/>
                <w:sz w:val="20"/>
                <w:szCs w:val="20"/>
              </w:rPr>
              <w:t>%)</w:t>
            </w:r>
          </w:p>
        </w:tc>
      </w:tr>
    </w:tbl>
    <w:p w14:paraId="3557D304" w14:textId="77777777" w:rsidR="00DC1888" w:rsidRPr="002106BA" w:rsidRDefault="00DC1888" w:rsidP="009A5140">
      <w:pPr>
        <w:pStyle w:val="COMTablefooter"/>
        <w:keepNext/>
        <w:keepLines/>
      </w:pPr>
      <w:r w:rsidRPr="002106BA">
        <w:t>Source: Constructed during the evaluation, using the Section 3 Excel cost minimisation workbook</w:t>
      </w:r>
    </w:p>
    <w:p w14:paraId="054721DD" w14:textId="77777777" w:rsidR="00DC1888" w:rsidRPr="002106BA" w:rsidRDefault="00DC1888" w:rsidP="009A5140">
      <w:pPr>
        <w:pStyle w:val="COMTablefooter"/>
        <w:keepNext/>
        <w:keepLines/>
      </w:pPr>
      <w:r w:rsidRPr="002106BA">
        <w:t>Abbreviations: AEMP, approved ex-manufacturer cost</w:t>
      </w:r>
    </w:p>
    <w:p w14:paraId="14EAD3DC" w14:textId="7717157F" w:rsidR="00DC1888" w:rsidRPr="002106BA" w:rsidRDefault="00DC1888" w:rsidP="009A5140">
      <w:pPr>
        <w:pStyle w:val="COMTablefooter"/>
        <w:keepNext/>
        <w:keepLines/>
      </w:pPr>
      <w:proofErr w:type="spellStart"/>
      <w:r w:rsidRPr="002106BA">
        <w:rPr>
          <w:vertAlign w:val="superscript"/>
        </w:rPr>
        <w:t>a</w:t>
      </w:r>
      <w:proofErr w:type="spellEnd"/>
      <w:r w:rsidRPr="002106BA">
        <w:rPr>
          <w:vertAlign w:val="superscript"/>
        </w:rPr>
        <w:t xml:space="preserve"> </w:t>
      </w:r>
      <w:r w:rsidRPr="002106BA">
        <w:t>The base case economic evaluation was calculated based on the proposed effective AEMP for vutrisiran ($</w:t>
      </w:r>
      <w:r w:rsidR="00DD7F0E" w:rsidRPr="00DD7F0E">
        <w:rPr>
          <w:color w:val="000000"/>
          <w:spacing w:val="38"/>
          <w:shd w:val="solid" w:color="000000" w:fill="000000"/>
          <w:fitText w:val="274" w:id="-761617398"/>
          <w14:textFill>
            <w14:solidFill>
              <w14:srgbClr w14:val="000000">
                <w14:alpha w14:val="100000"/>
              </w14:srgbClr>
            </w14:solidFill>
          </w14:textFill>
        </w:rPr>
        <w:t xml:space="preserve">|  </w:t>
      </w:r>
      <w:r w:rsidR="00DD7F0E" w:rsidRPr="00DD7F0E">
        <w:rPr>
          <w:color w:val="000000"/>
          <w:spacing w:val="2"/>
          <w:shd w:val="solid" w:color="000000" w:fill="000000"/>
          <w:fitText w:val="274" w:id="-761617398"/>
          <w14:textFill>
            <w14:solidFill>
              <w14:srgbClr w14:val="000000">
                <w14:alpha w14:val="100000"/>
              </w14:srgbClr>
            </w14:solidFill>
          </w14:textFill>
        </w:rPr>
        <w:t>|</w:t>
      </w:r>
      <w:r w:rsidRPr="002106BA">
        <w:t xml:space="preserve"> per 25 mg syringe) and effective AEMP for patisiran ($</w:t>
      </w:r>
      <w:r w:rsidR="00DD7F0E" w:rsidRPr="001B3D0E">
        <w:rPr>
          <w:color w:val="000000"/>
          <w:spacing w:val="38"/>
          <w:shd w:val="solid" w:color="000000" w:fill="000000"/>
          <w:fitText w:val="273" w:id="-761617397"/>
          <w14:textFill>
            <w14:solidFill>
              <w14:srgbClr w14:val="000000">
                <w14:alpha w14:val="100000"/>
              </w14:srgbClr>
            </w14:solidFill>
          </w14:textFill>
        </w:rPr>
        <w:t xml:space="preserve">|  </w:t>
      </w:r>
      <w:r w:rsidR="00DD7F0E" w:rsidRPr="001B3D0E">
        <w:rPr>
          <w:color w:val="000000"/>
          <w:spacing w:val="1"/>
          <w:shd w:val="solid" w:color="000000" w:fill="000000"/>
          <w:fitText w:val="273" w:id="-761617397"/>
          <w14:textFill>
            <w14:solidFill>
              <w14:srgbClr w14:val="000000">
                <w14:alpha w14:val="100000"/>
              </w14:srgbClr>
            </w14:solidFill>
          </w14:textFill>
        </w:rPr>
        <w:t>|</w:t>
      </w:r>
      <w:r w:rsidRPr="002106BA">
        <w:t xml:space="preserve"> per 10 mg vial). Vutrisiran dosing was assumed to be 3-monthly (2 doses per 6-month period). Patisiran dosing was assumed to be 3-weekly (2.57 vials per dose; 8.70 administrations every 6 months).</w:t>
      </w:r>
    </w:p>
    <w:p w14:paraId="0FCE57B9" w14:textId="6599BA1B" w:rsidR="00DC1888" w:rsidRPr="002106BA" w:rsidRDefault="00DC1888" w:rsidP="009A5140">
      <w:pPr>
        <w:pStyle w:val="COMTablefooter"/>
        <w:keepNext/>
        <w:keepLines/>
      </w:pPr>
      <w:r w:rsidRPr="002106BA">
        <w:rPr>
          <w:vertAlign w:val="superscript"/>
        </w:rPr>
        <w:t xml:space="preserve">b </w:t>
      </w:r>
      <w:r w:rsidR="004D007C" w:rsidRPr="002106BA">
        <w:t xml:space="preserve">The average number of patisiran vials was calculated to be 2.38 per administration, based on the reported weight distribution for the non-V30M population in the APOLLO </w:t>
      </w:r>
      <w:r w:rsidR="005E6F41" w:rsidRPr="002106BA">
        <w:t xml:space="preserve">study </w:t>
      </w:r>
      <w:r w:rsidR="004D007C" w:rsidRPr="002106BA">
        <w:t>(34-66 kg: 62.0%; 67-99 kg: 34.1%; 100-132 kg: 3.9%), 62% of patients would require 2 vials, and 38% of patients would require 3 vials. The December 2023 resubmission stated that the weight distribution was reflective of the Australian symptomatic patient population based on advice from the Sydney site of the Australian Amyloidosis Network (AAN) (</w:t>
      </w:r>
      <w:r w:rsidR="00EE7C65" w:rsidRPr="002106BA">
        <w:t>para</w:t>
      </w:r>
      <w:r w:rsidR="00E21D44">
        <w:t>graph</w:t>
      </w:r>
      <w:r w:rsidR="00EE7C65" w:rsidRPr="002106BA">
        <w:t xml:space="preserve"> 18.2 patisiran PSD, December 2023 PBAC meeting)</w:t>
      </w:r>
      <w:r w:rsidR="004D007C" w:rsidRPr="002106BA">
        <w:t>.</w:t>
      </w:r>
    </w:p>
    <w:p w14:paraId="26985096" w14:textId="6B0F4C2B" w:rsidR="00A61A9C" w:rsidRPr="002106BA" w:rsidRDefault="00A61A9C" w:rsidP="00A61A9C">
      <w:pPr>
        <w:pStyle w:val="COMTablefooter"/>
      </w:pPr>
      <w:r w:rsidRPr="002106BA">
        <w:rPr>
          <w:vertAlign w:val="superscript"/>
        </w:rPr>
        <w:t xml:space="preserve">c </w:t>
      </w:r>
      <w:r w:rsidRPr="002106BA">
        <w:t>Based on serious treatment-related adverse events occurring in ≥2% of patients in either arm of the HELIOS-A trial</w:t>
      </w:r>
      <w:r w:rsidR="00BA2DA0" w:rsidRPr="002106BA">
        <w:t>.</w:t>
      </w:r>
    </w:p>
    <w:p w14:paraId="18712BA5" w14:textId="131AC401" w:rsidR="00BC724A" w:rsidRPr="002106BA" w:rsidRDefault="00A61A9C" w:rsidP="009A5140">
      <w:pPr>
        <w:pStyle w:val="COMTablefooter"/>
        <w:keepNext/>
        <w:keepLines/>
      </w:pPr>
      <w:r w:rsidRPr="002106BA">
        <w:rPr>
          <w:vertAlign w:val="superscript"/>
        </w:rPr>
        <w:t xml:space="preserve">d </w:t>
      </w:r>
      <w:r w:rsidR="00BC724A" w:rsidRPr="002106BA">
        <w:t>Simplified CMA: Modelling aspects removed (no 6-month cycles or half-cycle correction); treatment persistence revised from modelled time-on-treatment and mortality estimates to mean duration of treatment from HELIOS-A (18.82 months for vutrisiran; 18.08 months for patisiran</w:t>
      </w:r>
      <w:r w:rsidR="00E85F39" w:rsidRPr="002106BA">
        <w:t xml:space="preserve"> from Table 14.1.9.1.1 HELIOS-A 18M CSR2 10 JANUARY 2020</w:t>
      </w:r>
      <w:r w:rsidR="00BC724A" w:rsidRPr="002106BA">
        <w:t xml:space="preserve">); adverse event costs </w:t>
      </w:r>
      <w:r w:rsidR="00BA2DA0" w:rsidRPr="002106BA">
        <w:t xml:space="preserve">for infusion related reactions </w:t>
      </w:r>
      <w:r w:rsidR="00BC724A" w:rsidRPr="002106BA">
        <w:t>based on overall incidence</w:t>
      </w:r>
      <w:r w:rsidR="00BA2DA0" w:rsidRPr="002106BA">
        <w:t xml:space="preserve"> of treatment-related serious adverse events occurring in ≥2% of patients in either arm of HELIOS-A </w:t>
      </w:r>
      <w:r w:rsidR="000C675D" w:rsidRPr="002106BA">
        <w:t>(Infusion- site phlebitis 2.38%, Infusion-related reactions 7.14%, Infusion site cellulitis 4.76%)</w:t>
      </w:r>
      <w:r w:rsidR="00BC724A" w:rsidRPr="002106BA">
        <w:t>; end-of-life costs removed (assumed equal in the modelled analysis).</w:t>
      </w:r>
    </w:p>
    <w:p w14:paraId="298AF6B3" w14:textId="44B39A77" w:rsidR="005A63D6" w:rsidRPr="002106BA" w:rsidRDefault="00A61A9C" w:rsidP="00AD09B8">
      <w:pPr>
        <w:pStyle w:val="COMTablefooter"/>
      </w:pPr>
      <w:r w:rsidRPr="002106BA">
        <w:rPr>
          <w:vertAlign w:val="superscript"/>
        </w:rPr>
        <w:t xml:space="preserve">e </w:t>
      </w:r>
      <w:r w:rsidR="00BC724A" w:rsidRPr="002106BA">
        <w:t>Change INPUTS!E11 to (365.25/2)/(7×12) and INPUTS!J21 to 2.38</w:t>
      </w:r>
      <w:r w:rsidR="005A63D6" w:rsidRPr="002106BA">
        <w:t>.</w:t>
      </w:r>
    </w:p>
    <w:p w14:paraId="7A07FB8B" w14:textId="4DBF7ABC" w:rsidR="00DC1888" w:rsidRPr="002106BA" w:rsidRDefault="00DC1888" w:rsidP="00DC1888">
      <w:pPr>
        <w:pStyle w:val="COMexecsummnumbered"/>
      </w:pPr>
      <w:bookmarkStart w:id="56" w:name="_Ref182406490"/>
      <w:r w:rsidRPr="002106BA">
        <w:t>The</w:t>
      </w:r>
      <w:r w:rsidR="000278D8" w:rsidRPr="002106BA">
        <w:t xml:space="preserve"> ESC noted that virtually the entire cost in the CMA was </w:t>
      </w:r>
      <w:r w:rsidR="00AA0F1B" w:rsidRPr="002106BA">
        <w:t xml:space="preserve">due to </w:t>
      </w:r>
      <w:r w:rsidR="000278D8" w:rsidRPr="002106BA">
        <w:t xml:space="preserve">drug acquisition costs and </w:t>
      </w:r>
      <w:r w:rsidR="00AA0F1B" w:rsidRPr="002106BA">
        <w:t xml:space="preserve">that </w:t>
      </w:r>
      <w:r w:rsidR="000278D8" w:rsidRPr="002106BA">
        <w:t xml:space="preserve">the </w:t>
      </w:r>
      <w:r w:rsidRPr="002106BA">
        <w:t xml:space="preserve">results of the sensitivity analyses indicated that the </w:t>
      </w:r>
      <w:r w:rsidR="00543962" w:rsidRPr="002106BA">
        <w:t>cost-</w:t>
      </w:r>
      <w:r w:rsidR="00543962" w:rsidRPr="002106BA">
        <w:lastRenderedPageBreak/>
        <w:t>minimisation approach</w:t>
      </w:r>
      <w:r w:rsidRPr="002106BA">
        <w:t xml:space="preserve"> is sensitive to the number of vials per administration of patisiran, the frequency of vutrisiran administration, and estimates of treatment persistence. </w:t>
      </w:r>
      <w:r w:rsidR="00A61A9C" w:rsidRPr="002106BA">
        <w:t xml:space="preserve">The ESC noted that </w:t>
      </w:r>
      <w:r w:rsidRPr="002106BA">
        <w:t xml:space="preserve">comparisons between vutrisiran and patisiran safety outcomes were not adequately powered, </w:t>
      </w:r>
      <w:r w:rsidR="00A61A9C" w:rsidRPr="002106BA">
        <w:t>and</w:t>
      </w:r>
      <w:r w:rsidRPr="002106BA">
        <w:t xml:space="preserve"> included </w:t>
      </w:r>
      <w:r w:rsidR="00A61A9C" w:rsidRPr="002106BA">
        <w:t xml:space="preserve">only </w:t>
      </w:r>
      <w:r w:rsidRPr="002106BA">
        <w:t xml:space="preserve">small numbers of events, and </w:t>
      </w:r>
      <w:r w:rsidR="00A61A9C" w:rsidRPr="002106BA">
        <w:t xml:space="preserve">may not be </w:t>
      </w:r>
      <w:r w:rsidRPr="002106BA">
        <w:t>reliable</w:t>
      </w:r>
      <w:bookmarkEnd w:id="56"/>
      <w:r w:rsidR="003B52AD" w:rsidRPr="002106BA">
        <w:t>.</w:t>
      </w:r>
    </w:p>
    <w:p w14:paraId="434D4D96" w14:textId="47B7C3E1" w:rsidR="007107D1" w:rsidRPr="002106BA" w:rsidRDefault="006B07AC" w:rsidP="00F12843">
      <w:pPr>
        <w:pStyle w:val="COMexecsummnumbered"/>
      </w:pPr>
      <w:bookmarkStart w:id="57" w:name="_Ref183447028"/>
      <w:r w:rsidRPr="002106BA">
        <w:t xml:space="preserve">The PSCR stated that the HELIOS-A protocol allowed dosing every 12 weeks plus or minus 3 days during the Treatment Period and ±7 days during the Treatment Extension Period, and argued that a CMA assuming administration of vutrisiran at 12 weekly intervals would overestimate the dose which will be used in practice. </w:t>
      </w:r>
      <w:r w:rsidR="007107D1" w:rsidRPr="002106BA">
        <w:t xml:space="preserve">However, the ESC noted that </w:t>
      </w:r>
      <w:r w:rsidR="001C1903" w:rsidRPr="002106BA">
        <w:t>the analysis based on vutrisiran dosing every 12 weeks was consistent with the trial evidence which informed the assessment of the clinical claims.</w:t>
      </w:r>
      <w:bookmarkEnd w:id="57"/>
    </w:p>
    <w:p w14:paraId="06A25385" w14:textId="4A1DBC95" w:rsidR="003B52AD" w:rsidRPr="002106BA" w:rsidRDefault="006B07AC" w:rsidP="00232BC1">
      <w:pPr>
        <w:pStyle w:val="COMexecsummnumbered"/>
      </w:pPr>
      <w:bookmarkStart w:id="58" w:name="_Ref182406475"/>
      <w:r w:rsidRPr="002106BA">
        <w:t xml:space="preserve">The </w:t>
      </w:r>
      <w:r w:rsidR="007107D1" w:rsidRPr="00232DF4">
        <w:t>PSCR</w:t>
      </w:r>
      <w:r w:rsidRPr="00232DF4">
        <w:t xml:space="preserve"> reported that the average number of vials used in the patisiran early access program (EAP) in Australia was 2.61. The average utilisation of patisiran was reported to be 2.73 and 2.63 vials per patient, in the US and UK respectively.</w:t>
      </w:r>
      <w:r w:rsidR="001C1903" w:rsidRPr="00232DF4">
        <w:t xml:space="preserve"> The ESC noted that the submission assumed an average utilisation</w:t>
      </w:r>
      <w:r w:rsidR="001C1903" w:rsidRPr="002106BA">
        <w:t xml:space="preserve"> of 2.57 vials of patisiran per administration, </w:t>
      </w:r>
      <w:r w:rsidR="00615B3E">
        <w:t xml:space="preserve">which </w:t>
      </w:r>
      <w:r w:rsidR="00155F3C" w:rsidRPr="002106BA">
        <w:t xml:space="preserve">was </w:t>
      </w:r>
      <w:r w:rsidR="001C1903" w:rsidRPr="002106BA">
        <w:t>higher than the estimate of 2.38 vials based on the APOLLO study considered by the PBAC in December 2023 (</w:t>
      </w:r>
      <w:r w:rsidR="001C1903" w:rsidRPr="002106BA">
        <w:fldChar w:fldCharType="begin"/>
      </w:r>
      <w:r w:rsidR="001C1903" w:rsidRPr="002106BA">
        <w:instrText xml:space="preserve"> REF _Ref177049158 \h  \* MERGEFORMAT </w:instrText>
      </w:r>
      <w:r w:rsidR="001C1903" w:rsidRPr="002106BA">
        <w:fldChar w:fldCharType="separate"/>
      </w:r>
      <w:r w:rsidR="00DB6E9D" w:rsidRPr="002106BA">
        <w:t xml:space="preserve">Table </w:t>
      </w:r>
      <w:r w:rsidR="00DB6E9D">
        <w:t>12</w:t>
      </w:r>
      <w:r w:rsidR="001C1903" w:rsidRPr="002106BA">
        <w:fldChar w:fldCharType="end"/>
      </w:r>
      <w:r w:rsidR="001C1903" w:rsidRPr="002106BA">
        <w:t>).</w:t>
      </w:r>
      <w:bookmarkEnd w:id="58"/>
      <w:r w:rsidR="001C1903" w:rsidRPr="002106BA">
        <w:t xml:space="preserve"> </w:t>
      </w:r>
    </w:p>
    <w:p w14:paraId="2A21E3D4" w14:textId="196729C9" w:rsidR="00E85F39" w:rsidRPr="002106BA" w:rsidRDefault="00EE55AC" w:rsidP="00232BC1">
      <w:pPr>
        <w:pStyle w:val="COMexecsummnumbered"/>
      </w:pPr>
      <w:r w:rsidRPr="002106BA">
        <w:t>The ESC noted that inputs for the submission’s base case CMA were derived from small patient numbers in HELIOS-A</w:t>
      </w:r>
      <w:r w:rsidR="000D099F" w:rsidRPr="002106BA">
        <w:t>, particularly for the patisiran group</w:t>
      </w:r>
      <w:r w:rsidRPr="002106BA">
        <w:t xml:space="preserve"> (vutrisiran n=122, patisiran n=42), and considered these were not robust.</w:t>
      </w:r>
      <w:r w:rsidR="000D099F" w:rsidRPr="002106BA">
        <w:t xml:space="preserve"> The ESC also noted there were several uncertainties with regards to the clinical claims of non-inferior comparative effectiveness and safety of vutrisiran and patisiran, as discussed in paragraph </w:t>
      </w:r>
      <w:r w:rsidR="000D099F" w:rsidRPr="002106BA">
        <w:fldChar w:fldCharType="begin"/>
      </w:r>
      <w:r w:rsidR="000D099F" w:rsidRPr="002106BA">
        <w:instrText xml:space="preserve"> REF _Ref179842355 \r \h </w:instrText>
      </w:r>
      <w:r w:rsidR="00EF64BC" w:rsidRPr="002106BA">
        <w:instrText xml:space="preserve"> \* MERGEFORMAT </w:instrText>
      </w:r>
      <w:r w:rsidR="000D099F" w:rsidRPr="002106BA">
        <w:fldChar w:fldCharType="separate"/>
      </w:r>
      <w:r w:rsidR="00DB6E9D">
        <w:t>6.40</w:t>
      </w:r>
      <w:r w:rsidR="000D099F" w:rsidRPr="002106BA">
        <w:fldChar w:fldCharType="end"/>
      </w:r>
      <w:r w:rsidR="000D099F" w:rsidRPr="002106BA">
        <w:t xml:space="preserve">. </w:t>
      </w:r>
      <w:bookmarkStart w:id="59" w:name="_Hlk182811132"/>
      <w:r w:rsidR="00412257" w:rsidRPr="002106BA">
        <w:t xml:space="preserve">The ESC considered that the submission’s modelling method was overly complex and not justified, given the limited data to inform the model’s time-dependent risks of treatment discontinuation (and </w:t>
      </w:r>
      <w:r w:rsidR="00412257" w:rsidRPr="00232DF4">
        <w:t xml:space="preserve">mortality). </w:t>
      </w:r>
      <w:bookmarkStart w:id="60" w:name="_Hlk182811226"/>
      <w:r w:rsidR="00412257" w:rsidRPr="00232DF4">
        <w:t>The ESC considered that a simplified model would be</w:t>
      </w:r>
      <w:r w:rsidR="00A33324" w:rsidRPr="00232DF4">
        <w:t xml:space="preserve"> a</w:t>
      </w:r>
      <w:r w:rsidR="00412257" w:rsidRPr="00232DF4">
        <w:t xml:space="preserve"> more appropriate </w:t>
      </w:r>
      <w:r w:rsidR="00A33324" w:rsidRPr="00232DF4">
        <w:t>basis for the CMA</w:t>
      </w:r>
      <w:r w:rsidR="00412257" w:rsidRPr="00232DF4">
        <w:t xml:space="preserve"> (ESC 1). In addition, </w:t>
      </w:r>
      <w:r w:rsidR="00F100E8" w:rsidRPr="00232DF4">
        <w:t xml:space="preserve">the ESC </w:t>
      </w:r>
      <w:r w:rsidR="004415C2" w:rsidRPr="00232DF4">
        <w:t xml:space="preserve">considered that </w:t>
      </w:r>
      <w:r w:rsidR="00C56A4D" w:rsidRPr="00232DF4">
        <w:t xml:space="preserve">the analysis should </w:t>
      </w:r>
      <w:r w:rsidR="004415C2" w:rsidRPr="00232DF4">
        <w:t xml:space="preserve">assume vutrisiran dosing every 12 weeks (consistent with the HELIOS-A </w:t>
      </w:r>
      <w:r w:rsidR="005E6F41" w:rsidRPr="00232DF4">
        <w:t>study</w:t>
      </w:r>
      <w:r w:rsidR="004415C2" w:rsidRPr="00232DF4">
        <w:t xml:space="preserve">) and 2.38 vials of patisiran per administration (based on APOLLO </w:t>
      </w:r>
      <w:r w:rsidR="005E6F41" w:rsidRPr="00232DF4">
        <w:t xml:space="preserve">study </w:t>
      </w:r>
      <w:r w:rsidR="004415C2" w:rsidRPr="00232DF4">
        <w:t>and as considered previously by the PBAC) were appropriate</w:t>
      </w:r>
      <w:bookmarkEnd w:id="60"/>
      <w:r w:rsidR="004415C2" w:rsidRPr="00232DF4">
        <w:t xml:space="preserve">. </w:t>
      </w:r>
      <w:r w:rsidR="00C16AFF" w:rsidRPr="00232DF4">
        <w:t>This ESC preferred multivariate sensitivity analysis (ESC 3 in Table 12) resulted in a cost-minimised vutrisiran AEMP that was reduced by 18% compared</w:t>
      </w:r>
      <w:r w:rsidR="00C16AFF" w:rsidRPr="002106BA">
        <w:t xml:space="preserve"> with the price proposed in the submission.</w:t>
      </w:r>
      <w:r w:rsidR="005D0629" w:rsidRPr="002106BA">
        <w:t xml:space="preserve"> </w:t>
      </w:r>
      <w:bookmarkEnd w:id="59"/>
    </w:p>
    <w:p w14:paraId="0F0E40C8" w14:textId="08324866" w:rsidR="005D0629" w:rsidRPr="002106BA" w:rsidRDefault="005D0629" w:rsidP="00AF2FE5">
      <w:pPr>
        <w:pStyle w:val="COMexecsummnumbered"/>
        <w:spacing w:after="0"/>
      </w:pPr>
      <w:r w:rsidRPr="002106BA">
        <w:t xml:space="preserve">The Pre-PBAC Response argued that vutrisiran should not be considered a ‘me too’ version of patisiran, and it represents a scientific advance in the delivery of small interfering RNA therapies. </w:t>
      </w:r>
      <w:r w:rsidR="00402745" w:rsidRPr="002106BA">
        <w:t>W</w:t>
      </w:r>
      <w:r w:rsidRPr="002106BA">
        <w:t xml:space="preserve">ith respect to the equi-effective doses and dosing intervals, </w:t>
      </w:r>
      <w:r w:rsidR="00402745" w:rsidRPr="002106BA">
        <w:t xml:space="preserve">the Response argued </w:t>
      </w:r>
      <w:r w:rsidRPr="002106BA">
        <w:t xml:space="preserve">that a 3-monthly dosing interval for vutrisiran has been supported by </w:t>
      </w:r>
      <w:r w:rsidR="005027D4" w:rsidRPr="002106BA">
        <w:t>regulatory agencies, and serum TTR data presented (Figure 1) shows the efficacy of vutrisiran is maintained and stable around the 12-week interval period</w:t>
      </w:r>
      <w:r w:rsidR="008A630D" w:rsidRPr="002106BA">
        <w:t xml:space="preserve"> (when vutrisiran was administered according to the HELIOS-A protocol)</w:t>
      </w:r>
      <w:r w:rsidR="005027D4" w:rsidRPr="002106BA">
        <w:t xml:space="preserve">. With respect to the number of vials per patisiran administration, the Response maintained that 2.57 vials is reasonable and based on that used in the HELIOS-A </w:t>
      </w:r>
      <w:r w:rsidR="005E6F41" w:rsidRPr="002106BA">
        <w:t>study</w:t>
      </w:r>
      <w:r w:rsidR="005027D4" w:rsidRPr="002106BA">
        <w:t xml:space="preserve">, </w:t>
      </w:r>
      <w:r w:rsidR="008A630D" w:rsidRPr="002106BA">
        <w:t>and</w:t>
      </w:r>
      <w:r w:rsidR="005027D4" w:rsidRPr="002106BA">
        <w:t xml:space="preserve"> lower than that observed in the Australian EAP, the US or the UK (paragraph </w:t>
      </w:r>
      <w:r w:rsidR="005027D4" w:rsidRPr="002106BA">
        <w:fldChar w:fldCharType="begin"/>
      </w:r>
      <w:r w:rsidR="005027D4" w:rsidRPr="002106BA">
        <w:instrText xml:space="preserve"> REF _Ref182406475 \r \h </w:instrText>
      </w:r>
      <w:r w:rsidR="005027D4" w:rsidRPr="002106BA">
        <w:fldChar w:fldCharType="separate"/>
      </w:r>
      <w:r w:rsidR="00DB6E9D">
        <w:t>6.61</w:t>
      </w:r>
      <w:r w:rsidR="005027D4" w:rsidRPr="002106BA">
        <w:fldChar w:fldCharType="end"/>
      </w:r>
      <w:r w:rsidR="005027D4" w:rsidRPr="002106BA">
        <w:t xml:space="preserve"> refers). </w:t>
      </w:r>
    </w:p>
    <w:p w14:paraId="472842D7" w14:textId="1F940EE5" w:rsidR="00C25D9C" w:rsidRPr="002106BA" w:rsidRDefault="00C25D9C" w:rsidP="003D5DE7">
      <w:pPr>
        <w:pStyle w:val="COMH2-non-numbered"/>
      </w:pPr>
      <w:bookmarkStart w:id="61" w:name="_Toc177559183"/>
      <w:r w:rsidRPr="002106BA">
        <w:lastRenderedPageBreak/>
        <w:t>Drug cost/patient/year</w:t>
      </w:r>
      <w:bookmarkEnd w:id="46"/>
      <w:bookmarkEnd w:id="61"/>
    </w:p>
    <w:bookmarkStart w:id="62" w:name="_Ref104805102"/>
    <w:p w14:paraId="5291E36A" w14:textId="1DFFDFE7" w:rsidR="00A319DC" w:rsidRPr="002106BA" w:rsidRDefault="008F74C6" w:rsidP="00A319DC">
      <w:pPr>
        <w:pStyle w:val="COMexecsummnumbered"/>
      </w:pPr>
      <w:r w:rsidRPr="002106BA">
        <w:fldChar w:fldCharType="begin"/>
      </w:r>
      <w:r w:rsidRPr="002106BA">
        <w:instrText xml:space="preserve"> REF _Ref174974502 \h </w:instrText>
      </w:r>
      <w:r w:rsidR="00364566" w:rsidRPr="002106BA">
        <w:instrText xml:space="preserve"> \* MERGEFORMAT </w:instrText>
      </w:r>
      <w:r w:rsidRPr="002106BA">
        <w:fldChar w:fldCharType="separate"/>
      </w:r>
      <w:r w:rsidR="00DB6E9D" w:rsidRPr="002106BA">
        <w:t xml:space="preserve">Table </w:t>
      </w:r>
      <w:r w:rsidR="00DB6E9D">
        <w:t>13</w:t>
      </w:r>
      <w:r w:rsidRPr="002106BA">
        <w:fldChar w:fldCharType="end"/>
      </w:r>
      <w:r w:rsidR="00A319DC" w:rsidRPr="002106BA">
        <w:t xml:space="preserve"> presents a comparison of drug costs for vutrisiran and patisiran included in the cost-minimisation and financial estimates.</w:t>
      </w:r>
    </w:p>
    <w:p w14:paraId="28607C89" w14:textId="13A75728" w:rsidR="00A319DC" w:rsidRPr="002106BA" w:rsidRDefault="00A319DC" w:rsidP="00A319DC">
      <w:pPr>
        <w:pStyle w:val="Caption"/>
      </w:pPr>
      <w:bookmarkStart w:id="63" w:name="_Ref174974502"/>
      <w:r w:rsidRPr="002106BA">
        <w:t xml:space="preserve">Table </w:t>
      </w:r>
      <w:r w:rsidR="0027304F">
        <w:fldChar w:fldCharType="begin"/>
      </w:r>
      <w:r w:rsidR="0027304F">
        <w:instrText xml:space="preserve"> SEQ Table \* ARABIC </w:instrText>
      </w:r>
      <w:r w:rsidR="0027304F">
        <w:fldChar w:fldCharType="separate"/>
      </w:r>
      <w:r w:rsidR="00DB6E9D">
        <w:rPr>
          <w:noProof/>
        </w:rPr>
        <w:t>13</w:t>
      </w:r>
      <w:r w:rsidR="0027304F">
        <w:fldChar w:fldCharType="end"/>
      </w:r>
      <w:bookmarkEnd w:id="63"/>
      <w:r w:rsidRPr="002106BA">
        <w:t>: Drug cost per patient per year for vutrisiran and patisiran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2298"/>
        <w:gridCol w:w="2298"/>
        <w:gridCol w:w="2299"/>
      </w:tblGrid>
      <w:tr w:rsidR="00A319DC" w:rsidRPr="002106BA" w14:paraId="102FBFCC" w14:textId="77777777" w:rsidTr="00F20C9C">
        <w:trPr>
          <w:cantSplit/>
          <w:tblHeader/>
          <w:jc w:val="center"/>
        </w:trPr>
        <w:tc>
          <w:tcPr>
            <w:tcW w:w="1177" w:type="pct"/>
            <w:shd w:val="clear" w:color="auto" w:fill="auto"/>
            <w:vAlign w:val="center"/>
          </w:tcPr>
          <w:p w14:paraId="2946118E" w14:textId="77777777" w:rsidR="00A319DC" w:rsidRPr="002106BA" w:rsidRDefault="00A319DC" w:rsidP="009B1087">
            <w:pPr>
              <w:pStyle w:val="COMTableheadingrow"/>
              <w:jc w:val="center"/>
              <w:rPr>
                <w:lang w:val="en-AU"/>
              </w:rPr>
            </w:pPr>
          </w:p>
        </w:tc>
        <w:tc>
          <w:tcPr>
            <w:tcW w:w="1274" w:type="pct"/>
            <w:shd w:val="clear" w:color="auto" w:fill="auto"/>
            <w:vAlign w:val="center"/>
          </w:tcPr>
          <w:p w14:paraId="001C5087" w14:textId="77777777" w:rsidR="00A319DC" w:rsidRPr="002106BA" w:rsidRDefault="00A319DC" w:rsidP="009B1087">
            <w:pPr>
              <w:pStyle w:val="COMTableheadingrow"/>
              <w:jc w:val="center"/>
              <w:rPr>
                <w:lang w:val="en-AU"/>
              </w:rPr>
            </w:pPr>
            <w:r w:rsidRPr="002106BA">
              <w:rPr>
                <w:lang w:val="en-AU"/>
              </w:rPr>
              <w:t>HELIOS-A</w:t>
            </w:r>
          </w:p>
        </w:tc>
        <w:tc>
          <w:tcPr>
            <w:tcW w:w="1274" w:type="pct"/>
            <w:shd w:val="clear" w:color="auto" w:fill="auto"/>
            <w:vAlign w:val="center"/>
          </w:tcPr>
          <w:p w14:paraId="5949F9A6" w14:textId="77777777" w:rsidR="00A319DC" w:rsidRPr="002106BA" w:rsidRDefault="00A319DC" w:rsidP="009B1087">
            <w:pPr>
              <w:pStyle w:val="COMTableheadingrow"/>
              <w:jc w:val="center"/>
              <w:rPr>
                <w:lang w:val="en-AU"/>
              </w:rPr>
            </w:pPr>
            <w:r w:rsidRPr="002106BA">
              <w:rPr>
                <w:lang w:val="en-AU"/>
              </w:rPr>
              <w:t>Cost-minimisation</w:t>
            </w:r>
          </w:p>
        </w:tc>
        <w:tc>
          <w:tcPr>
            <w:tcW w:w="1274" w:type="pct"/>
            <w:shd w:val="clear" w:color="auto" w:fill="auto"/>
            <w:vAlign w:val="center"/>
          </w:tcPr>
          <w:p w14:paraId="05FB2E66" w14:textId="77777777" w:rsidR="00A319DC" w:rsidRPr="002106BA" w:rsidRDefault="00A319DC" w:rsidP="009B1087">
            <w:pPr>
              <w:pStyle w:val="COMTableheadingrow"/>
              <w:jc w:val="center"/>
              <w:rPr>
                <w:lang w:val="en-AU"/>
              </w:rPr>
            </w:pPr>
            <w:r w:rsidRPr="002106BA">
              <w:rPr>
                <w:lang w:val="en-AU"/>
              </w:rPr>
              <w:t>Financial estimates</w:t>
            </w:r>
          </w:p>
        </w:tc>
      </w:tr>
      <w:tr w:rsidR="00A319DC" w:rsidRPr="002106BA" w14:paraId="5C3D584D" w14:textId="77777777" w:rsidTr="009B1087">
        <w:trPr>
          <w:cantSplit/>
          <w:jc w:val="center"/>
        </w:trPr>
        <w:tc>
          <w:tcPr>
            <w:tcW w:w="5000" w:type="pct"/>
            <w:gridSpan w:val="4"/>
            <w:shd w:val="clear" w:color="auto" w:fill="auto"/>
            <w:vAlign w:val="center"/>
          </w:tcPr>
          <w:p w14:paraId="12DDA631" w14:textId="77777777" w:rsidR="00A319DC" w:rsidRPr="002106BA" w:rsidRDefault="00A319DC" w:rsidP="009B1087">
            <w:pPr>
              <w:pStyle w:val="COMTabletext"/>
              <w:rPr>
                <w:b/>
                <w:bCs w:val="0"/>
              </w:rPr>
            </w:pPr>
            <w:r w:rsidRPr="002106BA">
              <w:rPr>
                <w:b/>
                <w:bCs w:val="0"/>
              </w:rPr>
              <w:t>Vutrisiran</w:t>
            </w:r>
          </w:p>
        </w:tc>
      </w:tr>
      <w:tr w:rsidR="00A319DC" w:rsidRPr="002106BA" w14:paraId="57CB39D2" w14:textId="77777777" w:rsidTr="00F20C9C">
        <w:trPr>
          <w:cantSplit/>
          <w:jc w:val="center"/>
        </w:trPr>
        <w:tc>
          <w:tcPr>
            <w:tcW w:w="1177" w:type="pct"/>
            <w:shd w:val="clear" w:color="auto" w:fill="auto"/>
            <w:vAlign w:val="center"/>
          </w:tcPr>
          <w:p w14:paraId="38716C26" w14:textId="77777777" w:rsidR="00A319DC" w:rsidRPr="002106BA" w:rsidRDefault="00A319DC" w:rsidP="009B1087">
            <w:pPr>
              <w:pStyle w:val="COMTabletext"/>
            </w:pPr>
            <w:r w:rsidRPr="002106BA">
              <w:t>Dose regimen</w:t>
            </w:r>
          </w:p>
        </w:tc>
        <w:tc>
          <w:tcPr>
            <w:tcW w:w="1274" w:type="pct"/>
            <w:shd w:val="clear" w:color="auto" w:fill="auto"/>
            <w:vAlign w:val="center"/>
          </w:tcPr>
          <w:p w14:paraId="724EB00A" w14:textId="77777777" w:rsidR="00A319DC" w:rsidRPr="002106BA" w:rsidRDefault="00A319DC" w:rsidP="009B1087">
            <w:pPr>
              <w:pStyle w:val="COMTabletext"/>
              <w:jc w:val="center"/>
              <w:rPr>
                <w:bCs w:val="0"/>
              </w:rPr>
            </w:pPr>
            <w:r w:rsidRPr="002106BA">
              <w:rPr>
                <w:bCs w:val="0"/>
              </w:rPr>
              <w:t>25 mg every 3 months</w:t>
            </w:r>
          </w:p>
        </w:tc>
        <w:tc>
          <w:tcPr>
            <w:tcW w:w="1274" w:type="pct"/>
            <w:shd w:val="clear" w:color="auto" w:fill="auto"/>
            <w:vAlign w:val="center"/>
          </w:tcPr>
          <w:p w14:paraId="4FC45F5A" w14:textId="77777777" w:rsidR="00A319DC" w:rsidRPr="002106BA" w:rsidRDefault="00A319DC" w:rsidP="009B1087">
            <w:pPr>
              <w:pStyle w:val="COMTabletext"/>
              <w:jc w:val="center"/>
              <w:rPr>
                <w:bCs w:val="0"/>
              </w:rPr>
            </w:pPr>
            <w:r w:rsidRPr="002106BA">
              <w:rPr>
                <w:bCs w:val="0"/>
              </w:rPr>
              <w:t>25 mg every 3 months</w:t>
            </w:r>
          </w:p>
        </w:tc>
        <w:tc>
          <w:tcPr>
            <w:tcW w:w="1274" w:type="pct"/>
            <w:shd w:val="clear" w:color="auto" w:fill="auto"/>
            <w:vAlign w:val="center"/>
          </w:tcPr>
          <w:p w14:paraId="3B8AD2F1" w14:textId="77777777" w:rsidR="00A319DC" w:rsidRPr="002106BA" w:rsidRDefault="00A319DC" w:rsidP="009B1087">
            <w:pPr>
              <w:pStyle w:val="COMTabletext"/>
              <w:jc w:val="center"/>
              <w:rPr>
                <w:bCs w:val="0"/>
              </w:rPr>
            </w:pPr>
            <w:r w:rsidRPr="002106BA">
              <w:rPr>
                <w:bCs w:val="0"/>
              </w:rPr>
              <w:t>25 mg every 3 months</w:t>
            </w:r>
          </w:p>
        </w:tc>
      </w:tr>
      <w:tr w:rsidR="00A319DC" w:rsidRPr="002106BA" w14:paraId="2E2C8909" w14:textId="77777777" w:rsidTr="00F20C9C">
        <w:trPr>
          <w:cantSplit/>
          <w:jc w:val="center"/>
        </w:trPr>
        <w:tc>
          <w:tcPr>
            <w:tcW w:w="1177" w:type="pct"/>
            <w:shd w:val="clear" w:color="auto" w:fill="auto"/>
            <w:vAlign w:val="center"/>
          </w:tcPr>
          <w:p w14:paraId="2A761810" w14:textId="77777777" w:rsidR="00A319DC" w:rsidRPr="002106BA" w:rsidRDefault="00A319DC" w:rsidP="009B1087">
            <w:pPr>
              <w:pStyle w:val="COMTabletext"/>
            </w:pPr>
            <w:r w:rsidRPr="002106BA">
              <w:t>Drug cost per injection</w:t>
            </w:r>
          </w:p>
        </w:tc>
        <w:tc>
          <w:tcPr>
            <w:tcW w:w="1274" w:type="pct"/>
            <w:shd w:val="clear" w:color="auto" w:fill="auto"/>
            <w:vAlign w:val="center"/>
          </w:tcPr>
          <w:p w14:paraId="0F85F170" w14:textId="77777777" w:rsidR="00A319DC" w:rsidRPr="002106BA" w:rsidRDefault="00A319DC" w:rsidP="009B1087">
            <w:pPr>
              <w:pStyle w:val="COMTabletext"/>
              <w:jc w:val="center"/>
              <w:rPr>
                <w:bCs w:val="0"/>
              </w:rPr>
            </w:pPr>
            <w:r w:rsidRPr="002106BA">
              <w:rPr>
                <w:bCs w:val="0"/>
              </w:rPr>
              <w:t>-</w:t>
            </w:r>
          </w:p>
        </w:tc>
        <w:tc>
          <w:tcPr>
            <w:tcW w:w="1274" w:type="pct"/>
            <w:shd w:val="clear" w:color="auto" w:fill="auto"/>
            <w:vAlign w:val="center"/>
          </w:tcPr>
          <w:p w14:paraId="208BFE13" w14:textId="4573B00A" w:rsidR="00A319DC" w:rsidRPr="002106BA" w:rsidRDefault="00A319DC" w:rsidP="009B1087">
            <w:pPr>
              <w:pStyle w:val="COMTabletext"/>
              <w:jc w:val="center"/>
              <w:rPr>
                <w:bCs w:val="0"/>
              </w:rPr>
            </w:pPr>
            <w:r w:rsidRPr="002106BA">
              <w:rPr>
                <w:bCs w:val="0"/>
              </w:rPr>
              <w:t>$</w:t>
            </w:r>
            <w:r w:rsidR="00DD7F0E" w:rsidRPr="00DD7F0E">
              <w:rPr>
                <w:bCs w:val="0"/>
                <w:color w:val="000000"/>
                <w:shd w:val="solid" w:color="000000" w:fill="000000"/>
                <w14:textFill>
                  <w14:solidFill>
                    <w14:srgbClr w14:val="000000">
                      <w14:alpha w14:val="100000"/>
                    </w14:srgbClr>
                  </w14:solidFill>
                </w14:textFill>
              </w:rPr>
              <w:t>|</w:t>
            </w:r>
            <w:r w:rsidRPr="002106BA">
              <w:rPr>
                <w:bCs w:val="0"/>
              </w:rPr>
              <w:t xml:space="preserve"> (AEMP)</w:t>
            </w:r>
          </w:p>
        </w:tc>
        <w:tc>
          <w:tcPr>
            <w:tcW w:w="1274" w:type="pct"/>
            <w:shd w:val="clear" w:color="auto" w:fill="auto"/>
            <w:vAlign w:val="center"/>
          </w:tcPr>
          <w:p w14:paraId="359EF512" w14:textId="5507B1F6" w:rsidR="00A319DC" w:rsidRPr="002106BA" w:rsidRDefault="00A319DC" w:rsidP="009B1087">
            <w:pPr>
              <w:pStyle w:val="COMTabletext"/>
              <w:jc w:val="center"/>
              <w:rPr>
                <w:bCs w:val="0"/>
              </w:rPr>
            </w:pPr>
            <w:r w:rsidRPr="002106BA">
              <w:rPr>
                <w:bCs w:val="0"/>
              </w:rPr>
              <w:t>DPMQ $</w:t>
            </w:r>
            <w:r w:rsidR="00DD7F0E" w:rsidRPr="00DD7F0E">
              <w:rPr>
                <w:bCs w:val="0"/>
                <w:color w:val="000000"/>
                <w:shd w:val="solid" w:color="000000" w:fill="000000"/>
                <w14:textFill>
                  <w14:solidFill>
                    <w14:srgbClr w14:val="000000">
                      <w14:alpha w14:val="100000"/>
                    </w14:srgbClr>
                  </w14:solidFill>
                </w14:textFill>
              </w:rPr>
              <w:t>|</w:t>
            </w:r>
          </w:p>
        </w:tc>
      </w:tr>
      <w:tr w:rsidR="00A319DC" w:rsidRPr="002106BA" w14:paraId="14775520" w14:textId="77777777" w:rsidTr="00F20C9C">
        <w:trPr>
          <w:cantSplit/>
          <w:jc w:val="center"/>
        </w:trPr>
        <w:tc>
          <w:tcPr>
            <w:tcW w:w="1177" w:type="pct"/>
            <w:shd w:val="clear" w:color="auto" w:fill="auto"/>
            <w:vAlign w:val="center"/>
          </w:tcPr>
          <w:p w14:paraId="7D91DB68" w14:textId="77777777" w:rsidR="00A319DC" w:rsidRPr="002106BA" w:rsidRDefault="00A319DC" w:rsidP="009B1087">
            <w:pPr>
              <w:pStyle w:val="COMTabletext"/>
            </w:pPr>
            <w:r w:rsidRPr="002106BA">
              <w:t>Units per administration</w:t>
            </w:r>
          </w:p>
        </w:tc>
        <w:tc>
          <w:tcPr>
            <w:tcW w:w="1274" w:type="pct"/>
            <w:shd w:val="clear" w:color="auto" w:fill="auto"/>
            <w:vAlign w:val="center"/>
          </w:tcPr>
          <w:p w14:paraId="5F9B2D60" w14:textId="77777777" w:rsidR="00A319DC" w:rsidRPr="002106BA" w:rsidRDefault="00A319DC" w:rsidP="009B1087">
            <w:pPr>
              <w:pStyle w:val="COMTabletext"/>
              <w:jc w:val="center"/>
              <w:rPr>
                <w:bCs w:val="0"/>
              </w:rPr>
            </w:pPr>
            <w:r w:rsidRPr="002106BA">
              <w:rPr>
                <w:bCs w:val="0"/>
              </w:rPr>
              <w:t>-</w:t>
            </w:r>
          </w:p>
        </w:tc>
        <w:tc>
          <w:tcPr>
            <w:tcW w:w="1274" w:type="pct"/>
            <w:shd w:val="clear" w:color="auto" w:fill="auto"/>
            <w:vAlign w:val="center"/>
          </w:tcPr>
          <w:p w14:paraId="5F289ACF" w14:textId="77777777" w:rsidR="00A319DC" w:rsidRPr="002106BA" w:rsidRDefault="00A319DC" w:rsidP="009B1087">
            <w:pPr>
              <w:pStyle w:val="COMTabletext"/>
              <w:jc w:val="center"/>
              <w:rPr>
                <w:bCs w:val="0"/>
              </w:rPr>
            </w:pPr>
            <w:r w:rsidRPr="002106BA">
              <w:rPr>
                <w:bCs w:val="0"/>
              </w:rPr>
              <w:t>1</w:t>
            </w:r>
          </w:p>
        </w:tc>
        <w:tc>
          <w:tcPr>
            <w:tcW w:w="1274" w:type="pct"/>
            <w:shd w:val="clear" w:color="auto" w:fill="auto"/>
            <w:vAlign w:val="center"/>
          </w:tcPr>
          <w:p w14:paraId="33C7D65C" w14:textId="77777777" w:rsidR="00A319DC" w:rsidRPr="002106BA" w:rsidRDefault="00A319DC" w:rsidP="009B1087">
            <w:pPr>
              <w:pStyle w:val="COMTabletext"/>
              <w:jc w:val="center"/>
              <w:rPr>
                <w:bCs w:val="0"/>
              </w:rPr>
            </w:pPr>
            <w:r w:rsidRPr="002106BA">
              <w:rPr>
                <w:bCs w:val="0"/>
              </w:rPr>
              <w:t>1</w:t>
            </w:r>
          </w:p>
        </w:tc>
      </w:tr>
      <w:tr w:rsidR="00A319DC" w:rsidRPr="002106BA" w14:paraId="4921DD30" w14:textId="77777777" w:rsidTr="00F20C9C">
        <w:trPr>
          <w:cantSplit/>
          <w:jc w:val="center"/>
        </w:trPr>
        <w:tc>
          <w:tcPr>
            <w:tcW w:w="1177" w:type="pct"/>
            <w:shd w:val="clear" w:color="auto" w:fill="auto"/>
            <w:vAlign w:val="center"/>
          </w:tcPr>
          <w:p w14:paraId="41096DF6" w14:textId="77777777" w:rsidR="00A319DC" w:rsidRPr="002106BA" w:rsidRDefault="00A319DC" w:rsidP="009B1087">
            <w:pPr>
              <w:pStyle w:val="COMTabletext"/>
            </w:pPr>
            <w:r w:rsidRPr="002106BA">
              <w:t>Administrations per year</w:t>
            </w:r>
          </w:p>
        </w:tc>
        <w:tc>
          <w:tcPr>
            <w:tcW w:w="1274" w:type="pct"/>
            <w:shd w:val="clear" w:color="auto" w:fill="auto"/>
            <w:vAlign w:val="center"/>
          </w:tcPr>
          <w:p w14:paraId="21CC5F32" w14:textId="77777777" w:rsidR="00A319DC" w:rsidRPr="002106BA" w:rsidRDefault="00A319DC" w:rsidP="009B1087">
            <w:pPr>
              <w:pStyle w:val="COMTabletext"/>
              <w:jc w:val="center"/>
              <w:rPr>
                <w:bCs w:val="0"/>
              </w:rPr>
            </w:pPr>
            <w:r w:rsidRPr="002106BA">
              <w:rPr>
                <w:bCs w:val="0"/>
              </w:rPr>
              <w:t>-</w:t>
            </w:r>
          </w:p>
        </w:tc>
        <w:tc>
          <w:tcPr>
            <w:tcW w:w="1274" w:type="pct"/>
            <w:shd w:val="clear" w:color="auto" w:fill="auto"/>
            <w:vAlign w:val="center"/>
          </w:tcPr>
          <w:p w14:paraId="386CB910" w14:textId="77777777" w:rsidR="00A319DC" w:rsidRPr="002106BA" w:rsidRDefault="00A319DC" w:rsidP="009B1087">
            <w:pPr>
              <w:pStyle w:val="COMTabletext"/>
              <w:jc w:val="center"/>
              <w:rPr>
                <w:bCs w:val="0"/>
              </w:rPr>
            </w:pPr>
            <w:r w:rsidRPr="002106BA">
              <w:rPr>
                <w:bCs w:val="0"/>
              </w:rPr>
              <w:t>4 (3 monthly doses)</w:t>
            </w:r>
          </w:p>
        </w:tc>
        <w:tc>
          <w:tcPr>
            <w:tcW w:w="1274" w:type="pct"/>
            <w:shd w:val="clear" w:color="auto" w:fill="auto"/>
            <w:vAlign w:val="center"/>
          </w:tcPr>
          <w:p w14:paraId="3E04619F" w14:textId="77777777" w:rsidR="00A319DC" w:rsidRPr="002106BA" w:rsidRDefault="00A319DC" w:rsidP="009B1087">
            <w:pPr>
              <w:pStyle w:val="COMTabletext"/>
              <w:jc w:val="center"/>
              <w:rPr>
                <w:bCs w:val="0"/>
              </w:rPr>
            </w:pPr>
            <w:r w:rsidRPr="002106BA">
              <w:rPr>
                <w:bCs w:val="0"/>
              </w:rPr>
              <w:t>4 (3 monthly doses)</w:t>
            </w:r>
          </w:p>
        </w:tc>
      </w:tr>
      <w:tr w:rsidR="00A319DC" w:rsidRPr="002106BA" w14:paraId="69367552" w14:textId="77777777" w:rsidTr="00F20C9C">
        <w:trPr>
          <w:cantSplit/>
          <w:jc w:val="center"/>
        </w:trPr>
        <w:tc>
          <w:tcPr>
            <w:tcW w:w="1177" w:type="pct"/>
            <w:shd w:val="clear" w:color="auto" w:fill="auto"/>
            <w:vAlign w:val="center"/>
          </w:tcPr>
          <w:p w14:paraId="332F5EC5" w14:textId="77777777" w:rsidR="00A319DC" w:rsidRPr="002106BA" w:rsidRDefault="00A319DC" w:rsidP="009B1087">
            <w:pPr>
              <w:pStyle w:val="COMTabletext"/>
            </w:pPr>
            <w:r w:rsidRPr="002106BA">
              <w:t>Relative dose intensity</w:t>
            </w:r>
          </w:p>
        </w:tc>
        <w:tc>
          <w:tcPr>
            <w:tcW w:w="1274" w:type="pct"/>
            <w:shd w:val="clear" w:color="auto" w:fill="auto"/>
            <w:vAlign w:val="center"/>
          </w:tcPr>
          <w:p w14:paraId="3B53675C" w14:textId="77777777" w:rsidR="00A319DC" w:rsidRPr="002106BA" w:rsidRDefault="00A319DC" w:rsidP="009B1087">
            <w:pPr>
              <w:pStyle w:val="COMTabletext"/>
              <w:jc w:val="center"/>
              <w:rPr>
                <w:bCs w:val="0"/>
              </w:rPr>
            </w:pPr>
            <w:r w:rsidRPr="002106BA">
              <w:rPr>
                <w:bCs w:val="0"/>
              </w:rPr>
              <w:t>NR</w:t>
            </w:r>
          </w:p>
        </w:tc>
        <w:tc>
          <w:tcPr>
            <w:tcW w:w="1274" w:type="pct"/>
            <w:shd w:val="clear" w:color="auto" w:fill="auto"/>
            <w:vAlign w:val="center"/>
          </w:tcPr>
          <w:p w14:paraId="09B10C51" w14:textId="5F06B28F" w:rsidR="00A319DC" w:rsidRPr="002106BA" w:rsidRDefault="00A319DC" w:rsidP="009B1087">
            <w:pPr>
              <w:pStyle w:val="COMTabletext"/>
              <w:jc w:val="center"/>
              <w:rPr>
                <w:bCs w:val="0"/>
              </w:rPr>
            </w:pPr>
            <w:r w:rsidRPr="002106BA">
              <w:rPr>
                <w:bCs w:val="0"/>
              </w:rPr>
              <w:t>99.88%</w:t>
            </w:r>
            <w:r w:rsidR="00E37914" w:rsidRPr="002106BA">
              <w:rPr>
                <w:bCs w:val="0"/>
                <w:vertAlign w:val="superscript"/>
              </w:rPr>
              <w:t>a</w:t>
            </w:r>
          </w:p>
        </w:tc>
        <w:tc>
          <w:tcPr>
            <w:tcW w:w="1274" w:type="pct"/>
            <w:shd w:val="clear" w:color="auto" w:fill="auto"/>
            <w:vAlign w:val="center"/>
          </w:tcPr>
          <w:p w14:paraId="6832355F" w14:textId="227B4AB6" w:rsidR="00A319DC" w:rsidRPr="002106BA" w:rsidRDefault="00A319DC" w:rsidP="009B1087">
            <w:pPr>
              <w:pStyle w:val="COMTabletext"/>
              <w:jc w:val="center"/>
              <w:rPr>
                <w:bCs w:val="0"/>
              </w:rPr>
            </w:pPr>
            <w:r w:rsidRPr="002106BA">
              <w:rPr>
                <w:bCs w:val="0"/>
              </w:rPr>
              <w:t>99.88%</w:t>
            </w:r>
            <w:r w:rsidR="00E37914" w:rsidRPr="002106BA">
              <w:rPr>
                <w:bCs w:val="0"/>
                <w:vertAlign w:val="superscript"/>
              </w:rPr>
              <w:t>a</w:t>
            </w:r>
          </w:p>
        </w:tc>
      </w:tr>
      <w:tr w:rsidR="00A319DC" w:rsidRPr="002106BA" w14:paraId="05C575E8" w14:textId="77777777" w:rsidTr="00F20C9C">
        <w:trPr>
          <w:cantSplit/>
          <w:jc w:val="center"/>
        </w:trPr>
        <w:tc>
          <w:tcPr>
            <w:tcW w:w="1177" w:type="pct"/>
            <w:shd w:val="clear" w:color="auto" w:fill="auto"/>
            <w:vAlign w:val="center"/>
          </w:tcPr>
          <w:p w14:paraId="693FB5A2" w14:textId="77777777" w:rsidR="00A319DC" w:rsidRPr="002106BA" w:rsidRDefault="00A319DC" w:rsidP="009B1087">
            <w:pPr>
              <w:pStyle w:val="COMTabletext"/>
            </w:pPr>
            <w:r w:rsidRPr="002106BA">
              <w:t>Cost per year</w:t>
            </w:r>
          </w:p>
        </w:tc>
        <w:tc>
          <w:tcPr>
            <w:tcW w:w="1274" w:type="pct"/>
            <w:shd w:val="clear" w:color="auto" w:fill="auto"/>
            <w:vAlign w:val="center"/>
          </w:tcPr>
          <w:p w14:paraId="4C2808CD" w14:textId="77777777" w:rsidR="00A319DC" w:rsidRPr="002106BA" w:rsidRDefault="00A319DC" w:rsidP="009B1087">
            <w:pPr>
              <w:pStyle w:val="COMTabletext"/>
              <w:jc w:val="center"/>
              <w:rPr>
                <w:bCs w:val="0"/>
              </w:rPr>
            </w:pPr>
            <w:r w:rsidRPr="002106BA">
              <w:rPr>
                <w:bCs w:val="0"/>
              </w:rPr>
              <w:t>-</w:t>
            </w:r>
          </w:p>
        </w:tc>
        <w:tc>
          <w:tcPr>
            <w:tcW w:w="1274" w:type="pct"/>
            <w:shd w:val="clear" w:color="auto" w:fill="auto"/>
            <w:vAlign w:val="center"/>
          </w:tcPr>
          <w:p w14:paraId="36E69177" w14:textId="4A6D971A" w:rsidR="00A319DC" w:rsidRPr="002106BA" w:rsidRDefault="00A319DC" w:rsidP="009B1087">
            <w:pPr>
              <w:pStyle w:val="COMTabletext"/>
              <w:jc w:val="center"/>
              <w:rPr>
                <w:bCs w:val="0"/>
              </w:rPr>
            </w:pPr>
            <w:r w:rsidRPr="002106BA">
              <w:rPr>
                <w:bCs w:val="0"/>
              </w:rPr>
              <w:t>$</w:t>
            </w:r>
            <w:r w:rsidR="00DD7F0E" w:rsidRPr="00DD7F0E">
              <w:rPr>
                <w:bCs w:val="0"/>
                <w:color w:val="000000"/>
                <w:shd w:val="solid" w:color="000000" w:fill="000000"/>
                <w14:textFill>
                  <w14:solidFill>
                    <w14:srgbClr w14:val="000000">
                      <w14:alpha w14:val="100000"/>
                    </w14:srgbClr>
                  </w14:solidFill>
                </w14:textFill>
              </w:rPr>
              <w:t>|</w:t>
            </w:r>
            <w:r w:rsidRPr="002106BA">
              <w:rPr>
                <w:bCs w:val="0"/>
              </w:rPr>
              <w:t xml:space="preserve"> (AEMP)</w:t>
            </w:r>
          </w:p>
        </w:tc>
        <w:tc>
          <w:tcPr>
            <w:tcW w:w="1274" w:type="pct"/>
            <w:shd w:val="clear" w:color="auto" w:fill="auto"/>
            <w:vAlign w:val="center"/>
          </w:tcPr>
          <w:p w14:paraId="466758C6" w14:textId="64D24AAA" w:rsidR="00A319DC" w:rsidRPr="002106BA" w:rsidRDefault="00A319DC" w:rsidP="009B1087">
            <w:pPr>
              <w:pStyle w:val="COMTabletext"/>
              <w:jc w:val="center"/>
              <w:rPr>
                <w:bCs w:val="0"/>
              </w:rPr>
            </w:pPr>
            <w:r w:rsidRPr="002106BA">
              <w:rPr>
                <w:bCs w:val="0"/>
              </w:rPr>
              <w:t>$</w:t>
            </w:r>
            <w:r w:rsidR="00DD7F0E" w:rsidRPr="00DD7F0E">
              <w:rPr>
                <w:bCs w:val="0"/>
                <w:color w:val="000000"/>
                <w:shd w:val="solid" w:color="000000" w:fill="000000"/>
                <w14:textFill>
                  <w14:solidFill>
                    <w14:srgbClr w14:val="000000">
                      <w14:alpha w14:val="100000"/>
                    </w14:srgbClr>
                  </w14:solidFill>
                </w14:textFill>
              </w:rPr>
              <w:t>|</w:t>
            </w:r>
            <w:r w:rsidRPr="002106BA">
              <w:rPr>
                <w:bCs w:val="0"/>
              </w:rPr>
              <w:t xml:space="preserve"> (DPMQ)</w:t>
            </w:r>
          </w:p>
        </w:tc>
      </w:tr>
      <w:tr w:rsidR="00A319DC" w:rsidRPr="002106BA" w14:paraId="2C4273FD" w14:textId="77777777" w:rsidTr="00F20C9C">
        <w:trPr>
          <w:cantSplit/>
          <w:jc w:val="center"/>
        </w:trPr>
        <w:tc>
          <w:tcPr>
            <w:tcW w:w="1177" w:type="pct"/>
            <w:shd w:val="clear" w:color="auto" w:fill="auto"/>
            <w:vAlign w:val="center"/>
          </w:tcPr>
          <w:p w14:paraId="0348EDD2" w14:textId="77777777" w:rsidR="00A319DC" w:rsidRPr="002106BA" w:rsidRDefault="00A319DC" w:rsidP="009B1087">
            <w:pPr>
              <w:pStyle w:val="COMTabletext"/>
            </w:pPr>
            <w:r w:rsidRPr="002106BA">
              <w:t>Persistence</w:t>
            </w:r>
          </w:p>
        </w:tc>
        <w:tc>
          <w:tcPr>
            <w:tcW w:w="1274" w:type="pct"/>
            <w:shd w:val="clear" w:color="auto" w:fill="auto"/>
            <w:vAlign w:val="center"/>
          </w:tcPr>
          <w:p w14:paraId="1FD84F08" w14:textId="77777777" w:rsidR="00A319DC" w:rsidRPr="002106BA" w:rsidRDefault="00A319DC" w:rsidP="009B1087">
            <w:pPr>
              <w:pStyle w:val="COMTabletext"/>
              <w:jc w:val="center"/>
              <w:rPr>
                <w:bCs w:val="0"/>
              </w:rPr>
            </w:pPr>
            <w:r w:rsidRPr="002106BA">
              <w:rPr>
                <w:bCs w:val="0"/>
              </w:rPr>
              <w:t xml:space="preserve">Discontinued treatment </w:t>
            </w:r>
          </w:p>
          <w:p w14:paraId="485CB329" w14:textId="77777777" w:rsidR="00A319DC" w:rsidRPr="002106BA" w:rsidRDefault="00A319DC" w:rsidP="009B1087">
            <w:pPr>
              <w:pStyle w:val="COMTabletext"/>
              <w:jc w:val="center"/>
            </w:pPr>
            <w:r w:rsidRPr="002106BA">
              <w:t>5 (4.1%)</w:t>
            </w:r>
          </w:p>
        </w:tc>
        <w:tc>
          <w:tcPr>
            <w:tcW w:w="1274" w:type="pct"/>
            <w:shd w:val="clear" w:color="auto" w:fill="auto"/>
            <w:vAlign w:val="center"/>
          </w:tcPr>
          <w:p w14:paraId="275200CA" w14:textId="0D397D7E" w:rsidR="00A319DC" w:rsidRPr="002106BA" w:rsidRDefault="00A319DC" w:rsidP="009B1087">
            <w:pPr>
              <w:pStyle w:val="COMTabletext"/>
              <w:jc w:val="center"/>
              <w:rPr>
                <w:bCs w:val="0"/>
              </w:rPr>
            </w:pPr>
            <w:r w:rsidRPr="002106BA">
              <w:rPr>
                <w:bCs w:val="0"/>
              </w:rPr>
              <w:t>Months 0-6: 99.2%</w:t>
            </w:r>
            <w:r w:rsidR="00E37914" w:rsidRPr="002106BA">
              <w:rPr>
                <w:bCs w:val="0"/>
                <w:vertAlign w:val="superscript"/>
              </w:rPr>
              <w:t>b</w:t>
            </w:r>
          </w:p>
          <w:p w14:paraId="0FF51782" w14:textId="77777777" w:rsidR="00A319DC" w:rsidRPr="002106BA" w:rsidRDefault="00A319DC" w:rsidP="009B1087">
            <w:pPr>
              <w:pStyle w:val="COMTabletext"/>
              <w:jc w:val="center"/>
              <w:rPr>
                <w:bCs w:val="0"/>
              </w:rPr>
            </w:pPr>
            <w:r w:rsidRPr="002106BA">
              <w:rPr>
                <w:bCs w:val="0"/>
              </w:rPr>
              <w:t>Months 6-12: 97.8%</w:t>
            </w:r>
          </w:p>
          <w:p w14:paraId="48938CB3" w14:textId="77777777" w:rsidR="00A319DC" w:rsidRPr="002106BA" w:rsidRDefault="00A319DC" w:rsidP="009B1087">
            <w:pPr>
              <w:pStyle w:val="COMTabletext"/>
              <w:jc w:val="center"/>
              <w:rPr>
                <w:bCs w:val="0"/>
              </w:rPr>
            </w:pPr>
            <w:r w:rsidRPr="002106BA">
              <w:rPr>
                <w:bCs w:val="0"/>
              </w:rPr>
              <w:t>Months 12-18: 96.6%</w:t>
            </w:r>
          </w:p>
        </w:tc>
        <w:tc>
          <w:tcPr>
            <w:tcW w:w="1274" w:type="pct"/>
            <w:shd w:val="clear" w:color="auto" w:fill="auto"/>
            <w:vAlign w:val="center"/>
          </w:tcPr>
          <w:p w14:paraId="5F898AE3" w14:textId="3288E154" w:rsidR="00A319DC" w:rsidRPr="002106BA" w:rsidRDefault="00A319DC" w:rsidP="009B1087">
            <w:pPr>
              <w:pStyle w:val="COMTabletext"/>
              <w:jc w:val="center"/>
            </w:pPr>
            <w:r w:rsidRPr="002106BA">
              <w:t>Year 1: 97.8%</w:t>
            </w:r>
            <w:r w:rsidR="00E37914" w:rsidRPr="002106BA">
              <w:rPr>
                <w:vertAlign w:val="superscript"/>
              </w:rPr>
              <w:t>b</w:t>
            </w:r>
          </w:p>
          <w:p w14:paraId="3AA21AD4" w14:textId="77777777" w:rsidR="00A319DC" w:rsidRPr="002106BA" w:rsidRDefault="00A319DC" w:rsidP="009B1087">
            <w:pPr>
              <w:pStyle w:val="COMTabletext"/>
              <w:jc w:val="center"/>
            </w:pPr>
            <w:r w:rsidRPr="002106BA">
              <w:t>Year 2: 95.3%</w:t>
            </w:r>
          </w:p>
          <w:p w14:paraId="77EC1439" w14:textId="77777777" w:rsidR="00A319DC" w:rsidRPr="002106BA" w:rsidRDefault="00A319DC" w:rsidP="009B1087">
            <w:pPr>
              <w:pStyle w:val="COMTabletext"/>
              <w:jc w:val="center"/>
            </w:pPr>
            <w:r w:rsidRPr="002106BA">
              <w:t>Year 3: 92.7%</w:t>
            </w:r>
          </w:p>
          <w:p w14:paraId="36D0CD69" w14:textId="77777777" w:rsidR="00A319DC" w:rsidRPr="002106BA" w:rsidRDefault="00A319DC" w:rsidP="009B1087">
            <w:pPr>
              <w:pStyle w:val="COMTabletext"/>
              <w:jc w:val="center"/>
            </w:pPr>
            <w:r w:rsidRPr="002106BA">
              <w:t>Year 4: 90.2%</w:t>
            </w:r>
          </w:p>
          <w:p w14:paraId="036514FB" w14:textId="77777777" w:rsidR="00A319DC" w:rsidRPr="002106BA" w:rsidRDefault="00A319DC" w:rsidP="009B1087">
            <w:pPr>
              <w:pStyle w:val="COMTabletext"/>
              <w:jc w:val="center"/>
            </w:pPr>
            <w:r w:rsidRPr="002106BA">
              <w:t>Year 5: 87.7%</w:t>
            </w:r>
          </w:p>
          <w:p w14:paraId="57E2A0DF" w14:textId="77777777" w:rsidR="00A319DC" w:rsidRPr="002106BA" w:rsidRDefault="00A319DC" w:rsidP="009B1087">
            <w:pPr>
              <w:pStyle w:val="COMTabletext"/>
              <w:jc w:val="center"/>
              <w:rPr>
                <w:bCs w:val="0"/>
              </w:rPr>
            </w:pPr>
            <w:r w:rsidRPr="002106BA">
              <w:t>Year 6: 85.3%</w:t>
            </w:r>
          </w:p>
        </w:tc>
      </w:tr>
      <w:tr w:rsidR="00A319DC" w:rsidRPr="002106BA" w14:paraId="1EA03BF4" w14:textId="77777777" w:rsidTr="009B1087">
        <w:trPr>
          <w:cantSplit/>
          <w:jc w:val="center"/>
        </w:trPr>
        <w:tc>
          <w:tcPr>
            <w:tcW w:w="5000" w:type="pct"/>
            <w:gridSpan w:val="4"/>
            <w:shd w:val="clear" w:color="auto" w:fill="auto"/>
            <w:vAlign w:val="center"/>
          </w:tcPr>
          <w:p w14:paraId="0C6876BF" w14:textId="77777777" w:rsidR="00A319DC" w:rsidRPr="002106BA" w:rsidRDefault="00A319DC" w:rsidP="009B1087">
            <w:pPr>
              <w:pStyle w:val="COMTabletext"/>
              <w:rPr>
                <w:b/>
                <w:bCs w:val="0"/>
              </w:rPr>
            </w:pPr>
            <w:r w:rsidRPr="002106BA">
              <w:rPr>
                <w:b/>
                <w:bCs w:val="0"/>
              </w:rPr>
              <w:t>Patisiran</w:t>
            </w:r>
          </w:p>
        </w:tc>
      </w:tr>
      <w:tr w:rsidR="00A319DC" w:rsidRPr="002106BA" w14:paraId="09E02BC2" w14:textId="77777777" w:rsidTr="00F20C9C">
        <w:trPr>
          <w:cantSplit/>
          <w:jc w:val="center"/>
        </w:trPr>
        <w:tc>
          <w:tcPr>
            <w:tcW w:w="1177" w:type="pct"/>
            <w:shd w:val="clear" w:color="auto" w:fill="auto"/>
            <w:vAlign w:val="center"/>
          </w:tcPr>
          <w:p w14:paraId="0428CCD2" w14:textId="77777777" w:rsidR="00A319DC" w:rsidRPr="002106BA" w:rsidRDefault="00A319DC" w:rsidP="009B1087">
            <w:pPr>
              <w:pStyle w:val="COMTabletext"/>
            </w:pPr>
            <w:r w:rsidRPr="002106BA">
              <w:t>Dose regimen</w:t>
            </w:r>
          </w:p>
        </w:tc>
        <w:tc>
          <w:tcPr>
            <w:tcW w:w="1274" w:type="pct"/>
            <w:shd w:val="clear" w:color="auto" w:fill="auto"/>
            <w:vAlign w:val="center"/>
          </w:tcPr>
          <w:p w14:paraId="2C464B37" w14:textId="77777777" w:rsidR="00A319DC" w:rsidRPr="002106BA" w:rsidRDefault="00A319DC" w:rsidP="009B1087">
            <w:pPr>
              <w:pStyle w:val="COMTabletext"/>
              <w:jc w:val="center"/>
            </w:pPr>
            <w:r w:rsidRPr="002106BA">
              <w:t>0.3 mg/kg every 3 weeks</w:t>
            </w:r>
          </w:p>
        </w:tc>
        <w:tc>
          <w:tcPr>
            <w:tcW w:w="1274" w:type="pct"/>
            <w:shd w:val="clear" w:color="auto" w:fill="auto"/>
            <w:vAlign w:val="center"/>
          </w:tcPr>
          <w:p w14:paraId="1FC035EE" w14:textId="77777777" w:rsidR="00A319DC" w:rsidRPr="002106BA" w:rsidRDefault="00A319DC" w:rsidP="009B1087">
            <w:pPr>
              <w:pStyle w:val="COMTabletext"/>
              <w:jc w:val="center"/>
            </w:pPr>
            <w:r w:rsidRPr="002106BA">
              <w:t>0.3 mg/kg every 3 weeks</w:t>
            </w:r>
          </w:p>
        </w:tc>
        <w:tc>
          <w:tcPr>
            <w:tcW w:w="1274" w:type="pct"/>
            <w:shd w:val="clear" w:color="auto" w:fill="auto"/>
            <w:vAlign w:val="center"/>
          </w:tcPr>
          <w:p w14:paraId="2BE1A0BD" w14:textId="77777777" w:rsidR="00A319DC" w:rsidRPr="002106BA" w:rsidRDefault="00A319DC" w:rsidP="009B1087">
            <w:pPr>
              <w:pStyle w:val="COMTabletext"/>
              <w:jc w:val="center"/>
              <w:rPr>
                <w:vertAlign w:val="superscript"/>
              </w:rPr>
            </w:pPr>
            <w:r w:rsidRPr="002106BA">
              <w:t>0.3 mg/kg every 3 weeks</w:t>
            </w:r>
          </w:p>
        </w:tc>
      </w:tr>
      <w:tr w:rsidR="00A319DC" w:rsidRPr="002106BA" w14:paraId="22A09164" w14:textId="77777777" w:rsidTr="00F20C9C">
        <w:trPr>
          <w:cantSplit/>
          <w:jc w:val="center"/>
        </w:trPr>
        <w:tc>
          <w:tcPr>
            <w:tcW w:w="1177" w:type="pct"/>
            <w:shd w:val="clear" w:color="auto" w:fill="auto"/>
            <w:vAlign w:val="center"/>
          </w:tcPr>
          <w:p w14:paraId="77FB74AF" w14:textId="77777777" w:rsidR="00A319DC" w:rsidRPr="002106BA" w:rsidRDefault="00A319DC" w:rsidP="009B1087">
            <w:pPr>
              <w:pStyle w:val="COMTabletext"/>
            </w:pPr>
            <w:r w:rsidRPr="002106BA">
              <w:t>Drug cost per vial</w:t>
            </w:r>
          </w:p>
        </w:tc>
        <w:tc>
          <w:tcPr>
            <w:tcW w:w="1274" w:type="pct"/>
            <w:shd w:val="clear" w:color="auto" w:fill="auto"/>
            <w:vAlign w:val="center"/>
          </w:tcPr>
          <w:p w14:paraId="04B85B28" w14:textId="77777777" w:rsidR="00A319DC" w:rsidRPr="002106BA" w:rsidRDefault="00A319DC" w:rsidP="009B1087">
            <w:pPr>
              <w:pStyle w:val="COMTabletext"/>
              <w:jc w:val="center"/>
            </w:pPr>
            <w:r w:rsidRPr="002106BA">
              <w:t>-</w:t>
            </w:r>
          </w:p>
        </w:tc>
        <w:tc>
          <w:tcPr>
            <w:tcW w:w="1274" w:type="pct"/>
            <w:shd w:val="clear" w:color="auto" w:fill="auto"/>
            <w:vAlign w:val="center"/>
          </w:tcPr>
          <w:p w14:paraId="2F8DD17E" w14:textId="55C20E44" w:rsidR="00A319DC" w:rsidRPr="002106BA" w:rsidRDefault="00A319DC" w:rsidP="009B1087">
            <w:pPr>
              <w:pStyle w:val="COMTabletext"/>
              <w:jc w:val="center"/>
              <w:rPr>
                <w:vertAlign w:val="superscript"/>
              </w:rPr>
            </w:pPr>
            <w:r w:rsidRPr="002106BA">
              <w:rPr>
                <w:bCs w:val="0"/>
              </w:rPr>
              <w:t>$</w:t>
            </w:r>
            <w:r w:rsidR="00DD7F0E" w:rsidRPr="00DD7F0E">
              <w:rPr>
                <w:bCs w:val="0"/>
                <w:color w:val="000000"/>
                <w:shd w:val="solid" w:color="000000" w:fill="000000"/>
                <w14:textFill>
                  <w14:solidFill>
                    <w14:srgbClr w14:val="000000">
                      <w14:alpha w14:val="100000"/>
                    </w14:srgbClr>
                  </w14:solidFill>
                </w14:textFill>
              </w:rPr>
              <w:t>|</w:t>
            </w:r>
            <w:r w:rsidRPr="002106BA">
              <w:rPr>
                <w:bCs w:val="0"/>
              </w:rPr>
              <w:t xml:space="preserve"> (AEMP)</w:t>
            </w:r>
          </w:p>
        </w:tc>
        <w:tc>
          <w:tcPr>
            <w:tcW w:w="1274" w:type="pct"/>
            <w:shd w:val="clear" w:color="auto" w:fill="auto"/>
            <w:vAlign w:val="center"/>
          </w:tcPr>
          <w:p w14:paraId="6EAA9EF2" w14:textId="7E42F9F9" w:rsidR="00A319DC" w:rsidRPr="002106BA" w:rsidRDefault="00A319DC" w:rsidP="009B1087">
            <w:pPr>
              <w:pStyle w:val="COMTabletext"/>
              <w:jc w:val="center"/>
            </w:pPr>
            <w:r w:rsidRPr="002106BA">
              <w:rPr>
                <w:bCs w:val="0"/>
              </w:rPr>
              <w:t>DMPQ $</w:t>
            </w:r>
            <w:r w:rsidR="00DD7F0E" w:rsidRPr="00DD7F0E">
              <w:rPr>
                <w:rFonts w:hint="eastAsia"/>
                <w:bCs w:val="0"/>
                <w:color w:val="000000"/>
                <w:w w:val="27"/>
                <w:shd w:val="solid" w:color="000000" w:fill="000000"/>
                <w:fitText w:val="120" w:id="-761617396"/>
                <w14:textFill>
                  <w14:solidFill>
                    <w14:srgbClr w14:val="000000">
                      <w14:alpha w14:val="100000"/>
                    </w14:srgbClr>
                  </w14:solidFill>
                </w14:textFill>
              </w:rPr>
              <w:t xml:space="preserve">　</w:t>
            </w:r>
            <w:r w:rsidR="00DD7F0E" w:rsidRPr="00DD7F0E">
              <w:rPr>
                <w:bCs w:val="0"/>
                <w:color w:val="000000"/>
                <w:w w:val="27"/>
                <w:shd w:val="solid" w:color="000000" w:fill="000000"/>
                <w:fitText w:val="120" w:id="-761617396"/>
                <w14:textFill>
                  <w14:solidFill>
                    <w14:srgbClr w14:val="000000">
                      <w14:alpha w14:val="100000"/>
                    </w14:srgbClr>
                  </w14:solidFill>
                </w14:textFill>
              </w:rPr>
              <w:t>|</w:t>
            </w:r>
            <w:r w:rsidR="00DD7F0E" w:rsidRPr="00DD7F0E">
              <w:rPr>
                <w:rFonts w:hint="eastAsia"/>
                <w:bCs w:val="0"/>
                <w:color w:val="000000"/>
                <w:w w:val="27"/>
                <w:shd w:val="solid" w:color="000000" w:fill="000000"/>
                <w:fitText w:val="120" w:id="-761617396"/>
                <w14:textFill>
                  <w14:solidFill>
                    <w14:srgbClr w14:val="000000">
                      <w14:alpha w14:val="100000"/>
                    </w14:srgbClr>
                  </w14:solidFill>
                </w14:textFill>
              </w:rPr>
              <w:t xml:space="preserve">　</w:t>
            </w:r>
            <w:r w:rsidRPr="002106BA">
              <w:rPr>
                <w:bCs w:val="0"/>
              </w:rPr>
              <w:t xml:space="preserve"> for 3 vials</w:t>
            </w:r>
          </w:p>
        </w:tc>
      </w:tr>
      <w:tr w:rsidR="00A319DC" w:rsidRPr="002106BA" w14:paraId="5A3CF2E4" w14:textId="77777777" w:rsidTr="00F20C9C">
        <w:trPr>
          <w:cantSplit/>
          <w:jc w:val="center"/>
        </w:trPr>
        <w:tc>
          <w:tcPr>
            <w:tcW w:w="1177" w:type="pct"/>
            <w:shd w:val="clear" w:color="auto" w:fill="auto"/>
            <w:vAlign w:val="center"/>
          </w:tcPr>
          <w:p w14:paraId="04F67D54" w14:textId="77777777" w:rsidR="00A319DC" w:rsidRPr="002106BA" w:rsidRDefault="00A319DC" w:rsidP="009B1087">
            <w:pPr>
              <w:pStyle w:val="COMTabletext"/>
            </w:pPr>
            <w:r w:rsidRPr="002106BA">
              <w:t>Units per administration</w:t>
            </w:r>
          </w:p>
        </w:tc>
        <w:tc>
          <w:tcPr>
            <w:tcW w:w="1274" w:type="pct"/>
            <w:shd w:val="clear" w:color="auto" w:fill="auto"/>
            <w:vAlign w:val="center"/>
          </w:tcPr>
          <w:p w14:paraId="7F32A460" w14:textId="77777777" w:rsidR="00A319DC" w:rsidRPr="002106BA" w:rsidRDefault="00A319DC" w:rsidP="009B1087">
            <w:pPr>
              <w:pStyle w:val="COMTabletext"/>
              <w:jc w:val="center"/>
            </w:pPr>
            <w:r w:rsidRPr="002106BA">
              <w:t>-</w:t>
            </w:r>
          </w:p>
        </w:tc>
        <w:tc>
          <w:tcPr>
            <w:tcW w:w="1274" w:type="pct"/>
            <w:shd w:val="clear" w:color="auto" w:fill="auto"/>
            <w:vAlign w:val="center"/>
          </w:tcPr>
          <w:p w14:paraId="54D9052A" w14:textId="06315DA2" w:rsidR="00A319DC" w:rsidRPr="002106BA" w:rsidRDefault="00A319DC" w:rsidP="009B1087">
            <w:pPr>
              <w:pStyle w:val="COMTabletext"/>
              <w:jc w:val="center"/>
              <w:rPr>
                <w:bCs w:val="0"/>
              </w:rPr>
            </w:pPr>
            <w:r w:rsidRPr="002106BA">
              <w:rPr>
                <w:bCs w:val="0"/>
              </w:rPr>
              <w:t>2.</w:t>
            </w:r>
            <w:r w:rsidR="00E37914" w:rsidRPr="002106BA">
              <w:rPr>
                <w:bCs w:val="0"/>
              </w:rPr>
              <w:t>57</w:t>
            </w:r>
            <w:r w:rsidR="00E37914" w:rsidRPr="002106BA">
              <w:rPr>
                <w:bCs w:val="0"/>
                <w:vertAlign w:val="superscript"/>
              </w:rPr>
              <w:t>c</w:t>
            </w:r>
          </w:p>
        </w:tc>
        <w:tc>
          <w:tcPr>
            <w:tcW w:w="1274" w:type="pct"/>
            <w:shd w:val="clear" w:color="auto" w:fill="auto"/>
            <w:vAlign w:val="center"/>
          </w:tcPr>
          <w:p w14:paraId="24A7F3B3" w14:textId="1086181D" w:rsidR="00A319DC" w:rsidRPr="002106BA" w:rsidRDefault="00A319DC" w:rsidP="009B1087">
            <w:pPr>
              <w:pStyle w:val="COMTabletext"/>
              <w:jc w:val="center"/>
            </w:pPr>
            <w:r w:rsidRPr="002106BA">
              <w:t>2.</w:t>
            </w:r>
            <w:r w:rsidR="00E37914" w:rsidRPr="002106BA">
              <w:t>57</w:t>
            </w:r>
            <w:r w:rsidR="00E37914" w:rsidRPr="002106BA">
              <w:rPr>
                <w:vertAlign w:val="superscript"/>
              </w:rPr>
              <w:t>c</w:t>
            </w:r>
          </w:p>
        </w:tc>
      </w:tr>
      <w:tr w:rsidR="00A319DC" w:rsidRPr="002106BA" w14:paraId="1C935BE6" w14:textId="77777777" w:rsidTr="00F20C9C">
        <w:trPr>
          <w:cantSplit/>
          <w:jc w:val="center"/>
        </w:trPr>
        <w:tc>
          <w:tcPr>
            <w:tcW w:w="1177" w:type="pct"/>
            <w:shd w:val="clear" w:color="auto" w:fill="auto"/>
            <w:vAlign w:val="center"/>
          </w:tcPr>
          <w:p w14:paraId="6F3EFF00" w14:textId="77777777" w:rsidR="00A319DC" w:rsidRPr="002106BA" w:rsidRDefault="00A319DC" w:rsidP="009B1087">
            <w:pPr>
              <w:pStyle w:val="COMTabletext"/>
            </w:pPr>
            <w:r w:rsidRPr="002106BA">
              <w:t>Administrations per year</w:t>
            </w:r>
          </w:p>
        </w:tc>
        <w:tc>
          <w:tcPr>
            <w:tcW w:w="1274" w:type="pct"/>
            <w:shd w:val="clear" w:color="auto" w:fill="auto"/>
            <w:vAlign w:val="center"/>
          </w:tcPr>
          <w:p w14:paraId="5EC98B99" w14:textId="77777777" w:rsidR="00A319DC" w:rsidRPr="002106BA" w:rsidRDefault="00A319DC" w:rsidP="009B1087">
            <w:pPr>
              <w:pStyle w:val="COMTabletext"/>
              <w:jc w:val="center"/>
            </w:pPr>
            <w:r w:rsidRPr="002106BA">
              <w:t>-</w:t>
            </w:r>
          </w:p>
        </w:tc>
        <w:tc>
          <w:tcPr>
            <w:tcW w:w="1274" w:type="pct"/>
            <w:shd w:val="clear" w:color="auto" w:fill="auto"/>
            <w:vAlign w:val="center"/>
          </w:tcPr>
          <w:p w14:paraId="74FD5C4C" w14:textId="77777777" w:rsidR="00A319DC" w:rsidRPr="002106BA" w:rsidRDefault="00A319DC" w:rsidP="009B1087">
            <w:pPr>
              <w:pStyle w:val="COMTabletext"/>
              <w:jc w:val="center"/>
            </w:pPr>
            <w:r w:rsidRPr="002106BA">
              <w:t>17.4 (52.18 weeks per year/3 weekly doses)</w:t>
            </w:r>
          </w:p>
        </w:tc>
        <w:tc>
          <w:tcPr>
            <w:tcW w:w="1274" w:type="pct"/>
            <w:shd w:val="clear" w:color="auto" w:fill="auto"/>
            <w:vAlign w:val="center"/>
          </w:tcPr>
          <w:p w14:paraId="36CAC925" w14:textId="28638C51" w:rsidR="00A319DC" w:rsidRPr="002106BA" w:rsidRDefault="00A319DC" w:rsidP="009B1087">
            <w:pPr>
              <w:pStyle w:val="COMTabletext"/>
              <w:jc w:val="center"/>
            </w:pPr>
            <w:r w:rsidRPr="002106BA">
              <w:t>17.3 (52 weeks per year/</w:t>
            </w:r>
            <w:r w:rsidR="00F20C9C" w:rsidRPr="002106BA">
              <w:t xml:space="preserve"> </w:t>
            </w:r>
            <w:r w:rsidRPr="002106BA">
              <w:t>3</w:t>
            </w:r>
            <w:r w:rsidR="00F20C9C" w:rsidRPr="002106BA">
              <w:rPr>
                <w:vertAlign w:val="superscript"/>
              </w:rPr>
              <w:noBreakHyphen/>
            </w:r>
            <w:r w:rsidRPr="002106BA">
              <w:t>weekly doses)</w:t>
            </w:r>
          </w:p>
        </w:tc>
      </w:tr>
      <w:tr w:rsidR="00A319DC" w:rsidRPr="002106BA" w14:paraId="4C200BA0" w14:textId="77777777" w:rsidTr="00F20C9C">
        <w:trPr>
          <w:cantSplit/>
          <w:jc w:val="center"/>
        </w:trPr>
        <w:tc>
          <w:tcPr>
            <w:tcW w:w="1177" w:type="pct"/>
            <w:shd w:val="clear" w:color="auto" w:fill="auto"/>
            <w:vAlign w:val="center"/>
          </w:tcPr>
          <w:p w14:paraId="5C3936A8" w14:textId="77777777" w:rsidR="00A319DC" w:rsidRPr="002106BA" w:rsidRDefault="00A319DC" w:rsidP="009B1087">
            <w:pPr>
              <w:pStyle w:val="COMTabletext"/>
            </w:pPr>
            <w:r w:rsidRPr="002106BA">
              <w:t>Relative dose intensity</w:t>
            </w:r>
          </w:p>
        </w:tc>
        <w:tc>
          <w:tcPr>
            <w:tcW w:w="1274" w:type="pct"/>
            <w:shd w:val="clear" w:color="auto" w:fill="auto"/>
            <w:vAlign w:val="center"/>
          </w:tcPr>
          <w:p w14:paraId="19F2BC67" w14:textId="77777777" w:rsidR="00A319DC" w:rsidRPr="002106BA" w:rsidRDefault="00A319DC" w:rsidP="009B1087">
            <w:pPr>
              <w:pStyle w:val="COMTabletext"/>
              <w:jc w:val="center"/>
            </w:pPr>
            <w:r w:rsidRPr="002106BA">
              <w:t>NR</w:t>
            </w:r>
          </w:p>
        </w:tc>
        <w:tc>
          <w:tcPr>
            <w:tcW w:w="1274" w:type="pct"/>
            <w:shd w:val="clear" w:color="auto" w:fill="auto"/>
            <w:vAlign w:val="center"/>
          </w:tcPr>
          <w:p w14:paraId="10326814" w14:textId="5E3C19A6" w:rsidR="00A319DC" w:rsidRPr="002106BA" w:rsidRDefault="00A319DC" w:rsidP="009B1087">
            <w:pPr>
              <w:pStyle w:val="COMTabletext"/>
              <w:jc w:val="center"/>
            </w:pPr>
            <w:r w:rsidRPr="002106BA">
              <w:t>96.29%</w:t>
            </w:r>
            <w:r w:rsidR="00E37914" w:rsidRPr="002106BA">
              <w:rPr>
                <w:vertAlign w:val="superscript"/>
              </w:rPr>
              <w:t>a</w:t>
            </w:r>
          </w:p>
        </w:tc>
        <w:tc>
          <w:tcPr>
            <w:tcW w:w="1274" w:type="pct"/>
            <w:shd w:val="clear" w:color="auto" w:fill="auto"/>
            <w:vAlign w:val="center"/>
          </w:tcPr>
          <w:p w14:paraId="78CF84A1" w14:textId="468FC238" w:rsidR="00A319DC" w:rsidRPr="002106BA" w:rsidRDefault="00A319DC" w:rsidP="009B1087">
            <w:pPr>
              <w:pStyle w:val="COMTabletext"/>
              <w:jc w:val="center"/>
            </w:pPr>
            <w:r w:rsidRPr="002106BA">
              <w:t>96.29%</w:t>
            </w:r>
            <w:r w:rsidR="00E37914" w:rsidRPr="002106BA">
              <w:rPr>
                <w:vertAlign w:val="superscript"/>
              </w:rPr>
              <w:t>a</w:t>
            </w:r>
          </w:p>
        </w:tc>
      </w:tr>
      <w:tr w:rsidR="00A319DC" w:rsidRPr="002106BA" w14:paraId="3C7B27ED" w14:textId="77777777" w:rsidTr="00F20C9C">
        <w:trPr>
          <w:cantSplit/>
          <w:jc w:val="center"/>
        </w:trPr>
        <w:tc>
          <w:tcPr>
            <w:tcW w:w="1177" w:type="pct"/>
            <w:shd w:val="clear" w:color="auto" w:fill="auto"/>
            <w:vAlign w:val="center"/>
          </w:tcPr>
          <w:p w14:paraId="046ACBC6" w14:textId="77777777" w:rsidR="00A319DC" w:rsidRPr="002106BA" w:rsidRDefault="00A319DC" w:rsidP="009B1087">
            <w:pPr>
              <w:pStyle w:val="COMTabletext"/>
            </w:pPr>
            <w:r w:rsidRPr="002106BA">
              <w:t>Cost per year</w:t>
            </w:r>
          </w:p>
        </w:tc>
        <w:tc>
          <w:tcPr>
            <w:tcW w:w="1274" w:type="pct"/>
            <w:shd w:val="clear" w:color="auto" w:fill="auto"/>
            <w:vAlign w:val="center"/>
          </w:tcPr>
          <w:p w14:paraId="10182BD2" w14:textId="77777777" w:rsidR="00A319DC" w:rsidRPr="002106BA" w:rsidRDefault="00A319DC" w:rsidP="009B1087">
            <w:pPr>
              <w:pStyle w:val="COMTabletext"/>
              <w:jc w:val="center"/>
            </w:pPr>
            <w:r w:rsidRPr="002106BA">
              <w:t>-</w:t>
            </w:r>
          </w:p>
        </w:tc>
        <w:tc>
          <w:tcPr>
            <w:tcW w:w="1274" w:type="pct"/>
            <w:shd w:val="clear" w:color="auto" w:fill="auto"/>
            <w:vAlign w:val="center"/>
          </w:tcPr>
          <w:p w14:paraId="0A55D64F" w14:textId="4C75429A" w:rsidR="00A319DC" w:rsidRPr="002106BA" w:rsidRDefault="00A319DC" w:rsidP="009B1087">
            <w:pPr>
              <w:pStyle w:val="COMTabletext"/>
              <w:jc w:val="center"/>
            </w:pPr>
            <w:r w:rsidRPr="002106BA">
              <w:t>$</w:t>
            </w:r>
            <w:r w:rsidR="00DD7F0E" w:rsidRPr="00DD7F0E">
              <w:rPr>
                <w:color w:val="000000"/>
                <w:shd w:val="solid" w:color="000000" w:fill="000000"/>
                <w14:textFill>
                  <w14:solidFill>
                    <w14:srgbClr w14:val="000000">
                      <w14:alpha w14:val="100000"/>
                    </w14:srgbClr>
                  </w14:solidFill>
                </w14:textFill>
              </w:rPr>
              <w:t>|</w:t>
            </w:r>
            <w:r w:rsidRPr="002106BA">
              <w:t xml:space="preserve"> (AEMP)</w:t>
            </w:r>
          </w:p>
        </w:tc>
        <w:tc>
          <w:tcPr>
            <w:tcW w:w="1274" w:type="pct"/>
            <w:shd w:val="clear" w:color="auto" w:fill="auto"/>
            <w:vAlign w:val="center"/>
          </w:tcPr>
          <w:p w14:paraId="1A0B3EF6" w14:textId="4E65D6DB" w:rsidR="00A319DC" w:rsidRPr="002106BA" w:rsidRDefault="00A319DC" w:rsidP="009B1087">
            <w:pPr>
              <w:pStyle w:val="COMTabletext"/>
              <w:jc w:val="center"/>
            </w:pPr>
            <w:r w:rsidRPr="002106BA">
              <w:t>$</w:t>
            </w:r>
            <w:r w:rsidR="00DD7F0E" w:rsidRPr="00DD7F0E">
              <w:rPr>
                <w:color w:val="000000"/>
                <w:shd w:val="solid" w:color="000000" w:fill="000000"/>
                <w14:textFill>
                  <w14:solidFill>
                    <w14:srgbClr w14:val="000000">
                      <w14:alpha w14:val="100000"/>
                    </w14:srgbClr>
                  </w14:solidFill>
                </w14:textFill>
              </w:rPr>
              <w:t>|</w:t>
            </w:r>
            <w:r w:rsidRPr="002106BA">
              <w:t xml:space="preserve"> (DPMQ)</w:t>
            </w:r>
          </w:p>
        </w:tc>
      </w:tr>
      <w:tr w:rsidR="00A319DC" w:rsidRPr="002106BA" w14:paraId="315F2E56" w14:textId="77777777" w:rsidTr="00F20C9C">
        <w:trPr>
          <w:cantSplit/>
          <w:jc w:val="center"/>
        </w:trPr>
        <w:tc>
          <w:tcPr>
            <w:tcW w:w="1177" w:type="pct"/>
            <w:shd w:val="clear" w:color="auto" w:fill="auto"/>
            <w:vAlign w:val="center"/>
          </w:tcPr>
          <w:p w14:paraId="5BB790A7" w14:textId="77777777" w:rsidR="00A319DC" w:rsidRPr="002106BA" w:rsidRDefault="00A319DC" w:rsidP="009B1087">
            <w:pPr>
              <w:pStyle w:val="COMTabletext"/>
            </w:pPr>
            <w:r w:rsidRPr="002106BA">
              <w:t>Persistence</w:t>
            </w:r>
          </w:p>
        </w:tc>
        <w:tc>
          <w:tcPr>
            <w:tcW w:w="1274" w:type="pct"/>
            <w:shd w:val="clear" w:color="auto" w:fill="auto"/>
            <w:vAlign w:val="center"/>
          </w:tcPr>
          <w:p w14:paraId="2C35438A" w14:textId="77777777" w:rsidR="00A319DC" w:rsidRPr="002106BA" w:rsidRDefault="00A319DC" w:rsidP="009B1087">
            <w:pPr>
              <w:pStyle w:val="COMTabletext"/>
              <w:jc w:val="center"/>
              <w:rPr>
                <w:bCs w:val="0"/>
              </w:rPr>
            </w:pPr>
            <w:r w:rsidRPr="002106BA">
              <w:rPr>
                <w:bCs w:val="0"/>
              </w:rPr>
              <w:t xml:space="preserve">Discontinued treatment </w:t>
            </w:r>
          </w:p>
          <w:p w14:paraId="126CDC0E" w14:textId="77777777" w:rsidR="00A319DC" w:rsidRPr="002106BA" w:rsidRDefault="00A319DC" w:rsidP="009B1087">
            <w:pPr>
              <w:pStyle w:val="COMTabletext"/>
              <w:jc w:val="center"/>
            </w:pPr>
            <w:r w:rsidRPr="002106BA">
              <w:t>4 (9.5%)</w:t>
            </w:r>
          </w:p>
        </w:tc>
        <w:tc>
          <w:tcPr>
            <w:tcW w:w="1274" w:type="pct"/>
            <w:shd w:val="clear" w:color="auto" w:fill="auto"/>
            <w:vAlign w:val="center"/>
          </w:tcPr>
          <w:p w14:paraId="7542AD2B" w14:textId="011A3C3D" w:rsidR="00A319DC" w:rsidRPr="002106BA" w:rsidRDefault="00A319DC" w:rsidP="009B1087">
            <w:pPr>
              <w:pStyle w:val="COMTabletext"/>
              <w:jc w:val="center"/>
              <w:rPr>
                <w:bCs w:val="0"/>
              </w:rPr>
            </w:pPr>
            <w:r w:rsidRPr="002106BA">
              <w:rPr>
                <w:bCs w:val="0"/>
              </w:rPr>
              <w:t>Months 0-6: 99.5%</w:t>
            </w:r>
            <w:r w:rsidR="00E37914" w:rsidRPr="002106BA">
              <w:rPr>
                <w:bCs w:val="0"/>
                <w:vertAlign w:val="superscript"/>
              </w:rPr>
              <w:t>b</w:t>
            </w:r>
          </w:p>
          <w:p w14:paraId="19FA51A5" w14:textId="77777777" w:rsidR="00A319DC" w:rsidRPr="002106BA" w:rsidRDefault="00A319DC" w:rsidP="009B1087">
            <w:pPr>
              <w:pStyle w:val="COMTabletext"/>
              <w:jc w:val="center"/>
              <w:rPr>
                <w:bCs w:val="0"/>
              </w:rPr>
            </w:pPr>
            <w:r w:rsidRPr="002106BA">
              <w:rPr>
                <w:bCs w:val="0"/>
              </w:rPr>
              <w:t>Months 6-12: 98.1%</w:t>
            </w:r>
          </w:p>
          <w:p w14:paraId="331AE6B5" w14:textId="77777777" w:rsidR="00A319DC" w:rsidRPr="002106BA" w:rsidRDefault="00A319DC" w:rsidP="009B1087">
            <w:pPr>
              <w:pStyle w:val="COMTabletext"/>
              <w:jc w:val="center"/>
            </w:pPr>
            <w:r w:rsidRPr="002106BA">
              <w:rPr>
                <w:bCs w:val="0"/>
              </w:rPr>
              <w:t>Months 12-18: 96.7%</w:t>
            </w:r>
          </w:p>
        </w:tc>
        <w:tc>
          <w:tcPr>
            <w:tcW w:w="1274" w:type="pct"/>
            <w:shd w:val="clear" w:color="auto" w:fill="auto"/>
            <w:vAlign w:val="center"/>
          </w:tcPr>
          <w:p w14:paraId="2A117756" w14:textId="560221F6" w:rsidR="00A319DC" w:rsidRPr="002106BA" w:rsidRDefault="00A319DC" w:rsidP="009B1087">
            <w:pPr>
              <w:pStyle w:val="COMTabletext"/>
              <w:jc w:val="center"/>
            </w:pPr>
            <w:r w:rsidRPr="002106BA">
              <w:t>Year 1: 98.1%</w:t>
            </w:r>
            <w:r w:rsidR="00E37914" w:rsidRPr="002106BA">
              <w:rPr>
                <w:vertAlign w:val="superscript"/>
              </w:rPr>
              <w:t>b</w:t>
            </w:r>
          </w:p>
          <w:p w14:paraId="7B1BDFF3" w14:textId="77777777" w:rsidR="00A319DC" w:rsidRPr="002106BA" w:rsidRDefault="00A319DC" w:rsidP="009B1087">
            <w:pPr>
              <w:pStyle w:val="COMTabletext"/>
              <w:jc w:val="center"/>
            </w:pPr>
            <w:r w:rsidRPr="002106BA">
              <w:t>Year 2: 95.4%</w:t>
            </w:r>
          </w:p>
          <w:p w14:paraId="776B78F1" w14:textId="77777777" w:rsidR="00A319DC" w:rsidRPr="002106BA" w:rsidRDefault="00A319DC" w:rsidP="009B1087">
            <w:pPr>
              <w:pStyle w:val="COMTabletext"/>
              <w:jc w:val="center"/>
            </w:pPr>
            <w:r w:rsidRPr="002106BA">
              <w:t>Year 3: 92.8%</w:t>
            </w:r>
          </w:p>
          <w:p w14:paraId="710BA591" w14:textId="77777777" w:rsidR="00A319DC" w:rsidRPr="002106BA" w:rsidRDefault="00A319DC" w:rsidP="009B1087">
            <w:pPr>
              <w:pStyle w:val="COMTabletext"/>
              <w:jc w:val="center"/>
            </w:pPr>
            <w:r w:rsidRPr="002106BA">
              <w:t>Year 4: 90.3%</w:t>
            </w:r>
          </w:p>
          <w:p w14:paraId="66DB9ACB" w14:textId="77777777" w:rsidR="00A319DC" w:rsidRPr="002106BA" w:rsidRDefault="00A319DC" w:rsidP="009B1087">
            <w:pPr>
              <w:pStyle w:val="COMTabletext"/>
              <w:jc w:val="center"/>
            </w:pPr>
            <w:r w:rsidRPr="002106BA">
              <w:t>Year 5: 87.9%</w:t>
            </w:r>
          </w:p>
          <w:p w14:paraId="11CE45F9" w14:textId="77777777" w:rsidR="00A319DC" w:rsidRPr="002106BA" w:rsidRDefault="00A319DC" w:rsidP="009B1087">
            <w:pPr>
              <w:pStyle w:val="COMTabletext"/>
              <w:jc w:val="center"/>
            </w:pPr>
            <w:r w:rsidRPr="002106BA">
              <w:t>Year 6: 85.6%</w:t>
            </w:r>
          </w:p>
        </w:tc>
      </w:tr>
    </w:tbl>
    <w:p w14:paraId="2B815AA8" w14:textId="77777777" w:rsidR="00A319DC" w:rsidRPr="002106BA" w:rsidRDefault="00A319DC" w:rsidP="00A319DC">
      <w:pPr>
        <w:spacing w:after="120"/>
        <w:contextualSpacing/>
        <w:rPr>
          <w:rFonts w:ascii="Arial Narrow" w:hAnsi="Arial Narrow"/>
          <w:sz w:val="18"/>
          <w:szCs w:val="18"/>
        </w:rPr>
      </w:pPr>
      <w:r w:rsidRPr="002106BA">
        <w:rPr>
          <w:rFonts w:ascii="Arial Narrow" w:hAnsi="Arial Narrow"/>
          <w:sz w:val="18"/>
          <w:szCs w:val="18"/>
        </w:rPr>
        <w:t xml:space="preserve">Source: Constructed during the evaluation based on Section 10.1, p57 of the HELIOS-A Clinical Study Report (‘Alnylam </w:t>
      </w:r>
      <w:proofErr w:type="spellStart"/>
      <w:r w:rsidRPr="002106BA">
        <w:rPr>
          <w:rFonts w:ascii="Arial Narrow" w:hAnsi="Arial Narrow"/>
          <w:sz w:val="18"/>
          <w:szCs w:val="18"/>
        </w:rPr>
        <w:t>Pharmaceuticals_HELIOS</w:t>
      </w:r>
      <w:proofErr w:type="spellEnd"/>
      <w:r w:rsidRPr="002106BA">
        <w:rPr>
          <w:rFonts w:ascii="Arial Narrow" w:hAnsi="Arial Narrow"/>
          <w:sz w:val="18"/>
          <w:szCs w:val="18"/>
        </w:rPr>
        <w:t>-A 18M CSR Body_.pdf’), Section 3 Excel cost minimisation workbook, and Section 4 financial implications Excel workbook.</w:t>
      </w:r>
    </w:p>
    <w:p w14:paraId="1C7FA877" w14:textId="77777777" w:rsidR="00A319DC" w:rsidRPr="002106BA" w:rsidRDefault="00A319DC" w:rsidP="00A319DC">
      <w:pPr>
        <w:spacing w:after="120"/>
        <w:contextualSpacing/>
        <w:rPr>
          <w:rFonts w:ascii="Arial Narrow" w:hAnsi="Arial Narrow"/>
          <w:sz w:val="18"/>
          <w:szCs w:val="18"/>
        </w:rPr>
      </w:pPr>
      <w:r w:rsidRPr="002106BA">
        <w:rPr>
          <w:rFonts w:ascii="Arial Narrow" w:hAnsi="Arial Narrow"/>
          <w:sz w:val="18"/>
          <w:szCs w:val="18"/>
        </w:rPr>
        <w:t xml:space="preserve">Abbreviations: AEMP, approved ex-manufacturer price; DPMQ, dispensed price for maximum quantity; NR, not reported. </w:t>
      </w:r>
    </w:p>
    <w:p w14:paraId="74BDC0E8" w14:textId="205089D0" w:rsidR="00A319DC" w:rsidRPr="002106BA" w:rsidRDefault="00E37914" w:rsidP="00A319DC">
      <w:pPr>
        <w:spacing w:after="120"/>
        <w:contextualSpacing/>
        <w:rPr>
          <w:rFonts w:ascii="Arial Narrow" w:hAnsi="Arial Narrow"/>
          <w:sz w:val="18"/>
          <w:szCs w:val="18"/>
        </w:rPr>
      </w:pPr>
      <w:r w:rsidRPr="002106BA">
        <w:rPr>
          <w:rFonts w:ascii="Arial Narrow" w:hAnsi="Arial Narrow"/>
          <w:sz w:val="18"/>
          <w:szCs w:val="18"/>
          <w:vertAlign w:val="superscript"/>
        </w:rPr>
        <w:t xml:space="preserve">a </w:t>
      </w:r>
      <w:r w:rsidR="00A319DC" w:rsidRPr="002106BA">
        <w:rPr>
          <w:rFonts w:ascii="Arial Narrow" w:hAnsi="Arial Narrow"/>
          <w:sz w:val="18"/>
          <w:szCs w:val="18"/>
        </w:rPr>
        <w:t>Relative dose intensity calculated as ratio of cumulative number of doses of vutrisiran</w:t>
      </w:r>
      <w:r w:rsidR="0018604E" w:rsidRPr="002106BA">
        <w:rPr>
          <w:rFonts w:ascii="Arial Narrow" w:hAnsi="Arial Narrow"/>
          <w:sz w:val="18"/>
          <w:szCs w:val="18"/>
        </w:rPr>
        <w:t>/patisiran</w:t>
      </w:r>
      <w:r w:rsidR="00A319DC" w:rsidRPr="002106BA">
        <w:rPr>
          <w:rFonts w:ascii="Arial Narrow" w:hAnsi="Arial Narrow"/>
          <w:sz w:val="18"/>
          <w:szCs w:val="18"/>
        </w:rPr>
        <w:t xml:space="preserve"> received by patients in HELIOS-A divided by the total number of doses per protocol.</w:t>
      </w:r>
    </w:p>
    <w:p w14:paraId="2E9E738D" w14:textId="728411B8" w:rsidR="00A319DC" w:rsidRPr="002106BA" w:rsidRDefault="00E37914" w:rsidP="00A319DC">
      <w:pPr>
        <w:spacing w:after="120"/>
        <w:contextualSpacing/>
        <w:rPr>
          <w:rFonts w:ascii="Arial Narrow" w:hAnsi="Arial Narrow"/>
          <w:sz w:val="18"/>
          <w:szCs w:val="18"/>
        </w:rPr>
      </w:pPr>
      <w:r w:rsidRPr="002106BA">
        <w:rPr>
          <w:rFonts w:ascii="Arial Narrow" w:hAnsi="Arial Narrow"/>
          <w:sz w:val="18"/>
          <w:szCs w:val="18"/>
          <w:vertAlign w:val="superscript"/>
        </w:rPr>
        <w:t xml:space="preserve">b </w:t>
      </w:r>
      <w:r w:rsidR="00A319DC" w:rsidRPr="002106BA">
        <w:rPr>
          <w:rFonts w:ascii="Arial Narrow" w:hAnsi="Arial Narrow"/>
          <w:sz w:val="18"/>
          <w:szCs w:val="18"/>
        </w:rPr>
        <w:t xml:space="preserve">Based on treatment discontinuation and mortality data from the HELIOS-A study used to determine the proportion of patient on treatment in the </w:t>
      </w:r>
      <w:r w:rsidR="00543962" w:rsidRPr="002106BA">
        <w:rPr>
          <w:rFonts w:ascii="Arial Narrow" w:hAnsi="Arial Narrow"/>
          <w:sz w:val="18"/>
          <w:szCs w:val="18"/>
        </w:rPr>
        <w:t>cost-minimisation approach</w:t>
      </w:r>
      <w:r w:rsidR="00A319DC" w:rsidRPr="002106BA">
        <w:rPr>
          <w:rFonts w:ascii="Arial Narrow" w:hAnsi="Arial Narrow"/>
          <w:sz w:val="18"/>
          <w:szCs w:val="18"/>
        </w:rPr>
        <w:t>.</w:t>
      </w:r>
    </w:p>
    <w:p w14:paraId="3DBFE151" w14:textId="2FB1DADB" w:rsidR="00494207" w:rsidRPr="002106BA" w:rsidRDefault="00E37914" w:rsidP="00A319DC">
      <w:pPr>
        <w:spacing w:after="120"/>
        <w:contextualSpacing/>
        <w:rPr>
          <w:rFonts w:ascii="Arial Narrow" w:hAnsi="Arial Narrow"/>
          <w:sz w:val="18"/>
          <w:szCs w:val="18"/>
        </w:rPr>
      </w:pPr>
      <w:r w:rsidRPr="002106BA">
        <w:rPr>
          <w:rFonts w:ascii="Arial Narrow" w:hAnsi="Arial Narrow"/>
          <w:sz w:val="18"/>
          <w:szCs w:val="18"/>
          <w:vertAlign w:val="superscript"/>
        </w:rPr>
        <w:t xml:space="preserve">c </w:t>
      </w:r>
      <w:r w:rsidR="00A319DC" w:rsidRPr="002106BA">
        <w:rPr>
          <w:rFonts w:ascii="Arial Narrow" w:hAnsi="Arial Narrow"/>
          <w:sz w:val="18"/>
          <w:szCs w:val="18"/>
        </w:rPr>
        <w:t>Based on the weight distribution of patients in the HELIOS-A study.</w:t>
      </w:r>
      <w:bookmarkStart w:id="64" w:name="_Hlk107307804"/>
      <w:bookmarkEnd w:id="62"/>
      <w:r w:rsidR="0066323F" w:rsidRPr="002106BA">
        <w:rPr>
          <w:rFonts w:ascii="Arial Narrow" w:hAnsi="Arial Narrow"/>
          <w:sz w:val="18"/>
          <w:szCs w:val="18"/>
        </w:rPr>
        <w:t xml:space="preserve"> </w:t>
      </w:r>
      <w:r w:rsidR="00302C10" w:rsidRPr="002106BA">
        <w:rPr>
          <w:rFonts w:ascii="Arial Narrow" w:hAnsi="Arial Narrow"/>
          <w:sz w:val="18"/>
          <w:szCs w:val="18"/>
        </w:rPr>
        <w:t xml:space="preserve">This </w:t>
      </w:r>
      <w:r w:rsidR="00533FBB" w:rsidRPr="002106BA">
        <w:rPr>
          <w:rFonts w:ascii="Arial Narrow" w:hAnsi="Arial Narrow"/>
          <w:sz w:val="18"/>
          <w:szCs w:val="18"/>
        </w:rPr>
        <w:t>compares with</w:t>
      </w:r>
      <w:r w:rsidR="00302C10" w:rsidRPr="002106BA">
        <w:rPr>
          <w:rFonts w:ascii="Arial Narrow" w:hAnsi="Arial Narrow"/>
          <w:sz w:val="18"/>
          <w:szCs w:val="18"/>
        </w:rPr>
        <w:t xml:space="preserve"> 2.38 units per administration used in the patisiran </w:t>
      </w:r>
      <w:r w:rsidR="00EB33CD" w:rsidRPr="002106BA">
        <w:rPr>
          <w:rFonts w:ascii="Arial Narrow" w:hAnsi="Arial Narrow"/>
          <w:sz w:val="18"/>
          <w:szCs w:val="18"/>
        </w:rPr>
        <w:t>submission (para</w:t>
      </w:r>
      <w:r w:rsidR="002C5C07">
        <w:rPr>
          <w:rFonts w:ascii="Arial Narrow" w:hAnsi="Arial Narrow"/>
          <w:sz w:val="18"/>
          <w:szCs w:val="18"/>
        </w:rPr>
        <w:t>graph</w:t>
      </w:r>
      <w:r w:rsidR="00EB33CD" w:rsidRPr="002106BA">
        <w:rPr>
          <w:rFonts w:ascii="Arial Narrow" w:hAnsi="Arial Narrow"/>
          <w:sz w:val="18"/>
          <w:szCs w:val="18"/>
        </w:rPr>
        <w:t xml:space="preserve"> </w:t>
      </w:r>
      <w:r w:rsidR="00BD435A" w:rsidRPr="002106BA">
        <w:rPr>
          <w:rFonts w:ascii="Arial Narrow" w:hAnsi="Arial Narrow"/>
          <w:sz w:val="18"/>
          <w:szCs w:val="18"/>
        </w:rPr>
        <w:t>6.81, Patisiran PSD, July 2023 PBAC meeting).</w:t>
      </w:r>
    </w:p>
    <w:p w14:paraId="268768EF" w14:textId="3626F292" w:rsidR="00B60939" w:rsidRPr="002106BA" w:rsidRDefault="00B60939" w:rsidP="003D5DE7">
      <w:pPr>
        <w:pStyle w:val="COMH2-non-numbered"/>
      </w:pPr>
      <w:bookmarkStart w:id="65" w:name="_Toc22897647"/>
      <w:bookmarkStart w:id="66" w:name="_Toc177559184"/>
      <w:bookmarkEnd w:id="64"/>
      <w:r w:rsidRPr="002106BA">
        <w:t>Estimated PBS usage &amp; financial implications</w:t>
      </w:r>
      <w:bookmarkEnd w:id="65"/>
      <w:bookmarkEnd w:id="66"/>
    </w:p>
    <w:p w14:paraId="0CDD617F" w14:textId="5B77338F" w:rsidR="00F144C9" w:rsidRPr="002106BA" w:rsidRDefault="00F144C9" w:rsidP="00B279D7">
      <w:pPr>
        <w:pStyle w:val="COMexecsummnumbered"/>
      </w:pPr>
      <w:r w:rsidRPr="002106BA">
        <w:t xml:space="preserve">This submission </w:t>
      </w:r>
      <w:r w:rsidR="00BE7030" w:rsidRPr="002106BA">
        <w:t xml:space="preserve">was </w:t>
      </w:r>
      <w:r w:rsidRPr="002106BA">
        <w:t>not considered by DUSC.</w:t>
      </w:r>
    </w:p>
    <w:p w14:paraId="23F20F3E" w14:textId="77777777" w:rsidR="00F144C9" w:rsidRPr="002106BA" w:rsidRDefault="00F144C9" w:rsidP="00F144C9">
      <w:pPr>
        <w:pStyle w:val="COMexecsummnumbered"/>
      </w:pPr>
      <w:r w:rsidRPr="002106BA">
        <w:t xml:space="preserve">The submission used an epidemiological approach to estimate the utilisation and financial impacts associated with listing vutrisiran for the treatment of patients with hATTR amyloidosis with polyneuropathy. </w:t>
      </w:r>
    </w:p>
    <w:p w14:paraId="3A1E5728" w14:textId="1FB8677A" w:rsidR="00F144C9" w:rsidRPr="002106BA" w:rsidRDefault="008F74C6" w:rsidP="00B279D7">
      <w:pPr>
        <w:pStyle w:val="COMexecsummnumbered"/>
      </w:pPr>
      <w:r w:rsidRPr="002106BA">
        <w:fldChar w:fldCharType="begin"/>
      </w:r>
      <w:r w:rsidRPr="002106BA">
        <w:instrText xml:space="preserve"> REF _Ref174974487 \h </w:instrText>
      </w:r>
      <w:r w:rsidR="00364566" w:rsidRPr="002106BA">
        <w:instrText xml:space="preserve"> \* MERGEFORMAT </w:instrText>
      </w:r>
      <w:r w:rsidRPr="002106BA">
        <w:fldChar w:fldCharType="separate"/>
      </w:r>
      <w:r w:rsidR="00DB6E9D" w:rsidRPr="002106BA">
        <w:t xml:space="preserve">Table </w:t>
      </w:r>
      <w:r w:rsidR="00DB6E9D">
        <w:t>14</w:t>
      </w:r>
      <w:r w:rsidRPr="002106BA">
        <w:fldChar w:fldCharType="end"/>
      </w:r>
      <w:r w:rsidRPr="002106BA">
        <w:t xml:space="preserve"> presents the key data sources and parameter values applied in the utilisation and financial estimates.</w:t>
      </w:r>
    </w:p>
    <w:p w14:paraId="486B5D63" w14:textId="7D1947E1" w:rsidR="00155287" w:rsidRPr="002106BA" w:rsidRDefault="00155287" w:rsidP="00155287">
      <w:pPr>
        <w:pStyle w:val="COMtablefigcaption"/>
      </w:pPr>
      <w:bookmarkStart w:id="67" w:name="_Ref174974487"/>
      <w:r w:rsidRPr="002106BA">
        <w:lastRenderedPageBreak/>
        <w:t xml:space="preserve">Table </w:t>
      </w:r>
      <w:r w:rsidR="0027304F">
        <w:fldChar w:fldCharType="begin"/>
      </w:r>
      <w:r w:rsidR="0027304F">
        <w:instrText xml:space="preserve"> SEQ Table \* ARABIC </w:instrText>
      </w:r>
      <w:r w:rsidR="0027304F">
        <w:fldChar w:fldCharType="separate"/>
      </w:r>
      <w:r w:rsidR="00DB6E9D">
        <w:rPr>
          <w:noProof/>
        </w:rPr>
        <w:t>14</w:t>
      </w:r>
      <w:r w:rsidR="0027304F">
        <w:fldChar w:fldCharType="end"/>
      </w:r>
      <w:bookmarkEnd w:id="67"/>
      <w:r w:rsidRPr="002106BA">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384"/>
        <w:gridCol w:w="3919"/>
      </w:tblGrid>
      <w:tr w:rsidR="00155287" w:rsidRPr="002106BA" w14:paraId="3788DBD4" w14:textId="77777777" w:rsidTr="009B1087">
        <w:trPr>
          <w:tblHeader/>
        </w:trPr>
        <w:tc>
          <w:tcPr>
            <w:tcW w:w="950" w:type="pct"/>
            <w:shd w:val="clear" w:color="auto" w:fill="auto"/>
            <w:vAlign w:val="center"/>
          </w:tcPr>
          <w:p w14:paraId="59EA689E" w14:textId="77777777" w:rsidR="00155287" w:rsidRPr="002106BA" w:rsidRDefault="00155287" w:rsidP="008E5476">
            <w:pPr>
              <w:pStyle w:val="COMTableheadingrow"/>
              <w:keepNext w:val="0"/>
              <w:rPr>
                <w:lang w:val="en-AU"/>
              </w:rPr>
            </w:pPr>
            <w:r w:rsidRPr="002106BA">
              <w:rPr>
                <w:lang w:val="en-AU"/>
              </w:rPr>
              <w:t>Parameter</w:t>
            </w:r>
          </w:p>
        </w:tc>
        <w:tc>
          <w:tcPr>
            <w:tcW w:w="1876" w:type="pct"/>
            <w:shd w:val="clear" w:color="auto" w:fill="auto"/>
            <w:vAlign w:val="center"/>
          </w:tcPr>
          <w:p w14:paraId="10BC6472" w14:textId="77777777" w:rsidR="00155287" w:rsidRPr="002106BA" w:rsidRDefault="00155287" w:rsidP="008E5476">
            <w:pPr>
              <w:pStyle w:val="COMTableheadingrow"/>
              <w:keepNext w:val="0"/>
              <w:rPr>
                <w:lang w:val="en-AU"/>
              </w:rPr>
            </w:pPr>
            <w:r w:rsidRPr="002106BA">
              <w:rPr>
                <w:lang w:val="en-AU"/>
              </w:rPr>
              <w:t>Value applied and source</w:t>
            </w:r>
          </w:p>
        </w:tc>
        <w:tc>
          <w:tcPr>
            <w:tcW w:w="2173" w:type="pct"/>
            <w:shd w:val="clear" w:color="auto" w:fill="auto"/>
            <w:vAlign w:val="center"/>
          </w:tcPr>
          <w:p w14:paraId="2666243C" w14:textId="77777777" w:rsidR="00155287" w:rsidRPr="002106BA" w:rsidRDefault="00155287" w:rsidP="008E5476">
            <w:pPr>
              <w:pStyle w:val="COMTableheadingrow"/>
              <w:keepNext w:val="0"/>
              <w:rPr>
                <w:lang w:val="en-AU"/>
              </w:rPr>
            </w:pPr>
            <w:r w:rsidRPr="002106BA">
              <w:rPr>
                <w:lang w:val="en-AU"/>
              </w:rPr>
              <w:t>Comment</w:t>
            </w:r>
          </w:p>
        </w:tc>
      </w:tr>
      <w:tr w:rsidR="00155287" w:rsidRPr="002106BA" w14:paraId="33AAA9A6" w14:textId="77777777" w:rsidTr="009B1087">
        <w:tc>
          <w:tcPr>
            <w:tcW w:w="950" w:type="pct"/>
            <w:shd w:val="clear" w:color="auto" w:fill="auto"/>
            <w:vAlign w:val="center"/>
          </w:tcPr>
          <w:p w14:paraId="1866192D" w14:textId="77777777" w:rsidR="00155287" w:rsidRPr="002106BA" w:rsidRDefault="00155287" w:rsidP="008E5476">
            <w:pPr>
              <w:pStyle w:val="COMTabletext"/>
              <w:keepNext w:val="0"/>
            </w:pPr>
            <w:r w:rsidRPr="002106BA">
              <w:t>Prevalence of hATTR amyloidosis with polyneuropathy</w:t>
            </w:r>
          </w:p>
        </w:tc>
        <w:tc>
          <w:tcPr>
            <w:tcW w:w="1876" w:type="pct"/>
            <w:shd w:val="clear" w:color="auto" w:fill="auto"/>
            <w:vAlign w:val="center"/>
          </w:tcPr>
          <w:p w14:paraId="1FE09FED" w14:textId="77777777" w:rsidR="00155287" w:rsidRPr="002106BA" w:rsidRDefault="00155287" w:rsidP="008E5476">
            <w:pPr>
              <w:pStyle w:val="COMTabletext"/>
              <w:keepNext w:val="0"/>
            </w:pPr>
            <w:r w:rsidRPr="002106BA">
              <w:t>7.52 per million (0.000752%), based on the estimated non-endemic national prevalence (high value) from Schmidt 2018.</w:t>
            </w:r>
          </w:p>
        </w:tc>
        <w:tc>
          <w:tcPr>
            <w:tcW w:w="2173" w:type="pct"/>
            <w:shd w:val="clear" w:color="auto" w:fill="auto"/>
            <w:vAlign w:val="center"/>
          </w:tcPr>
          <w:p w14:paraId="07641301" w14:textId="77777777" w:rsidR="00155287" w:rsidRPr="002106BA" w:rsidRDefault="00155287" w:rsidP="008E5476">
            <w:pPr>
              <w:pStyle w:val="TableText"/>
              <w:keepNext w:val="0"/>
              <w:keepLines w:val="0"/>
              <w:ind w:left="0" w:right="0"/>
              <w:jc w:val="left"/>
              <w:rPr>
                <w:b w:val="0"/>
                <w:bCs/>
              </w:rPr>
            </w:pPr>
            <w:r w:rsidRPr="002106BA">
              <w:rPr>
                <w:b w:val="0"/>
                <w:bCs/>
              </w:rPr>
              <w:t>Unchanged from the July 2023 consideration of patisiran.</w:t>
            </w:r>
          </w:p>
          <w:p w14:paraId="2539C0EA" w14:textId="77777777" w:rsidR="00155287" w:rsidRPr="002106BA" w:rsidRDefault="00155287" w:rsidP="008E5476">
            <w:pPr>
              <w:pStyle w:val="COMTabletext"/>
              <w:keepNext w:val="0"/>
            </w:pPr>
            <w:r w:rsidRPr="002106BA">
              <w:t>Estimates from Schmidt 2018 were based on a 2014 survey of clinician and epidemiologist members of the European Network for ATTR-FAP (Parman et al. 2016) and may not be applicable to the contemporary Australian setting.</w:t>
            </w:r>
          </w:p>
        </w:tc>
      </w:tr>
      <w:tr w:rsidR="00155287" w:rsidRPr="002106BA" w14:paraId="5FC1E4D6" w14:textId="77777777" w:rsidTr="009B1087">
        <w:tc>
          <w:tcPr>
            <w:tcW w:w="950" w:type="pct"/>
            <w:shd w:val="clear" w:color="auto" w:fill="auto"/>
            <w:vAlign w:val="center"/>
          </w:tcPr>
          <w:p w14:paraId="353B1A93" w14:textId="77777777" w:rsidR="00155287" w:rsidRPr="002106BA" w:rsidRDefault="00155287" w:rsidP="008E5476">
            <w:pPr>
              <w:pStyle w:val="COMTabletext"/>
              <w:keepNext w:val="0"/>
            </w:pPr>
            <w:r w:rsidRPr="002106BA">
              <w:t>Proportion of eligible patients (PND I-IIIB)</w:t>
            </w:r>
          </w:p>
        </w:tc>
        <w:tc>
          <w:tcPr>
            <w:tcW w:w="1876" w:type="pct"/>
            <w:shd w:val="clear" w:color="auto" w:fill="auto"/>
            <w:vAlign w:val="center"/>
          </w:tcPr>
          <w:p w14:paraId="37774801" w14:textId="0376B8A3" w:rsidR="00155287" w:rsidRPr="002106BA" w:rsidRDefault="00155287" w:rsidP="008E5476">
            <w:pPr>
              <w:pStyle w:val="COMTabletext"/>
              <w:keepNext w:val="0"/>
            </w:pPr>
            <w:r w:rsidRPr="002106BA">
              <w:t xml:space="preserve">30.77%, based on the estimated distribution of untreated </w:t>
            </w:r>
            <w:r w:rsidR="000146AE" w:rsidRPr="002106BA">
              <w:t>hA</w:t>
            </w:r>
            <w:r w:rsidRPr="002106BA">
              <w:t>TTR amyloidosis patients in the Australian Amyloidosis Network (AAN) analysis.</w:t>
            </w:r>
          </w:p>
        </w:tc>
        <w:tc>
          <w:tcPr>
            <w:tcW w:w="2173" w:type="pct"/>
            <w:shd w:val="clear" w:color="auto" w:fill="auto"/>
            <w:vAlign w:val="center"/>
          </w:tcPr>
          <w:p w14:paraId="76121697" w14:textId="77777777" w:rsidR="00155287" w:rsidRPr="002106BA" w:rsidRDefault="00155287" w:rsidP="008E5476">
            <w:pPr>
              <w:pStyle w:val="TableText"/>
              <w:keepNext w:val="0"/>
              <w:keepLines w:val="0"/>
              <w:ind w:left="0" w:right="0"/>
              <w:jc w:val="left"/>
              <w:rPr>
                <w:b w:val="0"/>
                <w:bCs/>
              </w:rPr>
            </w:pPr>
            <w:r w:rsidRPr="002106BA">
              <w:rPr>
                <w:b w:val="0"/>
                <w:bCs/>
              </w:rPr>
              <w:t>Unchanged from the July 2023 consideration of patisiran.</w:t>
            </w:r>
          </w:p>
          <w:p w14:paraId="2EF9A2F5" w14:textId="77777777" w:rsidR="00155287" w:rsidRPr="002106BA" w:rsidRDefault="00155287" w:rsidP="008E5476">
            <w:pPr>
              <w:pStyle w:val="TableText"/>
              <w:keepNext w:val="0"/>
              <w:keepLines w:val="0"/>
              <w:ind w:left="0" w:right="0"/>
              <w:jc w:val="left"/>
              <w:rPr>
                <w:b w:val="0"/>
                <w:bCs/>
              </w:rPr>
            </w:pPr>
            <w:r w:rsidRPr="002106BA">
              <w:rPr>
                <w:b w:val="0"/>
                <w:bCs/>
              </w:rPr>
              <w:t>Estimates from the AAN may not represent the broader hATTR population in Australia.</w:t>
            </w:r>
          </w:p>
          <w:p w14:paraId="39ED4D79" w14:textId="77777777" w:rsidR="00155287" w:rsidRPr="002106BA" w:rsidRDefault="00155287" w:rsidP="008E5476">
            <w:pPr>
              <w:pStyle w:val="TableText"/>
              <w:keepNext w:val="0"/>
              <w:keepLines w:val="0"/>
              <w:ind w:left="0" w:right="0"/>
              <w:jc w:val="left"/>
              <w:rPr>
                <w:b w:val="0"/>
                <w:bCs/>
              </w:rPr>
            </w:pPr>
            <w:r w:rsidRPr="002106BA">
              <w:rPr>
                <w:b w:val="0"/>
                <w:bCs/>
              </w:rPr>
              <w:t>The estimate was based on untreated patients only. It is unclear whether excluded treated patients were treated with therapies other than vutrisiran and patisiran.</w:t>
            </w:r>
          </w:p>
        </w:tc>
      </w:tr>
      <w:tr w:rsidR="00155287" w:rsidRPr="002106BA" w14:paraId="72D80BA5" w14:textId="77777777" w:rsidTr="009B1087">
        <w:tc>
          <w:tcPr>
            <w:tcW w:w="950" w:type="pct"/>
            <w:shd w:val="clear" w:color="auto" w:fill="auto"/>
            <w:vAlign w:val="center"/>
          </w:tcPr>
          <w:p w14:paraId="2C74C354" w14:textId="77777777" w:rsidR="00155287" w:rsidRPr="002106BA" w:rsidRDefault="00155287" w:rsidP="008E5476">
            <w:pPr>
              <w:pStyle w:val="COMTabletext"/>
              <w:keepNext w:val="0"/>
            </w:pPr>
            <w:r w:rsidRPr="002106BA">
              <w:t>Incidence of hATTR amyloidosis with polyneuropathy</w:t>
            </w:r>
          </w:p>
        </w:tc>
        <w:tc>
          <w:tcPr>
            <w:tcW w:w="1876" w:type="pct"/>
            <w:shd w:val="clear" w:color="auto" w:fill="auto"/>
            <w:vAlign w:val="center"/>
          </w:tcPr>
          <w:p w14:paraId="16764256" w14:textId="77777777" w:rsidR="00155287" w:rsidRPr="002106BA" w:rsidRDefault="00155287" w:rsidP="008E5476">
            <w:pPr>
              <w:pStyle w:val="COMTabletext"/>
              <w:keepNext w:val="0"/>
            </w:pPr>
            <w:r w:rsidRPr="002106BA">
              <w:t>0.24 per million (0.000024%), based on advice from the AAN, assuming 16 newly diagnosed patients with PND 0 over 5 years, from which 3.2 patients will progress to PND I each year; and 10 newly diagnosed patients with hATTR amyloidosis per year, from which 3.3 patients will progress to PND I each year; divided by the Australian population in the year the data were provided by the AAN (2023: 27,147,199).</w:t>
            </w:r>
          </w:p>
        </w:tc>
        <w:tc>
          <w:tcPr>
            <w:tcW w:w="2173" w:type="pct"/>
            <w:shd w:val="clear" w:color="auto" w:fill="auto"/>
            <w:vAlign w:val="center"/>
          </w:tcPr>
          <w:p w14:paraId="51DBA865" w14:textId="593AB2B0" w:rsidR="00155287" w:rsidRPr="002106BA" w:rsidRDefault="00155287" w:rsidP="008E5476">
            <w:pPr>
              <w:pStyle w:val="COMTabletext"/>
              <w:keepNext w:val="0"/>
            </w:pPr>
            <w:r w:rsidRPr="002106BA">
              <w:t>Estimates were considered highly uncertain.</w:t>
            </w:r>
          </w:p>
        </w:tc>
      </w:tr>
      <w:tr w:rsidR="00155287" w:rsidRPr="002106BA" w14:paraId="45790FAD" w14:textId="77777777" w:rsidTr="009B1087">
        <w:tc>
          <w:tcPr>
            <w:tcW w:w="950" w:type="pct"/>
            <w:shd w:val="clear" w:color="auto" w:fill="auto"/>
            <w:vAlign w:val="center"/>
          </w:tcPr>
          <w:p w14:paraId="6543BACA" w14:textId="77777777" w:rsidR="00155287" w:rsidRPr="002106BA" w:rsidRDefault="00155287" w:rsidP="008E5476">
            <w:pPr>
              <w:pStyle w:val="COMTabletext"/>
              <w:keepNext w:val="0"/>
            </w:pPr>
            <w:r w:rsidRPr="002106BA">
              <w:t>Grandfathered patients</w:t>
            </w:r>
          </w:p>
        </w:tc>
        <w:tc>
          <w:tcPr>
            <w:tcW w:w="1876" w:type="pct"/>
            <w:shd w:val="clear" w:color="auto" w:fill="auto"/>
            <w:vAlign w:val="center"/>
          </w:tcPr>
          <w:p w14:paraId="7261CF57" w14:textId="7F1CF8C3" w:rsidR="00155287" w:rsidRPr="002106BA" w:rsidRDefault="00DD7F0E" w:rsidP="008E5476">
            <w:pPr>
              <w:pStyle w:val="COMTabletext"/>
              <w:keepNext w:val="0"/>
            </w:pPr>
            <w:r w:rsidRPr="00DD7F0E">
              <w:rPr>
                <w:color w:val="000000"/>
                <w:spacing w:val="54"/>
                <w:shd w:val="solid" w:color="000000" w:fill="000000"/>
                <w:fitText w:val="334" w:id="-761617395"/>
                <w14:textFill>
                  <w14:solidFill>
                    <w14:srgbClr w14:val="000000">
                      <w14:alpha w14:val="100000"/>
                    </w14:srgbClr>
                  </w14:solidFill>
                </w14:textFill>
              </w:rPr>
              <w:t>|||</w:t>
            </w:r>
            <w:r w:rsidRPr="00DD7F0E">
              <w:rPr>
                <w:color w:val="000000"/>
                <w:spacing w:val="2"/>
                <w:shd w:val="solid" w:color="000000" w:fill="000000"/>
                <w:fitText w:val="334" w:id="-761617395"/>
                <w14:textFill>
                  <w14:solidFill>
                    <w14:srgbClr w14:val="000000">
                      <w14:alpha w14:val="100000"/>
                    </w14:srgbClr>
                  </w14:solidFill>
                </w14:textFill>
              </w:rPr>
              <w:t>|</w:t>
            </w:r>
            <w:r w:rsidR="00665788" w:rsidRPr="00665788">
              <w:rPr>
                <w:vertAlign w:val="superscript"/>
              </w:rPr>
              <w:t>1</w:t>
            </w:r>
            <w:r w:rsidR="00155287" w:rsidRPr="002106BA">
              <w:t xml:space="preserve"> vutrisiran patients and </w:t>
            </w:r>
            <w:r w:rsidRPr="00DD7F0E">
              <w:rPr>
                <w:color w:val="000000"/>
                <w:spacing w:val="54"/>
                <w:shd w:val="solid" w:color="000000" w:fill="000000"/>
                <w:fitText w:val="333" w:id="-761617394"/>
                <w14:textFill>
                  <w14:solidFill>
                    <w14:srgbClr w14:val="000000">
                      <w14:alpha w14:val="100000"/>
                    </w14:srgbClr>
                  </w14:solidFill>
                </w14:textFill>
              </w:rPr>
              <w:t>|||</w:t>
            </w:r>
            <w:r w:rsidRPr="00DD7F0E">
              <w:rPr>
                <w:color w:val="000000"/>
                <w:spacing w:val="1"/>
                <w:shd w:val="solid" w:color="000000" w:fill="000000"/>
                <w:fitText w:val="333" w:id="-761617394"/>
                <w14:textFill>
                  <w14:solidFill>
                    <w14:srgbClr w14:val="000000">
                      <w14:alpha w14:val="100000"/>
                    </w14:srgbClr>
                  </w14:solidFill>
                </w14:textFill>
              </w:rPr>
              <w:t>|</w:t>
            </w:r>
            <w:r w:rsidR="00665788" w:rsidRPr="00665788">
              <w:rPr>
                <w:vertAlign w:val="superscript"/>
              </w:rPr>
              <w:t>1</w:t>
            </w:r>
            <w:r w:rsidR="00155287" w:rsidRPr="002106BA">
              <w:t>patisiran patients, as provided by the sponsor.</w:t>
            </w:r>
          </w:p>
        </w:tc>
        <w:tc>
          <w:tcPr>
            <w:tcW w:w="2173" w:type="pct"/>
            <w:shd w:val="clear" w:color="auto" w:fill="auto"/>
            <w:vAlign w:val="center"/>
          </w:tcPr>
          <w:p w14:paraId="1A146025" w14:textId="77777777" w:rsidR="00155287" w:rsidRPr="002106BA" w:rsidRDefault="00155287" w:rsidP="008E5476">
            <w:pPr>
              <w:pStyle w:val="TableText"/>
              <w:keepNext w:val="0"/>
              <w:keepLines w:val="0"/>
              <w:ind w:left="0" w:right="0"/>
              <w:jc w:val="left"/>
              <w:rPr>
                <w:b w:val="0"/>
                <w:bCs/>
              </w:rPr>
            </w:pPr>
            <w:r w:rsidRPr="002106BA">
              <w:rPr>
                <w:b w:val="0"/>
                <w:bCs/>
              </w:rPr>
              <w:t>Grandfathered patients were inappropriately included in addition to estimates of prevalent patients.</w:t>
            </w:r>
          </w:p>
          <w:p w14:paraId="0BC07D4C" w14:textId="77777777" w:rsidR="001D7AC5" w:rsidRPr="002106BA" w:rsidRDefault="001D7AC5" w:rsidP="008E5476">
            <w:pPr>
              <w:pStyle w:val="TableText"/>
              <w:keepNext w:val="0"/>
              <w:keepLines w:val="0"/>
              <w:ind w:left="0" w:right="0"/>
              <w:jc w:val="left"/>
              <w:rPr>
                <w:b w:val="0"/>
                <w:bCs/>
              </w:rPr>
            </w:pPr>
          </w:p>
          <w:p w14:paraId="2D5C3564" w14:textId="7FAC988F" w:rsidR="001D7AC5" w:rsidRPr="002106BA" w:rsidRDefault="001D7AC5" w:rsidP="008E5476">
            <w:pPr>
              <w:pStyle w:val="TableText"/>
              <w:keepNext w:val="0"/>
              <w:keepLines w:val="0"/>
              <w:ind w:left="0" w:right="0"/>
              <w:jc w:val="left"/>
              <w:rPr>
                <w:b w:val="0"/>
                <w:bCs/>
              </w:rPr>
            </w:pPr>
            <w:r w:rsidRPr="002106BA">
              <w:rPr>
                <w:b w:val="0"/>
                <w:bCs/>
              </w:rPr>
              <w:t>In addition, the submission’s approach to estimating substituted grandfathered patients appeared to be in error. Substituted grandfathered patients were not adjusted for uptake of vutrisiran and the submission assumed there would be no continuation of treatment beyond year 1; inconsistent with the approach used to estimate utilisation by grandfathered patients for vutrisiran.</w:t>
            </w:r>
          </w:p>
        </w:tc>
      </w:tr>
      <w:tr w:rsidR="00155287" w:rsidRPr="002106BA" w14:paraId="7C8E64E6" w14:textId="77777777" w:rsidTr="009B1087">
        <w:tc>
          <w:tcPr>
            <w:tcW w:w="950" w:type="pct"/>
            <w:shd w:val="clear" w:color="auto" w:fill="auto"/>
            <w:vAlign w:val="center"/>
          </w:tcPr>
          <w:p w14:paraId="505B2B3A" w14:textId="77777777" w:rsidR="00155287" w:rsidRPr="002106BA" w:rsidRDefault="00155287" w:rsidP="008E5476">
            <w:pPr>
              <w:pStyle w:val="COMTabletext"/>
              <w:keepNext w:val="0"/>
            </w:pPr>
            <w:r w:rsidRPr="002106BA">
              <w:t>Uptake of patisiran in prevalent patients</w:t>
            </w:r>
          </w:p>
        </w:tc>
        <w:tc>
          <w:tcPr>
            <w:tcW w:w="1876" w:type="pct"/>
            <w:shd w:val="clear" w:color="auto" w:fill="auto"/>
            <w:vAlign w:val="center"/>
          </w:tcPr>
          <w:p w14:paraId="54961F91" w14:textId="6BBCE702" w:rsidR="00155287" w:rsidRPr="002106BA" w:rsidRDefault="00155287" w:rsidP="008E5476">
            <w:pPr>
              <w:pStyle w:val="TableText"/>
              <w:keepNext w:val="0"/>
              <w:keepLines w:val="0"/>
              <w:ind w:left="0" w:right="0"/>
              <w:jc w:val="left"/>
              <w:rPr>
                <w:b w:val="0"/>
                <w:bCs/>
              </w:rPr>
            </w:pPr>
            <w:r w:rsidRPr="002106BA">
              <w:rPr>
                <w:b w:val="0"/>
                <w:bCs/>
              </w:rPr>
              <w:t xml:space="preserve">Yr 1: </w:t>
            </w:r>
            <w:r w:rsidR="00DD7F0E" w:rsidRPr="00DD7F0E">
              <w:rPr>
                <w:b w:val="0"/>
                <w:bCs/>
                <w:color w:val="000000"/>
                <w:spacing w:val="49"/>
                <w:shd w:val="solid" w:color="000000" w:fill="000000"/>
                <w:fitText w:val="320" w:id="-761617393"/>
                <w14:textFill>
                  <w14:solidFill>
                    <w14:srgbClr w14:val="000000">
                      <w14:alpha w14:val="100000"/>
                    </w14:srgbClr>
                  </w14:solidFill>
                </w14:textFill>
              </w:rPr>
              <w:t>|||</w:t>
            </w:r>
            <w:r w:rsidR="00DD7F0E" w:rsidRPr="00DD7F0E">
              <w:rPr>
                <w:b w:val="0"/>
                <w:bCs/>
                <w:color w:val="000000"/>
                <w:spacing w:val="3"/>
                <w:shd w:val="solid" w:color="000000" w:fill="000000"/>
                <w:fitText w:val="320" w:id="-761617393"/>
                <w14:textFill>
                  <w14:solidFill>
                    <w14:srgbClr w14:val="000000">
                      <w14:alpha w14:val="100000"/>
                    </w14:srgbClr>
                  </w14:solidFill>
                </w14:textFill>
              </w:rPr>
              <w:t>|</w:t>
            </w:r>
            <w:r w:rsidRPr="002106BA">
              <w:rPr>
                <w:b w:val="0"/>
                <w:bCs/>
              </w:rPr>
              <w:t xml:space="preserve">%; Yr 2: </w:t>
            </w:r>
            <w:r w:rsidR="00DD7F0E" w:rsidRPr="00DD7F0E">
              <w:rPr>
                <w:b w:val="0"/>
                <w:bCs/>
                <w:color w:val="000000"/>
                <w:spacing w:val="49"/>
                <w:shd w:val="solid" w:color="000000" w:fill="000000"/>
                <w:fitText w:val="320" w:id="-761617392"/>
                <w14:textFill>
                  <w14:solidFill>
                    <w14:srgbClr w14:val="000000">
                      <w14:alpha w14:val="100000"/>
                    </w14:srgbClr>
                  </w14:solidFill>
                </w14:textFill>
              </w:rPr>
              <w:t>|||</w:t>
            </w:r>
            <w:r w:rsidR="00DD7F0E" w:rsidRPr="00DD7F0E">
              <w:rPr>
                <w:b w:val="0"/>
                <w:bCs/>
                <w:color w:val="000000"/>
                <w:spacing w:val="3"/>
                <w:shd w:val="solid" w:color="000000" w:fill="000000"/>
                <w:fitText w:val="320" w:id="-761617392"/>
                <w14:textFill>
                  <w14:solidFill>
                    <w14:srgbClr w14:val="000000">
                      <w14:alpha w14:val="100000"/>
                    </w14:srgbClr>
                  </w14:solidFill>
                </w14:textFill>
              </w:rPr>
              <w:t>|</w:t>
            </w:r>
            <w:r w:rsidRPr="002106BA">
              <w:rPr>
                <w:b w:val="0"/>
                <w:bCs/>
              </w:rPr>
              <w:t xml:space="preserve">%; Yr 3: </w:t>
            </w:r>
            <w:r w:rsidR="00DD7F0E" w:rsidRPr="00DD7F0E">
              <w:rPr>
                <w:b w:val="0"/>
                <w:bCs/>
                <w:color w:val="000000"/>
                <w:spacing w:val="54"/>
                <w:shd w:val="solid" w:color="000000" w:fill="000000"/>
                <w:fitText w:val="333" w:id="-761617408"/>
                <w14:textFill>
                  <w14:solidFill>
                    <w14:srgbClr w14:val="000000">
                      <w14:alpha w14:val="100000"/>
                    </w14:srgbClr>
                  </w14:solidFill>
                </w14:textFill>
              </w:rPr>
              <w:t>|||</w:t>
            </w:r>
            <w:r w:rsidR="00DD7F0E" w:rsidRPr="00DD7F0E">
              <w:rPr>
                <w:b w:val="0"/>
                <w:bCs/>
                <w:color w:val="000000"/>
                <w:spacing w:val="1"/>
                <w:shd w:val="solid" w:color="000000" w:fill="000000"/>
                <w:fitText w:val="333" w:id="-761617408"/>
                <w14:textFill>
                  <w14:solidFill>
                    <w14:srgbClr w14:val="000000">
                      <w14:alpha w14:val="100000"/>
                    </w14:srgbClr>
                  </w14:solidFill>
                </w14:textFill>
              </w:rPr>
              <w:t>|</w:t>
            </w:r>
            <w:r w:rsidRPr="002106BA">
              <w:rPr>
                <w:b w:val="0"/>
                <w:bCs/>
              </w:rPr>
              <w:t xml:space="preserve">1%; Yr 4: </w:t>
            </w:r>
            <w:r w:rsidR="00DD7F0E" w:rsidRPr="00DD7F0E">
              <w:rPr>
                <w:b w:val="0"/>
                <w:bCs/>
                <w:color w:val="000000"/>
                <w:spacing w:val="54"/>
                <w:shd w:val="solid" w:color="000000" w:fill="000000"/>
                <w:fitText w:val="334" w:id="-761617407"/>
                <w14:textFill>
                  <w14:solidFill>
                    <w14:srgbClr w14:val="000000">
                      <w14:alpha w14:val="100000"/>
                    </w14:srgbClr>
                  </w14:solidFill>
                </w14:textFill>
              </w:rPr>
              <w:t>|||</w:t>
            </w:r>
            <w:r w:rsidR="00DD7F0E" w:rsidRPr="00DD7F0E">
              <w:rPr>
                <w:b w:val="0"/>
                <w:bCs/>
                <w:color w:val="000000"/>
                <w:spacing w:val="2"/>
                <w:shd w:val="solid" w:color="000000" w:fill="000000"/>
                <w:fitText w:val="334" w:id="-761617407"/>
                <w14:textFill>
                  <w14:solidFill>
                    <w14:srgbClr w14:val="000000">
                      <w14:alpha w14:val="100000"/>
                    </w14:srgbClr>
                  </w14:solidFill>
                </w14:textFill>
              </w:rPr>
              <w:t>|</w:t>
            </w:r>
            <w:r w:rsidRPr="002106BA">
              <w:rPr>
                <w:b w:val="0"/>
                <w:bCs/>
              </w:rPr>
              <w:t xml:space="preserve">%; Yr 5: </w:t>
            </w:r>
            <w:r w:rsidR="00DD7F0E" w:rsidRPr="00DD7F0E">
              <w:rPr>
                <w:b w:val="0"/>
                <w:bCs/>
                <w:color w:val="000000"/>
                <w:spacing w:val="54"/>
                <w:shd w:val="solid" w:color="000000" w:fill="000000"/>
                <w:fitText w:val="334" w:id="-761617406"/>
                <w14:textFill>
                  <w14:solidFill>
                    <w14:srgbClr w14:val="000000">
                      <w14:alpha w14:val="100000"/>
                    </w14:srgbClr>
                  </w14:solidFill>
                </w14:textFill>
              </w:rPr>
              <w:t>|||</w:t>
            </w:r>
            <w:r w:rsidR="00DD7F0E" w:rsidRPr="00DD7F0E">
              <w:rPr>
                <w:b w:val="0"/>
                <w:bCs/>
                <w:color w:val="000000"/>
                <w:spacing w:val="2"/>
                <w:shd w:val="solid" w:color="000000" w:fill="000000"/>
                <w:fitText w:val="334" w:id="-761617406"/>
                <w14:textFill>
                  <w14:solidFill>
                    <w14:srgbClr w14:val="000000">
                      <w14:alpha w14:val="100000"/>
                    </w14:srgbClr>
                  </w14:solidFill>
                </w14:textFill>
              </w:rPr>
              <w:t>|</w:t>
            </w:r>
            <w:r w:rsidRPr="002106BA">
              <w:rPr>
                <w:b w:val="0"/>
                <w:bCs/>
              </w:rPr>
              <w:t>%; Yr 6</w:t>
            </w:r>
            <w:r w:rsidR="00DD7F0E" w:rsidRPr="00DD7F0E">
              <w:rPr>
                <w:b w:val="0"/>
                <w:bCs/>
                <w:color w:val="000000"/>
                <w:spacing w:val="49"/>
                <w:shd w:val="solid" w:color="000000" w:fill="000000"/>
                <w:fitText w:val="320" w:id="-761617405"/>
                <w14:textFill>
                  <w14:solidFill>
                    <w14:srgbClr w14:val="000000">
                      <w14:alpha w14:val="100000"/>
                    </w14:srgbClr>
                  </w14:solidFill>
                </w14:textFill>
              </w:rPr>
              <w:t>|||</w:t>
            </w:r>
            <w:r w:rsidR="00DD7F0E" w:rsidRPr="00DD7F0E">
              <w:rPr>
                <w:b w:val="0"/>
                <w:bCs/>
                <w:color w:val="000000"/>
                <w:spacing w:val="3"/>
                <w:shd w:val="solid" w:color="000000" w:fill="000000"/>
                <w:fitText w:val="320" w:id="-761617405"/>
                <w14:textFill>
                  <w14:solidFill>
                    <w14:srgbClr w14:val="000000">
                      <w14:alpha w14:val="100000"/>
                    </w14:srgbClr>
                  </w14:solidFill>
                </w14:textFill>
              </w:rPr>
              <w:t>|</w:t>
            </w:r>
            <w:r w:rsidRPr="002106BA">
              <w:rPr>
                <w:b w:val="0"/>
                <w:bCs/>
              </w:rPr>
              <w:t>%. Assumption, broadly based on DUSC-proposed uptake rates in PBAC consideration of patisiran (</w:t>
            </w:r>
            <w:r w:rsidR="00DD7F0E" w:rsidRPr="00DD7F0E">
              <w:rPr>
                <w:b w:val="0"/>
                <w:bCs/>
                <w:color w:val="000000"/>
                <w:spacing w:val="54"/>
                <w:shd w:val="solid" w:color="000000" w:fill="000000"/>
                <w:fitText w:val="333" w:id="-761617404"/>
                <w14:textFill>
                  <w14:solidFill>
                    <w14:srgbClr w14:val="000000">
                      <w14:alpha w14:val="100000"/>
                    </w14:srgbClr>
                  </w14:solidFill>
                </w14:textFill>
              </w:rPr>
              <w:t>|||</w:t>
            </w:r>
            <w:r w:rsidR="00DD7F0E" w:rsidRPr="00DD7F0E">
              <w:rPr>
                <w:b w:val="0"/>
                <w:bCs/>
                <w:color w:val="000000"/>
                <w:spacing w:val="1"/>
                <w:shd w:val="solid" w:color="000000" w:fill="000000"/>
                <w:fitText w:val="333" w:id="-761617404"/>
                <w14:textFill>
                  <w14:solidFill>
                    <w14:srgbClr w14:val="000000">
                      <w14:alpha w14:val="100000"/>
                    </w14:srgbClr>
                  </w14:solidFill>
                </w14:textFill>
              </w:rPr>
              <w:t>|</w:t>
            </w:r>
            <w:r w:rsidRPr="002106BA">
              <w:rPr>
                <w:b w:val="0"/>
                <w:bCs/>
              </w:rPr>
              <w:t xml:space="preserve">% in Year 1, increasing to </w:t>
            </w:r>
            <w:r w:rsidR="00DD7F0E" w:rsidRPr="00DD7F0E">
              <w:rPr>
                <w:b w:val="0"/>
                <w:bCs/>
                <w:color w:val="000000"/>
                <w:spacing w:val="54"/>
                <w:shd w:val="solid" w:color="000000" w:fill="000000"/>
                <w:fitText w:val="333" w:id="-761617403"/>
                <w14:textFill>
                  <w14:solidFill>
                    <w14:srgbClr w14:val="000000">
                      <w14:alpha w14:val="100000"/>
                    </w14:srgbClr>
                  </w14:solidFill>
                </w14:textFill>
              </w:rPr>
              <w:t>|||</w:t>
            </w:r>
            <w:r w:rsidR="00DD7F0E" w:rsidRPr="00DD7F0E">
              <w:rPr>
                <w:b w:val="0"/>
                <w:bCs/>
                <w:color w:val="000000"/>
                <w:spacing w:val="1"/>
                <w:shd w:val="solid" w:color="000000" w:fill="000000"/>
                <w:fitText w:val="333" w:id="-761617403"/>
                <w14:textFill>
                  <w14:solidFill>
                    <w14:srgbClr w14:val="000000">
                      <w14:alpha w14:val="100000"/>
                    </w14:srgbClr>
                  </w14:solidFill>
                </w14:textFill>
              </w:rPr>
              <w:t>|</w:t>
            </w:r>
            <w:r w:rsidRPr="002106BA">
              <w:rPr>
                <w:b w:val="0"/>
                <w:bCs/>
              </w:rPr>
              <w:t>% in Year 6).</w:t>
            </w:r>
          </w:p>
        </w:tc>
        <w:tc>
          <w:tcPr>
            <w:tcW w:w="2173" w:type="pct"/>
            <w:shd w:val="clear" w:color="auto" w:fill="auto"/>
            <w:vAlign w:val="center"/>
          </w:tcPr>
          <w:p w14:paraId="1E45F32A" w14:textId="77777777" w:rsidR="00155287" w:rsidRPr="002106BA" w:rsidRDefault="00155287" w:rsidP="008E5476">
            <w:pPr>
              <w:pStyle w:val="TableText"/>
              <w:keepNext w:val="0"/>
              <w:keepLines w:val="0"/>
              <w:ind w:left="0" w:right="0"/>
              <w:jc w:val="left"/>
              <w:rPr>
                <w:b w:val="0"/>
                <w:bCs/>
              </w:rPr>
            </w:pPr>
            <w:r w:rsidRPr="002106BA">
              <w:rPr>
                <w:b w:val="0"/>
                <w:bCs/>
              </w:rPr>
              <w:t>Assumed uptake rates are uncertain.</w:t>
            </w:r>
          </w:p>
        </w:tc>
      </w:tr>
      <w:tr w:rsidR="00155287" w:rsidRPr="002106BA" w14:paraId="65F78E56" w14:textId="77777777" w:rsidTr="009B1087">
        <w:tc>
          <w:tcPr>
            <w:tcW w:w="950" w:type="pct"/>
            <w:shd w:val="clear" w:color="auto" w:fill="auto"/>
            <w:vAlign w:val="center"/>
          </w:tcPr>
          <w:p w14:paraId="7DC1D92A" w14:textId="77777777" w:rsidR="00155287" w:rsidRPr="002106BA" w:rsidRDefault="00155287" w:rsidP="008E5476">
            <w:pPr>
              <w:pStyle w:val="COMTabletext"/>
              <w:keepNext w:val="0"/>
            </w:pPr>
            <w:r w:rsidRPr="002106BA">
              <w:t>Uptake of vutrisiran in prevalent patisiran patients</w:t>
            </w:r>
          </w:p>
        </w:tc>
        <w:tc>
          <w:tcPr>
            <w:tcW w:w="1876" w:type="pct"/>
            <w:shd w:val="clear" w:color="auto" w:fill="auto"/>
            <w:vAlign w:val="center"/>
          </w:tcPr>
          <w:p w14:paraId="10B52C27" w14:textId="12EF95F3" w:rsidR="00155287" w:rsidRPr="002106BA" w:rsidRDefault="00DD7F0E" w:rsidP="008E5476">
            <w:pPr>
              <w:pStyle w:val="TableText"/>
              <w:keepNext w:val="0"/>
              <w:keepLines w:val="0"/>
              <w:ind w:left="0" w:right="0"/>
              <w:jc w:val="left"/>
              <w:rPr>
                <w:b w:val="0"/>
                <w:bCs/>
              </w:rPr>
            </w:pPr>
            <w:r w:rsidRPr="00DD7F0E">
              <w:rPr>
                <w:b w:val="0"/>
                <w:bCs/>
                <w:color w:val="000000"/>
                <w:spacing w:val="54"/>
                <w:shd w:val="solid" w:color="000000" w:fill="000000"/>
                <w:fitText w:val="334" w:id="-761617402"/>
                <w14:textFill>
                  <w14:solidFill>
                    <w14:srgbClr w14:val="000000">
                      <w14:alpha w14:val="100000"/>
                    </w14:srgbClr>
                  </w14:solidFill>
                </w14:textFill>
              </w:rPr>
              <w:t>|||</w:t>
            </w:r>
            <w:r w:rsidRPr="00DD7F0E">
              <w:rPr>
                <w:b w:val="0"/>
                <w:bCs/>
                <w:color w:val="000000"/>
                <w:spacing w:val="2"/>
                <w:shd w:val="solid" w:color="000000" w:fill="000000"/>
                <w:fitText w:val="334" w:id="-761617402"/>
                <w14:textFill>
                  <w14:solidFill>
                    <w14:srgbClr w14:val="000000">
                      <w14:alpha w14:val="100000"/>
                    </w14:srgbClr>
                  </w14:solidFill>
                </w14:textFill>
              </w:rPr>
              <w:t>|</w:t>
            </w:r>
            <w:r w:rsidR="00155287" w:rsidRPr="002106BA">
              <w:rPr>
                <w:b w:val="0"/>
                <w:bCs/>
              </w:rPr>
              <w:t>% in Years 1-6, assumed.</w:t>
            </w:r>
          </w:p>
        </w:tc>
        <w:tc>
          <w:tcPr>
            <w:tcW w:w="2173" w:type="pct"/>
            <w:shd w:val="clear" w:color="auto" w:fill="auto"/>
            <w:vAlign w:val="center"/>
          </w:tcPr>
          <w:p w14:paraId="116B8C71" w14:textId="77777777" w:rsidR="00155287" w:rsidRPr="002106BA" w:rsidRDefault="00155287" w:rsidP="008E5476">
            <w:pPr>
              <w:pStyle w:val="COMTabletext"/>
              <w:keepNext w:val="0"/>
            </w:pPr>
            <w:r w:rsidRPr="002106BA">
              <w:t>Assumed uptake rates are uncertain.</w:t>
            </w:r>
          </w:p>
        </w:tc>
      </w:tr>
      <w:tr w:rsidR="00155287" w:rsidRPr="002106BA" w14:paraId="263C6EC6" w14:textId="77777777" w:rsidTr="009B1087">
        <w:tc>
          <w:tcPr>
            <w:tcW w:w="950" w:type="pct"/>
            <w:shd w:val="clear" w:color="auto" w:fill="auto"/>
            <w:vAlign w:val="center"/>
          </w:tcPr>
          <w:p w14:paraId="651C576D" w14:textId="77777777" w:rsidR="00155287" w:rsidRPr="002106BA" w:rsidRDefault="00155287" w:rsidP="008E5476">
            <w:pPr>
              <w:pStyle w:val="COMTabletext"/>
              <w:keepNext w:val="0"/>
            </w:pPr>
            <w:r w:rsidRPr="002106BA">
              <w:t>Uptake of patisiran in incident patients</w:t>
            </w:r>
          </w:p>
        </w:tc>
        <w:tc>
          <w:tcPr>
            <w:tcW w:w="1876" w:type="pct"/>
            <w:shd w:val="clear" w:color="auto" w:fill="auto"/>
            <w:vAlign w:val="center"/>
          </w:tcPr>
          <w:p w14:paraId="0B52D6CE" w14:textId="7E2ED4B4" w:rsidR="00155287" w:rsidRPr="002106BA" w:rsidRDefault="00DD7F0E" w:rsidP="008E5476">
            <w:pPr>
              <w:pStyle w:val="TableText"/>
              <w:keepNext w:val="0"/>
              <w:keepLines w:val="0"/>
              <w:ind w:left="0" w:right="0"/>
              <w:jc w:val="left"/>
              <w:rPr>
                <w:b w:val="0"/>
                <w:bCs/>
              </w:rPr>
            </w:pPr>
            <w:r w:rsidRPr="00DD7F0E">
              <w:rPr>
                <w:b w:val="0"/>
                <w:bCs/>
                <w:color w:val="000000"/>
                <w:spacing w:val="54"/>
                <w:shd w:val="solid" w:color="000000" w:fill="000000"/>
                <w:fitText w:val="334" w:id="-761617401"/>
                <w14:textFill>
                  <w14:solidFill>
                    <w14:srgbClr w14:val="000000">
                      <w14:alpha w14:val="100000"/>
                    </w14:srgbClr>
                  </w14:solidFill>
                </w14:textFill>
              </w:rPr>
              <w:t>|||</w:t>
            </w:r>
            <w:r w:rsidRPr="00DD7F0E">
              <w:rPr>
                <w:b w:val="0"/>
                <w:bCs/>
                <w:color w:val="000000"/>
                <w:spacing w:val="2"/>
                <w:shd w:val="solid" w:color="000000" w:fill="000000"/>
                <w:fitText w:val="334" w:id="-761617401"/>
                <w14:textFill>
                  <w14:solidFill>
                    <w14:srgbClr w14:val="000000">
                      <w14:alpha w14:val="100000"/>
                    </w14:srgbClr>
                  </w14:solidFill>
                </w14:textFill>
              </w:rPr>
              <w:t>|</w:t>
            </w:r>
            <w:r w:rsidR="00155287" w:rsidRPr="002106BA">
              <w:rPr>
                <w:b w:val="0"/>
                <w:bCs/>
              </w:rPr>
              <w:t>% in Years 1-6, assumed.</w:t>
            </w:r>
          </w:p>
        </w:tc>
        <w:tc>
          <w:tcPr>
            <w:tcW w:w="2173" w:type="pct"/>
            <w:shd w:val="clear" w:color="auto" w:fill="auto"/>
            <w:vAlign w:val="center"/>
          </w:tcPr>
          <w:p w14:paraId="04074706" w14:textId="77777777" w:rsidR="00155287" w:rsidRPr="002106BA" w:rsidRDefault="00155287" w:rsidP="008E5476">
            <w:pPr>
              <w:pStyle w:val="COMTabletext"/>
              <w:keepNext w:val="0"/>
            </w:pPr>
            <w:r w:rsidRPr="002106BA">
              <w:t>Assumed uptake rates are uncertain.</w:t>
            </w:r>
          </w:p>
        </w:tc>
      </w:tr>
      <w:tr w:rsidR="00155287" w:rsidRPr="002106BA" w14:paraId="4BF3A6BE" w14:textId="77777777" w:rsidTr="009B1087">
        <w:tc>
          <w:tcPr>
            <w:tcW w:w="950" w:type="pct"/>
            <w:shd w:val="clear" w:color="auto" w:fill="auto"/>
            <w:vAlign w:val="center"/>
          </w:tcPr>
          <w:p w14:paraId="7772613E" w14:textId="77777777" w:rsidR="00155287" w:rsidRPr="002106BA" w:rsidRDefault="00155287" w:rsidP="008E5476">
            <w:pPr>
              <w:pStyle w:val="COMTabletext"/>
              <w:keepNext w:val="0"/>
            </w:pPr>
            <w:r w:rsidRPr="002106BA">
              <w:t>Uptake of vutrisiran in incident patisiran patients</w:t>
            </w:r>
          </w:p>
        </w:tc>
        <w:tc>
          <w:tcPr>
            <w:tcW w:w="1876" w:type="pct"/>
            <w:shd w:val="clear" w:color="auto" w:fill="auto"/>
            <w:vAlign w:val="center"/>
          </w:tcPr>
          <w:p w14:paraId="7A097404" w14:textId="3B4EAF8A" w:rsidR="00155287" w:rsidRPr="002106BA" w:rsidRDefault="00DD7F0E" w:rsidP="008E5476">
            <w:pPr>
              <w:pStyle w:val="COMTabletext"/>
              <w:keepNext w:val="0"/>
            </w:pPr>
            <w:r w:rsidRPr="00DD7F0E">
              <w:rPr>
                <w:color w:val="000000"/>
                <w:spacing w:val="54"/>
                <w:shd w:val="solid" w:color="000000" w:fill="000000"/>
                <w:fitText w:val="334" w:id="-761617400"/>
                <w14:textFill>
                  <w14:solidFill>
                    <w14:srgbClr w14:val="000000">
                      <w14:alpha w14:val="100000"/>
                    </w14:srgbClr>
                  </w14:solidFill>
                </w14:textFill>
              </w:rPr>
              <w:t>|||</w:t>
            </w:r>
            <w:r w:rsidRPr="00DD7F0E">
              <w:rPr>
                <w:color w:val="000000"/>
                <w:spacing w:val="2"/>
                <w:shd w:val="solid" w:color="000000" w:fill="000000"/>
                <w:fitText w:val="334" w:id="-761617400"/>
                <w14:textFill>
                  <w14:solidFill>
                    <w14:srgbClr w14:val="000000">
                      <w14:alpha w14:val="100000"/>
                    </w14:srgbClr>
                  </w14:solidFill>
                </w14:textFill>
              </w:rPr>
              <w:t>|</w:t>
            </w:r>
            <w:r w:rsidR="00155287" w:rsidRPr="002106BA">
              <w:t>% in Years 1-6, assumed.</w:t>
            </w:r>
          </w:p>
        </w:tc>
        <w:tc>
          <w:tcPr>
            <w:tcW w:w="2173" w:type="pct"/>
            <w:shd w:val="clear" w:color="auto" w:fill="auto"/>
            <w:vAlign w:val="center"/>
          </w:tcPr>
          <w:p w14:paraId="57B4BE41" w14:textId="77777777" w:rsidR="00155287" w:rsidRPr="002106BA" w:rsidRDefault="00155287" w:rsidP="008E5476">
            <w:pPr>
              <w:pStyle w:val="COMTabletext"/>
              <w:keepNext w:val="0"/>
            </w:pPr>
            <w:r w:rsidRPr="002106BA">
              <w:t>Assumed uptake rates are uncertain.</w:t>
            </w:r>
          </w:p>
        </w:tc>
      </w:tr>
      <w:tr w:rsidR="00155287" w:rsidRPr="002106BA" w14:paraId="61DF9B98" w14:textId="77777777" w:rsidTr="009B1087">
        <w:tc>
          <w:tcPr>
            <w:tcW w:w="950" w:type="pct"/>
            <w:shd w:val="clear" w:color="auto" w:fill="auto"/>
            <w:vAlign w:val="center"/>
          </w:tcPr>
          <w:p w14:paraId="5D50ACC6" w14:textId="77777777" w:rsidR="00155287" w:rsidRPr="002106BA" w:rsidRDefault="00155287" w:rsidP="008E5476">
            <w:pPr>
              <w:pStyle w:val="COMTabletext"/>
              <w:keepNext w:val="0"/>
            </w:pPr>
            <w:r w:rsidRPr="002106BA">
              <w:lastRenderedPageBreak/>
              <w:t>Treatment persistence</w:t>
            </w:r>
          </w:p>
        </w:tc>
        <w:tc>
          <w:tcPr>
            <w:tcW w:w="1876" w:type="pct"/>
            <w:shd w:val="clear" w:color="auto" w:fill="auto"/>
            <w:vAlign w:val="center"/>
          </w:tcPr>
          <w:p w14:paraId="7B011B64" w14:textId="77777777" w:rsidR="00155287" w:rsidRPr="00874EC4" w:rsidRDefault="00155287" w:rsidP="008E5476">
            <w:pPr>
              <w:pStyle w:val="COMTabletext"/>
            </w:pPr>
            <w:r w:rsidRPr="00874EC4">
              <w:rPr>
                <w:u w:val="single"/>
              </w:rPr>
              <w:t>Vutrisiran:</w:t>
            </w:r>
            <w:r w:rsidRPr="00874EC4">
              <w:t xml:space="preserve"> Yr 1: 97.8%, Yr 2: 95.3%, Yr 3: 92.7%; Yr 4: 90.2%; Yr 5: 87.7%; Yr 6: 85.3%</w:t>
            </w:r>
          </w:p>
          <w:p w14:paraId="7484C802" w14:textId="77777777" w:rsidR="00155287" w:rsidRPr="002106BA" w:rsidRDefault="00155287" w:rsidP="008E5476">
            <w:pPr>
              <w:pStyle w:val="COMTabletext"/>
            </w:pPr>
            <w:r w:rsidRPr="00874EC4">
              <w:rPr>
                <w:u w:val="single"/>
              </w:rPr>
              <w:t>Patisiran:</w:t>
            </w:r>
            <w:r w:rsidRPr="00874EC4">
              <w:t xml:space="preserve"> Yr 1: 98.1%; Yr 2: 95.4%; Yr 3: 92.8%; Yr 4: 90.3%; Yr 5: 87.9%; Yr 6: 85.6%</w:t>
            </w:r>
          </w:p>
          <w:p w14:paraId="24F9D829" w14:textId="3679DADD" w:rsidR="00155287" w:rsidRPr="002106BA" w:rsidRDefault="00155287" w:rsidP="008E5476">
            <w:pPr>
              <w:pStyle w:val="COMTabletext"/>
            </w:pPr>
            <w:r w:rsidRPr="002106BA">
              <w:t xml:space="preserve">Based on persistence estimates </w:t>
            </w:r>
            <w:r w:rsidR="00EF19B9" w:rsidRPr="002106BA">
              <w:t>in</w:t>
            </w:r>
            <w:r w:rsidRPr="002106BA">
              <w:t xml:space="preserve"> the submission, using treatment discontinuation and mortality data from the HELIOS-A study. Estimates are an average of 6 and 12 monthly persistence each year.</w:t>
            </w:r>
          </w:p>
        </w:tc>
        <w:tc>
          <w:tcPr>
            <w:tcW w:w="2173" w:type="pct"/>
            <w:shd w:val="clear" w:color="auto" w:fill="auto"/>
            <w:vAlign w:val="center"/>
          </w:tcPr>
          <w:p w14:paraId="1FE651DF" w14:textId="57EBDE69" w:rsidR="00155287" w:rsidRPr="002106BA" w:rsidRDefault="00155287" w:rsidP="008E5476">
            <w:pPr>
              <w:pStyle w:val="COMTabletext"/>
              <w:keepNext w:val="0"/>
            </w:pPr>
            <w:r w:rsidRPr="002106BA">
              <w:t xml:space="preserve">Treatment </w:t>
            </w:r>
            <w:r w:rsidR="0018490A" w:rsidRPr="002106BA">
              <w:t xml:space="preserve">persistence </w:t>
            </w:r>
            <w:r w:rsidRPr="002106BA">
              <w:t>is likely to be lower in clinical practice compared to the HELIOS-A study.</w:t>
            </w:r>
          </w:p>
        </w:tc>
      </w:tr>
      <w:tr w:rsidR="00A46D20" w:rsidRPr="002106BA" w14:paraId="4E61587A" w14:textId="77777777" w:rsidTr="009B1087">
        <w:tc>
          <w:tcPr>
            <w:tcW w:w="950" w:type="pct"/>
            <w:shd w:val="clear" w:color="auto" w:fill="auto"/>
            <w:vAlign w:val="center"/>
          </w:tcPr>
          <w:p w14:paraId="5A611047" w14:textId="77777777" w:rsidR="00A46D20" w:rsidRPr="002106BA" w:rsidRDefault="00A46D20" w:rsidP="00A46D20">
            <w:pPr>
              <w:pStyle w:val="COMTabletext"/>
              <w:keepNext w:val="0"/>
            </w:pPr>
            <w:r w:rsidRPr="002106BA">
              <w:t>Treatment adherence</w:t>
            </w:r>
          </w:p>
        </w:tc>
        <w:tc>
          <w:tcPr>
            <w:tcW w:w="1876" w:type="pct"/>
            <w:shd w:val="clear" w:color="auto" w:fill="auto"/>
            <w:vAlign w:val="center"/>
          </w:tcPr>
          <w:p w14:paraId="58BA4982" w14:textId="77777777" w:rsidR="00A46D20" w:rsidRPr="002106BA" w:rsidRDefault="00A46D20" w:rsidP="00A46D20">
            <w:pPr>
              <w:pStyle w:val="COMTabletext"/>
            </w:pPr>
            <w:r w:rsidRPr="002106BA">
              <w:rPr>
                <w:u w:val="single"/>
              </w:rPr>
              <w:t>Vutrisiran:</w:t>
            </w:r>
            <w:r w:rsidRPr="002106BA">
              <w:t xml:space="preserve"> 99.88%</w:t>
            </w:r>
          </w:p>
          <w:p w14:paraId="7DA2F8A2" w14:textId="77777777" w:rsidR="00A46D20" w:rsidRPr="002106BA" w:rsidRDefault="00A46D20" w:rsidP="00A46D20">
            <w:pPr>
              <w:pStyle w:val="COMTabletext"/>
              <w:keepNext w:val="0"/>
            </w:pPr>
            <w:r w:rsidRPr="002106BA">
              <w:rPr>
                <w:u w:val="single"/>
              </w:rPr>
              <w:t>Patisiran:</w:t>
            </w:r>
            <w:r w:rsidRPr="002106BA">
              <w:t xml:space="preserve"> 96.29%</w:t>
            </w:r>
          </w:p>
          <w:p w14:paraId="70295B14" w14:textId="4E0EE9AB" w:rsidR="00A46D20" w:rsidRPr="002106BA" w:rsidRDefault="00A46D20" w:rsidP="00A46D20">
            <w:pPr>
              <w:pStyle w:val="COMTabletext"/>
              <w:keepNext w:val="0"/>
            </w:pPr>
            <w:r w:rsidRPr="002106BA">
              <w:t>Relative dose intensity calculated as the ratio of cumulative number of doses of vutrisiran/patisiran received by patients in HELIOS-A divided by the total number of doses per protocol.</w:t>
            </w:r>
          </w:p>
        </w:tc>
        <w:tc>
          <w:tcPr>
            <w:tcW w:w="2173" w:type="pct"/>
            <w:shd w:val="clear" w:color="auto" w:fill="auto"/>
            <w:vAlign w:val="center"/>
          </w:tcPr>
          <w:p w14:paraId="7D9814C2" w14:textId="384E8636" w:rsidR="00A46D20" w:rsidRPr="002106BA" w:rsidRDefault="00A46D20" w:rsidP="00A46D20">
            <w:pPr>
              <w:pStyle w:val="COMTabletext"/>
              <w:keepNext w:val="0"/>
            </w:pPr>
            <w:r w:rsidRPr="002106BA">
              <w:t>This is consistent with the relative dose intensity applied in the cost minimisation.</w:t>
            </w:r>
          </w:p>
        </w:tc>
      </w:tr>
    </w:tbl>
    <w:p w14:paraId="078C1FDC" w14:textId="77777777" w:rsidR="00155287" w:rsidRPr="002106BA" w:rsidRDefault="00155287" w:rsidP="00155287">
      <w:pPr>
        <w:pStyle w:val="COMTablefooter"/>
      </w:pPr>
      <w:r w:rsidRPr="002106BA">
        <w:t>Source: Section 4, pp150-160 of the submission; Section 4 financial implications Excel workbook.</w:t>
      </w:r>
    </w:p>
    <w:p w14:paraId="3628C1E6" w14:textId="77777777" w:rsidR="00690058" w:rsidRDefault="00155287" w:rsidP="00690058">
      <w:pPr>
        <w:pStyle w:val="COMTablefooter"/>
      </w:pPr>
      <w:r w:rsidRPr="002106BA">
        <w:t>Abbreviations: AAN, Australian Amyloidosis Network; hATTR, hereditary transthyretin-mediated amyloidosis; PND, polyneuropathy disability; Yr, Year.</w:t>
      </w:r>
    </w:p>
    <w:p w14:paraId="4D6E72B1" w14:textId="1B6599A4" w:rsidR="00690058" w:rsidRPr="00852942" w:rsidRDefault="00690058" w:rsidP="00690058">
      <w:pPr>
        <w:pStyle w:val="COMTablefooter"/>
        <w:rPr>
          <w:i/>
          <w:iCs/>
        </w:rPr>
      </w:pPr>
      <w:r w:rsidRPr="00852942">
        <w:rPr>
          <w:i/>
          <w:iCs/>
        </w:rPr>
        <w:t>The redacted values correspond to the following ranges:</w:t>
      </w:r>
    </w:p>
    <w:p w14:paraId="2DC8F86B" w14:textId="2132C99E" w:rsidR="00F144C9" w:rsidRPr="00852942" w:rsidRDefault="00690058" w:rsidP="00690058">
      <w:pPr>
        <w:pStyle w:val="COMTablefooter"/>
        <w:rPr>
          <w:i/>
          <w:iCs/>
          <w:color w:val="0066FF"/>
        </w:rPr>
      </w:pPr>
      <w:r w:rsidRPr="00852942">
        <w:rPr>
          <w:i/>
          <w:iCs/>
        </w:rPr>
        <w:t>1 &lt; 500</w:t>
      </w:r>
    </w:p>
    <w:p w14:paraId="0BFBC214" w14:textId="4C864D6A" w:rsidR="00CB3ECE" w:rsidRPr="002106BA" w:rsidRDefault="00324E26" w:rsidP="00B279D7">
      <w:pPr>
        <w:pStyle w:val="COMexecsummnumbered"/>
        <w:rPr>
          <w:i/>
          <w:iCs/>
        </w:rPr>
      </w:pPr>
      <w:r w:rsidRPr="002106BA">
        <w:t xml:space="preserve">The estimated utilisation and financial implications of listing vutrisiran (based on effective prices) are presented in </w:t>
      </w:r>
      <w:r w:rsidRPr="002106BA">
        <w:fldChar w:fldCharType="begin"/>
      </w:r>
      <w:r w:rsidRPr="002106BA">
        <w:instrText xml:space="preserve"> REF _Ref174974571 \h </w:instrText>
      </w:r>
      <w:r w:rsidR="00364566" w:rsidRPr="002106BA">
        <w:instrText xml:space="preserve"> \* MERGEFORMAT </w:instrText>
      </w:r>
      <w:r w:rsidRPr="002106BA">
        <w:fldChar w:fldCharType="separate"/>
      </w:r>
      <w:r w:rsidR="00DB6E9D" w:rsidRPr="002106BA">
        <w:t xml:space="preserve">Table </w:t>
      </w:r>
      <w:r w:rsidR="00DB6E9D">
        <w:t>15</w:t>
      </w:r>
      <w:r w:rsidRPr="002106BA">
        <w:fldChar w:fldCharType="end"/>
      </w:r>
      <w:r w:rsidR="00BE7030" w:rsidRPr="002106BA">
        <w:rPr>
          <w:i/>
          <w:iCs/>
        </w:rPr>
        <w:t>,</w:t>
      </w:r>
      <w:r w:rsidR="00BE7030" w:rsidRPr="002106BA">
        <w:t xml:space="preserve"> including revised estimates proposed by the PSCR</w:t>
      </w:r>
      <w:r w:rsidRPr="002106BA">
        <w:t>.</w:t>
      </w:r>
    </w:p>
    <w:p w14:paraId="44253DBD" w14:textId="72FC95B3" w:rsidR="003C149F" w:rsidRPr="002106BA" w:rsidRDefault="003C149F" w:rsidP="003C149F">
      <w:pPr>
        <w:pStyle w:val="COMtablefigcaption"/>
      </w:pPr>
      <w:bookmarkStart w:id="68" w:name="_Ref174974571"/>
      <w:r w:rsidRPr="002106BA">
        <w:t xml:space="preserve">Table </w:t>
      </w:r>
      <w:r w:rsidR="0027304F">
        <w:fldChar w:fldCharType="begin"/>
      </w:r>
      <w:r w:rsidR="0027304F">
        <w:instrText xml:space="preserve"> SEQ Table \* ARABIC </w:instrText>
      </w:r>
      <w:r w:rsidR="0027304F">
        <w:fldChar w:fldCharType="separate"/>
      </w:r>
      <w:r w:rsidR="00DB6E9D">
        <w:rPr>
          <w:noProof/>
        </w:rPr>
        <w:t>15</w:t>
      </w:r>
      <w:r w:rsidR="0027304F">
        <w:fldChar w:fldCharType="end"/>
      </w:r>
      <w:bookmarkEnd w:id="68"/>
      <w:r w:rsidRPr="002106BA">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29"/>
        <w:gridCol w:w="1031"/>
        <w:gridCol w:w="1031"/>
        <w:gridCol w:w="1032"/>
        <w:gridCol w:w="1032"/>
        <w:gridCol w:w="1032"/>
        <w:gridCol w:w="1030"/>
      </w:tblGrid>
      <w:tr w:rsidR="003C149F" w:rsidRPr="002106BA" w14:paraId="003395D5" w14:textId="77777777" w:rsidTr="009B1087">
        <w:trPr>
          <w:tblHeader/>
        </w:trPr>
        <w:tc>
          <w:tcPr>
            <w:tcW w:w="1569" w:type="pct"/>
            <w:shd w:val="clear" w:color="auto" w:fill="auto"/>
            <w:vAlign w:val="center"/>
          </w:tcPr>
          <w:p w14:paraId="63BE5499" w14:textId="77777777" w:rsidR="003C149F" w:rsidRPr="002106BA" w:rsidRDefault="003C149F" w:rsidP="009B1087">
            <w:pPr>
              <w:pStyle w:val="In-tableHeading"/>
              <w:jc w:val="center"/>
              <w:rPr>
                <w:lang w:val="en-AU"/>
              </w:rPr>
            </w:pPr>
          </w:p>
        </w:tc>
        <w:tc>
          <w:tcPr>
            <w:tcW w:w="572" w:type="pct"/>
            <w:shd w:val="clear" w:color="auto" w:fill="auto"/>
            <w:vAlign w:val="center"/>
          </w:tcPr>
          <w:p w14:paraId="17C062BA" w14:textId="77777777" w:rsidR="003C149F" w:rsidRPr="002106BA" w:rsidRDefault="003C149F" w:rsidP="009B1087">
            <w:pPr>
              <w:pStyle w:val="COMTableheadingrow"/>
              <w:jc w:val="center"/>
              <w:rPr>
                <w:lang w:val="en-AU"/>
              </w:rPr>
            </w:pPr>
            <w:r w:rsidRPr="002106BA">
              <w:rPr>
                <w:lang w:val="en-AU"/>
              </w:rPr>
              <w:t>Year 1</w:t>
            </w:r>
          </w:p>
        </w:tc>
        <w:tc>
          <w:tcPr>
            <w:tcW w:w="572" w:type="pct"/>
            <w:shd w:val="clear" w:color="auto" w:fill="auto"/>
            <w:vAlign w:val="center"/>
          </w:tcPr>
          <w:p w14:paraId="4A9837B0" w14:textId="77777777" w:rsidR="003C149F" w:rsidRPr="002106BA" w:rsidRDefault="003C149F" w:rsidP="009B1087">
            <w:pPr>
              <w:pStyle w:val="COMTableheadingrow"/>
              <w:jc w:val="center"/>
              <w:rPr>
                <w:lang w:val="en-AU"/>
              </w:rPr>
            </w:pPr>
            <w:r w:rsidRPr="002106BA">
              <w:rPr>
                <w:lang w:val="en-AU"/>
              </w:rPr>
              <w:t>Year 2</w:t>
            </w:r>
          </w:p>
        </w:tc>
        <w:tc>
          <w:tcPr>
            <w:tcW w:w="572" w:type="pct"/>
            <w:shd w:val="clear" w:color="auto" w:fill="auto"/>
            <w:vAlign w:val="center"/>
          </w:tcPr>
          <w:p w14:paraId="4C9D24AB" w14:textId="77777777" w:rsidR="003C149F" w:rsidRPr="002106BA" w:rsidRDefault="003C149F" w:rsidP="009B1087">
            <w:pPr>
              <w:pStyle w:val="COMTableheadingrow"/>
              <w:jc w:val="center"/>
              <w:rPr>
                <w:lang w:val="en-AU"/>
              </w:rPr>
            </w:pPr>
            <w:r w:rsidRPr="002106BA">
              <w:rPr>
                <w:lang w:val="en-AU"/>
              </w:rPr>
              <w:t>Year 3</w:t>
            </w:r>
          </w:p>
        </w:tc>
        <w:tc>
          <w:tcPr>
            <w:tcW w:w="572" w:type="pct"/>
            <w:shd w:val="clear" w:color="auto" w:fill="auto"/>
            <w:vAlign w:val="center"/>
          </w:tcPr>
          <w:p w14:paraId="439483C5" w14:textId="77777777" w:rsidR="003C149F" w:rsidRPr="002106BA" w:rsidRDefault="003C149F" w:rsidP="009B1087">
            <w:pPr>
              <w:pStyle w:val="COMTableheadingrow"/>
              <w:jc w:val="center"/>
              <w:rPr>
                <w:lang w:val="en-AU"/>
              </w:rPr>
            </w:pPr>
            <w:r w:rsidRPr="002106BA">
              <w:rPr>
                <w:lang w:val="en-AU"/>
              </w:rPr>
              <w:t>Year 4</w:t>
            </w:r>
          </w:p>
        </w:tc>
        <w:tc>
          <w:tcPr>
            <w:tcW w:w="572" w:type="pct"/>
            <w:shd w:val="clear" w:color="auto" w:fill="auto"/>
            <w:vAlign w:val="center"/>
          </w:tcPr>
          <w:p w14:paraId="338FF9A1" w14:textId="77777777" w:rsidR="003C149F" w:rsidRPr="002106BA" w:rsidRDefault="003C149F" w:rsidP="009B1087">
            <w:pPr>
              <w:pStyle w:val="COMTableheadingrow"/>
              <w:jc w:val="center"/>
              <w:rPr>
                <w:lang w:val="en-AU"/>
              </w:rPr>
            </w:pPr>
            <w:r w:rsidRPr="002106BA">
              <w:rPr>
                <w:lang w:val="en-AU"/>
              </w:rPr>
              <w:t>Year 5</w:t>
            </w:r>
          </w:p>
        </w:tc>
        <w:tc>
          <w:tcPr>
            <w:tcW w:w="571" w:type="pct"/>
          </w:tcPr>
          <w:p w14:paraId="35685FE5" w14:textId="77777777" w:rsidR="003C149F" w:rsidRPr="002106BA" w:rsidRDefault="003C149F" w:rsidP="009B1087">
            <w:pPr>
              <w:pStyle w:val="COMTableheadingrow"/>
              <w:jc w:val="center"/>
              <w:rPr>
                <w:lang w:val="en-AU"/>
              </w:rPr>
            </w:pPr>
            <w:r w:rsidRPr="002106BA">
              <w:rPr>
                <w:lang w:val="en-AU"/>
              </w:rPr>
              <w:t>Year 6</w:t>
            </w:r>
          </w:p>
        </w:tc>
      </w:tr>
      <w:tr w:rsidR="003C149F" w:rsidRPr="002106BA" w14:paraId="03047E7A" w14:textId="77777777" w:rsidTr="009B1087">
        <w:tc>
          <w:tcPr>
            <w:tcW w:w="5000" w:type="pct"/>
            <w:gridSpan w:val="7"/>
            <w:shd w:val="clear" w:color="auto" w:fill="auto"/>
            <w:vAlign w:val="center"/>
          </w:tcPr>
          <w:p w14:paraId="5607C459" w14:textId="77777777" w:rsidR="003C149F" w:rsidRPr="002106BA" w:rsidRDefault="003C149F" w:rsidP="009B1087">
            <w:pPr>
              <w:pStyle w:val="COMTableheadingrow"/>
              <w:rPr>
                <w:lang w:val="en-AU"/>
              </w:rPr>
            </w:pPr>
            <w:r w:rsidRPr="002106BA">
              <w:rPr>
                <w:lang w:val="en-AU"/>
              </w:rPr>
              <w:t>Estimated extent of use</w:t>
            </w:r>
          </w:p>
        </w:tc>
      </w:tr>
      <w:tr w:rsidR="003C149F" w:rsidRPr="002106BA" w14:paraId="3561E4A6" w14:textId="77777777" w:rsidTr="009B1087">
        <w:tc>
          <w:tcPr>
            <w:tcW w:w="1569" w:type="pct"/>
            <w:shd w:val="clear" w:color="auto" w:fill="auto"/>
            <w:vAlign w:val="center"/>
          </w:tcPr>
          <w:p w14:paraId="5E74BEA6" w14:textId="77777777" w:rsidR="003C149F" w:rsidRPr="002106BA" w:rsidRDefault="003C149F" w:rsidP="009B1087">
            <w:pPr>
              <w:pStyle w:val="COMTabletext"/>
              <w:rPr>
                <w:rFonts w:ascii="Times" w:hAnsi="Times"/>
              </w:rPr>
            </w:pPr>
            <w:r w:rsidRPr="002106BA">
              <w:t>Number of patients treated</w:t>
            </w:r>
          </w:p>
        </w:tc>
        <w:tc>
          <w:tcPr>
            <w:tcW w:w="572" w:type="pct"/>
            <w:shd w:val="clear" w:color="auto" w:fill="auto"/>
            <w:vAlign w:val="center"/>
          </w:tcPr>
          <w:p w14:paraId="3FC2C637" w14:textId="7DB7D32D"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9"/>
                <w14:textFill>
                  <w14:solidFill>
                    <w14:srgbClr w14:val="000000">
                      <w14:alpha w14:val="100000"/>
                    </w14:srgbClr>
                  </w14:solidFill>
                </w14:textFill>
              </w:rPr>
              <w:t xml:space="preserve">　</w:t>
            </w:r>
            <w:r w:rsidRPr="00DD7F0E">
              <w:rPr>
                <w:b w:val="0"/>
                <w:bCs/>
                <w:color w:val="000000"/>
                <w:w w:val="24"/>
                <w:shd w:val="solid" w:color="000000" w:fill="000000"/>
                <w:fitText w:val="107" w:id="-761617399"/>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9"/>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2E3B09A4" w14:textId="3C4BAF20" w:rsidR="003C149F" w:rsidRPr="00DC31BD" w:rsidRDefault="00DD7F0E" w:rsidP="009B1087">
            <w:pPr>
              <w:pStyle w:val="TableText"/>
              <w:rPr>
                <w:b w:val="0"/>
                <w:bCs/>
                <w:highlight w:val="darkGray"/>
              </w:rPr>
            </w:pPr>
            <w:r w:rsidRPr="00DD7F0E">
              <w:rPr>
                <w:rFonts w:hint="eastAsia"/>
                <w:b w:val="0"/>
                <w:bCs/>
                <w:color w:val="000000"/>
                <w:w w:val="23"/>
                <w:shd w:val="solid" w:color="000000" w:fill="000000"/>
                <w:fitText w:val="106" w:id="-761617398"/>
                <w14:textFill>
                  <w14:solidFill>
                    <w14:srgbClr w14:val="000000">
                      <w14:alpha w14:val="100000"/>
                    </w14:srgbClr>
                  </w14:solidFill>
                </w14:textFill>
              </w:rPr>
              <w:t xml:space="preserve">　</w:t>
            </w:r>
            <w:r w:rsidRPr="00DD7F0E">
              <w:rPr>
                <w:b w:val="0"/>
                <w:bCs/>
                <w:color w:val="000000"/>
                <w:w w:val="23"/>
                <w:shd w:val="solid" w:color="000000" w:fill="000000"/>
                <w:fitText w:val="106" w:id="-761617398"/>
                <w14:textFill>
                  <w14:solidFill>
                    <w14:srgbClr w14:val="000000">
                      <w14:alpha w14:val="100000"/>
                    </w14:srgbClr>
                  </w14:solidFill>
                </w14:textFill>
              </w:rPr>
              <w:t>|</w:t>
            </w:r>
            <w:r w:rsidRPr="00DD7F0E">
              <w:rPr>
                <w:rFonts w:hint="eastAsia"/>
                <w:b w:val="0"/>
                <w:bCs/>
                <w:color w:val="000000"/>
                <w:spacing w:val="5"/>
                <w:w w:val="23"/>
                <w:shd w:val="solid" w:color="000000" w:fill="000000"/>
                <w:fitText w:val="106" w:id="-761617398"/>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29EDB45E" w14:textId="1CBB7B99"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7"/>
                <w14:textFill>
                  <w14:solidFill>
                    <w14:srgbClr w14:val="000000">
                      <w14:alpha w14:val="100000"/>
                    </w14:srgbClr>
                  </w14:solidFill>
                </w14:textFill>
              </w:rPr>
              <w:t xml:space="preserve">　</w:t>
            </w:r>
            <w:r w:rsidRPr="00DD7F0E">
              <w:rPr>
                <w:b w:val="0"/>
                <w:bCs/>
                <w:color w:val="000000"/>
                <w:w w:val="24"/>
                <w:shd w:val="solid" w:color="000000" w:fill="000000"/>
                <w:fitText w:val="107" w:id="-761617397"/>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7"/>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1F2D412F" w14:textId="24CCEF20"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6"/>
                <w14:textFill>
                  <w14:solidFill>
                    <w14:srgbClr w14:val="000000">
                      <w14:alpha w14:val="100000"/>
                    </w14:srgbClr>
                  </w14:solidFill>
                </w14:textFill>
              </w:rPr>
              <w:t xml:space="preserve">　</w:t>
            </w:r>
            <w:r w:rsidRPr="00DD7F0E">
              <w:rPr>
                <w:b w:val="0"/>
                <w:bCs/>
                <w:color w:val="000000"/>
                <w:w w:val="24"/>
                <w:shd w:val="solid" w:color="000000" w:fill="000000"/>
                <w:fitText w:val="107" w:id="-761617396"/>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6"/>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262A630B" w14:textId="0CE01691"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5"/>
                <w14:textFill>
                  <w14:solidFill>
                    <w14:srgbClr w14:val="000000">
                      <w14:alpha w14:val="100000"/>
                    </w14:srgbClr>
                  </w14:solidFill>
                </w14:textFill>
              </w:rPr>
              <w:t xml:space="preserve">　</w:t>
            </w:r>
            <w:r w:rsidRPr="00DD7F0E">
              <w:rPr>
                <w:b w:val="0"/>
                <w:bCs/>
                <w:color w:val="000000"/>
                <w:w w:val="24"/>
                <w:shd w:val="solid" w:color="000000" w:fill="000000"/>
                <w:fitText w:val="107" w:id="-761617395"/>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5"/>
                <w14:textFill>
                  <w14:solidFill>
                    <w14:srgbClr w14:val="000000">
                      <w14:alpha w14:val="100000"/>
                    </w14:srgbClr>
                  </w14:solidFill>
                </w14:textFill>
              </w:rPr>
              <w:t xml:space="preserve">　</w:t>
            </w:r>
            <w:r w:rsidR="00E43661" w:rsidRPr="00E43661">
              <w:rPr>
                <w:b w:val="0"/>
                <w:bCs/>
                <w:vertAlign w:val="superscript"/>
              </w:rPr>
              <w:t>1</w:t>
            </w:r>
          </w:p>
        </w:tc>
        <w:tc>
          <w:tcPr>
            <w:tcW w:w="571" w:type="pct"/>
            <w:vAlign w:val="center"/>
          </w:tcPr>
          <w:p w14:paraId="432674F6" w14:textId="07182462"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4"/>
                <w14:textFill>
                  <w14:solidFill>
                    <w14:srgbClr w14:val="000000">
                      <w14:alpha w14:val="100000"/>
                    </w14:srgbClr>
                  </w14:solidFill>
                </w14:textFill>
              </w:rPr>
              <w:t xml:space="preserve">　</w:t>
            </w:r>
            <w:r w:rsidRPr="00DD7F0E">
              <w:rPr>
                <w:b w:val="0"/>
                <w:bCs/>
                <w:color w:val="000000"/>
                <w:w w:val="24"/>
                <w:shd w:val="solid" w:color="000000" w:fill="000000"/>
                <w:fitText w:val="107" w:id="-761617394"/>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4"/>
                <w14:textFill>
                  <w14:solidFill>
                    <w14:srgbClr w14:val="000000">
                      <w14:alpha w14:val="100000"/>
                    </w14:srgbClr>
                  </w14:solidFill>
                </w14:textFill>
              </w:rPr>
              <w:t xml:space="preserve">　</w:t>
            </w:r>
            <w:r w:rsidR="00E43661" w:rsidRPr="00E43661">
              <w:rPr>
                <w:b w:val="0"/>
                <w:bCs/>
                <w:vertAlign w:val="superscript"/>
              </w:rPr>
              <w:t>1</w:t>
            </w:r>
          </w:p>
        </w:tc>
      </w:tr>
      <w:tr w:rsidR="003C149F" w:rsidRPr="002106BA" w14:paraId="2FB07349" w14:textId="77777777" w:rsidTr="009B1087">
        <w:tc>
          <w:tcPr>
            <w:tcW w:w="1569" w:type="pct"/>
            <w:shd w:val="clear" w:color="auto" w:fill="auto"/>
            <w:vAlign w:val="center"/>
          </w:tcPr>
          <w:p w14:paraId="078D81A2" w14:textId="77777777" w:rsidR="003C149F" w:rsidRPr="002106BA" w:rsidRDefault="003C149F" w:rsidP="009B1087">
            <w:pPr>
              <w:pStyle w:val="COMTabletext"/>
              <w:rPr>
                <w:rFonts w:ascii="Times" w:hAnsi="Times"/>
              </w:rPr>
            </w:pPr>
            <w:r w:rsidRPr="002106BA">
              <w:t>Number of scripts dispensed</w:t>
            </w:r>
            <w:r w:rsidRPr="002106BA">
              <w:rPr>
                <w:vertAlign w:val="superscript"/>
              </w:rPr>
              <w:t>a</w:t>
            </w:r>
          </w:p>
        </w:tc>
        <w:tc>
          <w:tcPr>
            <w:tcW w:w="572" w:type="pct"/>
            <w:shd w:val="clear" w:color="auto" w:fill="auto"/>
            <w:vAlign w:val="center"/>
          </w:tcPr>
          <w:p w14:paraId="5AB2E8B6" w14:textId="7A4D8310"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3"/>
                <w14:textFill>
                  <w14:solidFill>
                    <w14:srgbClr w14:val="000000">
                      <w14:alpha w14:val="100000"/>
                    </w14:srgbClr>
                  </w14:solidFill>
                </w14:textFill>
              </w:rPr>
              <w:t xml:space="preserve">　</w:t>
            </w:r>
            <w:r w:rsidRPr="00DD7F0E">
              <w:rPr>
                <w:b w:val="0"/>
                <w:bCs/>
                <w:color w:val="000000"/>
                <w:w w:val="24"/>
                <w:shd w:val="solid" w:color="000000" w:fill="000000"/>
                <w:fitText w:val="107" w:id="-761617393"/>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3"/>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1C966530" w14:textId="5D4980BB" w:rsidR="003C149F" w:rsidRPr="00DC31BD" w:rsidRDefault="00DD7F0E" w:rsidP="009B1087">
            <w:pPr>
              <w:pStyle w:val="TableText"/>
              <w:rPr>
                <w:b w:val="0"/>
                <w:bCs/>
                <w:highlight w:val="darkGray"/>
              </w:rPr>
            </w:pPr>
            <w:r w:rsidRPr="00DD7F0E">
              <w:rPr>
                <w:rFonts w:hint="eastAsia"/>
                <w:b w:val="0"/>
                <w:bCs/>
                <w:color w:val="000000"/>
                <w:w w:val="23"/>
                <w:shd w:val="solid" w:color="000000" w:fill="000000"/>
                <w:fitText w:val="106" w:id="-761617392"/>
                <w14:textFill>
                  <w14:solidFill>
                    <w14:srgbClr w14:val="000000">
                      <w14:alpha w14:val="100000"/>
                    </w14:srgbClr>
                  </w14:solidFill>
                </w14:textFill>
              </w:rPr>
              <w:t xml:space="preserve">　</w:t>
            </w:r>
            <w:r w:rsidRPr="00DD7F0E">
              <w:rPr>
                <w:b w:val="0"/>
                <w:bCs/>
                <w:color w:val="000000"/>
                <w:w w:val="23"/>
                <w:shd w:val="solid" w:color="000000" w:fill="000000"/>
                <w:fitText w:val="106" w:id="-761617392"/>
                <w14:textFill>
                  <w14:solidFill>
                    <w14:srgbClr w14:val="000000">
                      <w14:alpha w14:val="100000"/>
                    </w14:srgbClr>
                  </w14:solidFill>
                </w14:textFill>
              </w:rPr>
              <w:t>|</w:t>
            </w:r>
            <w:r w:rsidRPr="00DD7F0E">
              <w:rPr>
                <w:rFonts w:hint="eastAsia"/>
                <w:b w:val="0"/>
                <w:bCs/>
                <w:color w:val="000000"/>
                <w:spacing w:val="5"/>
                <w:w w:val="23"/>
                <w:shd w:val="solid" w:color="000000" w:fill="000000"/>
                <w:fitText w:val="106" w:id="-761617392"/>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50B49876" w14:textId="184E896D"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8"/>
                <w14:textFill>
                  <w14:solidFill>
                    <w14:srgbClr w14:val="000000">
                      <w14:alpha w14:val="100000"/>
                    </w14:srgbClr>
                  </w14:solidFill>
                </w14:textFill>
              </w:rPr>
              <w:t xml:space="preserve">　</w:t>
            </w:r>
            <w:r w:rsidRPr="00DD7F0E">
              <w:rPr>
                <w:b w:val="0"/>
                <w:bCs/>
                <w:color w:val="000000"/>
                <w:w w:val="24"/>
                <w:shd w:val="solid" w:color="000000" w:fill="000000"/>
                <w:fitText w:val="107" w:id="-761617408"/>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8"/>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3B49BF48" w14:textId="151D715A"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7"/>
                <w14:textFill>
                  <w14:solidFill>
                    <w14:srgbClr w14:val="000000">
                      <w14:alpha w14:val="100000"/>
                    </w14:srgbClr>
                  </w14:solidFill>
                </w14:textFill>
              </w:rPr>
              <w:t xml:space="preserve">　</w:t>
            </w:r>
            <w:r w:rsidRPr="00DD7F0E">
              <w:rPr>
                <w:b w:val="0"/>
                <w:bCs/>
                <w:color w:val="000000"/>
                <w:w w:val="24"/>
                <w:shd w:val="solid" w:color="000000" w:fill="000000"/>
                <w:fitText w:val="107" w:id="-761617407"/>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7"/>
                <w14:textFill>
                  <w14:solidFill>
                    <w14:srgbClr w14:val="000000">
                      <w14:alpha w14:val="100000"/>
                    </w14:srgbClr>
                  </w14:solidFill>
                </w14:textFill>
              </w:rPr>
              <w:t xml:space="preserve">　</w:t>
            </w:r>
            <w:r w:rsidR="00E43661" w:rsidRPr="00E43661">
              <w:rPr>
                <w:b w:val="0"/>
                <w:bCs/>
                <w:vertAlign w:val="superscript"/>
              </w:rPr>
              <w:t>1</w:t>
            </w:r>
          </w:p>
        </w:tc>
        <w:tc>
          <w:tcPr>
            <w:tcW w:w="572" w:type="pct"/>
            <w:shd w:val="clear" w:color="auto" w:fill="auto"/>
            <w:vAlign w:val="center"/>
          </w:tcPr>
          <w:p w14:paraId="173C13E3" w14:textId="39119A9A"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6"/>
                <w14:textFill>
                  <w14:solidFill>
                    <w14:srgbClr w14:val="000000">
                      <w14:alpha w14:val="100000"/>
                    </w14:srgbClr>
                  </w14:solidFill>
                </w14:textFill>
              </w:rPr>
              <w:t xml:space="preserve">　</w:t>
            </w:r>
            <w:r w:rsidRPr="00DD7F0E">
              <w:rPr>
                <w:b w:val="0"/>
                <w:bCs/>
                <w:color w:val="000000"/>
                <w:w w:val="24"/>
                <w:shd w:val="solid" w:color="000000" w:fill="000000"/>
                <w:fitText w:val="107" w:id="-761617406"/>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6"/>
                <w14:textFill>
                  <w14:solidFill>
                    <w14:srgbClr w14:val="000000">
                      <w14:alpha w14:val="100000"/>
                    </w14:srgbClr>
                  </w14:solidFill>
                </w14:textFill>
              </w:rPr>
              <w:t xml:space="preserve">　</w:t>
            </w:r>
            <w:r w:rsidR="00E43661" w:rsidRPr="00E43661">
              <w:rPr>
                <w:b w:val="0"/>
                <w:bCs/>
                <w:vertAlign w:val="superscript"/>
              </w:rPr>
              <w:t>1</w:t>
            </w:r>
          </w:p>
        </w:tc>
        <w:tc>
          <w:tcPr>
            <w:tcW w:w="571" w:type="pct"/>
            <w:vAlign w:val="center"/>
          </w:tcPr>
          <w:p w14:paraId="76D3A010" w14:textId="0259598E"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5"/>
                <w14:textFill>
                  <w14:solidFill>
                    <w14:srgbClr w14:val="000000">
                      <w14:alpha w14:val="100000"/>
                    </w14:srgbClr>
                  </w14:solidFill>
                </w14:textFill>
              </w:rPr>
              <w:t xml:space="preserve">　</w:t>
            </w:r>
            <w:r w:rsidRPr="00DD7F0E">
              <w:rPr>
                <w:b w:val="0"/>
                <w:bCs/>
                <w:color w:val="000000"/>
                <w:w w:val="24"/>
                <w:shd w:val="solid" w:color="000000" w:fill="000000"/>
                <w:fitText w:val="107" w:id="-761617405"/>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5"/>
                <w14:textFill>
                  <w14:solidFill>
                    <w14:srgbClr w14:val="000000">
                      <w14:alpha w14:val="100000"/>
                    </w14:srgbClr>
                  </w14:solidFill>
                </w14:textFill>
              </w:rPr>
              <w:t xml:space="preserve">　</w:t>
            </w:r>
            <w:r w:rsidR="00E43661" w:rsidRPr="00E43661">
              <w:rPr>
                <w:b w:val="0"/>
                <w:bCs/>
                <w:vertAlign w:val="superscript"/>
              </w:rPr>
              <w:t>1</w:t>
            </w:r>
          </w:p>
        </w:tc>
      </w:tr>
      <w:tr w:rsidR="003C149F" w:rsidRPr="002106BA" w14:paraId="7A9A3137" w14:textId="77777777" w:rsidTr="009B1087">
        <w:tc>
          <w:tcPr>
            <w:tcW w:w="5000" w:type="pct"/>
            <w:gridSpan w:val="7"/>
            <w:shd w:val="clear" w:color="auto" w:fill="auto"/>
            <w:vAlign w:val="center"/>
          </w:tcPr>
          <w:p w14:paraId="1F437989" w14:textId="77777777" w:rsidR="003C149F" w:rsidRPr="002106BA" w:rsidRDefault="003C149F" w:rsidP="009B1087">
            <w:pPr>
              <w:pStyle w:val="COMTableheadingrow"/>
              <w:rPr>
                <w:lang w:val="en-AU"/>
              </w:rPr>
            </w:pPr>
            <w:r w:rsidRPr="002106BA">
              <w:rPr>
                <w:lang w:val="en-AU"/>
              </w:rPr>
              <w:t>Estimated financial implications of vutrisiran</w:t>
            </w:r>
          </w:p>
        </w:tc>
      </w:tr>
      <w:tr w:rsidR="003C149F" w:rsidRPr="002106BA" w14:paraId="406BAFB9" w14:textId="77777777" w:rsidTr="009B1087">
        <w:tc>
          <w:tcPr>
            <w:tcW w:w="1569" w:type="pct"/>
            <w:shd w:val="clear" w:color="auto" w:fill="auto"/>
            <w:vAlign w:val="center"/>
          </w:tcPr>
          <w:p w14:paraId="085F10E2" w14:textId="77777777" w:rsidR="003C149F" w:rsidRPr="002106BA" w:rsidRDefault="003C149F" w:rsidP="009B1087">
            <w:pPr>
              <w:pStyle w:val="COMTabletext"/>
            </w:pPr>
            <w:r w:rsidRPr="002106BA">
              <w:t>Cost to PBS/RPBS less copayments</w:t>
            </w:r>
          </w:p>
        </w:tc>
        <w:tc>
          <w:tcPr>
            <w:tcW w:w="572" w:type="pct"/>
            <w:shd w:val="clear" w:color="auto" w:fill="auto"/>
            <w:vAlign w:val="center"/>
          </w:tcPr>
          <w:p w14:paraId="421751FE" w14:textId="552DF29D"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4"/>
                <w14:textFill>
                  <w14:solidFill>
                    <w14:srgbClr w14:val="000000">
                      <w14:alpha w14:val="100000"/>
                    </w14:srgbClr>
                  </w14:solidFill>
                </w14:textFill>
              </w:rPr>
              <w:t xml:space="preserve">　</w:t>
            </w:r>
            <w:r w:rsidRPr="00DD7F0E">
              <w:rPr>
                <w:b w:val="0"/>
                <w:bCs/>
                <w:color w:val="000000"/>
                <w:w w:val="24"/>
                <w:shd w:val="solid" w:color="000000" w:fill="000000"/>
                <w:fitText w:val="107" w:id="-761617404"/>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4"/>
                <w14:textFill>
                  <w14:solidFill>
                    <w14:srgbClr w14:val="000000">
                      <w14:alpha w14:val="100000"/>
                    </w14:srgbClr>
                  </w14:solidFill>
                </w14:textFill>
              </w:rPr>
              <w:t xml:space="preserve">　</w:t>
            </w:r>
            <w:r w:rsidR="00E43661" w:rsidRPr="00E43661">
              <w:rPr>
                <w:b w:val="0"/>
                <w:bCs/>
                <w:vertAlign w:val="superscript"/>
              </w:rPr>
              <w:t>2</w:t>
            </w:r>
          </w:p>
        </w:tc>
        <w:tc>
          <w:tcPr>
            <w:tcW w:w="572" w:type="pct"/>
            <w:shd w:val="clear" w:color="auto" w:fill="auto"/>
            <w:vAlign w:val="center"/>
          </w:tcPr>
          <w:p w14:paraId="13B15757" w14:textId="62834C3E" w:rsidR="003C149F" w:rsidRPr="00DC31BD" w:rsidRDefault="00DD7F0E" w:rsidP="009B1087">
            <w:pPr>
              <w:pStyle w:val="TableText"/>
              <w:rPr>
                <w:b w:val="0"/>
                <w:bCs/>
                <w:highlight w:val="darkGray"/>
              </w:rPr>
            </w:pPr>
            <w:r w:rsidRPr="00DD7F0E">
              <w:rPr>
                <w:rFonts w:hint="eastAsia"/>
                <w:b w:val="0"/>
                <w:bCs/>
                <w:color w:val="000000"/>
                <w:w w:val="23"/>
                <w:shd w:val="solid" w:color="000000" w:fill="000000"/>
                <w:fitText w:val="106" w:id="-761617403"/>
                <w14:textFill>
                  <w14:solidFill>
                    <w14:srgbClr w14:val="000000">
                      <w14:alpha w14:val="100000"/>
                    </w14:srgbClr>
                  </w14:solidFill>
                </w14:textFill>
              </w:rPr>
              <w:t xml:space="preserve">　</w:t>
            </w:r>
            <w:r w:rsidRPr="00DD7F0E">
              <w:rPr>
                <w:b w:val="0"/>
                <w:bCs/>
                <w:color w:val="000000"/>
                <w:w w:val="23"/>
                <w:shd w:val="solid" w:color="000000" w:fill="000000"/>
                <w:fitText w:val="106" w:id="-761617403"/>
                <w14:textFill>
                  <w14:solidFill>
                    <w14:srgbClr w14:val="000000">
                      <w14:alpha w14:val="100000"/>
                    </w14:srgbClr>
                  </w14:solidFill>
                </w14:textFill>
              </w:rPr>
              <w:t>|</w:t>
            </w:r>
            <w:r w:rsidRPr="00DD7F0E">
              <w:rPr>
                <w:rFonts w:hint="eastAsia"/>
                <w:b w:val="0"/>
                <w:bCs/>
                <w:color w:val="000000"/>
                <w:spacing w:val="5"/>
                <w:w w:val="23"/>
                <w:shd w:val="solid" w:color="000000" w:fill="000000"/>
                <w:fitText w:val="106" w:id="-761617403"/>
                <w14:textFill>
                  <w14:solidFill>
                    <w14:srgbClr w14:val="000000">
                      <w14:alpha w14:val="100000"/>
                    </w14:srgbClr>
                  </w14:solidFill>
                </w14:textFill>
              </w:rPr>
              <w:t xml:space="preserve">　</w:t>
            </w:r>
            <w:r w:rsidR="00695309" w:rsidRPr="00695309">
              <w:rPr>
                <w:b w:val="0"/>
                <w:bCs/>
                <w:vertAlign w:val="superscript"/>
              </w:rPr>
              <w:t>3</w:t>
            </w:r>
          </w:p>
        </w:tc>
        <w:tc>
          <w:tcPr>
            <w:tcW w:w="572" w:type="pct"/>
            <w:shd w:val="clear" w:color="auto" w:fill="auto"/>
            <w:vAlign w:val="center"/>
          </w:tcPr>
          <w:p w14:paraId="157064D2" w14:textId="3312FD95"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2"/>
                <w14:textFill>
                  <w14:solidFill>
                    <w14:srgbClr w14:val="000000">
                      <w14:alpha w14:val="100000"/>
                    </w14:srgbClr>
                  </w14:solidFill>
                </w14:textFill>
              </w:rPr>
              <w:t xml:space="preserve">　</w:t>
            </w:r>
            <w:r w:rsidRPr="00DD7F0E">
              <w:rPr>
                <w:b w:val="0"/>
                <w:bCs/>
                <w:color w:val="000000"/>
                <w:w w:val="24"/>
                <w:shd w:val="solid" w:color="000000" w:fill="000000"/>
                <w:fitText w:val="107" w:id="-761617402"/>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2"/>
                <w14:textFill>
                  <w14:solidFill>
                    <w14:srgbClr w14:val="000000">
                      <w14:alpha w14:val="100000"/>
                    </w14:srgbClr>
                  </w14:solidFill>
                </w14:textFill>
              </w:rPr>
              <w:t xml:space="preserve">　</w:t>
            </w:r>
            <w:r w:rsidR="00695309" w:rsidRPr="00695309">
              <w:rPr>
                <w:b w:val="0"/>
                <w:bCs/>
                <w:vertAlign w:val="superscript"/>
              </w:rPr>
              <w:t>3</w:t>
            </w:r>
          </w:p>
        </w:tc>
        <w:tc>
          <w:tcPr>
            <w:tcW w:w="572" w:type="pct"/>
            <w:shd w:val="clear" w:color="auto" w:fill="auto"/>
            <w:vAlign w:val="center"/>
          </w:tcPr>
          <w:p w14:paraId="13D89952" w14:textId="24FB0997"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1"/>
                <w14:textFill>
                  <w14:solidFill>
                    <w14:srgbClr w14:val="000000">
                      <w14:alpha w14:val="100000"/>
                    </w14:srgbClr>
                  </w14:solidFill>
                </w14:textFill>
              </w:rPr>
              <w:t xml:space="preserve">　</w:t>
            </w:r>
            <w:r w:rsidRPr="00DD7F0E">
              <w:rPr>
                <w:b w:val="0"/>
                <w:bCs/>
                <w:color w:val="000000"/>
                <w:w w:val="24"/>
                <w:shd w:val="solid" w:color="000000" w:fill="000000"/>
                <w:fitText w:val="107" w:id="-761617401"/>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1"/>
                <w14:textFill>
                  <w14:solidFill>
                    <w14:srgbClr w14:val="000000">
                      <w14:alpha w14:val="100000"/>
                    </w14:srgbClr>
                  </w14:solidFill>
                </w14:textFill>
              </w:rPr>
              <w:t xml:space="preserve">　</w:t>
            </w:r>
            <w:r w:rsidR="00695309" w:rsidRPr="00695309">
              <w:rPr>
                <w:b w:val="0"/>
                <w:bCs/>
                <w:vertAlign w:val="superscript"/>
              </w:rPr>
              <w:t>3</w:t>
            </w:r>
          </w:p>
        </w:tc>
        <w:tc>
          <w:tcPr>
            <w:tcW w:w="572" w:type="pct"/>
            <w:shd w:val="clear" w:color="auto" w:fill="auto"/>
            <w:vAlign w:val="center"/>
          </w:tcPr>
          <w:p w14:paraId="777E87C6" w14:textId="060F2D3D"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400"/>
                <w14:textFill>
                  <w14:solidFill>
                    <w14:srgbClr w14:val="000000">
                      <w14:alpha w14:val="100000"/>
                    </w14:srgbClr>
                  </w14:solidFill>
                </w14:textFill>
              </w:rPr>
              <w:t xml:space="preserve">　</w:t>
            </w:r>
            <w:r w:rsidRPr="00DD7F0E">
              <w:rPr>
                <w:b w:val="0"/>
                <w:bCs/>
                <w:color w:val="000000"/>
                <w:w w:val="24"/>
                <w:shd w:val="solid" w:color="000000" w:fill="000000"/>
                <w:fitText w:val="107" w:id="-761617400"/>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400"/>
                <w14:textFill>
                  <w14:solidFill>
                    <w14:srgbClr w14:val="000000">
                      <w14:alpha w14:val="100000"/>
                    </w14:srgbClr>
                  </w14:solidFill>
                </w14:textFill>
              </w:rPr>
              <w:t xml:space="preserve">　</w:t>
            </w:r>
            <w:r w:rsidR="00695309" w:rsidRPr="00695309">
              <w:rPr>
                <w:b w:val="0"/>
                <w:bCs/>
                <w:vertAlign w:val="superscript"/>
              </w:rPr>
              <w:t>3</w:t>
            </w:r>
          </w:p>
        </w:tc>
        <w:tc>
          <w:tcPr>
            <w:tcW w:w="571" w:type="pct"/>
            <w:vAlign w:val="center"/>
          </w:tcPr>
          <w:p w14:paraId="4C2B9E7B" w14:textId="71E48D85" w:rsidR="003C149F" w:rsidRPr="00DC31BD" w:rsidRDefault="00DD7F0E" w:rsidP="009B1087">
            <w:pPr>
              <w:pStyle w:val="TableText"/>
              <w:rPr>
                <w:b w:val="0"/>
                <w:bCs/>
                <w:highlight w:val="darkGray"/>
              </w:rPr>
            </w:pPr>
            <w:r w:rsidRPr="00DD7F0E">
              <w:rPr>
                <w:rFonts w:hint="eastAsia"/>
                <w:b w:val="0"/>
                <w:bCs/>
                <w:color w:val="000000"/>
                <w:w w:val="24"/>
                <w:shd w:val="solid" w:color="000000" w:fill="000000"/>
                <w:fitText w:val="107" w:id="-761617399"/>
                <w14:textFill>
                  <w14:solidFill>
                    <w14:srgbClr w14:val="000000">
                      <w14:alpha w14:val="100000"/>
                    </w14:srgbClr>
                  </w14:solidFill>
                </w14:textFill>
              </w:rPr>
              <w:t xml:space="preserve">　</w:t>
            </w:r>
            <w:r w:rsidRPr="00DD7F0E">
              <w:rPr>
                <w:b w:val="0"/>
                <w:bCs/>
                <w:color w:val="000000"/>
                <w:w w:val="24"/>
                <w:shd w:val="solid" w:color="000000" w:fill="000000"/>
                <w:fitText w:val="107" w:id="-761617399"/>
                <w14:textFill>
                  <w14:solidFill>
                    <w14:srgbClr w14:val="000000">
                      <w14:alpha w14:val="100000"/>
                    </w14:srgbClr>
                  </w14:solidFill>
                </w14:textFill>
              </w:rPr>
              <w:t>|</w:t>
            </w:r>
            <w:r w:rsidRPr="00DD7F0E">
              <w:rPr>
                <w:rFonts w:hint="eastAsia"/>
                <w:b w:val="0"/>
                <w:bCs/>
                <w:color w:val="000000"/>
                <w:spacing w:val="3"/>
                <w:w w:val="24"/>
                <w:shd w:val="solid" w:color="000000" w:fill="000000"/>
                <w:fitText w:val="107" w:id="-761617399"/>
                <w14:textFill>
                  <w14:solidFill>
                    <w14:srgbClr w14:val="000000">
                      <w14:alpha w14:val="100000"/>
                    </w14:srgbClr>
                  </w14:solidFill>
                </w14:textFill>
              </w:rPr>
              <w:t xml:space="preserve">　</w:t>
            </w:r>
            <w:r w:rsidR="00695309" w:rsidRPr="00695309">
              <w:rPr>
                <w:b w:val="0"/>
                <w:bCs/>
                <w:vertAlign w:val="superscript"/>
              </w:rPr>
              <w:t>3</w:t>
            </w:r>
          </w:p>
        </w:tc>
      </w:tr>
      <w:tr w:rsidR="003C149F" w:rsidRPr="002106BA" w14:paraId="229A2056" w14:textId="77777777" w:rsidTr="009B1087">
        <w:tc>
          <w:tcPr>
            <w:tcW w:w="5000" w:type="pct"/>
            <w:gridSpan w:val="7"/>
            <w:shd w:val="clear" w:color="auto" w:fill="auto"/>
            <w:vAlign w:val="center"/>
          </w:tcPr>
          <w:p w14:paraId="7E411A47" w14:textId="77777777" w:rsidR="003C149F" w:rsidRPr="002106BA" w:rsidRDefault="003C149F" w:rsidP="009B1087">
            <w:pPr>
              <w:pStyle w:val="COMTabletext"/>
              <w:rPr>
                <w:b/>
                <w:bCs w:val="0"/>
              </w:rPr>
            </w:pPr>
            <w:r w:rsidRPr="002106BA">
              <w:rPr>
                <w:b/>
                <w:bCs w:val="0"/>
              </w:rPr>
              <w:t>Estimated financial implications for patisiran</w:t>
            </w:r>
          </w:p>
        </w:tc>
      </w:tr>
      <w:tr w:rsidR="003C149F" w:rsidRPr="002106BA" w14:paraId="274C4ED3" w14:textId="77777777" w:rsidTr="009A153F">
        <w:tc>
          <w:tcPr>
            <w:tcW w:w="1569" w:type="pct"/>
            <w:shd w:val="clear" w:color="auto" w:fill="auto"/>
            <w:vAlign w:val="center"/>
          </w:tcPr>
          <w:p w14:paraId="0DD7578A" w14:textId="77777777" w:rsidR="003C149F" w:rsidRPr="002106BA" w:rsidRDefault="003C149F" w:rsidP="009B1087">
            <w:pPr>
              <w:pStyle w:val="COMTabletext"/>
            </w:pPr>
            <w:r w:rsidRPr="002106BA">
              <w:t>Cost to PBS/RPBS less copayments</w:t>
            </w:r>
          </w:p>
        </w:tc>
        <w:tc>
          <w:tcPr>
            <w:tcW w:w="572" w:type="pct"/>
            <w:shd w:val="clear" w:color="auto" w:fill="auto"/>
            <w:vAlign w:val="center"/>
          </w:tcPr>
          <w:p w14:paraId="194609E0" w14:textId="37346419"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398"/>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398"/>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398"/>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vAlign w:val="center"/>
          </w:tcPr>
          <w:p w14:paraId="2EF58774" w14:textId="71B96597" w:rsidR="003C149F" w:rsidRPr="00DC31BD" w:rsidRDefault="00DD7F0E" w:rsidP="009B1087">
            <w:pPr>
              <w:pStyle w:val="TableText"/>
              <w:rPr>
                <w:b w:val="0"/>
                <w:bCs/>
                <w:highlight w:val="darkGray"/>
              </w:rPr>
            </w:pPr>
            <w:r w:rsidRPr="00DD7F0E">
              <w:rPr>
                <w:rFonts w:hint="eastAsia"/>
                <w:b w:val="0"/>
                <w:bCs/>
                <w:color w:val="000000"/>
                <w:w w:val="23"/>
                <w:szCs w:val="20"/>
                <w:shd w:val="solid" w:color="000000" w:fill="000000"/>
                <w:fitText w:val="106" w:id="-761617397"/>
                <w14:textFill>
                  <w14:solidFill>
                    <w14:srgbClr w14:val="000000">
                      <w14:alpha w14:val="100000"/>
                    </w14:srgbClr>
                  </w14:solidFill>
                </w14:textFill>
              </w:rPr>
              <w:t xml:space="preserve">　</w:t>
            </w:r>
            <w:r w:rsidRPr="00DD7F0E">
              <w:rPr>
                <w:b w:val="0"/>
                <w:bCs/>
                <w:color w:val="000000"/>
                <w:w w:val="23"/>
                <w:szCs w:val="20"/>
                <w:shd w:val="solid" w:color="000000" w:fill="000000"/>
                <w:fitText w:val="106" w:id="-761617397"/>
                <w14:textFill>
                  <w14:solidFill>
                    <w14:srgbClr w14:val="000000">
                      <w14:alpha w14:val="100000"/>
                    </w14:srgbClr>
                  </w14:solidFill>
                </w14:textFill>
              </w:rPr>
              <w:t>|</w:t>
            </w:r>
            <w:r w:rsidRPr="00DD7F0E">
              <w:rPr>
                <w:rFonts w:hint="eastAsia"/>
                <w:b w:val="0"/>
                <w:bCs/>
                <w:color w:val="000000"/>
                <w:spacing w:val="5"/>
                <w:w w:val="23"/>
                <w:szCs w:val="20"/>
                <w:shd w:val="solid" w:color="000000" w:fill="000000"/>
                <w:fitText w:val="106" w:id="-761617397"/>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vAlign w:val="center"/>
          </w:tcPr>
          <w:p w14:paraId="1C5A4602" w14:textId="5A11F41F" w:rsidR="003C149F" w:rsidRPr="00DC31BD" w:rsidRDefault="00B71A4A" w:rsidP="009B1087">
            <w:pPr>
              <w:pStyle w:val="TableText"/>
              <w:rPr>
                <w:b w:val="0"/>
                <w:bCs/>
                <w:highlight w:val="darkGray"/>
              </w:rPr>
            </w:pPr>
            <w:r w:rsidRPr="00B71A4A">
              <w:rPr>
                <w:rFonts w:hint="eastAsia"/>
                <w:b w:val="0"/>
                <w:bCs/>
                <w:color w:val="000000"/>
                <w:w w:val="36"/>
                <w:szCs w:val="20"/>
                <w:shd w:val="solid" w:color="000000" w:fill="000000"/>
                <w:fitText w:val="133" w:id="-761617395"/>
                <w:vertAlign w:val="superscript"/>
                <w14:textFill>
                  <w14:solidFill>
                    <w14:srgbClr w14:val="000000">
                      <w14:alpha w14:val="100000"/>
                    </w14:srgbClr>
                  </w14:solidFill>
                </w14:textFill>
              </w:rPr>
              <w:t xml:space="preserve">　</w:t>
            </w:r>
            <w:r w:rsidRPr="00B71A4A">
              <w:rPr>
                <w:b w:val="0"/>
                <w:bCs/>
                <w:color w:val="000000"/>
                <w:w w:val="36"/>
                <w:szCs w:val="20"/>
                <w:shd w:val="solid" w:color="000000" w:fill="000000"/>
                <w:fitText w:val="133" w:id="-761617395"/>
                <w14:textFill>
                  <w14:solidFill>
                    <w14:srgbClr w14:val="000000">
                      <w14:alpha w14:val="100000"/>
                    </w14:srgbClr>
                  </w14:solidFill>
                </w14:textFill>
              </w:rPr>
              <w:t>|</w:t>
            </w:r>
            <w:r w:rsidRPr="00B71A4A">
              <w:rPr>
                <w:rFonts w:hint="eastAsia"/>
                <w:b w:val="0"/>
                <w:bCs/>
                <w:color w:val="000000"/>
                <w:w w:val="36"/>
                <w:szCs w:val="20"/>
                <w:shd w:val="solid" w:color="000000" w:fill="000000"/>
                <w:fitText w:val="133" w:id="-761617395"/>
                <w14:textFill>
                  <w14:solidFill>
                    <w14:srgbClr w14:val="000000">
                      <w14:alpha w14:val="100000"/>
                    </w14:srgbClr>
                  </w14:solidFill>
                </w14:textFill>
              </w:rPr>
              <w:t xml:space="preserve">　</w:t>
            </w:r>
            <w:r w:rsidRPr="00075C05">
              <w:rPr>
                <w:b w:val="0"/>
                <w:bCs/>
                <w:color w:val="000000"/>
                <w:szCs w:val="20"/>
                <w:vertAlign w:val="superscript"/>
              </w:rPr>
              <w:t>4</w:t>
            </w:r>
          </w:p>
        </w:tc>
        <w:tc>
          <w:tcPr>
            <w:tcW w:w="572" w:type="pct"/>
            <w:shd w:val="clear" w:color="auto" w:fill="auto"/>
            <w:vAlign w:val="center"/>
          </w:tcPr>
          <w:p w14:paraId="4E3C7E89" w14:textId="3A158547" w:rsidR="003C149F" w:rsidRPr="00DC31BD" w:rsidRDefault="00DD7F0E" w:rsidP="009B1087">
            <w:pPr>
              <w:pStyle w:val="TableText"/>
              <w:rPr>
                <w:b w:val="0"/>
                <w:bCs/>
                <w:highlight w:val="darkGray"/>
              </w:rPr>
            </w:pPr>
            <w:r w:rsidRPr="00B71A4A">
              <w:rPr>
                <w:rFonts w:hint="eastAsia"/>
                <w:b w:val="0"/>
                <w:bCs/>
                <w:color w:val="000000"/>
                <w:w w:val="36"/>
                <w:szCs w:val="20"/>
                <w:shd w:val="solid" w:color="000000" w:fill="000000"/>
                <w:fitText w:val="133" w:id="-761617395"/>
                <w:vertAlign w:val="superscript"/>
                <w14:textFill>
                  <w14:solidFill>
                    <w14:srgbClr w14:val="000000">
                      <w14:alpha w14:val="100000"/>
                    </w14:srgbClr>
                  </w14:solidFill>
                </w14:textFill>
              </w:rPr>
              <w:t xml:space="preserve">　</w:t>
            </w:r>
            <w:r w:rsidRPr="00B71A4A">
              <w:rPr>
                <w:b w:val="0"/>
                <w:bCs/>
                <w:color w:val="000000"/>
                <w:w w:val="36"/>
                <w:szCs w:val="20"/>
                <w:shd w:val="solid" w:color="000000" w:fill="000000"/>
                <w:fitText w:val="133" w:id="-761617395"/>
                <w14:textFill>
                  <w14:solidFill>
                    <w14:srgbClr w14:val="000000">
                      <w14:alpha w14:val="100000"/>
                    </w14:srgbClr>
                  </w14:solidFill>
                </w14:textFill>
              </w:rPr>
              <w:t>|</w:t>
            </w:r>
            <w:r w:rsidRPr="00B71A4A">
              <w:rPr>
                <w:rFonts w:hint="eastAsia"/>
                <w:b w:val="0"/>
                <w:bCs/>
                <w:color w:val="000000"/>
                <w:w w:val="36"/>
                <w:szCs w:val="20"/>
                <w:shd w:val="solid" w:color="000000" w:fill="000000"/>
                <w:fitText w:val="133" w:id="-761617395"/>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vAlign w:val="center"/>
          </w:tcPr>
          <w:p w14:paraId="01CF3660" w14:textId="46BC42E6"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394"/>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394"/>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394"/>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1" w:type="pct"/>
            <w:vAlign w:val="center"/>
          </w:tcPr>
          <w:p w14:paraId="0565A3DF" w14:textId="1A27153A"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393"/>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393"/>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393"/>
                <w14:textFill>
                  <w14:solidFill>
                    <w14:srgbClr w14:val="000000">
                      <w14:alpha w14:val="100000"/>
                    </w14:srgbClr>
                  </w14:solidFill>
                </w14:textFill>
              </w:rPr>
              <w:t xml:space="preserve">　</w:t>
            </w:r>
            <w:r w:rsidR="00075C05" w:rsidRPr="00075C05">
              <w:rPr>
                <w:b w:val="0"/>
                <w:bCs/>
                <w:color w:val="000000"/>
                <w:szCs w:val="20"/>
                <w:vertAlign w:val="superscript"/>
              </w:rPr>
              <w:t>4</w:t>
            </w:r>
          </w:p>
        </w:tc>
      </w:tr>
      <w:tr w:rsidR="009A6986" w:rsidRPr="002106BA" w14:paraId="6FBA1E9B" w14:textId="77777777" w:rsidTr="009A6986">
        <w:tc>
          <w:tcPr>
            <w:tcW w:w="1569" w:type="pct"/>
            <w:shd w:val="clear" w:color="auto" w:fill="auto"/>
            <w:vAlign w:val="center"/>
          </w:tcPr>
          <w:p w14:paraId="286CEB01" w14:textId="460B0FF6" w:rsidR="009A6986" w:rsidRPr="002106BA" w:rsidRDefault="009A6986" w:rsidP="009A6986">
            <w:pPr>
              <w:pStyle w:val="COMTabletext"/>
            </w:pPr>
            <w:r w:rsidRPr="002106BA">
              <w:t xml:space="preserve">Cost </w:t>
            </w:r>
            <w:r w:rsidR="00BE7030" w:rsidRPr="002106BA">
              <w:t>t</w:t>
            </w:r>
            <w:r w:rsidRPr="002106BA">
              <w:t>o PBS/RPBS less copayments (PSCR)</w:t>
            </w:r>
          </w:p>
        </w:tc>
        <w:tc>
          <w:tcPr>
            <w:tcW w:w="572" w:type="pct"/>
            <w:shd w:val="clear" w:color="auto" w:fill="auto"/>
          </w:tcPr>
          <w:p w14:paraId="75805D1A" w14:textId="4DA72D5B" w:rsidR="009A6986" w:rsidRPr="00DC31BD" w:rsidRDefault="00DD7F0E" w:rsidP="009A6986">
            <w:pPr>
              <w:pStyle w:val="TableText"/>
              <w:rPr>
                <w:b w:val="0"/>
                <w:bCs/>
                <w:color w:val="000000"/>
                <w:szCs w:val="20"/>
                <w:highlight w:val="darkGray"/>
              </w:rPr>
            </w:pPr>
            <w:r w:rsidRPr="00DD7F0E">
              <w:rPr>
                <w:rFonts w:hint="eastAsia"/>
                <w:color w:val="000000"/>
                <w:w w:val="32"/>
                <w:shd w:val="solid" w:color="000000" w:fill="000000"/>
                <w:fitText w:val="146" w:id="-761617392"/>
                <w14:textFill>
                  <w14:solidFill>
                    <w14:srgbClr w14:val="000000">
                      <w14:alpha w14:val="100000"/>
                    </w14:srgbClr>
                  </w14:solidFill>
                </w14:textFill>
              </w:rPr>
              <w:t xml:space="preserve">　</w:t>
            </w:r>
            <w:r w:rsidRPr="00DD7F0E">
              <w:rPr>
                <w:color w:val="000000"/>
                <w:w w:val="32"/>
                <w:shd w:val="solid" w:color="000000" w:fill="000000"/>
                <w:fitText w:val="146" w:id="-761617392"/>
                <w14:textFill>
                  <w14:solidFill>
                    <w14:srgbClr w14:val="000000">
                      <w14:alpha w14:val="100000"/>
                    </w14:srgbClr>
                  </w14:solidFill>
                </w14:textFill>
              </w:rPr>
              <w:t>|</w:t>
            </w:r>
            <w:r w:rsidRPr="00DD7F0E">
              <w:rPr>
                <w:rFonts w:hint="eastAsia"/>
                <w:color w:val="000000"/>
                <w:spacing w:val="6"/>
                <w:w w:val="32"/>
                <w:shd w:val="solid" w:color="000000" w:fill="000000"/>
                <w:fitText w:val="146" w:id="-761617392"/>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tcPr>
          <w:p w14:paraId="5880A32F" w14:textId="01E04C70" w:rsidR="009A6986" w:rsidRPr="00DC31BD" w:rsidRDefault="00DD7F0E" w:rsidP="009A6986">
            <w:pPr>
              <w:pStyle w:val="TableText"/>
              <w:rPr>
                <w:b w:val="0"/>
                <w:bCs/>
                <w:color w:val="000000"/>
                <w:szCs w:val="20"/>
                <w:highlight w:val="darkGray"/>
              </w:rPr>
            </w:pPr>
            <w:r w:rsidRPr="00DD7F0E">
              <w:rPr>
                <w:rFonts w:hint="eastAsia"/>
                <w:color w:val="000000"/>
                <w:w w:val="32"/>
                <w:shd w:val="solid" w:color="000000" w:fill="000000"/>
                <w:fitText w:val="147" w:id="-761617408"/>
                <w14:textFill>
                  <w14:solidFill>
                    <w14:srgbClr w14:val="000000">
                      <w14:alpha w14:val="100000"/>
                    </w14:srgbClr>
                  </w14:solidFill>
                </w14:textFill>
              </w:rPr>
              <w:t xml:space="preserve">　</w:t>
            </w:r>
            <w:r w:rsidRPr="00DD7F0E">
              <w:rPr>
                <w:color w:val="000000"/>
                <w:w w:val="32"/>
                <w:shd w:val="solid" w:color="000000" w:fill="000000"/>
                <w:fitText w:val="147" w:id="-761617408"/>
                <w14:textFill>
                  <w14:solidFill>
                    <w14:srgbClr w14:val="000000">
                      <w14:alpha w14:val="100000"/>
                    </w14:srgbClr>
                  </w14:solidFill>
                </w14:textFill>
              </w:rPr>
              <w:t>|</w:t>
            </w:r>
            <w:r w:rsidRPr="00DD7F0E">
              <w:rPr>
                <w:rFonts w:hint="eastAsia"/>
                <w:color w:val="000000"/>
                <w:spacing w:val="7"/>
                <w:w w:val="32"/>
                <w:shd w:val="solid" w:color="000000" w:fill="000000"/>
                <w:fitText w:val="147" w:id="-761617408"/>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tcPr>
          <w:p w14:paraId="5A011BE9" w14:textId="527DDCF8" w:rsidR="009A6986" w:rsidRPr="00DC31BD" w:rsidRDefault="00DD7F0E" w:rsidP="009A6986">
            <w:pPr>
              <w:pStyle w:val="TableText"/>
              <w:rPr>
                <w:b w:val="0"/>
                <w:bCs/>
                <w:color w:val="000000"/>
                <w:szCs w:val="20"/>
                <w:highlight w:val="darkGray"/>
              </w:rPr>
            </w:pPr>
            <w:r w:rsidRPr="00DD7F0E">
              <w:rPr>
                <w:rFonts w:hint="eastAsia"/>
                <w:color w:val="000000"/>
                <w:w w:val="32"/>
                <w:shd w:val="solid" w:color="000000" w:fill="000000"/>
                <w:fitText w:val="147" w:id="-761617407"/>
                <w14:textFill>
                  <w14:solidFill>
                    <w14:srgbClr w14:val="000000">
                      <w14:alpha w14:val="100000"/>
                    </w14:srgbClr>
                  </w14:solidFill>
                </w14:textFill>
              </w:rPr>
              <w:t xml:space="preserve">　</w:t>
            </w:r>
            <w:r w:rsidRPr="00DD7F0E">
              <w:rPr>
                <w:color w:val="000000"/>
                <w:w w:val="32"/>
                <w:shd w:val="solid" w:color="000000" w:fill="000000"/>
                <w:fitText w:val="147" w:id="-761617407"/>
                <w14:textFill>
                  <w14:solidFill>
                    <w14:srgbClr w14:val="000000">
                      <w14:alpha w14:val="100000"/>
                    </w14:srgbClr>
                  </w14:solidFill>
                </w14:textFill>
              </w:rPr>
              <w:t>|</w:t>
            </w:r>
            <w:r w:rsidRPr="00DD7F0E">
              <w:rPr>
                <w:rFonts w:hint="eastAsia"/>
                <w:color w:val="000000"/>
                <w:spacing w:val="7"/>
                <w:w w:val="32"/>
                <w:shd w:val="solid" w:color="000000" w:fill="000000"/>
                <w:fitText w:val="147" w:id="-761617407"/>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tcPr>
          <w:p w14:paraId="7798B1AD" w14:textId="46833951" w:rsidR="009A6986" w:rsidRPr="00DC31BD" w:rsidRDefault="00DD7F0E" w:rsidP="009A6986">
            <w:pPr>
              <w:pStyle w:val="TableText"/>
              <w:rPr>
                <w:b w:val="0"/>
                <w:bCs/>
                <w:color w:val="000000"/>
                <w:szCs w:val="20"/>
                <w:highlight w:val="darkGray"/>
              </w:rPr>
            </w:pPr>
            <w:r w:rsidRPr="00DD7F0E">
              <w:rPr>
                <w:rFonts w:hint="eastAsia"/>
                <w:color w:val="000000"/>
                <w:w w:val="32"/>
                <w:shd w:val="solid" w:color="000000" w:fill="000000"/>
                <w:fitText w:val="147" w:id="-761617406"/>
                <w14:textFill>
                  <w14:solidFill>
                    <w14:srgbClr w14:val="000000">
                      <w14:alpha w14:val="100000"/>
                    </w14:srgbClr>
                  </w14:solidFill>
                </w14:textFill>
              </w:rPr>
              <w:t xml:space="preserve">　</w:t>
            </w:r>
            <w:r w:rsidRPr="00DD7F0E">
              <w:rPr>
                <w:color w:val="000000"/>
                <w:w w:val="32"/>
                <w:shd w:val="solid" w:color="000000" w:fill="000000"/>
                <w:fitText w:val="147" w:id="-761617406"/>
                <w14:textFill>
                  <w14:solidFill>
                    <w14:srgbClr w14:val="000000">
                      <w14:alpha w14:val="100000"/>
                    </w14:srgbClr>
                  </w14:solidFill>
                </w14:textFill>
              </w:rPr>
              <w:t>|</w:t>
            </w:r>
            <w:r w:rsidRPr="00DD7F0E">
              <w:rPr>
                <w:rFonts w:hint="eastAsia"/>
                <w:color w:val="000000"/>
                <w:spacing w:val="7"/>
                <w:w w:val="32"/>
                <w:shd w:val="solid" w:color="000000" w:fill="000000"/>
                <w:fitText w:val="147" w:id="-761617406"/>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2" w:type="pct"/>
            <w:shd w:val="clear" w:color="auto" w:fill="auto"/>
          </w:tcPr>
          <w:p w14:paraId="37E5399A" w14:textId="1371E2B4" w:rsidR="009A6986" w:rsidRPr="00DC31BD" w:rsidRDefault="00DD7F0E" w:rsidP="009A6986">
            <w:pPr>
              <w:pStyle w:val="TableText"/>
              <w:rPr>
                <w:b w:val="0"/>
                <w:bCs/>
                <w:color w:val="000000"/>
                <w:szCs w:val="20"/>
                <w:highlight w:val="darkGray"/>
              </w:rPr>
            </w:pPr>
            <w:r w:rsidRPr="00DD7F0E">
              <w:rPr>
                <w:rFonts w:hint="eastAsia"/>
                <w:color w:val="000000"/>
                <w:w w:val="32"/>
                <w:shd w:val="solid" w:color="000000" w:fill="000000"/>
                <w:fitText w:val="146" w:id="-761617405"/>
                <w14:textFill>
                  <w14:solidFill>
                    <w14:srgbClr w14:val="000000">
                      <w14:alpha w14:val="100000"/>
                    </w14:srgbClr>
                  </w14:solidFill>
                </w14:textFill>
              </w:rPr>
              <w:t xml:space="preserve">　</w:t>
            </w:r>
            <w:r w:rsidRPr="00DD7F0E">
              <w:rPr>
                <w:color w:val="000000"/>
                <w:w w:val="32"/>
                <w:shd w:val="solid" w:color="000000" w:fill="000000"/>
                <w:fitText w:val="146" w:id="-761617405"/>
                <w14:textFill>
                  <w14:solidFill>
                    <w14:srgbClr w14:val="000000">
                      <w14:alpha w14:val="100000"/>
                    </w14:srgbClr>
                  </w14:solidFill>
                </w14:textFill>
              </w:rPr>
              <w:t>|</w:t>
            </w:r>
            <w:r w:rsidRPr="00DD7F0E">
              <w:rPr>
                <w:rFonts w:hint="eastAsia"/>
                <w:color w:val="000000"/>
                <w:spacing w:val="6"/>
                <w:w w:val="32"/>
                <w:shd w:val="solid" w:color="000000" w:fill="000000"/>
                <w:fitText w:val="146" w:id="-761617405"/>
                <w14:textFill>
                  <w14:solidFill>
                    <w14:srgbClr w14:val="000000">
                      <w14:alpha w14:val="100000"/>
                    </w14:srgbClr>
                  </w14:solidFill>
                </w14:textFill>
              </w:rPr>
              <w:t xml:space="preserve">　</w:t>
            </w:r>
            <w:r w:rsidR="00075C05" w:rsidRPr="00075C05">
              <w:rPr>
                <w:b w:val="0"/>
                <w:bCs/>
                <w:color w:val="000000"/>
                <w:szCs w:val="20"/>
                <w:vertAlign w:val="superscript"/>
              </w:rPr>
              <w:t>4</w:t>
            </w:r>
          </w:p>
        </w:tc>
        <w:tc>
          <w:tcPr>
            <w:tcW w:w="571" w:type="pct"/>
          </w:tcPr>
          <w:p w14:paraId="6FDF973E" w14:textId="069A610D" w:rsidR="009A6986" w:rsidRPr="00DC31BD" w:rsidRDefault="00DD7F0E" w:rsidP="009A6986">
            <w:pPr>
              <w:pStyle w:val="TableText"/>
              <w:rPr>
                <w:b w:val="0"/>
                <w:bCs/>
                <w:color w:val="000000"/>
                <w:szCs w:val="20"/>
                <w:highlight w:val="darkGray"/>
              </w:rPr>
            </w:pPr>
            <w:r w:rsidRPr="00DD7F0E">
              <w:rPr>
                <w:color w:val="000000"/>
                <w:spacing w:val="68"/>
                <w:shd w:val="solid" w:color="000000" w:fill="000000"/>
                <w:fitText w:val="160" w:id="-761617404"/>
                <w14:textFill>
                  <w14:solidFill>
                    <w14:srgbClr w14:val="000000">
                      <w14:alpha w14:val="100000"/>
                    </w14:srgbClr>
                  </w14:solidFill>
                </w14:textFill>
              </w:rPr>
              <w:t>|</w:t>
            </w:r>
            <w:r w:rsidRPr="00DD7F0E">
              <w:rPr>
                <w:color w:val="000000"/>
                <w:spacing w:val="1"/>
                <w:shd w:val="solid" w:color="000000" w:fill="000000"/>
                <w:fitText w:val="160" w:id="-761617404"/>
                <w14:textFill>
                  <w14:solidFill>
                    <w14:srgbClr w14:val="000000">
                      <w14:alpha w14:val="100000"/>
                    </w14:srgbClr>
                  </w14:solidFill>
                </w14:textFill>
              </w:rPr>
              <w:t>|</w:t>
            </w:r>
            <w:r w:rsidR="00075C05" w:rsidRPr="00075C05">
              <w:rPr>
                <w:b w:val="0"/>
                <w:bCs/>
                <w:color w:val="000000"/>
                <w:szCs w:val="20"/>
                <w:vertAlign w:val="superscript"/>
              </w:rPr>
              <w:t>4</w:t>
            </w:r>
          </w:p>
        </w:tc>
      </w:tr>
      <w:tr w:rsidR="003C149F" w:rsidRPr="002106BA" w14:paraId="721B4112" w14:textId="77777777" w:rsidTr="009B1087">
        <w:tc>
          <w:tcPr>
            <w:tcW w:w="5000" w:type="pct"/>
            <w:gridSpan w:val="7"/>
            <w:shd w:val="clear" w:color="auto" w:fill="auto"/>
            <w:vAlign w:val="center"/>
          </w:tcPr>
          <w:p w14:paraId="3578B096" w14:textId="0F14C0B0" w:rsidR="003C149F" w:rsidRPr="002106BA" w:rsidRDefault="003C149F" w:rsidP="009B1087">
            <w:pPr>
              <w:pStyle w:val="COMTableheadingrow"/>
              <w:rPr>
                <w:lang w:val="en-AU"/>
              </w:rPr>
            </w:pPr>
            <w:r w:rsidRPr="002106BA">
              <w:rPr>
                <w:lang w:val="en-AU"/>
              </w:rPr>
              <w:t xml:space="preserve">Net financial implications </w:t>
            </w:r>
            <w:r w:rsidR="00CB44EA" w:rsidRPr="002106BA">
              <w:rPr>
                <w:lang w:val="en-AU"/>
              </w:rPr>
              <w:t>to the PBS/RPBS/MBS</w:t>
            </w:r>
          </w:p>
        </w:tc>
      </w:tr>
      <w:tr w:rsidR="003C149F" w:rsidRPr="002106BA" w14:paraId="435641F4" w14:textId="77777777" w:rsidTr="009B1087">
        <w:tc>
          <w:tcPr>
            <w:tcW w:w="1569" w:type="pct"/>
            <w:shd w:val="clear" w:color="auto" w:fill="auto"/>
            <w:vAlign w:val="center"/>
          </w:tcPr>
          <w:p w14:paraId="1A9C3824" w14:textId="77777777" w:rsidR="003C149F" w:rsidRPr="002106BA" w:rsidRDefault="003C149F" w:rsidP="009B1087">
            <w:pPr>
              <w:pStyle w:val="COMTabletext"/>
            </w:pPr>
            <w:r w:rsidRPr="002106BA">
              <w:t>Net cost to PBS/RPBS</w:t>
            </w:r>
          </w:p>
        </w:tc>
        <w:tc>
          <w:tcPr>
            <w:tcW w:w="572" w:type="pct"/>
            <w:shd w:val="clear" w:color="auto" w:fill="auto"/>
            <w:vAlign w:val="center"/>
          </w:tcPr>
          <w:p w14:paraId="7622866E" w14:textId="17A185C8"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403"/>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403"/>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403"/>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258C237F" w14:textId="43F2FF45" w:rsidR="003C149F" w:rsidRPr="00DC31BD" w:rsidRDefault="00DD7F0E" w:rsidP="009B1087">
            <w:pPr>
              <w:pStyle w:val="TableText"/>
              <w:rPr>
                <w:b w:val="0"/>
                <w:bCs/>
                <w:highlight w:val="darkGray"/>
              </w:rPr>
            </w:pPr>
            <w:r w:rsidRPr="00DD7F0E">
              <w:rPr>
                <w:rFonts w:hint="eastAsia"/>
                <w:b w:val="0"/>
                <w:bCs/>
                <w:color w:val="000000"/>
                <w:w w:val="23"/>
                <w:szCs w:val="20"/>
                <w:shd w:val="solid" w:color="000000" w:fill="000000"/>
                <w:fitText w:val="106" w:id="-761617152"/>
                <w14:textFill>
                  <w14:solidFill>
                    <w14:srgbClr w14:val="000000">
                      <w14:alpha w14:val="100000"/>
                    </w14:srgbClr>
                  </w14:solidFill>
                </w14:textFill>
              </w:rPr>
              <w:t xml:space="preserve">　</w:t>
            </w:r>
            <w:r w:rsidRPr="00DD7F0E">
              <w:rPr>
                <w:b w:val="0"/>
                <w:bCs/>
                <w:color w:val="000000"/>
                <w:w w:val="23"/>
                <w:szCs w:val="20"/>
                <w:shd w:val="solid" w:color="000000" w:fill="000000"/>
                <w:fitText w:val="106" w:id="-761617152"/>
                <w14:textFill>
                  <w14:solidFill>
                    <w14:srgbClr w14:val="000000">
                      <w14:alpha w14:val="100000"/>
                    </w14:srgbClr>
                  </w14:solidFill>
                </w14:textFill>
              </w:rPr>
              <w:t>|</w:t>
            </w:r>
            <w:r w:rsidRPr="00DD7F0E">
              <w:rPr>
                <w:rFonts w:hint="eastAsia"/>
                <w:b w:val="0"/>
                <w:bCs/>
                <w:color w:val="000000"/>
                <w:spacing w:val="5"/>
                <w:w w:val="23"/>
                <w:szCs w:val="20"/>
                <w:shd w:val="solid" w:color="000000" w:fill="000000"/>
                <w:fitText w:val="106" w:id="-761617152"/>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0C3A8A98" w14:textId="5A3CC474"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151"/>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51"/>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51"/>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3CE39953" w14:textId="182E7513"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150"/>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50"/>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50"/>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027DD029" w14:textId="0182F851"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149"/>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9"/>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9"/>
                <w14:textFill>
                  <w14:solidFill>
                    <w14:srgbClr w14:val="000000">
                      <w14:alpha w14:val="100000"/>
                    </w14:srgbClr>
                  </w14:solidFill>
                </w14:textFill>
              </w:rPr>
              <w:t xml:space="preserve">　</w:t>
            </w:r>
            <w:r w:rsidR="00695309" w:rsidRPr="00E43661">
              <w:rPr>
                <w:b w:val="0"/>
                <w:bCs/>
                <w:vertAlign w:val="superscript"/>
              </w:rPr>
              <w:t>2</w:t>
            </w:r>
          </w:p>
        </w:tc>
        <w:tc>
          <w:tcPr>
            <w:tcW w:w="571" w:type="pct"/>
            <w:vAlign w:val="center"/>
          </w:tcPr>
          <w:p w14:paraId="2FA7618E" w14:textId="1FB87270" w:rsidR="003C149F" w:rsidRPr="00DC31BD" w:rsidRDefault="00DD7F0E" w:rsidP="009B1087">
            <w:pPr>
              <w:pStyle w:val="TableText"/>
              <w:rPr>
                <w:b w:val="0"/>
                <w:bCs/>
                <w:highlight w:val="darkGray"/>
              </w:rPr>
            </w:pPr>
            <w:r w:rsidRPr="00DD7F0E">
              <w:rPr>
                <w:rFonts w:hint="eastAsia"/>
                <w:b w:val="0"/>
                <w:bCs/>
                <w:color w:val="000000"/>
                <w:w w:val="24"/>
                <w:szCs w:val="20"/>
                <w:shd w:val="solid" w:color="000000" w:fill="000000"/>
                <w:fitText w:val="107" w:id="-761617148"/>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8"/>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8"/>
                <w14:textFill>
                  <w14:solidFill>
                    <w14:srgbClr w14:val="000000">
                      <w14:alpha w14:val="100000"/>
                    </w14:srgbClr>
                  </w14:solidFill>
                </w14:textFill>
              </w:rPr>
              <w:t xml:space="preserve">　</w:t>
            </w:r>
            <w:r w:rsidR="00695309" w:rsidRPr="00E43661">
              <w:rPr>
                <w:b w:val="0"/>
                <w:bCs/>
                <w:vertAlign w:val="superscript"/>
              </w:rPr>
              <w:t>2</w:t>
            </w:r>
          </w:p>
        </w:tc>
      </w:tr>
      <w:tr w:rsidR="009A6986" w:rsidRPr="002106BA" w14:paraId="3314664B" w14:textId="77777777" w:rsidTr="009A6986">
        <w:tc>
          <w:tcPr>
            <w:tcW w:w="1569" w:type="pct"/>
            <w:shd w:val="clear" w:color="auto" w:fill="auto"/>
            <w:vAlign w:val="center"/>
          </w:tcPr>
          <w:p w14:paraId="4D501D5A" w14:textId="187F5414" w:rsidR="009A6986" w:rsidRPr="002106BA" w:rsidRDefault="009A6986" w:rsidP="009A6986">
            <w:pPr>
              <w:pStyle w:val="COMTabletext"/>
            </w:pPr>
            <w:r w:rsidRPr="002106BA">
              <w:t>Net cost to PBS/RPBS (PSCR)</w:t>
            </w:r>
          </w:p>
        </w:tc>
        <w:tc>
          <w:tcPr>
            <w:tcW w:w="572" w:type="pct"/>
            <w:shd w:val="clear" w:color="auto" w:fill="auto"/>
            <w:vAlign w:val="bottom"/>
          </w:tcPr>
          <w:p w14:paraId="1582DC77" w14:textId="2EC3AED4" w:rsidR="009A6986" w:rsidRPr="00DC31BD" w:rsidRDefault="00DD7F0E" w:rsidP="009A6986">
            <w:pPr>
              <w:pStyle w:val="TableText"/>
              <w:rPr>
                <w:b w:val="0"/>
                <w:bCs/>
                <w:color w:val="000000"/>
                <w:szCs w:val="20"/>
                <w:highlight w:val="darkGray"/>
              </w:rPr>
            </w:pPr>
            <w:r w:rsidRPr="00DD7F0E">
              <w:rPr>
                <w:rFonts w:hint="eastAsia"/>
                <w:b w:val="0"/>
                <w:bCs/>
                <w:color w:val="000000"/>
                <w:w w:val="24"/>
                <w:szCs w:val="20"/>
                <w:shd w:val="solid" w:color="000000" w:fill="000000"/>
                <w:fitText w:val="107" w:id="-761617147"/>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7"/>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7"/>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bottom"/>
          </w:tcPr>
          <w:p w14:paraId="585081BE" w14:textId="50361DDA" w:rsidR="009A6986" w:rsidRPr="00DC31BD" w:rsidRDefault="00DD7F0E" w:rsidP="009A6986">
            <w:pPr>
              <w:pStyle w:val="TableText"/>
              <w:rPr>
                <w:b w:val="0"/>
                <w:bCs/>
                <w:color w:val="000000"/>
                <w:szCs w:val="20"/>
                <w:highlight w:val="darkGray"/>
              </w:rPr>
            </w:pPr>
            <w:r w:rsidRPr="00DD7F0E">
              <w:rPr>
                <w:rFonts w:hint="eastAsia"/>
                <w:b w:val="0"/>
                <w:bCs/>
                <w:color w:val="000000"/>
                <w:w w:val="23"/>
                <w:szCs w:val="20"/>
                <w:shd w:val="solid" w:color="000000" w:fill="000000"/>
                <w:fitText w:val="106" w:id="-761617146"/>
                <w14:textFill>
                  <w14:solidFill>
                    <w14:srgbClr w14:val="000000">
                      <w14:alpha w14:val="100000"/>
                    </w14:srgbClr>
                  </w14:solidFill>
                </w14:textFill>
              </w:rPr>
              <w:t xml:space="preserve">　</w:t>
            </w:r>
            <w:r w:rsidRPr="00DD7F0E">
              <w:rPr>
                <w:b w:val="0"/>
                <w:bCs/>
                <w:color w:val="000000"/>
                <w:w w:val="23"/>
                <w:szCs w:val="20"/>
                <w:shd w:val="solid" w:color="000000" w:fill="000000"/>
                <w:fitText w:val="106" w:id="-761617146"/>
                <w14:textFill>
                  <w14:solidFill>
                    <w14:srgbClr w14:val="000000">
                      <w14:alpha w14:val="100000"/>
                    </w14:srgbClr>
                  </w14:solidFill>
                </w14:textFill>
              </w:rPr>
              <w:t>|</w:t>
            </w:r>
            <w:r w:rsidRPr="00DD7F0E">
              <w:rPr>
                <w:rFonts w:hint="eastAsia"/>
                <w:b w:val="0"/>
                <w:bCs/>
                <w:color w:val="000000"/>
                <w:spacing w:val="5"/>
                <w:w w:val="23"/>
                <w:szCs w:val="20"/>
                <w:shd w:val="solid" w:color="000000" w:fill="000000"/>
                <w:fitText w:val="106" w:id="-761617146"/>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bottom"/>
          </w:tcPr>
          <w:p w14:paraId="238E3EED" w14:textId="27AFB8AF" w:rsidR="009A6986" w:rsidRPr="00DC31BD" w:rsidRDefault="00DD7F0E" w:rsidP="009A6986">
            <w:pPr>
              <w:pStyle w:val="TableText"/>
              <w:rPr>
                <w:b w:val="0"/>
                <w:bCs/>
                <w:color w:val="000000"/>
                <w:szCs w:val="20"/>
                <w:highlight w:val="darkGray"/>
              </w:rPr>
            </w:pPr>
            <w:r w:rsidRPr="00DD7F0E">
              <w:rPr>
                <w:rFonts w:hint="eastAsia"/>
                <w:b w:val="0"/>
                <w:bCs/>
                <w:color w:val="000000"/>
                <w:w w:val="24"/>
                <w:szCs w:val="20"/>
                <w:shd w:val="solid" w:color="000000" w:fill="000000"/>
                <w:fitText w:val="107" w:id="-761617145"/>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5"/>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5"/>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bottom"/>
          </w:tcPr>
          <w:p w14:paraId="2310C8F7" w14:textId="035A2486" w:rsidR="009A6986" w:rsidRPr="00DC31BD" w:rsidRDefault="00DD7F0E" w:rsidP="009A6986">
            <w:pPr>
              <w:pStyle w:val="TableText"/>
              <w:rPr>
                <w:b w:val="0"/>
                <w:bCs/>
                <w:color w:val="000000"/>
                <w:szCs w:val="20"/>
                <w:highlight w:val="darkGray"/>
              </w:rPr>
            </w:pPr>
            <w:r w:rsidRPr="00DD7F0E">
              <w:rPr>
                <w:rFonts w:hint="eastAsia"/>
                <w:b w:val="0"/>
                <w:bCs/>
                <w:color w:val="000000"/>
                <w:w w:val="24"/>
                <w:szCs w:val="20"/>
                <w:shd w:val="solid" w:color="000000" w:fill="000000"/>
                <w:fitText w:val="107" w:id="-761617144"/>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4"/>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4"/>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bottom"/>
          </w:tcPr>
          <w:p w14:paraId="55FA6E6A" w14:textId="0367C11B" w:rsidR="009A6986" w:rsidRPr="00DC31BD" w:rsidRDefault="00DD7F0E" w:rsidP="009A6986">
            <w:pPr>
              <w:pStyle w:val="TableText"/>
              <w:rPr>
                <w:b w:val="0"/>
                <w:bCs/>
                <w:color w:val="000000"/>
                <w:szCs w:val="20"/>
                <w:highlight w:val="darkGray"/>
              </w:rPr>
            </w:pPr>
            <w:r w:rsidRPr="00DD7F0E">
              <w:rPr>
                <w:rFonts w:hint="eastAsia"/>
                <w:b w:val="0"/>
                <w:bCs/>
                <w:color w:val="000000"/>
                <w:w w:val="24"/>
                <w:szCs w:val="20"/>
                <w:shd w:val="solid" w:color="000000" w:fill="000000"/>
                <w:fitText w:val="107" w:id="-761617143"/>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3"/>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3"/>
                <w14:textFill>
                  <w14:solidFill>
                    <w14:srgbClr w14:val="000000">
                      <w14:alpha w14:val="100000"/>
                    </w14:srgbClr>
                  </w14:solidFill>
                </w14:textFill>
              </w:rPr>
              <w:t xml:space="preserve">　</w:t>
            </w:r>
            <w:r w:rsidR="00695309" w:rsidRPr="00E43661">
              <w:rPr>
                <w:b w:val="0"/>
                <w:bCs/>
                <w:vertAlign w:val="superscript"/>
              </w:rPr>
              <w:t>2</w:t>
            </w:r>
          </w:p>
        </w:tc>
        <w:tc>
          <w:tcPr>
            <w:tcW w:w="571" w:type="pct"/>
            <w:vAlign w:val="bottom"/>
          </w:tcPr>
          <w:p w14:paraId="036ACBAD" w14:textId="090FF4B5" w:rsidR="009A6986" w:rsidRPr="00DC31BD" w:rsidRDefault="00DD7F0E" w:rsidP="009A6986">
            <w:pPr>
              <w:pStyle w:val="TableText"/>
              <w:rPr>
                <w:b w:val="0"/>
                <w:bCs/>
                <w:color w:val="000000"/>
                <w:szCs w:val="20"/>
                <w:highlight w:val="darkGray"/>
              </w:rPr>
            </w:pPr>
            <w:r w:rsidRPr="00DD7F0E">
              <w:rPr>
                <w:rFonts w:hint="eastAsia"/>
                <w:b w:val="0"/>
                <w:bCs/>
                <w:color w:val="000000"/>
                <w:w w:val="24"/>
                <w:szCs w:val="20"/>
                <w:shd w:val="solid" w:color="000000" w:fill="000000"/>
                <w:fitText w:val="107" w:id="-761617142"/>
                <w14:textFill>
                  <w14:solidFill>
                    <w14:srgbClr w14:val="000000">
                      <w14:alpha w14:val="100000"/>
                    </w14:srgbClr>
                  </w14:solidFill>
                </w14:textFill>
              </w:rPr>
              <w:t xml:space="preserve">　</w:t>
            </w:r>
            <w:r w:rsidRPr="00DD7F0E">
              <w:rPr>
                <w:b w:val="0"/>
                <w:bCs/>
                <w:color w:val="000000"/>
                <w:w w:val="24"/>
                <w:szCs w:val="20"/>
                <w:shd w:val="solid" w:color="000000" w:fill="000000"/>
                <w:fitText w:val="107" w:id="-761617142"/>
                <w14:textFill>
                  <w14:solidFill>
                    <w14:srgbClr w14:val="000000">
                      <w14:alpha w14:val="100000"/>
                    </w14:srgbClr>
                  </w14:solidFill>
                </w14:textFill>
              </w:rPr>
              <w:t>|</w:t>
            </w:r>
            <w:r w:rsidRPr="00DD7F0E">
              <w:rPr>
                <w:rFonts w:hint="eastAsia"/>
                <w:b w:val="0"/>
                <w:bCs/>
                <w:color w:val="000000"/>
                <w:spacing w:val="3"/>
                <w:w w:val="24"/>
                <w:szCs w:val="20"/>
                <w:shd w:val="solid" w:color="000000" w:fill="000000"/>
                <w:fitText w:val="107" w:id="-761617142"/>
                <w14:textFill>
                  <w14:solidFill>
                    <w14:srgbClr w14:val="000000">
                      <w14:alpha w14:val="100000"/>
                    </w14:srgbClr>
                  </w14:solidFill>
                </w14:textFill>
              </w:rPr>
              <w:t xml:space="preserve">　</w:t>
            </w:r>
            <w:r w:rsidR="00695309" w:rsidRPr="00E43661">
              <w:rPr>
                <w:b w:val="0"/>
                <w:bCs/>
                <w:vertAlign w:val="superscript"/>
              </w:rPr>
              <w:t>2</w:t>
            </w:r>
          </w:p>
        </w:tc>
      </w:tr>
      <w:tr w:rsidR="00A21CEC" w:rsidRPr="002106BA" w14:paraId="07D46346" w14:textId="77777777" w:rsidTr="00F37248">
        <w:tc>
          <w:tcPr>
            <w:tcW w:w="1569" w:type="pct"/>
            <w:shd w:val="clear" w:color="auto" w:fill="auto"/>
            <w:vAlign w:val="center"/>
          </w:tcPr>
          <w:p w14:paraId="5F2D156A" w14:textId="3D2C0C49" w:rsidR="00A21CEC" w:rsidRPr="00727298" w:rsidRDefault="00A21CEC" w:rsidP="00A21CEC">
            <w:pPr>
              <w:pStyle w:val="COMTabletext"/>
              <w:rPr>
                <w:rFonts w:ascii="Times" w:hAnsi="Times"/>
              </w:rPr>
            </w:pPr>
            <w:r w:rsidRPr="00727298">
              <w:t xml:space="preserve">Net cost to </w:t>
            </w:r>
            <w:proofErr w:type="spellStart"/>
            <w:r w:rsidRPr="00727298">
              <w:t>MBS</w:t>
            </w:r>
            <w:r w:rsidRPr="00727298">
              <w:rPr>
                <w:vertAlign w:val="superscript"/>
              </w:rPr>
              <w:t>b</w:t>
            </w:r>
            <w:proofErr w:type="spellEnd"/>
          </w:p>
        </w:tc>
        <w:tc>
          <w:tcPr>
            <w:tcW w:w="572" w:type="pct"/>
            <w:shd w:val="clear" w:color="auto" w:fill="auto"/>
          </w:tcPr>
          <w:p w14:paraId="5F9B734D" w14:textId="75FF8D98"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c>
          <w:tcPr>
            <w:tcW w:w="572" w:type="pct"/>
            <w:shd w:val="clear" w:color="auto" w:fill="auto"/>
          </w:tcPr>
          <w:p w14:paraId="69A32B1C" w14:textId="47966150"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c>
          <w:tcPr>
            <w:tcW w:w="572" w:type="pct"/>
            <w:shd w:val="clear" w:color="auto" w:fill="auto"/>
          </w:tcPr>
          <w:p w14:paraId="33B9BEB8" w14:textId="3CCDB4E9"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c>
          <w:tcPr>
            <w:tcW w:w="572" w:type="pct"/>
            <w:shd w:val="clear" w:color="auto" w:fill="auto"/>
          </w:tcPr>
          <w:p w14:paraId="77D661BF" w14:textId="77A2099E"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c>
          <w:tcPr>
            <w:tcW w:w="572" w:type="pct"/>
            <w:shd w:val="clear" w:color="auto" w:fill="auto"/>
          </w:tcPr>
          <w:p w14:paraId="7670D279" w14:textId="2B2BBBEC"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c>
          <w:tcPr>
            <w:tcW w:w="571" w:type="pct"/>
          </w:tcPr>
          <w:p w14:paraId="61474FFC" w14:textId="56AE8D27" w:rsidR="00A21CEC" w:rsidRPr="00727298" w:rsidRDefault="00A21CEC" w:rsidP="00A21CEC">
            <w:pPr>
              <w:pStyle w:val="TableText"/>
              <w:rPr>
                <w:b w:val="0"/>
                <w:bCs/>
              </w:rPr>
            </w:pPr>
            <w:r w:rsidRPr="0052771F">
              <w:rPr>
                <w:color w:val="000000"/>
                <w:spacing w:val="68"/>
                <w:shd w:val="solid" w:color="000000" w:fill="000000"/>
                <w14:textFill>
                  <w14:solidFill>
                    <w14:srgbClr w14:val="000000">
                      <w14:alpha w14:val="100000"/>
                    </w14:srgbClr>
                  </w14:solidFill>
                </w14:textFill>
              </w:rPr>
              <w:t>|</w:t>
            </w:r>
            <w:r w:rsidRPr="0052771F">
              <w:rPr>
                <w:color w:val="000000"/>
                <w:spacing w:val="1"/>
                <w:shd w:val="solid" w:color="000000" w:fill="000000"/>
                <w14:textFill>
                  <w14:solidFill>
                    <w14:srgbClr w14:val="000000">
                      <w14:alpha w14:val="100000"/>
                    </w14:srgbClr>
                  </w14:solidFill>
                </w14:textFill>
              </w:rPr>
              <w:t>|</w:t>
            </w:r>
            <w:r w:rsidRPr="0052771F">
              <w:rPr>
                <w:b w:val="0"/>
                <w:bCs/>
                <w:color w:val="000000"/>
                <w:szCs w:val="20"/>
                <w:vertAlign w:val="superscript"/>
              </w:rPr>
              <w:t>4</w:t>
            </w:r>
          </w:p>
        </w:tc>
      </w:tr>
      <w:tr w:rsidR="003C149F" w:rsidRPr="002106BA" w14:paraId="764A7B29" w14:textId="77777777" w:rsidTr="009B1087">
        <w:tc>
          <w:tcPr>
            <w:tcW w:w="1569" w:type="pct"/>
            <w:shd w:val="clear" w:color="auto" w:fill="auto"/>
            <w:vAlign w:val="center"/>
          </w:tcPr>
          <w:p w14:paraId="79F1170B" w14:textId="4EE8C7C5" w:rsidR="003C149F" w:rsidRPr="002106BA" w:rsidRDefault="003C149F" w:rsidP="009B1087">
            <w:pPr>
              <w:pStyle w:val="COMTabletext"/>
              <w:rPr>
                <w:b/>
                <w:bCs w:val="0"/>
              </w:rPr>
            </w:pPr>
            <w:r w:rsidRPr="002106BA">
              <w:rPr>
                <w:b/>
                <w:bCs w:val="0"/>
              </w:rPr>
              <w:t>Net cost to PBS/RPBS/MBS</w:t>
            </w:r>
            <w:r w:rsidR="009A6986" w:rsidRPr="002106BA">
              <w:rPr>
                <w:b/>
                <w:bCs w:val="0"/>
              </w:rPr>
              <w:t xml:space="preserve"> (</w:t>
            </w:r>
            <w:proofErr w:type="spellStart"/>
            <w:r w:rsidR="009A6986" w:rsidRPr="002106BA">
              <w:rPr>
                <w:b/>
                <w:bCs w:val="0"/>
              </w:rPr>
              <w:t>submission</w:t>
            </w:r>
            <w:r w:rsidR="009A6986" w:rsidRPr="002106BA">
              <w:rPr>
                <w:b/>
                <w:bCs w:val="0"/>
                <w:vertAlign w:val="superscript"/>
              </w:rPr>
              <w:t>c</w:t>
            </w:r>
            <w:proofErr w:type="spellEnd"/>
            <w:r w:rsidR="009A6986" w:rsidRPr="002106BA">
              <w:rPr>
                <w:b/>
                <w:bCs w:val="0"/>
              </w:rPr>
              <w:t>)</w:t>
            </w:r>
          </w:p>
        </w:tc>
        <w:tc>
          <w:tcPr>
            <w:tcW w:w="572" w:type="pct"/>
            <w:shd w:val="clear" w:color="auto" w:fill="auto"/>
            <w:vAlign w:val="center"/>
          </w:tcPr>
          <w:p w14:paraId="310DFE0D" w14:textId="5000F9A3" w:rsidR="003C149F" w:rsidRPr="00DC31BD" w:rsidRDefault="00DD7F0E" w:rsidP="009B1087">
            <w:pPr>
              <w:pStyle w:val="TableText"/>
              <w:rPr>
                <w:highlight w:val="darkGray"/>
              </w:rPr>
            </w:pPr>
            <w:r w:rsidRPr="00DD7F0E">
              <w:rPr>
                <w:rFonts w:hint="eastAsia"/>
                <w:color w:val="000000"/>
                <w:w w:val="32"/>
                <w:shd w:val="solid" w:color="000000" w:fill="000000"/>
                <w:fitText w:val="146" w:id="-761617141"/>
                <w14:textFill>
                  <w14:solidFill>
                    <w14:srgbClr w14:val="000000">
                      <w14:alpha w14:val="100000"/>
                    </w14:srgbClr>
                  </w14:solidFill>
                </w14:textFill>
              </w:rPr>
              <w:t xml:space="preserve">　</w:t>
            </w:r>
            <w:r w:rsidRPr="00DD7F0E">
              <w:rPr>
                <w:color w:val="000000"/>
                <w:w w:val="32"/>
                <w:shd w:val="solid" w:color="000000" w:fill="000000"/>
                <w:fitText w:val="146" w:id="-761617141"/>
                <w14:textFill>
                  <w14:solidFill>
                    <w14:srgbClr w14:val="000000">
                      <w14:alpha w14:val="100000"/>
                    </w14:srgbClr>
                  </w14:solidFill>
                </w14:textFill>
              </w:rPr>
              <w:t>|</w:t>
            </w:r>
            <w:r w:rsidRPr="00DD7F0E">
              <w:rPr>
                <w:rFonts w:hint="eastAsia"/>
                <w:color w:val="000000"/>
                <w:spacing w:val="6"/>
                <w:w w:val="32"/>
                <w:shd w:val="solid" w:color="000000" w:fill="000000"/>
                <w:fitText w:val="146" w:id="-761617141"/>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00D818B6" w14:textId="60870FA2" w:rsidR="003C149F" w:rsidRPr="00DC31BD" w:rsidRDefault="00DD7F0E" w:rsidP="009B1087">
            <w:pPr>
              <w:pStyle w:val="TableText"/>
              <w:rPr>
                <w:highlight w:val="darkGray"/>
              </w:rPr>
            </w:pPr>
            <w:r w:rsidRPr="00DD7F0E">
              <w:rPr>
                <w:rFonts w:hint="eastAsia"/>
                <w:color w:val="000000"/>
                <w:w w:val="32"/>
                <w:shd w:val="solid" w:color="000000" w:fill="000000"/>
                <w:fitText w:val="147" w:id="-761617140"/>
                <w14:textFill>
                  <w14:solidFill>
                    <w14:srgbClr w14:val="000000">
                      <w14:alpha w14:val="100000"/>
                    </w14:srgbClr>
                  </w14:solidFill>
                </w14:textFill>
              </w:rPr>
              <w:t xml:space="preserve">　</w:t>
            </w:r>
            <w:r w:rsidRPr="00DD7F0E">
              <w:rPr>
                <w:color w:val="000000"/>
                <w:w w:val="32"/>
                <w:shd w:val="solid" w:color="000000" w:fill="000000"/>
                <w:fitText w:val="147" w:id="-761617140"/>
                <w14:textFill>
                  <w14:solidFill>
                    <w14:srgbClr w14:val="000000">
                      <w14:alpha w14:val="100000"/>
                    </w14:srgbClr>
                  </w14:solidFill>
                </w14:textFill>
              </w:rPr>
              <w:t>|</w:t>
            </w:r>
            <w:r w:rsidRPr="00DD7F0E">
              <w:rPr>
                <w:rFonts w:hint="eastAsia"/>
                <w:color w:val="000000"/>
                <w:spacing w:val="7"/>
                <w:w w:val="32"/>
                <w:shd w:val="solid" w:color="000000" w:fill="000000"/>
                <w:fitText w:val="147" w:id="-761617140"/>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7D38A560" w14:textId="6C6F4D02" w:rsidR="003C149F" w:rsidRPr="00DC31BD" w:rsidRDefault="00DD7F0E" w:rsidP="009B1087">
            <w:pPr>
              <w:pStyle w:val="TableText"/>
              <w:rPr>
                <w:highlight w:val="darkGray"/>
              </w:rPr>
            </w:pPr>
            <w:r w:rsidRPr="00DD7F0E">
              <w:rPr>
                <w:rFonts w:hint="eastAsia"/>
                <w:color w:val="000000"/>
                <w:w w:val="32"/>
                <w:shd w:val="solid" w:color="000000" w:fill="000000"/>
                <w:fitText w:val="147" w:id="-761617139"/>
                <w14:textFill>
                  <w14:solidFill>
                    <w14:srgbClr w14:val="000000">
                      <w14:alpha w14:val="100000"/>
                    </w14:srgbClr>
                  </w14:solidFill>
                </w14:textFill>
              </w:rPr>
              <w:t xml:space="preserve">　</w:t>
            </w:r>
            <w:r w:rsidRPr="00DD7F0E">
              <w:rPr>
                <w:color w:val="000000"/>
                <w:w w:val="32"/>
                <w:shd w:val="solid" w:color="000000" w:fill="000000"/>
                <w:fitText w:val="147" w:id="-761617139"/>
                <w14:textFill>
                  <w14:solidFill>
                    <w14:srgbClr w14:val="000000">
                      <w14:alpha w14:val="100000"/>
                    </w14:srgbClr>
                  </w14:solidFill>
                </w14:textFill>
              </w:rPr>
              <w:t>|</w:t>
            </w:r>
            <w:r w:rsidRPr="00DD7F0E">
              <w:rPr>
                <w:rFonts w:hint="eastAsia"/>
                <w:color w:val="000000"/>
                <w:spacing w:val="7"/>
                <w:w w:val="32"/>
                <w:shd w:val="solid" w:color="000000" w:fill="000000"/>
                <w:fitText w:val="147" w:id="-761617139"/>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012D5AFA" w14:textId="42583A12" w:rsidR="003C149F" w:rsidRPr="00DC31BD" w:rsidRDefault="00DD7F0E" w:rsidP="009B1087">
            <w:pPr>
              <w:pStyle w:val="TableText"/>
              <w:rPr>
                <w:highlight w:val="darkGray"/>
              </w:rPr>
            </w:pPr>
            <w:r w:rsidRPr="00DD7F0E">
              <w:rPr>
                <w:rFonts w:hint="eastAsia"/>
                <w:color w:val="000000"/>
                <w:w w:val="32"/>
                <w:shd w:val="solid" w:color="000000" w:fill="000000"/>
                <w:fitText w:val="147" w:id="-761617138"/>
                <w14:textFill>
                  <w14:solidFill>
                    <w14:srgbClr w14:val="000000">
                      <w14:alpha w14:val="100000"/>
                    </w14:srgbClr>
                  </w14:solidFill>
                </w14:textFill>
              </w:rPr>
              <w:t xml:space="preserve">　</w:t>
            </w:r>
            <w:r w:rsidRPr="00DD7F0E">
              <w:rPr>
                <w:color w:val="000000"/>
                <w:w w:val="32"/>
                <w:shd w:val="solid" w:color="000000" w:fill="000000"/>
                <w:fitText w:val="147" w:id="-761617138"/>
                <w14:textFill>
                  <w14:solidFill>
                    <w14:srgbClr w14:val="000000">
                      <w14:alpha w14:val="100000"/>
                    </w14:srgbClr>
                  </w14:solidFill>
                </w14:textFill>
              </w:rPr>
              <w:t>|</w:t>
            </w:r>
            <w:r w:rsidRPr="00DD7F0E">
              <w:rPr>
                <w:rFonts w:hint="eastAsia"/>
                <w:color w:val="000000"/>
                <w:spacing w:val="7"/>
                <w:w w:val="32"/>
                <w:shd w:val="solid" w:color="000000" w:fill="000000"/>
                <w:fitText w:val="147" w:id="-761617138"/>
                <w14:textFill>
                  <w14:solidFill>
                    <w14:srgbClr w14:val="000000">
                      <w14:alpha w14:val="100000"/>
                    </w14:srgbClr>
                  </w14:solidFill>
                </w14:textFill>
              </w:rPr>
              <w:t xml:space="preserve">　</w:t>
            </w:r>
            <w:r w:rsidR="00695309" w:rsidRPr="00E43661">
              <w:rPr>
                <w:b w:val="0"/>
                <w:bCs/>
                <w:vertAlign w:val="superscript"/>
              </w:rPr>
              <w:t>2</w:t>
            </w:r>
          </w:p>
        </w:tc>
        <w:tc>
          <w:tcPr>
            <w:tcW w:w="572" w:type="pct"/>
            <w:shd w:val="clear" w:color="auto" w:fill="auto"/>
            <w:vAlign w:val="center"/>
          </w:tcPr>
          <w:p w14:paraId="4407D4A7" w14:textId="2AC9114A" w:rsidR="003C149F" w:rsidRPr="00DC31BD" w:rsidRDefault="00DD7F0E" w:rsidP="009B1087">
            <w:pPr>
              <w:pStyle w:val="TableText"/>
              <w:rPr>
                <w:highlight w:val="darkGray"/>
              </w:rPr>
            </w:pPr>
            <w:r w:rsidRPr="00DD7F0E">
              <w:rPr>
                <w:rFonts w:hint="eastAsia"/>
                <w:color w:val="000000"/>
                <w:w w:val="32"/>
                <w:shd w:val="solid" w:color="000000" w:fill="000000"/>
                <w:fitText w:val="146" w:id="-761617137"/>
                <w14:textFill>
                  <w14:solidFill>
                    <w14:srgbClr w14:val="000000">
                      <w14:alpha w14:val="100000"/>
                    </w14:srgbClr>
                  </w14:solidFill>
                </w14:textFill>
              </w:rPr>
              <w:t xml:space="preserve">　</w:t>
            </w:r>
            <w:r w:rsidRPr="00DD7F0E">
              <w:rPr>
                <w:color w:val="000000"/>
                <w:w w:val="32"/>
                <w:shd w:val="solid" w:color="000000" w:fill="000000"/>
                <w:fitText w:val="146" w:id="-761617137"/>
                <w14:textFill>
                  <w14:solidFill>
                    <w14:srgbClr w14:val="000000">
                      <w14:alpha w14:val="100000"/>
                    </w14:srgbClr>
                  </w14:solidFill>
                </w14:textFill>
              </w:rPr>
              <w:t>|</w:t>
            </w:r>
            <w:r w:rsidRPr="00DD7F0E">
              <w:rPr>
                <w:rFonts w:hint="eastAsia"/>
                <w:color w:val="000000"/>
                <w:spacing w:val="6"/>
                <w:w w:val="32"/>
                <w:shd w:val="solid" w:color="000000" w:fill="000000"/>
                <w:fitText w:val="146" w:id="-761617137"/>
                <w14:textFill>
                  <w14:solidFill>
                    <w14:srgbClr w14:val="000000">
                      <w14:alpha w14:val="100000"/>
                    </w14:srgbClr>
                  </w14:solidFill>
                </w14:textFill>
              </w:rPr>
              <w:t xml:space="preserve">　</w:t>
            </w:r>
            <w:r w:rsidR="00695309" w:rsidRPr="00E43661">
              <w:rPr>
                <w:b w:val="0"/>
                <w:bCs/>
                <w:vertAlign w:val="superscript"/>
              </w:rPr>
              <w:t>2</w:t>
            </w:r>
          </w:p>
        </w:tc>
        <w:tc>
          <w:tcPr>
            <w:tcW w:w="571" w:type="pct"/>
            <w:vAlign w:val="center"/>
          </w:tcPr>
          <w:p w14:paraId="7B75EE78" w14:textId="24C011E4" w:rsidR="003C149F" w:rsidRPr="00DC31BD" w:rsidRDefault="00DD7F0E" w:rsidP="009B1087">
            <w:pPr>
              <w:pStyle w:val="TableText"/>
              <w:rPr>
                <w:highlight w:val="darkGray"/>
              </w:rPr>
            </w:pPr>
            <w:r>
              <w:rPr>
                <w:color w:val="000000"/>
                <w:spacing w:val="68"/>
                <w:shd w:val="solid" w:color="000000" w:fill="000000"/>
                <w:fitText w:val="160" w:id="-761617136"/>
                <w14:textFill>
                  <w14:solidFill>
                    <w14:srgbClr w14:val="000000">
                      <w14:alpha w14:val="100000"/>
                    </w14:srgbClr>
                  </w14:solidFill>
                </w14:textFill>
              </w:rPr>
              <w:t>|</w:t>
            </w:r>
            <w:r>
              <w:rPr>
                <w:color w:val="000000"/>
                <w:shd w:val="solid" w:color="000000" w:fill="000000"/>
                <w:fitText w:val="160" w:id="-761617136"/>
                <w14:textFill>
                  <w14:solidFill>
                    <w14:srgbClr w14:val="000000">
                      <w14:alpha w14:val="100000"/>
                    </w14:srgbClr>
                  </w14:solidFill>
                </w14:textFill>
              </w:rPr>
              <w:t>|</w:t>
            </w:r>
            <w:r w:rsidR="00695309" w:rsidRPr="00E43661">
              <w:rPr>
                <w:b w:val="0"/>
                <w:bCs/>
                <w:vertAlign w:val="superscript"/>
              </w:rPr>
              <w:t>2</w:t>
            </w:r>
          </w:p>
        </w:tc>
      </w:tr>
    </w:tbl>
    <w:p w14:paraId="2263C09E" w14:textId="21BBDA9E" w:rsidR="003C149F" w:rsidRPr="002106BA" w:rsidRDefault="003C149F" w:rsidP="003C149F">
      <w:pPr>
        <w:pStyle w:val="COMTablefooter"/>
      </w:pPr>
      <w:r w:rsidRPr="002106BA">
        <w:t>Source: Table 4.11, p85 of the submission; Section 4 financial implications Excel workbook</w:t>
      </w:r>
      <w:r w:rsidR="00BE7030" w:rsidRPr="002106BA">
        <w:t>; Table 3 of the PSCR</w:t>
      </w:r>
      <w:r w:rsidRPr="002106BA">
        <w:t>.</w:t>
      </w:r>
    </w:p>
    <w:p w14:paraId="67E13674" w14:textId="563997A9" w:rsidR="003C149F" w:rsidRPr="002106BA" w:rsidRDefault="003C149F" w:rsidP="003C149F">
      <w:pPr>
        <w:pStyle w:val="COMTablefooter"/>
      </w:pPr>
      <w:r w:rsidRPr="002106BA">
        <w:t xml:space="preserve">Abbreviations: PBS, </w:t>
      </w:r>
      <w:r w:rsidRPr="002106BA">
        <w:rPr>
          <w:szCs w:val="18"/>
        </w:rPr>
        <w:t>Pharmaceutical Benefits Scheme</w:t>
      </w:r>
      <w:r w:rsidRPr="002106BA">
        <w:t xml:space="preserve">; RPBS, </w:t>
      </w:r>
      <w:r w:rsidRPr="002106BA">
        <w:rPr>
          <w:szCs w:val="18"/>
        </w:rPr>
        <w:t>Repatriation Pharmaceutical Benefits Scheme</w:t>
      </w:r>
      <w:r w:rsidRPr="002106BA">
        <w:t>.</w:t>
      </w:r>
    </w:p>
    <w:p w14:paraId="45F2DDCD" w14:textId="77777777" w:rsidR="003C149F" w:rsidRPr="002106BA" w:rsidRDefault="003C149F" w:rsidP="003C149F">
      <w:pPr>
        <w:pStyle w:val="COMTablefooter"/>
      </w:pPr>
      <w:r w:rsidRPr="002106BA">
        <w:rPr>
          <w:vertAlign w:val="superscript"/>
        </w:rPr>
        <w:t>a</w:t>
      </w:r>
      <w:r w:rsidRPr="002106BA">
        <w:t xml:space="preserve"> Based on 4 scripts per patient per year, adjusted by treatment adherence of 99.88%, as estimated in the submission.</w:t>
      </w:r>
    </w:p>
    <w:p w14:paraId="1133DD43" w14:textId="77777777" w:rsidR="003C149F" w:rsidRPr="002106BA" w:rsidRDefault="003C149F" w:rsidP="003C149F">
      <w:pPr>
        <w:pStyle w:val="COMTablefooter"/>
      </w:pPr>
      <w:r w:rsidRPr="002106BA">
        <w:rPr>
          <w:vertAlign w:val="superscript"/>
        </w:rPr>
        <w:t xml:space="preserve">b </w:t>
      </w:r>
      <w:r w:rsidRPr="002106BA">
        <w:t>MBS costs associated with treatment administration: vutrisiran $98.44 (MBS item 116; 80% Schedule fee); patisiran $67.48 (MBS item 13950; 80% Schedule fee)</w:t>
      </w:r>
    </w:p>
    <w:p w14:paraId="7C8A3AB4" w14:textId="77777777" w:rsidR="00E43661" w:rsidRDefault="009A6986" w:rsidP="00E43661">
      <w:pPr>
        <w:pStyle w:val="COMTablefooter"/>
        <w:rPr>
          <w:b/>
          <w:i/>
        </w:rPr>
      </w:pPr>
      <w:r w:rsidRPr="002106BA">
        <w:rPr>
          <w:vertAlign w:val="superscript"/>
        </w:rPr>
        <w:t xml:space="preserve">c </w:t>
      </w:r>
      <w:r w:rsidRPr="002106BA">
        <w:t>MBS costs could not be updated for PSCR-adjusted figures and would change with differential patisiran use, therefore a final net cost to PBS/RPBS/MBS is not presented for PSCR-updated figures</w:t>
      </w:r>
      <w:r w:rsidR="00BE7030" w:rsidRPr="002106BA">
        <w:t>.</w:t>
      </w:r>
      <w:r w:rsidR="00E43661" w:rsidRPr="00E43661">
        <w:rPr>
          <w:b/>
          <w:i/>
        </w:rPr>
        <w:t xml:space="preserve"> </w:t>
      </w:r>
    </w:p>
    <w:p w14:paraId="464A891D" w14:textId="6A132BF5" w:rsidR="00E43661" w:rsidRPr="0027740B" w:rsidRDefault="00E43661" w:rsidP="00E43661">
      <w:pPr>
        <w:pStyle w:val="COMTablefooter"/>
        <w:rPr>
          <w:i/>
          <w:iCs/>
        </w:rPr>
      </w:pPr>
      <w:r w:rsidRPr="0027740B">
        <w:rPr>
          <w:i/>
          <w:iCs/>
        </w:rPr>
        <w:t>The redacted values correspond to the following ranges:</w:t>
      </w:r>
    </w:p>
    <w:p w14:paraId="6D42C61B" w14:textId="628A9D63" w:rsidR="00E43661" w:rsidRPr="0027740B" w:rsidRDefault="00E43661" w:rsidP="00E43661">
      <w:pPr>
        <w:pStyle w:val="COMTablefooter"/>
        <w:rPr>
          <w:i/>
          <w:iCs/>
        </w:rPr>
      </w:pPr>
      <w:r w:rsidRPr="0027740B">
        <w:rPr>
          <w:i/>
          <w:iCs/>
        </w:rPr>
        <w:t>1 &lt; 500</w:t>
      </w:r>
    </w:p>
    <w:p w14:paraId="35B6D945" w14:textId="1F9E0E90" w:rsidR="00E43661" w:rsidRPr="0027740B" w:rsidRDefault="00695309" w:rsidP="00E43661">
      <w:pPr>
        <w:pStyle w:val="COMTablefooter"/>
        <w:rPr>
          <w:i/>
          <w:iCs/>
        </w:rPr>
      </w:pPr>
      <w:r w:rsidRPr="0027740B">
        <w:rPr>
          <w:i/>
          <w:iCs/>
        </w:rPr>
        <w:t>2</w:t>
      </w:r>
      <w:r w:rsidR="00E43661" w:rsidRPr="0027740B">
        <w:rPr>
          <w:i/>
          <w:iCs/>
        </w:rPr>
        <w:t xml:space="preserve"> $0 to &lt; $10 million</w:t>
      </w:r>
    </w:p>
    <w:p w14:paraId="42B9EF6D" w14:textId="393B5B47" w:rsidR="00E43661" w:rsidRPr="0027740B" w:rsidRDefault="00695309" w:rsidP="00E43661">
      <w:pPr>
        <w:pStyle w:val="COMTablefooter"/>
        <w:rPr>
          <w:i/>
          <w:iCs/>
        </w:rPr>
      </w:pPr>
      <w:r w:rsidRPr="0027740B">
        <w:rPr>
          <w:i/>
          <w:iCs/>
        </w:rPr>
        <w:t>3</w:t>
      </w:r>
      <w:r w:rsidR="00E43661" w:rsidRPr="0027740B">
        <w:rPr>
          <w:i/>
          <w:iCs/>
        </w:rPr>
        <w:t xml:space="preserve"> $10 million to &lt; $20 million</w:t>
      </w:r>
    </w:p>
    <w:p w14:paraId="3996892E" w14:textId="216FC797" w:rsidR="009A6986" w:rsidRPr="002106BA" w:rsidRDefault="001F4E1B" w:rsidP="009A6986">
      <w:pPr>
        <w:pStyle w:val="COMTablefooter"/>
      </w:pPr>
      <w:r w:rsidRPr="0027740B">
        <w:rPr>
          <w:i/>
          <w:iCs/>
        </w:rPr>
        <w:t xml:space="preserve">4 </w:t>
      </w:r>
      <w:bookmarkStart w:id="69" w:name="_Hlk113629082"/>
      <w:r w:rsidRPr="0027740B">
        <w:rPr>
          <w:i/>
          <w:iCs/>
        </w:rPr>
        <w:t>net cost saving</w:t>
      </w:r>
      <w:bookmarkEnd w:id="69"/>
    </w:p>
    <w:p w14:paraId="388DB392" w14:textId="46DD40B6" w:rsidR="00127EA9" w:rsidRPr="002106BA" w:rsidRDefault="008B12F4" w:rsidP="00127EA9">
      <w:pPr>
        <w:pStyle w:val="COMexecsummnumbered"/>
      </w:pPr>
      <w:r w:rsidRPr="002106BA">
        <w:lastRenderedPageBreak/>
        <w:t xml:space="preserve">The submission’s estimates inappropriately included additional costs for grandfathered patients, who should be accounted for in prevalent population estimates. </w:t>
      </w:r>
      <w:r w:rsidR="00B35B11" w:rsidRPr="002106BA">
        <w:t xml:space="preserve">The </w:t>
      </w:r>
      <w:r w:rsidR="001D7AC5" w:rsidRPr="002106BA">
        <w:t xml:space="preserve">ESC agreed with the evaluation that </w:t>
      </w:r>
      <w:r w:rsidR="00B35B11" w:rsidRPr="002106BA">
        <w:t>inclusion of additional costs for grandfathered patients was not appropriate, as they should be accounted for in prevalent population estimates.</w:t>
      </w:r>
      <w:r w:rsidR="00127EA9" w:rsidRPr="002106BA">
        <w:t xml:space="preserve"> </w:t>
      </w:r>
    </w:p>
    <w:p w14:paraId="1CD2EFDF" w14:textId="5848B356" w:rsidR="00127EA9" w:rsidRPr="002106BA" w:rsidRDefault="00127EA9" w:rsidP="001D7AC5">
      <w:pPr>
        <w:pStyle w:val="COMexecsummnumbered"/>
      </w:pPr>
      <w:r w:rsidRPr="002106BA">
        <w:t xml:space="preserve">The PSCR </w:t>
      </w:r>
      <w:r w:rsidR="001D7AC5" w:rsidRPr="002106BA">
        <w:t xml:space="preserve">agreed with the evaluation’s finding that the submission had made an error when estimating the patisiran utilisation for substituted grandfathered patients. The calculation of substituted grandfathered patients had not been adjusted for uptake of vutrisiran and assumed that there would be no continuation of patisiran treatment beyond year 1; inconsistent with the approach used to estimate utilisation by grandfathered patients for vutrisiran. The PSCR </w:t>
      </w:r>
      <w:r w:rsidRPr="002106BA">
        <w:t>provided updated revised financial estimates to correct for this. These updates</w:t>
      </w:r>
      <w:r w:rsidR="00255173" w:rsidRPr="002106BA">
        <w:t xml:space="preserve"> were not evaluated, however appear</w:t>
      </w:r>
      <w:r w:rsidRPr="002106BA">
        <w:t xml:space="preserve"> only</w:t>
      </w:r>
      <w:r w:rsidR="00255173" w:rsidRPr="002106BA">
        <w:t xml:space="preserve"> to</w:t>
      </w:r>
      <w:r w:rsidRPr="002106BA">
        <w:t xml:space="preserve"> impact the cost of substituted patisiran</w:t>
      </w:r>
      <w:r w:rsidR="00382747" w:rsidRPr="002106BA">
        <w:t>.</w:t>
      </w:r>
      <w:r w:rsidRPr="002106BA">
        <w:t xml:space="preserve"> </w:t>
      </w:r>
      <w:r w:rsidR="00382747" w:rsidRPr="002106BA">
        <w:t>T</w:t>
      </w:r>
      <w:r w:rsidRPr="002106BA">
        <w:t>he utilisation and financial estimates table has been updated to present these alongside the original submission estimates.</w:t>
      </w:r>
      <w:r w:rsidR="00382747" w:rsidRPr="002106BA">
        <w:t xml:space="preserve"> </w:t>
      </w:r>
    </w:p>
    <w:p w14:paraId="3906C069" w14:textId="5107AAB7" w:rsidR="008B12F4" w:rsidRPr="002106BA" w:rsidRDefault="00127EA9" w:rsidP="00127EA9">
      <w:pPr>
        <w:pStyle w:val="COMexecsummnumbered"/>
      </w:pPr>
      <w:bookmarkStart w:id="70" w:name="_Ref182406430"/>
      <w:r w:rsidRPr="002106BA">
        <w:t>The PSCR further argued the suggestion that grandfather</w:t>
      </w:r>
      <w:r w:rsidR="00513FFA" w:rsidRPr="002106BA">
        <w:t>ed</w:t>
      </w:r>
      <w:r w:rsidRPr="002106BA">
        <w:t xml:space="preserve"> patients should be included in the prevalent population was reasonable if all these patients are receiving treatment with patisiran; however, the </w:t>
      </w:r>
      <w:r w:rsidR="00EB02A5" w:rsidRPr="002106BA">
        <w:t xml:space="preserve">assumed </w:t>
      </w:r>
      <w:r w:rsidRPr="002106BA">
        <w:t xml:space="preserve">uptake of patisiran in 2025 is only 50% of the total eligible population (per Table 14), therefore there are an estimated </w:t>
      </w:r>
      <w:r w:rsidR="0027740B">
        <w:t>&lt; 500</w:t>
      </w:r>
      <w:r w:rsidR="0027740B" w:rsidRPr="002106BA">
        <w:t xml:space="preserve"> </w:t>
      </w:r>
      <w:r w:rsidRPr="002106BA">
        <w:t xml:space="preserve">patients who are assumed to not commence patisiran treatment in 2025. The Response clarified </w:t>
      </w:r>
      <w:r w:rsidR="00C5272C" w:rsidRPr="002106BA">
        <w:t xml:space="preserve">that there are </w:t>
      </w:r>
      <w:r w:rsidR="002C414E">
        <w:t>&lt; 500</w:t>
      </w:r>
      <w:r w:rsidR="002C414E" w:rsidRPr="002106BA">
        <w:t xml:space="preserve"> </w:t>
      </w:r>
      <w:r w:rsidRPr="002106BA">
        <w:t xml:space="preserve">patients currently receiving treatment with vutrisiran and </w:t>
      </w:r>
      <w:r w:rsidR="00C5272C" w:rsidRPr="002106BA">
        <w:t xml:space="preserve">these patients are </w:t>
      </w:r>
      <w:r w:rsidR="00382747" w:rsidRPr="002106BA">
        <w:t xml:space="preserve">proposed for </w:t>
      </w:r>
      <w:r w:rsidRPr="002106BA">
        <w:t>grandfather</w:t>
      </w:r>
      <w:r w:rsidR="00382747" w:rsidRPr="002106BA">
        <w:t>ing</w:t>
      </w:r>
      <w:r w:rsidRPr="002106BA">
        <w:t xml:space="preserve"> </w:t>
      </w:r>
      <w:r w:rsidR="00C5272C" w:rsidRPr="002106BA">
        <w:t xml:space="preserve">and </w:t>
      </w:r>
      <w:r w:rsidRPr="002106BA">
        <w:t>were assumed to be captured in this non-patisiran population</w:t>
      </w:r>
      <w:r w:rsidR="00382747" w:rsidRPr="002106BA">
        <w:t>. The PSCR</w:t>
      </w:r>
      <w:r w:rsidR="003105F7" w:rsidRPr="002106BA">
        <w:t xml:space="preserve"> and Pre-PBAC Response </w:t>
      </w:r>
      <w:r w:rsidR="00382747" w:rsidRPr="002106BA">
        <w:t xml:space="preserve">stated that </w:t>
      </w:r>
      <w:r w:rsidRPr="002106BA">
        <w:t xml:space="preserve">none of these patients were expected to substitute patisiran for vutrisiran, </w:t>
      </w:r>
      <w:r w:rsidR="00382747" w:rsidRPr="002106BA">
        <w:t>and maintained</w:t>
      </w:r>
      <w:r w:rsidRPr="002106BA">
        <w:t xml:space="preserve"> the approach taken by the submission was reasonable. The ESC considered the vutrisiran grandfather</w:t>
      </w:r>
      <w:r w:rsidR="00513FFA" w:rsidRPr="002106BA">
        <w:t>ed</w:t>
      </w:r>
      <w:r w:rsidRPr="002106BA">
        <w:t xml:space="preserve"> patients should have been included in the prevalent hATTR amyloid population estimates and</w:t>
      </w:r>
      <w:r w:rsidR="00257847" w:rsidRPr="002106BA">
        <w:t xml:space="preserve"> that the</w:t>
      </w:r>
      <w:r w:rsidR="00197CC8" w:rsidRPr="002106BA">
        <w:t xml:space="preserve"> additional</w:t>
      </w:r>
      <w:r w:rsidR="00257847" w:rsidRPr="002106BA">
        <w:t xml:space="preserve"> estimates</w:t>
      </w:r>
      <w:r w:rsidR="009F36D0" w:rsidRPr="002106BA">
        <w:t xml:space="preserve"> (incremental cost of listing) sh</w:t>
      </w:r>
      <w:r w:rsidR="00257847" w:rsidRPr="002106BA">
        <w:t xml:space="preserve">ould only </w:t>
      </w:r>
      <w:r w:rsidR="009F36D0" w:rsidRPr="002106BA">
        <w:t>include</w:t>
      </w:r>
      <w:r w:rsidR="00257847" w:rsidRPr="002106BA">
        <w:t xml:space="preserve"> patients </w:t>
      </w:r>
      <w:r w:rsidR="009F36D0" w:rsidRPr="002106BA">
        <w:t>t</w:t>
      </w:r>
      <w:r w:rsidR="00257847" w:rsidRPr="002106BA">
        <w:t>hat would not have access to</w:t>
      </w:r>
      <w:r w:rsidR="00615B3E">
        <w:t>,</w:t>
      </w:r>
      <w:r w:rsidR="00257847" w:rsidRPr="002106BA">
        <w:t xml:space="preserve"> or would be unable to receive</w:t>
      </w:r>
      <w:r w:rsidR="00615B3E">
        <w:t>,</w:t>
      </w:r>
      <w:r w:rsidR="00257847" w:rsidRPr="002106BA">
        <w:t xml:space="preserve"> </w:t>
      </w:r>
      <w:r w:rsidR="009F36D0" w:rsidRPr="002106BA">
        <w:t xml:space="preserve">PBS-funded </w:t>
      </w:r>
      <w:r w:rsidR="00257847" w:rsidRPr="002106BA">
        <w:t>patisiran</w:t>
      </w:r>
      <w:r w:rsidR="00197CC8" w:rsidRPr="002106BA">
        <w:t xml:space="preserve"> and</w:t>
      </w:r>
      <w:r w:rsidR="00C5272C" w:rsidRPr="002106BA">
        <w:t>,</w:t>
      </w:r>
      <w:r w:rsidR="00197CC8" w:rsidRPr="002106BA">
        <w:t xml:space="preserve"> based on the available information, no such patients had been identified.</w:t>
      </w:r>
      <w:bookmarkEnd w:id="70"/>
      <w:r w:rsidRPr="002106BA">
        <w:t xml:space="preserve"> </w:t>
      </w:r>
    </w:p>
    <w:p w14:paraId="4E94B6AB" w14:textId="2B50F013" w:rsidR="00E97D6F" w:rsidRPr="002106BA" w:rsidRDefault="00E97D6F" w:rsidP="00DD6FFC">
      <w:pPr>
        <w:pStyle w:val="COMexecsummnumbered"/>
      </w:pPr>
      <w:r w:rsidRPr="002106BA">
        <w:t xml:space="preserve">The estimated net cost to the PBS/RPBS was </w:t>
      </w:r>
      <w:r w:rsidR="001F4E1B" w:rsidRPr="00E43661">
        <w:t>$0 to &lt; $10 million</w:t>
      </w:r>
      <w:r w:rsidR="001F4E1B" w:rsidRPr="001F4E1B" w:rsidDel="001F4E1B">
        <w:t xml:space="preserve"> </w:t>
      </w:r>
      <w:r w:rsidRPr="002106BA">
        <w:t xml:space="preserve">in Year 1, increasing to </w:t>
      </w:r>
      <w:r w:rsidR="001F4E1B" w:rsidRPr="00E43661">
        <w:t>$0 to &lt; $10 million</w:t>
      </w:r>
      <w:r w:rsidR="001F4E1B" w:rsidRPr="001F4E1B" w:rsidDel="001F4E1B">
        <w:t xml:space="preserve"> </w:t>
      </w:r>
      <w:r w:rsidRPr="002106BA">
        <w:t xml:space="preserve">in Year 6, a total cost of </w:t>
      </w:r>
      <w:r w:rsidR="001F4E1B" w:rsidRPr="00E43661">
        <w:t>$10 million to &lt; $20 million</w:t>
      </w:r>
      <w:r w:rsidR="001F4E1B" w:rsidRPr="001F4E1B" w:rsidDel="001F4E1B">
        <w:t xml:space="preserve"> </w:t>
      </w:r>
      <w:r w:rsidRPr="002106BA">
        <w:t xml:space="preserve">over the first 6 years of listing. The net cost despite the </w:t>
      </w:r>
      <w:r w:rsidR="00543962" w:rsidRPr="002106BA">
        <w:t>cost-minimisation approach</w:t>
      </w:r>
      <w:r w:rsidR="00EB226C" w:rsidRPr="002106BA">
        <w:t>,</w:t>
      </w:r>
      <w:r w:rsidRPr="002106BA">
        <w:t xml:space="preserve"> was primarily due </w:t>
      </w:r>
      <w:r w:rsidR="00B35B11" w:rsidRPr="002106BA">
        <w:t xml:space="preserve">to the inappropriate addition of costs associated with grandfathered patients. </w:t>
      </w:r>
      <w:r w:rsidR="00594A7B" w:rsidRPr="002106BA">
        <w:t xml:space="preserve">The estimated net cost to the PBS/RPBS excluding grandfathered patients was </w:t>
      </w:r>
      <w:r w:rsidR="008752EF" w:rsidRPr="00E43661">
        <w:t>$0</w:t>
      </w:r>
      <w:r w:rsidR="00FC67DE">
        <w:t> </w:t>
      </w:r>
      <w:r w:rsidR="008752EF" w:rsidRPr="00E43661">
        <w:t>to</w:t>
      </w:r>
      <w:r w:rsidR="00FC67DE">
        <w:t> </w:t>
      </w:r>
      <w:r w:rsidR="008752EF" w:rsidRPr="00E43661">
        <w:t>&lt;</w:t>
      </w:r>
      <w:r w:rsidR="00FC67DE">
        <w:t> </w:t>
      </w:r>
      <w:r w:rsidR="008752EF" w:rsidRPr="00E43661">
        <w:t>$10</w:t>
      </w:r>
      <w:r w:rsidR="00FC67DE">
        <w:t> </w:t>
      </w:r>
      <w:r w:rsidR="008752EF" w:rsidRPr="00E43661">
        <w:t>million</w:t>
      </w:r>
      <w:r w:rsidR="008752EF" w:rsidRPr="008752EF" w:rsidDel="001F4E1B">
        <w:t xml:space="preserve"> </w:t>
      </w:r>
      <w:r w:rsidR="00594A7B" w:rsidRPr="002106BA">
        <w:t xml:space="preserve">in Year 1, increasing to </w:t>
      </w:r>
      <w:r w:rsidR="008752EF" w:rsidRPr="00E43661">
        <w:t>$0 to &lt; $10 million</w:t>
      </w:r>
      <w:r w:rsidR="008752EF" w:rsidRPr="008752EF" w:rsidDel="001F4E1B">
        <w:t xml:space="preserve"> </w:t>
      </w:r>
      <w:r w:rsidR="00594A7B" w:rsidRPr="002106BA">
        <w:t>in Year 6</w:t>
      </w:r>
      <w:r w:rsidR="008A46EA" w:rsidRPr="002106BA">
        <w:t>.</w:t>
      </w:r>
      <w:r w:rsidR="00BC25C4" w:rsidRPr="002106BA">
        <w:t xml:space="preserve"> The </w:t>
      </w:r>
      <w:r w:rsidR="00513FFA" w:rsidRPr="002106BA">
        <w:t xml:space="preserve">submission modelled a </w:t>
      </w:r>
      <w:r w:rsidR="00BC25C4" w:rsidRPr="002106BA">
        <w:t xml:space="preserve">difference in adherence assumptions between vutrisiran and patisiran in the financial estimates, however </w:t>
      </w:r>
      <w:r w:rsidR="00513FFA" w:rsidRPr="002106BA">
        <w:t xml:space="preserve">ESC </w:t>
      </w:r>
      <w:r w:rsidR="00BC25C4" w:rsidRPr="002106BA">
        <w:t>considered differential adherence assumptions may not be reasonable given the severity of hATTR amyloidosis and given most patients are closely monitored and managed in practice.</w:t>
      </w:r>
    </w:p>
    <w:p w14:paraId="6015A395" w14:textId="2EDB6A4E" w:rsidR="00576972" w:rsidRPr="002106BA" w:rsidRDefault="00576972" w:rsidP="003D5DE7">
      <w:pPr>
        <w:pStyle w:val="COMH2-non-numbered"/>
      </w:pPr>
      <w:bookmarkStart w:id="71" w:name="_Toc22897649"/>
      <w:bookmarkStart w:id="72" w:name="_Toc177559186"/>
      <w:r w:rsidRPr="002106BA">
        <w:lastRenderedPageBreak/>
        <w:t>Financial Management – Risk Sharing Arrangements</w:t>
      </w:r>
      <w:bookmarkEnd w:id="71"/>
      <w:bookmarkEnd w:id="72"/>
    </w:p>
    <w:p w14:paraId="40F4A700" w14:textId="750EDB95" w:rsidR="00D6334A" w:rsidRPr="002106BA" w:rsidRDefault="006E4FC6" w:rsidP="00197CC8">
      <w:pPr>
        <w:pStyle w:val="COMexecsummnumbered"/>
      </w:pPr>
      <w:r w:rsidRPr="002106BA">
        <w:t xml:space="preserve">The submission did not propose a risk sharing arrangement. </w:t>
      </w:r>
      <w:r w:rsidR="004403EC" w:rsidRPr="002106BA">
        <w:t xml:space="preserve">The PBAC recommended listing patisiran at the December 2023 PBAC meeting, </w:t>
      </w:r>
      <w:r w:rsidR="0049423C" w:rsidRPr="002106BA">
        <w:t>after</w:t>
      </w:r>
      <w:r w:rsidR="004403EC" w:rsidRPr="002106BA">
        <w:t xml:space="preserve"> outstanding issues </w:t>
      </w:r>
      <w:r w:rsidR="004515F2" w:rsidRPr="002106BA">
        <w:t xml:space="preserve">of concern </w:t>
      </w:r>
      <w:r w:rsidR="004403EC" w:rsidRPr="002106BA">
        <w:t xml:space="preserve">had been resolved by a commitment </w:t>
      </w:r>
      <w:r w:rsidR="00682A0A" w:rsidRPr="002106BA">
        <w:t xml:space="preserve">from the sponsor </w:t>
      </w:r>
      <w:r w:rsidR="004403EC" w:rsidRPr="002106BA">
        <w:t xml:space="preserve">for reassessment of the </w:t>
      </w:r>
      <w:r w:rsidR="0076221C" w:rsidRPr="002106BA">
        <w:t>cost effectiveness of patisiran</w:t>
      </w:r>
      <w:r w:rsidR="00C0122D" w:rsidRPr="002106BA">
        <w:t xml:space="preserve"> in</w:t>
      </w:r>
      <w:r w:rsidR="004403EC" w:rsidRPr="002106BA">
        <w:t xml:space="preserve"> 3 years</w:t>
      </w:r>
      <w:r w:rsidR="00C0122D" w:rsidRPr="002106BA">
        <w:t>,</w:t>
      </w:r>
      <w:r w:rsidR="004403EC" w:rsidRPr="002106BA">
        <w:t xml:space="preserve"> further amendments to revised financial estimates</w:t>
      </w:r>
      <w:r w:rsidR="00C0122D" w:rsidRPr="002106BA">
        <w:t>,</w:t>
      </w:r>
      <w:r w:rsidR="004403EC" w:rsidRPr="002106BA">
        <w:t xml:space="preserve"> and </w:t>
      </w:r>
      <w:r w:rsidR="00C0122D" w:rsidRPr="002106BA">
        <w:t>a</w:t>
      </w:r>
      <w:r w:rsidR="004403EC" w:rsidRPr="002106BA">
        <w:t xml:space="preserve"> revised risk sharing arrangement (para</w:t>
      </w:r>
      <w:r w:rsidR="002C5C07">
        <w:t>gr</w:t>
      </w:r>
      <w:r w:rsidR="007E788C">
        <w:t>a</w:t>
      </w:r>
      <w:r w:rsidR="002C5C07">
        <w:t>ph</w:t>
      </w:r>
      <w:r w:rsidR="004403EC" w:rsidRPr="002106BA">
        <w:t xml:space="preserve"> 19.1, 19.5, </w:t>
      </w:r>
      <w:r w:rsidR="00C0122D" w:rsidRPr="002106BA">
        <w:t>P</w:t>
      </w:r>
      <w:r w:rsidR="004403EC" w:rsidRPr="002106BA">
        <w:t>atisiran PSD, December 2023 PBAC meeting). The PBAC advised that the review of cost-effectiveness 3 years after PBS listing should be included in a Deed of Agreement, and noted that the review may affect the future PBS price of patisiran (para</w:t>
      </w:r>
      <w:r w:rsidR="002C5C07">
        <w:t>graph</w:t>
      </w:r>
      <w:r w:rsidR="004403EC" w:rsidRPr="002106BA">
        <w:t xml:space="preserve"> 19.7, 19.9, patisiran PSD, December 2023 PBAC meeting).</w:t>
      </w:r>
      <w:bookmarkStart w:id="73" w:name="_Hlk103934877"/>
    </w:p>
    <w:p w14:paraId="67867800" w14:textId="5B16C6DE" w:rsidR="00DD5686" w:rsidRPr="002106BA" w:rsidRDefault="00D6334A" w:rsidP="0014656D">
      <w:pPr>
        <w:pStyle w:val="COMexecsummnumbered"/>
      </w:pPr>
      <w:bookmarkStart w:id="74" w:name="_Ref183754337"/>
      <w:r w:rsidRPr="002106BA">
        <w:t xml:space="preserve">Given the cost-minimisation approach presented for vutrisiran versus patisiran, the abovementioned review would also affect the future price of vutrisiran. The PSCR indicated that the sponsor is willing to include data on vutrisiran in the planned review of patisiran at 3 years post listing. The ESC considered it would be appropriate for PBAC to make this a mandatory requirement, as it was for patisiran, by specifying the relevant details in a Deed of Agreement. The ESC noted there is an OLE phase of the HELIOS-A study which is currently ongoing and will capture clinical data for patients treated with up to 5 years of vutrisiran treatment </w:t>
      </w:r>
      <w:r w:rsidR="00340160" w:rsidRPr="002106BA">
        <w:t>and that</w:t>
      </w:r>
      <w:r w:rsidR="00615B3E">
        <w:t>,</w:t>
      </w:r>
      <w:r w:rsidR="00340160" w:rsidRPr="002106BA">
        <w:t xml:space="preserve"> in any case, </w:t>
      </w:r>
      <w:r w:rsidRPr="002106BA">
        <w:t>the timeline of the PBAC review of patisiran at 3 years post-PBS listing should remain unchanged.</w:t>
      </w:r>
      <w:r w:rsidR="00622594" w:rsidRPr="002106BA">
        <w:t xml:space="preserve"> </w:t>
      </w:r>
      <w:r w:rsidR="004F465B" w:rsidRPr="002106BA">
        <w:t xml:space="preserve">The pre-PBAC response stated that the sponsor has no objection to including a requirement for a cost effectiveness review in the </w:t>
      </w:r>
      <w:r w:rsidR="00E87B2D" w:rsidRPr="002106BA">
        <w:t>D</w:t>
      </w:r>
      <w:r w:rsidR="004F465B" w:rsidRPr="002106BA">
        <w:t xml:space="preserve">eed </w:t>
      </w:r>
      <w:r w:rsidR="00E87B2D" w:rsidRPr="002106BA">
        <w:t xml:space="preserve">of Agreement </w:t>
      </w:r>
      <w:r w:rsidR="004F465B" w:rsidRPr="002106BA">
        <w:t>for vutrisiran.</w:t>
      </w:r>
      <w:bookmarkEnd w:id="74"/>
      <w:r w:rsidR="004F465B" w:rsidRPr="002106BA">
        <w:t xml:space="preserve"> </w:t>
      </w:r>
    </w:p>
    <w:p w14:paraId="50DEA54C" w14:textId="77777777" w:rsidR="006434D8" w:rsidRPr="002106BA" w:rsidRDefault="006434D8" w:rsidP="006434D8">
      <w:pPr>
        <w:ind w:firstLine="709"/>
        <w:rPr>
          <w:rFonts w:asciiTheme="minorHAnsi" w:hAnsiTheme="minorHAnsi"/>
          <w:i/>
        </w:rPr>
      </w:pPr>
      <w:r w:rsidRPr="002106BA">
        <w:rPr>
          <w:rFonts w:asciiTheme="minorHAnsi" w:hAnsiTheme="minorHAnsi"/>
          <w:i/>
        </w:rPr>
        <w:t>For more detail on PBAC’s view, see section 7 PBAC outcome.</w:t>
      </w:r>
    </w:p>
    <w:p w14:paraId="4ADFC497" w14:textId="77777777" w:rsidR="006434D8" w:rsidRPr="002106BA" w:rsidRDefault="006434D8" w:rsidP="006434D8">
      <w:pPr>
        <w:pStyle w:val="2-SectionHeading"/>
        <w:numPr>
          <w:ilvl w:val="0"/>
          <w:numId w:val="1"/>
        </w:numPr>
        <w:outlineLvl w:val="0"/>
      </w:pPr>
      <w:bookmarkStart w:id="75" w:name="_Hlk76381249"/>
      <w:r w:rsidRPr="002106BA">
        <w:t>PBAC Outcome</w:t>
      </w:r>
    </w:p>
    <w:p w14:paraId="607D057B" w14:textId="3EFDB7F1" w:rsidR="0091029B" w:rsidRPr="002106BA" w:rsidRDefault="00F71C0E" w:rsidP="00CD6456">
      <w:pPr>
        <w:widowControl w:val="0"/>
        <w:numPr>
          <w:ilvl w:val="1"/>
          <w:numId w:val="1"/>
        </w:numPr>
        <w:spacing w:after="120"/>
        <w:rPr>
          <w:rFonts w:asciiTheme="minorHAnsi" w:hAnsiTheme="minorHAnsi"/>
          <w:snapToGrid w:val="0"/>
        </w:rPr>
      </w:pPr>
      <w:bookmarkStart w:id="76" w:name="_Ref183079534"/>
      <w:bookmarkStart w:id="77" w:name="_Hlk182814426"/>
      <w:r w:rsidRPr="002106BA">
        <w:rPr>
          <w:rFonts w:asciiTheme="minorHAnsi" w:hAnsiTheme="minorHAnsi"/>
          <w:snapToGrid w:val="0"/>
        </w:rPr>
        <w:t xml:space="preserve">The PBAC recommended the Section 100 (Highly Specialised Drugs Program - Public and Private Hospitals), Authority Required listing of vutrisiran for the treatment of hereditary transthyretin mediated (hATTR) amyloidosis in patients with stage 1 or 2 polyneuropathy. </w:t>
      </w:r>
      <w:bookmarkStart w:id="78" w:name="_Hlk182584108"/>
      <w:r w:rsidRPr="002106BA">
        <w:rPr>
          <w:rFonts w:asciiTheme="minorHAnsi" w:hAnsiTheme="minorHAnsi"/>
          <w:snapToGrid w:val="0"/>
        </w:rPr>
        <w:t xml:space="preserve">In making this recommendation, the PBAC considered that the available evidence </w:t>
      </w:r>
      <w:r w:rsidR="005A4D7B" w:rsidRPr="002106BA">
        <w:rPr>
          <w:rFonts w:asciiTheme="minorHAnsi" w:hAnsiTheme="minorHAnsi"/>
          <w:snapToGrid w:val="0"/>
        </w:rPr>
        <w:t xml:space="preserve">supported </w:t>
      </w:r>
      <w:r w:rsidRPr="002106BA">
        <w:rPr>
          <w:rFonts w:asciiTheme="minorHAnsi" w:hAnsiTheme="minorHAnsi"/>
          <w:snapToGrid w:val="0"/>
        </w:rPr>
        <w:t>a claim that vutrisiran is of comparable effectiveness and safety to patisiran</w:t>
      </w:r>
      <w:r w:rsidR="005A4D7B" w:rsidRPr="002106BA">
        <w:rPr>
          <w:rFonts w:asciiTheme="minorHAnsi" w:hAnsiTheme="minorHAnsi"/>
          <w:snapToGrid w:val="0"/>
        </w:rPr>
        <w:t xml:space="preserve">, however </w:t>
      </w:r>
      <w:r w:rsidR="005A4D7B" w:rsidRPr="002106BA">
        <w:rPr>
          <w:snapToGrid w:val="0"/>
        </w:rPr>
        <w:t xml:space="preserve">uncertainties remained regarding the long-term benefits and risks of both medicines. The PBAC recalled that when recommending patisiran for listing in December 2023, it had considered </w:t>
      </w:r>
      <w:r w:rsidR="005A4D7B" w:rsidRPr="002106BA">
        <w:rPr>
          <w:rFonts w:cstheme="minorHAnsi"/>
        </w:rPr>
        <w:t xml:space="preserve">long term cost-effectiveness of patisiran was uncertain </w:t>
      </w:r>
      <w:r w:rsidR="00F70D7D" w:rsidRPr="002106BA">
        <w:rPr>
          <w:rFonts w:cstheme="minorHAnsi"/>
        </w:rPr>
        <w:t>due to</w:t>
      </w:r>
      <w:r w:rsidR="005A4D7B" w:rsidRPr="002106BA">
        <w:rPr>
          <w:rFonts w:cstheme="minorHAnsi"/>
        </w:rPr>
        <w:t xml:space="preserve"> limitations of the available trial </w:t>
      </w:r>
      <w:r w:rsidR="00F70D7D" w:rsidRPr="002106BA">
        <w:rPr>
          <w:rFonts w:cstheme="minorHAnsi"/>
        </w:rPr>
        <w:t>evidence</w:t>
      </w:r>
      <w:r w:rsidR="005A4D7B" w:rsidRPr="002106BA">
        <w:rPr>
          <w:rFonts w:cstheme="minorHAnsi"/>
        </w:rPr>
        <w:t xml:space="preserve">, and advised that </w:t>
      </w:r>
      <w:r w:rsidR="005A4D7B" w:rsidRPr="002106BA">
        <w:t xml:space="preserve">a review of cost-effectiveness </w:t>
      </w:r>
      <w:r w:rsidR="00F70D7D" w:rsidRPr="002106BA">
        <w:t>should</w:t>
      </w:r>
      <w:r w:rsidR="005A4D7B" w:rsidRPr="002106BA">
        <w:t xml:space="preserve"> be conducted three years after PBS listing</w:t>
      </w:r>
      <w:r w:rsidR="00F70D7D" w:rsidRPr="002106BA">
        <w:t xml:space="preserve"> of patisiran</w:t>
      </w:r>
      <w:r w:rsidR="005A4D7B" w:rsidRPr="002106BA">
        <w:rPr>
          <w:rFonts w:cstheme="minorHAnsi"/>
        </w:rPr>
        <w:t>.</w:t>
      </w:r>
      <w:r w:rsidR="00F70D7D" w:rsidRPr="002106BA">
        <w:rPr>
          <w:rFonts w:asciiTheme="minorHAnsi" w:hAnsiTheme="minorHAnsi"/>
          <w:snapToGrid w:val="0"/>
        </w:rPr>
        <w:t xml:space="preserve"> </w:t>
      </w:r>
      <w:bookmarkStart w:id="79" w:name="_Hlk182994392"/>
      <w:r w:rsidR="00F70D7D" w:rsidRPr="002106BA">
        <w:rPr>
          <w:rFonts w:asciiTheme="minorHAnsi" w:hAnsiTheme="minorHAnsi"/>
          <w:snapToGrid w:val="0"/>
        </w:rPr>
        <w:t xml:space="preserve">The PBAC advised that a reassessment of vutrisiran should be conducted at the same time as the scheduled patisiran review, no later than three years after PBS listing of patisiran. </w:t>
      </w:r>
      <w:bookmarkStart w:id="80" w:name="_Hlk182996806"/>
      <w:bookmarkEnd w:id="79"/>
      <w:r w:rsidR="003105F7" w:rsidRPr="002106BA">
        <w:rPr>
          <w:rFonts w:asciiTheme="minorHAnsi" w:hAnsiTheme="minorHAnsi"/>
          <w:snapToGrid w:val="0"/>
        </w:rPr>
        <w:t xml:space="preserve">The PBAC considered, given the comparable effectiveness and safety to patisiran, </w:t>
      </w:r>
      <w:bookmarkStart w:id="81" w:name="_Hlk183451352"/>
      <w:r w:rsidR="003105F7" w:rsidRPr="002106BA">
        <w:rPr>
          <w:rFonts w:asciiTheme="minorHAnsi" w:hAnsiTheme="minorHAnsi"/>
          <w:snapToGrid w:val="0"/>
        </w:rPr>
        <w:t xml:space="preserve">that </w:t>
      </w:r>
      <w:r w:rsidR="0005797F" w:rsidRPr="002106BA">
        <w:rPr>
          <w:rFonts w:asciiTheme="minorHAnsi" w:hAnsiTheme="minorHAnsi"/>
          <w:snapToGrid w:val="0"/>
        </w:rPr>
        <w:t>the listing should not result in any additional net cost to Government.</w:t>
      </w:r>
      <w:r w:rsidR="0005797F" w:rsidRPr="002106BA" w:rsidDel="0005797F">
        <w:rPr>
          <w:rFonts w:asciiTheme="minorHAnsi" w:hAnsiTheme="minorHAnsi"/>
          <w:snapToGrid w:val="0"/>
        </w:rPr>
        <w:t xml:space="preserve"> </w:t>
      </w:r>
      <w:bookmarkEnd w:id="76"/>
      <w:bookmarkEnd w:id="78"/>
    </w:p>
    <w:p w14:paraId="6EAC38BC" w14:textId="04A64BE5" w:rsidR="00EB325B" w:rsidRPr="002106BA" w:rsidRDefault="00F71C0E" w:rsidP="004B3E5F">
      <w:pPr>
        <w:pStyle w:val="COMexecsummnumbered"/>
        <w:widowControl w:val="0"/>
        <w:numPr>
          <w:ilvl w:val="1"/>
          <w:numId w:val="1"/>
        </w:numPr>
        <w:rPr>
          <w:snapToGrid w:val="0"/>
        </w:rPr>
      </w:pPr>
      <w:bookmarkStart w:id="82" w:name="_Ref182406504"/>
      <w:bookmarkEnd w:id="77"/>
      <w:bookmarkEnd w:id="80"/>
      <w:bookmarkEnd w:id="81"/>
      <w:r w:rsidRPr="002106BA">
        <w:rPr>
          <w:snapToGrid w:val="0"/>
        </w:rPr>
        <w:t xml:space="preserve">The Committee advised the equi-effective doses were vutrisiran 25 mg given once every 12 weeks and patisiran at a dose of 0.3 mg/kg body weight (maximum 30 mg) </w:t>
      </w:r>
      <w:r w:rsidRPr="002106BA">
        <w:rPr>
          <w:snapToGrid w:val="0"/>
        </w:rPr>
        <w:lastRenderedPageBreak/>
        <w:t>given once every 3 weeks</w:t>
      </w:r>
      <w:r w:rsidR="00EB325B" w:rsidRPr="002106BA">
        <w:rPr>
          <w:snapToGrid w:val="0"/>
        </w:rPr>
        <w:t xml:space="preserve"> (assuming an average of 2.38 vials of patisiran per administration)</w:t>
      </w:r>
      <w:r w:rsidR="00AC4A0D" w:rsidRPr="002106BA">
        <w:rPr>
          <w:snapToGrid w:val="0"/>
        </w:rPr>
        <w:t xml:space="preserve">, based on the regimens used in the </w:t>
      </w:r>
      <w:r w:rsidR="007A6A28">
        <w:rPr>
          <w:snapToGrid w:val="0"/>
        </w:rPr>
        <w:t xml:space="preserve">respective </w:t>
      </w:r>
      <w:r w:rsidR="00AC4A0D" w:rsidRPr="002106BA">
        <w:rPr>
          <w:snapToGrid w:val="0"/>
        </w:rPr>
        <w:t>clinical trials for these agents</w:t>
      </w:r>
      <w:r w:rsidRPr="002106BA">
        <w:rPr>
          <w:snapToGrid w:val="0"/>
        </w:rPr>
        <w:t>.</w:t>
      </w:r>
      <w:bookmarkEnd w:id="82"/>
    </w:p>
    <w:p w14:paraId="48DF8DB7" w14:textId="7DFF83AF" w:rsidR="00F71C0E" w:rsidRPr="002106BA" w:rsidRDefault="00F71C0E" w:rsidP="00D2093E">
      <w:pPr>
        <w:widowControl w:val="0"/>
        <w:numPr>
          <w:ilvl w:val="1"/>
          <w:numId w:val="1"/>
        </w:numPr>
        <w:spacing w:after="120"/>
        <w:rPr>
          <w:rFonts w:asciiTheme="minorHAnsi" w:hAnsiTheme="minorHAnsi"/>
          <w:snapToGrid w:val="0"/>
        </w:rPr>
      </w:pPr>
      <w:r w:rsidRPr="002106BA">
        <w:rPr>
          <w:rFonts w:asciiTheme="minorHAnsi" w:hAnsiTheme="minorHAnsi"/>
          <w:snapToGrid w:val="0"/>
        </w:rPr>
        <w:t xml:space="preserve">With respect to the requested listing, the PBAC considered listing in the Section 100 - Highly Specialised Drugs Program was appropriate. Specifically, the PBAC considered vutrisiran to be a highly specialised drug with a high unit cost, and patients were typically engaged with a hospital-based clinic (with treatment likely to be initiated in this context), but </w:t>
      </w:r>
      <w:r w:rsidR="008E60A6" w:rsidRPr="002106BA">
        <w:rPr>
          <w:rFonts w:asciiTheme="minorHAnsi" w:hAnsiTheme="minorHAnsi"/>
          <w:snapToGrid w:val="0"/>
        </w:rPr>
        <w:t xml:space="preserve">it was </w:t>
      </w:r>
      <w:r w:rsidRPr="002106BA">
        <w:rPr>
          <w:rFonts w:asciiTheme="minorHAnsi" w:hAnsiTheme="minorHAnsi"/>
          <w:snapToGrid w:val="0"/>
        </w:rPr>
        <w:t xml:space="preserve">also </w:t>
      </w:r>
      <w:r w:rsidR="008E60A6" w:rsidRPr="002106BA">
        <w:rPr>
          <w:rFonts w:asciiTheme="minorHAnsi" w:hAnsiTheme="minorHAnsi"/>
          <w:snapToGrid w:val="0"/>
        </w:rPr>
        <w:t xml:space="preserve">reasonable </w:t>
      </w:r>
      <w:r w:rsidRPr="002106BA">
        <w:rPr>
          <w:rFonts w:asciiTheme="minorHAnsi" w:hAnsiTheme="minorHAnsi"/>
          <w:snapToGrid w:val="0"/>
        </w:rPr>
        <w:t xml:space="preserve">to </w:t>
      </w:r>
      <w:r w:rsidR="008E60A6" w:rsidRPr="002106BA">
        <w:rPr>
          <w:rFonts w:asciiTheme="minorHAnsi" w:hAnsiTheme="minorHAnsi"/>
          <w:snapToGrid w:val="0"/>
        </w:rPr>
        <w:t xml:space="preserve">allow </w:t>
      </w:r>
      <w:r w:rsidRPr="002106BA">
        <w:rPr>
          <w:rFonts w:asciiTheme="minorHAnsi" w:hAnsiTheme="minorHAnsi"/>
          <w:snapToGrid w:val="0"/>
        </w:rPr>
        <w:t xml:space="preserve">the drug </w:t>
      </w:r>
      <w:r w:rsidR="008E60A6" w:rsidRPr="002106BA">
        <w:rPr>
          <w:rFonts w:asciiTheme="minorHAnsi" w:hAnsiTheme="minorHAnsi"/>
          <w:snapToGrid w:val="0"/>
        </w:rPr>
        <w:t xml:space="preserve">to be </w:t>
      </w:r>
      <w:r w:rsidRPr="002106BA">
        <w:rPr>
          <w:rFonts w:asciiTheme="minorHAnsi" w:hAnsiTheme="minorHAnsi"/>
          <w:snapToGrid w:val="0"/>
        </w:rPr>
        <w:t>administered in a primary care setting if clinically appropriate</w:t>
      </w:r>
      <w:r w:rsidR="00041F79" w:rsidRPr="002106BA">
        <w:rPr>
          <w:rFonts w:asciiTheme="minorHAnsi" w:hAnsiTheme="minorHAnsi"/>
          <w:snapToGrid w:val="0"/>
        </w:rPr>
        <w:t>, noting that the recommended restriction includes treatment criteria specifying that the patient must be treated by a consultant with experience in the management of amyloid disorders or in consultation with a consultant with experience in the management of amyloid disorders</w:t>
      </w:r>
      <w:r w:rsidRPr="002106BA">
        <w:rPr>
          <w:rFonts w:asciiTheme="minorHAnsi" w:hAnsiTheme="minorHAnsi"/>
          <w:snapToGrid w:val="0"/>
        </w:rPr>
        <w:t>. Therefore, the PBAC considered it was appropriate for vutrisiran to be able to be dispensed in both the hospital pharmacy setting and in the community setting</w:t>
      </w:r>
      <w:r w:rsidR="000168E4" w:rsidRPr="002106BA">
        <w:rPr>
          <w:rFonts w:asciiTheme="minorHAnsi" w:hAnsiTheme="minorHAnsi"/>
          <w:snapToGrid w:val="0"/>
        </w:rPr>
        <w:t xml:space="preserve"> (see paragraph </w:t>
      </w:r>
      <w:r w:rsidR="000168E4" w:rsidRPr="002106BA">
        <w:rPr>
          <w:rFonts w:asciiTheme="minorHAnsi" w:hAnsiTheme="minorHAnsi"/>
          <w:snapToGrid w:val="0"/>
        </w:rPr>
        <w:fldChar w:fldCharType="begin"/>
      </w:r>
      <w:r w:rsidR="000168E4" w:rsidRPr="002106BA">
        <w:rPr>
          <w:rFonts w:asciiTheme="minorHAnsi" w:hAnsiTheme="minorHAnsi"/>
          <w:snapToGrid w:val="0"/>
        </w:rPr>
        <w:instrText xml:space="preserve"> REF _Ref183079697 \r \h </w:instrText>
      </w:r>
      <w:r w:rsidR="000168E4" w:rsidRPr="002106BA">
        <w:rPr>
          <w:rFonts w:asciiTheme="minorHAnsi" w:hAnsiTheme="minorHAnsi"/>
          <w:snapToGrid w:val="0"/>
        </w:rPr>
      </w:r>
      <w:r w:rsidR="000168E4" w:rsidRPr="002106BA">
        <w:rPr>
          <w:rFonts w:asciiTheme="minorHAnsi" w:hAnsiTheme="minorHAnsi"/>
          <w:snapToGrid w:val="0"/>
        </w:rPr>
        <w:fldChar w:fldCharType="separate"/>
      </w:r>
      <w:r w:rsidR="00DB6E9D">
        <w:rPr>
          <w:rFonts w:asciiTheme="minorHAnsi" w:hAnsiTheme="minorHAnsi"/>
          <w:snapToGrid w:val="0"/>
        </w:rPr>
        <w:t>3.4</w:t>
      </w:r>
      <w:r w:rsidR="000168E4" w:rsidRPr="002106BA">
        <w:rPr>
          <w:rFonts w:asciiTheme="minorHAnsi" w:hAnsiTheme="minorHAnsi"/>
          <w:snapToGrid w:val="0"/>
        </w:rPr>
        <w:fldChar w:fldCharType="end"/>
      </w:r>
      <w:r w:rsidR="000168E4" w:rsidRPr="002106BA">
        <w:rPr>
          <w:rFonts w:asciiTheme="minorHAnsi" w:hAnsiTheme="minorHAnsi"/>
          <w:snapToGrid w:val="0"/>
        </w:rPr>
        <w:t>)</w:t>
      </w:r>
      <w:r w:rsidRPr="002106BA">
        <w:rPr>
          <w:rFonts w:asciiTheme="minorHAnsi" w:hAnsiTheme="minorHAnsi"/>
          <w:snapToGrid w:val="0"/>
        </w:rPr>
        <w:t xml:space="preserve">. The Committee considered the other elements of the listing should align with the current listings of patisiran, including being a written authority, and noted the </w:t>
      </w:r>
      <w:r w:rsidR="00B82178" w:rsidRPr="002106BA">
        <w:rPr>
          <w:rFonts w:asciiTheme="minorHAnsi" w:hAnsiTheme="minorHAnsi"/>
          <w:snapToGrid w:val="0"/>
        </w:rPr>
        <w:t xml:space="preserve">restrictions for both medicines include a criterion that </w:t>
      </w:r>
      <w:r w:rsidRPr="002106BA">
        <w:rPr>
          <w:rFonts w:asciiTheme="minorHAnsi" w:hAnsiTheme="minorHAnsi"/>
          <w:snapToGrid w:val="0"/>
        </w:rPr>
        <w:t>exclude</w:t>
      </w:r>
      <w:r w:rsidR="00B82178" w:rsidRPr="002106BA">
        <w:rPr>
          <w:rFonts w:asciiTheme="minorHAnsi" w:hAnsiTheme="minorHAnsi"/>
          <w:snapToGrid w:val="0"/>
        </w:rPr>
        <w:t>s</w:t>
      </w:r>
      <w:r w:rsidRPr="002106BA">
        <w:rPr>
          <w:rFonts w:asciiTheme="minorHAnsi" w:hAnsiTheme="minorHAnsi"/>
          <w:snapToGrid w:val="0"/>
        </w:rPr>
        <w:t xml:space="preserve"> </w:t>
      </w:r>
      <w:r w:rsidR="007A6A28">
        <w:rPr>
          <w:rFonts w:asciiTheme="minorHAnsi" w:hAnsiTheme="minorHAnsi"/>
          <w:snapToGrid w:val="0"/>
        </w:rPr>
        <w:t>concomitant usage</w:t>
      </w:r>
      <w:r w:rsidR="007A6A28" w:rsidRPr="002106BA">
        <w:rPr>
          <w:rFonts w:asciiTheme="minorHAnsi" w:hAnsiTheme="minorHAnsi"/>
          <w:snapToGrid w:val="0"/>
        </w:rPr>
        <w:t xml:space="preserve"> </w:t>
      </w:r>
      <w:r w:rsidRPr="002106BA">
        <w:rPr>
          <w:rFonts w:asciiTheme="minorHAnsi" w:hAnsiTheme="minorHAnsi"/>
          <w:snapToGrid w:val="0"/>
        </w:rPr>
        <w:t>of vutrisiran and patisiran.</w:t>
      </w:r>
    </w:p>
    <w:p w14:paraId="523C2266" w14:textId="17FA7F47" w:rsidR="006434D8" w:rsidRPr="002106BA" w:rsidRDefault="007B382F" w:rsidP="00425BDF">
      <w:pPr>
        <w:widowControl w:val="0"/>
        <w:numPr>
          <w:ilvl w:val="1"/>
          <w:numId w:val="1"/>
        </w:numPr>
        <w:spacing w:after="120"/>
        <w:rPr>
          <w:rFonts w:asciiTheme="minorHAnsi" w:hAnsiTheme="minorHAnsi"/>
          <w:snapToGrid w:val="0"/>
        </w:rPr>
      </w:pPr>
      <w:r w:rsidRPr="002106BA">
        <w:rPr>
          <w:rFonts w:asciiTheme="minorHAnsi" w:hAnsiTheme="minorHAnsi"/>
          <w:snapToGrid w:val="0"/>
        </w:rPr>
        <w:t xml:space="preserve">The Committee considered there was a clinical need for additional effective therapies for hATTR amyloidosis and associated polyneuropathy, however noted the clinical outcomes achieved with vutrisiran are likely to be </w:t>
      </w:r>
      <w:proofErr w:type="gramStart"/>
      <w:r w:rsidRPr="002106BA">
        <w:rPr>
          <w:rFonts w:asciiTheme="minorHAnsi" w:hAnsiTheme="minorHAnsi"/>
          <w:snapToGrid w:val="0"/>
        </w:rPr>
        <w:t>similar to</w:t>
      </w:r>
      <w:proofErr w:type="gramEnd"/>
      <w:r w:rsidRPr="002106BA">
        <w:rPr>
          <w:rFonts w:asciiTheme="minorHAnsi" w:hAnsiTheme="minorHAnsi"/>
          <w:snapToGrid w:val="0"/>
        </w:rPr>
        <w:t xml:space="preserve"> patisiran. The PBAC acknowledged the input from individuals and organisations supporting the listing and highlighting the benefits of less frequen</w:t>
      </w:r>
      <w:r w:rsidR="00425BDF" w:rsidRPr="002106BA">
        <w:rPr>
          <w:rFonts w:asciiTheme="minorHAnsi" w:hAnsiTheme="minorHAnsi"/>
          <w:snapToGrid w:val="0"/>
        </w:rPr>
        <w:t xml:space="preserve">t and burdensome administration compared to patisiran. Therefore, the PBAC considered </w:t>
      </w:r>
      <w:r w:rsidR="00F71C0E" w:rsidRPr="002106BA">
        <w:rPr>
          <w:rFonts w:asciiTheme="minorHAnsi" w:hAnsiTheme="minorHAnsi"/>
          <w:snapToGrid w:val="0"/>
        </w:rPr>
        <w:t xml:space="preserve">there was a clinical place for vutrisiran as an alternative treatment to patisiran and that as a subcutaneous injection given once every </w:t>
      </w:r>
      <w:r w:rsidR="00425BDF" w:rsidRPr="002106BA">
        <w:rPr>
          <w:rFonts w:asciiTheme="minorHAnsi" w:hAnsiTheme="minorHAnsi"/>
          <w:snapToGrid w:val="0"/>
        </w:rPr>
        <w:t>3 months</w:t>
      </w:r>
      <w:r w:rsidR="00F71C0E" w:rsidRPr="002106BA">
        <w:rPr>
          <w:rFonts w:asciiTheme="minorHAnsi" w:hAnsiTheme="minorHAnsi"/>
          <w:snapToGrid w:val="0"/>
        </w:rPr>
        <w:t xml:space="preserve">, vutrisiran would be more convenient for some patients </w:t>
      </w:r>
      <w:r w:rsidR="00425BDF" w:rsidRPr="002106BA">
        <w:rPr>
          <w:rFonts w:asciiTheme="minorHAnsi" w:hAnsiTheme="minorHAnsi"/>
          <w:snapToGrid w:val="0"/>
        </w:rPr>
        <w:t>than patisiran</w:t>
      </w:r>
      <w:r w:rsidR="00F71C0E" w:rsidRPr="002106BA">
        <w:rPr>
          <w:rFonts w:asciiTheme="minorHAnsi" w:hAnsiTheme="minorHAnsi"/>
          <w:snapToGrid w:val="0"/>
        </w:rPr>
        <w:t>, which is administered by IV infusion once every 3 weeks.</w:t>
      </w:r>
    </w:p>
    <w:p w14:paraId="68007C38" w14:textId="0D448D36" w:rsidR="006434D8" w:rsidRPr="002106BA" w:rsidRDefault="00F71C0E" w:rsidP="006434D8">
      <w:pPr>
        <w:widowControl w:val="0"/>
        <w:numPr>
          <w:ilvl w:val="1"/>
          <w:numId w:val="1"/>
        </w:numPr>
        <w:spacing w:after="120"/>
        <w:rPr>
          <w:rFonts w:asciiTheme="minorHAnsi" w:hAnsiTheme="minorHAnsi"/>
          <w:snapToGrid w:val="0"/>
        </w:rPr>
      </w:pPr>
      <w:r w:rsidRPr="002106BA">
        <w:rPr>
          <w:rFonts w:asciiTheme="minorHAnsi" w:hAnsiTheme="minorHAnsi"/>
          <w:snapToGrid w:val="0"/>
        </w:rPr>
        <w:t xml:space="preserve">The PBAC considered the nominated comparator of patisiran was appropriate. </w:t>
      </w:r>
    </w:p>
    <w:p w14:paraId="5CDB899F" w14:textId="1B461C3F" w:rsidR="00563805" w:rsidRPr="002106BA" w:rsidRDefault="00563805" w:rsidP="006434D8">
      <w:pPr>
        <w:widowControl w:val="0"/>
        <w:numPr>
          <w:ilvl w:val="1"/>
          <w:numId w:val="1"/>
        </w:numPr>
        <w:spacing w:after="120"/>
        <w:rPr>
          <w:rFonts w:asciiTheme="minorHAnsi" w:hAnsiTheme="minorHAnsi"/>
          <w:snapToGrid w:val="0"/>
        </w:rPr>
      </w:pPr>
      <w:r w:rsidRPr="002106BA">
        <w:rPr>
          <w:rFonts w:asciiTheme="minorHAnsi" w:hAnsiTheme="minorHAnsi"/>
          <w:snapToGrid w:val="0"/>
        </w:rPr>
        <w:t xml:space="preserve">The PBAC noted the submission was supported by one small RCT </w:t>
      </w:r>
      <w:r w:rsidR="00EB325B" w:rsidRPr="002106BA">
        <w:rPr>
          <w:rFonts w:asciiTheme="minorHAnsi" w:hAnsiTheme="minorHAnsi"/>
          <w:snapToGrid w:val="0"/>
        </w:rPr>
        <w:t xml:space="preserve">(HELIOS-A) </w:t>
      </w:r>
      <w:r w:rsidRPr="002106BA">
        <w:rPr>
          <w:rFonts w:asciiTheme="minorHAnsi" w:hAnsiTheme="minorHAnsi"/>
          <w:snapToGrid w:val="0"/>
        </w:rPr>
        <w:t xml:space="preserve">comparing vutrisiran </w:t>
      </w:r>
      <w:r w:rsidR="00EB325B" w:rsidRPr="002106BA">
        <w:rPr>
          <w:rFonts w:asciiTheme="minorHAnsi" w:hAnsiTheme="minorHAnsi"/>
          <w:snapToGrid w:val="0"/>
        </w:rPr>
        <w:t xml:space="preserve">(n=122) </w:t>
      </w:r>
      <w:r w:rsidRPr="002106BA">
        <w:rPr>
          <w:rFonts w:asciiTheme="minorHAnsi" w:hAnsiTheme="minorHAnsi"/>
          <w:snapToGrid w:val="0"/>
        </w:rPr>
        <w:t>to patisiran</w:t>
      </w:r>
      <w:r w:rsidR="00EB325B" w:rsidRPr="002106BA">
        <w:rPr>
          <w:rFonts w:asciiTheme="minorHAnsi" w:hAnsiTheme="minorHAnsi"/>
          <w:snapToGrid w:val="0"/>
        </w:rPr>
        <w:t xml:space="preserve"> (n=42)</w:t>
      </w:r>
      <w:r w:rsidRPr="002106BA">
        <w:rPr>
          <w:rFonts w:asciiTheme="minorHAnsi" w:hAnsiTheme="minorHAnsi"/>
          <w:snapToGrid w:val="0"/>
        </w:rPr>
        <w:t xml:space="preserve">, and data derived from an external placebo arm </w:t>
      </w:r>
      <w:r w:rsidR="00EB325B" w:rsidRPr="002106BA">
        <w:rPr>
          <w:rFonts w:asciiTheme="minorHAnsi" w:hAnsiTheme="minorHAnsi"/>
          <w:snapToGrid w:val="0"/>
        </w:rPr>
        <w:t xml:space="preserve">(n=77) </w:t>
      </w:r>
      <w:r w:rsidRPr="002106BA">
        <w:rPr>
          <w:rFonts w:asciiTheme="minorHAnsi" w:hAnsiTheme="minorHAnsi"/>
          <w:snapToGrid w:val="0"/>
        </w:rPr>
        <w:t>of the pivotal trial for patisiran (APOLLO)</w:t>
      </w:r>
      <w:r w:rsidR="00041F79" w:rsidRPr="002106BA">
        <w:rPr>
          <w:rFonts w:asciiTheme="minorHAnsi" w:hAnsiTheme="minorHAnsi"/>
          <w:snapToGrid w:val="0"/>
        </w:rPr>
        <w:t>. The PBAC noted</w:t>
      </w:r>
      <w:r w:rsidR="00232BC1" w:rsidRPr="002106BA">
        <w:rPr>
          <w:rFonts w:asciiTheme="minorHAnsi" w:hAnsiTheme="minorHAnsi"/>
          <w:snapToGrid w:val="0"/>
        </w:rPr>
        <w:t xml:space="preserve"> </w:t>
      </w:r>
      <w:r w:rsidR="00041F79" w:rsidRPr="002106BA">
        <w:rPr>
          <w:rFonts w:asciiTheme="minorHAnsi" w:hAnsiTheme="minorHAnsi"/>
          <w:snapToGrid w:val="0"/>
        </w:rPr>
        <w:t xml:space="preserve">that </w:t>
      </w:r>
      <w:r w:rsidRPr="002106BA">
        <w:rPr>
          <w:rFonts w:asciiTheme="minorHAnsi" w:hAnsiTheme="minorHAnsi"/>
          <w:snapToGrid w:val="0"/>
        </w:rPr>
        <w:t xml:space="preserve">to accept the results of such a comparison, it must be accepted that HELIOS-A and APOLLO are sufficiently exchangeable for this purpose. The Committee noted there were differences in the populations </w:t>
      </w:r>
      <w:r w:rsidR="007A6A28">
        <w:rPr>
          <w:rFonts w:asciiTheme="minorHAnsi" w:hAnsiTheme="minorHAnsi"/>
          <w:snapToGrid w:val="0"/>
        </w:rPr>
        <w:t xml:space="preserve">and disease severity </w:t>
      </w:r>
      <w:r w:rsidRPr="002106BA">
        <w:rPr>
          <w:rFonts w:asciiTheme="minorHAnsi" w:hAnsiTheme="minorHAnsi"/>
          <w:snapToGrid w:val="0"/>
        </w:rPr>
        <w:t>in the vutrisiran arm of HELIOS-A and the placebo arm of APOLLO (paragraph</w:t>
      </w:r>
      <w:r w:rsidR="005D0629" w:rsidRPr="002106BA">
        <w:rPr>
          <w:rFonts w:asciiTheme="minorHAnsi" w:hAnsiTheme="minorHAnsi"/>
          <w:snapToGrid w:val="0"/>
        </w:rPr>
        <w:t xml:space="preserve">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_Ref182406579 \r \h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Pr>
          <w:rFonts w:asciiTheme="minorHAnsi" w:hAnsiTheme="minorHAnsi"/>
          <w:snapToGrid w:val="0"/>
        </w:rPr>
        <w:t>6.14</w:t>
      </w:r>
      <w:r w:rsidR="005D0629" w:rsidRPr="002106BA">
        <w:rPr>
          <w:rFonts w:asciiTheme="minorHAnsi" w:hAnsiTheme="minorHAnsi"/>
          <w:snapToGrid w:val="0"/>
        </w:rPr>
        <w:fldChar w:fldCharType="end"/>
      </w:r>
      <w:r w:rsidRPr="002106BA">
        <w:rPr>
          <w:rFonts w:asciiTheme="minorHAnsi" w:hAnsiTheme="minorHAnsi"/>
          <w:snapToGrid w:val="0"/>
        </w:rPr>
        <w:t xml:space="preserve"> refers) and considered the overall approach of using an external placebo reference arm </w:t>
      </w:r>
      <w:r w:rsidR="007A6A28">
        <w:rPr>
          <w:rFonts w:asciiTheme="minorHAnsi" w:hAnsiTheme="minorHAnsi"/>
          <w:snapToGrid w:val="0"/>
        </w:rPr>
        <w:t>increased</w:t>
      </w:r>
      <w:r w:rsidR="007A6A28" w:rsidRPr="002106BA">
        <w:rPr>
          <w:rFonts w:asciiTheme="minorHAnsi" w:hAnsiTheme="minorHAnsi"/>
          <w:snapToGrid w:val="0"/>
        </w:rPr>
        <w:t xml:space="preserve"> </w:t>
      </w:r>
      <w:r w:rsidRPr="002106BA">
        <w:rPr>
          <w:rFonts w:asciiTheme="minorHAnsi" w:hAnsiTheme="minorHAnsi"/>
          <w:snapToGrid w:val="0"/>
        </w:rPr>
        <w:t>inherent uncertainty to such a comparison. These issues notwithstanding, the PBAC considered the HELIOS</w:t>
      </w:r>
      <w:r w:rsidR="005E6F41" w:rsidRPr="002106BA">
        <w:rPr>
          <w:rFonts w:asciiTheme="minorHAnsi" w:hAnsiTheme="minorHAnsi"/>
          <w:snapToGrid w:val="0"/>
        </w:rPr>
        <w:noBreakHyphen/>
      </w:r>
      <w:r w:rsidRPr="002106BA">
        <w:rPr>
          <w:rFonts w:asciiTheme="minorHAnsi" w:hAnsiTheme="minorHAnsi"/>
          <w:snapToGrid w:val="0"/>
        </w:rPr>
        <w:t xml:space="preserve">A </w:t>
      </w:r>
      <w:r w:rsidR="005E6F41" w:rsidRPr="002106BA">
        <w:rPr>
          <w:rFonts w:asciiTheme="minorHAnsi" w:hAnsiTheme="minorHAnsi"/>
          <w:snapToGrid w:val="0"/>
        </w:rPr>
        <w:t xml:space="preserve">study </w:t>
      </w:r>
      <w:r w:rsidRPr="002106BA">
        <w:rPr>
          <w:rFonts w:asciiTheme="minorHAnsi" w:hAnsiTheme="minorHAnsi"/>
          <w:snapToGrid w:val="0"/>
        </w:rPr>
        <w:t xml:space="preserve">was a reasonable basis to consider the comparative effectiveness of vutrisiran and patisiran, </w:t>
      </w:r>
      <w:r w:rsidR="00041F79" w:rsidRPr="002106BA">
        <w:rPr>
          <w:rFonts w:asciiTheme="minorHAnsi" w:hAnsiTheme="minorHAnsi"/>
          <w:snapToGrid w:val="0"/>
        </w:rPr>
        <w:t>although</w:t>
      </w:r>
      <w:r w:rsidRPr="002106BA">
        <w:rPr>
          <w:rFonts w:asciiTheme="minorHAnsi" w:hAnsiTheme="minorHAnsi"/>
          <w:snapToGrid w:val="0"/>
        </w:rPr>
        <w:t xml:space="preserve"> the</w:t>
      </w:r>
      <w:r w:rsidR="007A6A28">
        <w:rPr>
          <w:rFonts w:asciiTheme="minorHAnsi" w:hAnsiTheme="minorHAnsi"/>
          <w:snapToGrid w:val="0"/>
        </w:rPr>
        <w:t>re were differences in disease severity and that</w:t>
      </w:r>
      <w:r w:rsidRPr="002106BA">
        <w:rPr>
          <w:rFonts w:asciiTheme="minorHAnsi" w:hAnsiTheme="minorHAnsi"/>
          <w:snapToGrid w:val="0"/>
        </w:rPr>
        <w:t xml:space="preserve"> reliance on a surrogate marker</w:t>
      </w:r>
      <w:r w:rsidR="00F31ED9" w:rsidRPr="002106BA">
        <w:rPr>
          <w:rFonts w:asciiTheme="minorHAnsi" w:hAnsiTheme="minorHAnsi"/>
          <w:snapToGrid w:val="0"/>
        </w:rPr>
        <w:t xml:space="preserve"> (serum TTR)</w:t>
      </w:r>
      <w:r w:rsidRPr="002106BA">
        <w:rPr>
          <w:rFonts w:asciiTheme="minorHAnsi" w:hAnsiTheme="minorHAnsi"/>
          <w:snapToGrid w:val="0"/>
        </w:rPr>
        <w:t xml:space="preserve"> as the primary basis to support the clinical claim was a source of uncertainty.</w:t>
      </w:r>
      <w:r w:rsidR="004946DB" w:rsidRPr="002106BA">
        <w:rPr>
          <w:rFonts w:asciiTheme="minorHAnsi" w:hAnsiTheme="minorHAnsi"/>
          <w:snapToGrid w:val="0"/>
        </w:rPr>
        <w:t xml:space="preserve"> The PBAC acknowledged, that larger and more robust clinical trials in hATTR amyloidosis would be difficult to undertake due to </w:t>
      </w:r>
      <w:r w:rsidR="004946DB" w:rsidRPr="002106BA">
        <w:rPr>
          <w:rFonts w:asciiTheme="minorHAnsi" w:hAnsiTheme="minorHAnsi"/>
          <w:snapToGrid w:val="0"/>
        </w:rPr>
        <w:lastRenderedPageBreak/>
        <w:t>the rarity and severity of the condition and considered the available evidence in that context.</w:t>
      </w:r>
    </w:p>
    <w:p w14:paraId="56B87C3A" w14:textId="3AA5A8AB" w:rsidR="004946DB" w:rsidRPr="002106BA" w:rsidRDefault="004946DB" w:rsidP="00C26CE3">
      <w:pPr>
        <w:widowControl w:val="0"/>
        <w:numPr>
          <w:ilvl w:val="1"/>
          <w:numId w:val="1"/>
        </w:numPr>
        <w:spacing w:after="120"/>
        <w:rPr>
          <w:rFonts w:asciiTheme="minorHAnsi" w:hAnsiTheme="minorHAnsi"/>
          <w:snapToGrid w:val="0"/>
        </w:rPr>
      </w:pPr>
      <w:r w:rsidRPr="002106BA">
        <w:rPr>
          <w:rFonts w:asciiTheme="minorHAnsi" w:hAnsiTheme="minorHAnsi"/>
          <w:snapToGrid w:val="0"/>
        </w:rPr>
        <w:t>With respect to comparative effectiveness, the PBAC noted the results of HELIOS-A found no statistically significant differences between vutrisiran and patisiran for the clinical outcomes including change in mNIS+7 score</w:t>
      </w:r>
      <w:r w:rsidR="00E16A01" w:rsidRPr="002106BA">
        <w:rPr>
          <w:rFonts w:asciiTheme="minorHAnsi" w:hAnsiTheme="minorHAnsi"/>
          <w:snapToGrid w:val="0"/>
        </w:rPr>
        <w:t xml:space="preserve"> </w:t>
      </w:r>
      <w:r w:rsidRPr="002106BA">
        <w:rPr>
          <w:rFonts w:asciiTheme="minorHAnsi" w:hAnsiTheme="minorHAnsi"/>
          <w:snapToGrid w:val="0"/>
        </w:rPr>
        <w:t xml:space="preserve">and other outcomes (see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_Ref174970389 \h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sidRPr="002106BA">
        <w:t xml:space="preserve">Table </w:t>
      </w:r>
      <w:r w:rsidR="00DB6E9D">
        <w:rPr>
          <w:noProof/>
        </w:rPr>
        <w:t>7</w:t>
      </w:r>
      <w:r w:rsidR="005D0629" w:rsidRPr="002106BA">
        <w:rPr>
          <w:rFonts w:asciiTheme="minorHAnsi" w:hAnsiTheme="minorHAnsi"/>
          <w:snapToGrid w:val="0"/>
        </w:rPr>
        <w:fldChar w:fldCharType="end"/>
      </w:r>
      <w:r w:rsidRPr="002106BA">
        <w:rPr>
          <w:rFonts w:asciiTheme="minorHAnsi" w:hAnsiTheme="minorHAnsi"/>
          <w:snapToGrid w:val="0"/>
        </w:rPr>
        <w:t xml:space="preserve">), but agreed with the evaluation that differences in baseline characteristics between arms resulted in a lack of statistically significant differences being unreliable for assessing a claim of non-inferior comparative effectiveness. The PBAC further noted the results for serum TTR levels from baseline to 18 months met the pre-specified threshold for statistical non-inferiority (see </w:t>
      </w:r>
      <w:r w:rsidR="005D0629" w:rsidRPr="002106BA">
        <w:rPr>
          <w:rFonts w:asciiTheme="minorHAnsi" w:hAnsiTheme="minorHAnsi"/>
          <w:snapToGrid w:val="0"/>
        </w:rPr>
        <w:t>Figure 1</w:t>
      </w:r>
      <w:r w:rsidRPr="002106BA">
        <w:rPr>
          <w:rFonts w:asciiTheme="minorHAnsi" w:hAnsiTheme="minorHAnsi"/>
          <w:snapToGrid w:val="0"/>
        </w:rPr>
        <w:t xml:space="preserve"> and paragraph</w:t>
      </w:r>
      <w:r w:rsidR="005D0629" w:rsidRPr="002106BA">
        <w:rPr>
          <w:rFonts w:asciiTheme="minorHAnsi" w:hAnsiTheme="minorHAnsi"/>
          <w:snapToGrid w:val="0"/>
        </w:rPr>
        <w:t xml:space="preserve">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_Ref182406526 \r \h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Pr>
          <w:rFonts w:asciiTheme="minorHAnsi" w:hAnsiTheme="minorHAnsi"/>
          <w:snapToGrid w:val="0"/>
        </w:rPr>
        <w:t>6.27</w:t>
      </w:r>
      <w:r w:rsidR="005D0629" w:rsidRPr="002106BA">
        <w:rPr>
          <w:rFonts w:asciiTheme="minorHAnsi" w:hAnsiTheme="minorHAnsi"/>
          <w:snapToGrid w:val="0"/>
        </w:rPr>
        <w:fldChar w:fldCharType="end"/>
      </w:r>
      <w:r w:rsidR="00E16A01" w:rsidRPr="002106BA">
        <w:rPr>
          <w:rFonts w:asciiTheme="minorHAnsi" w:hAnsiTheme="minorHAnsi"/>
          <w:snapToGrid w:val="0"/>
        </w:rPr>
        <w:t>) and</w:t>
      </w:r>
      <w:r w:rsidRPr="002106BA">
        <w:rPr>
          <w:rFonts w:asciiTheme="minorHAnsi" w:hAnsiTheme="minorHAnsi"/>
          <w:snapToGrid w:val="0"/>
        </w:rPr>
        <w:t xml:space="preserve"> considered these results were </w:t>
      </w:r>
      <w:r w:rsidR="007A6A28">
        <w:rPr>
          <w:rFonts w:asciiTheme="minorHAnsi" w:hAnsiTheme="minorHAnsi"/>
          <w:snapToGrid w:val="0"/>
        </w:rPr>
        <w:t>supportive</w:t>
      </w:r>
      <w:r w:rsidR="007A6A28" w:rsidRPr="002106BA">
        <w:rPr>
          <w:rFonts w:asciiTheme="minorHAnsi" w:hAnsiTheme="minorHAnsi"/>
          <w:snapToGrid w:val="0"/>
        </w:rPr>
        <w:t xml:space="preserve"> </w:t>
      </w:r>
      <w:r w:rsidRPr="002106BA">
        <w:rPr>
          <w:rFonts w:asciiTheme="minorHAnsi" w:hAnsiTheme="minorHAnsi"/>
          <w:snapToGrid w:val="0"/>
        </w:rPr>
        <w:t>that vutrisiran achieves a comparable reduction in serum TTR to patisiran over this period. Whilst serum TTR is a surrogate marker</w:t>
      </w:r>
      <w:r w:rsidR="00E16A01" w:rsidRPr="002106BA">
        <w:rPr>
          <w:rFonts w:asciiTheme="minorHAnsi" w:hAnsiTheme="minorHAnsi"/>
          <w:snapToGrid w:val="0"/>
        </w:rPr>
        <w:t xml:space="preserve"> and not a direct clinical outcome</w:t>
      </w:r>
      <w:r w:rsidRPr="002106BA">
        <w:rPr>
          <w:rFonts w:asciiTheme="minorHAnsi" w:hAnsiTheme="minorHAnsi"/>
          <w:snapToGrid w:val="0"/>
        </w:rPr>
        <w:t xml:space="preserve">, </w:t>
      </w:r>
      <w:r w:rsidR="007A6A28" w:rsidRPr="002106BA">
        <w:rPr>
          <w:rFonts w:asciiTheme="minorHAnsi" w:hAnsiTheme="minorHAnsi"/>
          <w:snapToGrid w:val="0"/>
        </w:rPr>
        <w:t xml:space="preserve">based on the limited evidence available </w:t>
      </w:r>
      <w:r w:rsidRPr="002106BA">
        <w:rPr>
          <w:rFonts w:asciiTheme="minorHAnsi" w:hAnsiTheme="minorHAnsi"/>
          <w:snapToGrid w:val="0"/>
        </w:rPr>
        <w:t xml:space="preserve">the PBAC considered </w:t>
      </w:r>
      <w:r w:rsidR="004A6814" w:rsidRPr="002106BA">
        <w:rPr>
          <w:rFonts w:asciiTheme="minorHAnsi" w:hAnsiTheme="minorHAnsi"/>
          <w:snapToGrid w:val="0"/>
        </w:rPr>
        <w:t xml:space="preserve">that serum TTR provided </w:t>
      </w:r>
      <w:r w:rsidRPr="002106BA">
        <w:rPr>
          <w:rFonts w:asciiTheme="minorHAnsi" w:hAnsiTheme="minorHAnsi"/>
          <w:snapToGrid w:val="0"/>
        </w:rPr>
        <w:t xml:space="preserve">the most reliable </w:t>
      </w:r>
      <w:r w:rsidR="004A6814" w:rsidRPr="002106BA">
        <w:rPr>
          <w:rFonts w:asciiTheme="minorHAnsi" w:hAnsiTheme="minorHAnsi"/>
          <w:snapToGrid w:val="0"/>
        </w:rPr>
        <w:t xml:space="preserve">data </w:t>
      </w:r>
      <w:r w:rsidRPr="002106BA">
        <w:rPr>
          <w:rFonts w:asciiTheme="minorHAnsi" w:hAnsiTheme="minorHAnsi"/>
          <w:snapToGrid w:val="0"/>
        </w:rPr>
        <w:t xml:space="preserve">for assessing the </w:t>
      </w:r>
      <w:r w:rsidR="004A6814" w:rsidRPr="002106BA">
        <w:rPr>
          <w:rFonts w:asciiTheme="minorHAnsi" w:hAnsiTheme="minorHAnsi"/>
          <w:snapToGrid w:val="0"/>
        </w:rPr>
        <w:t>relative efficacy of vutrisiran and patisiran</w:t>
      </w:r>
      <w:r w:rsidRPr="002106BA">
        <w:rPr>
          <w:rFonts w:asciiTheme="minorHAnsi" w:hAnsiTheme="minorHAnsi"/>
          <w:snapToGrid w:val="0"/>
        </w:rPr>
        <w:t xml:space="preserve">. For the comparison with the external placebo reference arm from APOLLO, the PBAC </w:t>
      </w:r>
      <w:r w:rsidR="00F31ED9" w:rsidRPr="002106BA">
        <w:rPr>
          <w:rFonts w:asciiTheme="minorHAnsi" w:hAnsiTheme="minorHAnsi"/>
          <w:snapToGrid w:val="0"/>
        </w:rPr>
        <w:t xml:space="preserve">noted that </w:t>
      </w:r>
      <w:r w:rsidRPr="002106BA">
        <w:rPr>
          <w:rFonts w:asciiTheme="minorHAnsi" w:hAnsiTheme="minorHAnsi"/>
          <w:snapToGrid w:val="0"/>
        </w:rPr>
        <w:t>the results for all primary and secondary outcomes favoured vutrisiran</w:t>
      </w:r>
      <w:r w:rsidR="004A6814" w:rsidRPr="002106BA">
        <w:rPr>
          <w:rFonts w:asciiTheme="minorHAnsi" w:hAnsiTheme="minorHAnsi"/>
          <w:snapToGrid w:val="0"/>
        </w:rPr>
        <w:t xml:space="preserve"> and the differences were statistically significant</w:t>
      </w:r>
      <w:r w:rsidRPr="002106BA">
        <w:rPr>
          <w:rFonts w:asciiTheme="minorHAnsi" w:hAnsiTheme="minorHAnsi"/>
          <w:snapToGrid w:val="0"/>
        </w:rPr>
        <w:t xml:space="preserve">. </w:t>
      </w:r>
      <w:bookmarkStart w:id="83" w:name="_Hlk182584116"/>
      <w:r w:rsidRPr="002106BA">
        <w:rPr>
          <w:rFonts w:asciiTheme="minorHAnsi" w:hAnsiTheme="minorHAnsi"/>
          <w:snapToGrid w:val="0"/>
        </w:rPr>
        <w:t>Overall, the PBAC considered the available evidence suggested vutrisiran and patisiran were similar in terms of comparative effectiveness</w:t>
      </w:r>
      <w:r w:rsidR="00E16A01" w:rsidRPr="002106BA">
        <w:rPr>
          <w:rFonts w:asciiTheme="minorHAnsi" w:hAnsiTheme="minorHAnsi"/>
          <w:snapToGrid w:val="0"/>
        </w:rPr>
        <w:t xml:space="preserve"> </w:t>
      </w:r>
      <w:r w:rsidR="00592337" w:rsidRPr="002106BA">
        <w:rPr>
          <w:rFonts w:asciiTheme="minorHAnsi" w:hAnsiTheme="minorHAnsi"/>
          <w:snapToGrid w:val="0"/>
        </w:rPr>
        <w:t>but</w:t>
      </w:r>
      <w:r w:rsidRPr="002106BA">
        <w:rPr>
          <w:rFonts w:asciiTheme="minorHAnsi" w:hAnsiTheme="minorHAnsi"/>
          <w:snapToGrid w:val="0"/>
        </w:rPr>
        <w:t xml:space="preserve"> reiterated that conclusion was based on a surrogate biomarker and longer-term data on clinical outcomes would be informative. </w:t>
      </w:r>
    </w:p>
    <w:p w14:paraId="3BD53FC7" w14:textId="13C63CA0" w:rsidR="00E16A01" w:rsidRPr="002106BA" w:rsidRDefault="00E16A01" w:rsidP="003105F7">
      <w:pPr>
        <w:widowControl w:val="0"/>
        <w:numPr>
          <w:ilvl w:val="1"/>
          <w:numId w:val="1"/>
        </w:numPr>
        <w:spacing w:after="120"/>
        <w:rPr>
          <w:rFonts w:asciiTheme="minorHAnsi" w:hAnsiTheme="minorHAnsi"/>
          <w:bCs/>
          <w:snapToGrid w:val="0"/>
        </w:rPr>
      </w:pPr>
      <w:r w:rsidRPr="002106BA">
        <w:rPr>
          <w:rFonts w:asciiTheme="minorHAnsi" w:hAnsiTheme="minorHAnsi"/>
          <w:snapToGrid w:val="0"/>
        </w:rPr>
        <w:t xml:space="preserve">In terms of </w:t>
      </w:r>
      <w:r w:rsidR="005D0629" w:rsidRPr="002106BA">
        <w:rPr>
          <w:rFonts w:asciiTheme="minorHAnsi" w:hAnsiTheme="minorHAnsi"/>
          <w:snapToGrid w:val="0"/>
        </w:rPr>
        <w:t>comparative</w:t>
      </w:r>
      <w:r w:rsidRPr="002106BA">
        <w:rPr>
          <w:rFonts w:asciiTheme="minorHAnsi" w:hAnsiTheme="minorHAnsi"/>
          <w:snapToGrid w:val="0"/>
        </w:rPr>
        <w:t xml:space="preserve"> safety, the PBAC considered the claim of comparable safety of vutrisiran and patisiran was reasonable. </w:t>
      </w:r>
      <w:bookmarkEnd w:id="83"/>
      <w:r w:rsidRPr="002106BA">
        <w:rPr>
          <w:rFonts w:asciiTheme="minorHAnsi" w:hAnsiTheme="minorHAnsi"/>
          <w:snapToGrid w:val="0"/>
        </w:rPr>
        <w:t xml:space="preserve">The Committee noted the submission presented a summary of adverse events across the HELIOS-A and APOLLO studies, and considered the differences in baseline characteristics made a reliable </w:t>
      </w:r>
      <w:r w:rsidR="005D0629" w:rsidRPr="002106BA">
        <w:rPr>
          <w:rFonts w:asciiTheme="minorHAnsi" w:hAnsiTheme="minorHAnsi"/>
          <w:snapToGrid w:val="0"/>
        </w:rPr>
        <w:t>comparison</w:t>
      </w:r>
      <w:r w:rsidRPr="002106BA">
        <w:rPr>
          <w:rFonts w:asciiTheme="minorHAnsi" w:hAnsiTheme="minorHAnsi"/>
          <w:snapToGrid w:val="0"/>
        </w:rPr>
        <w:t xml:space="preserve"> across these trials difficult. The PBAC noted the safety results from HELIOS-A found similar but low number of adverse events across treatments, and considered the low number precluded a robust compar</w:t>
      </w:r>
      <w:r w:rsidR="005860B4" w:rsidRPr="002106BA">
        <w:rPr>
          <w:rFonts w:asciiTheme="minorHAnsi" w:hAnsiTheme="minorHAnsi"/>
          <w:snapToGrid w:val="0"/>
        </w:rPr>
        <w:t>ison of the</w:t>
      </w:r>
      <w:r w:rsidRPr="002106BA">
        <w:rPr>
          <w:rFonts w:asciiTheme="minorHAnsi" w:hAnsiTheme="minorHAnsi"/>
          <w:snapToGrid w:val="0"/>
        </w:rPr>
        <w:t xml:space="preserve"> safety of vutrisiran and patisiran. However, given the overall numerical similarity in adverse event rates between therapies, </w:t>
      </w:r>
      <w:r w:rsidR="007A6A28">
        <w:rPr>
          <w:rFonts w:asciiTheme="minorHAnsi" w:hAnsiTheme="minorHAnsi"/>
          <w:snapToGrid w:val="0"/>
        </w:rPr>
        <w:t xml:space="preserve">the PBAC </w:t>
      </w:r>
      <w:r w:rsidRPr="002106BA">
        <w:rPr>
          <w:rFonts w:asciiTheme="minorHAnsi" w:hAnsiTheme="minorHAnsi"/>
          <w:snapToGrid w:val="0"/>
        </w:rPr>
        <w:t>was satisfied that the safety profiles of vutrisiran and patisiran are likely to be comparable.</w:t>
      </w:r>
    </w:p>
    <w:p w14:paraId="733EFACF" w14:textId="15CC7470" w:rsidR="00FA0EAC" w:rsidRPr="002106BA" w:rsidRDefault="00D3093C" w:rsidP="00FA60C8">
      <w:pPr>
        <w:widowControl w:val="0"/>
        <w:numPr>
          <w:ilvl w:val="1"/>
          <w:numId w:val="1"/>
        </w:numPr>
        <w:spacing w:after="120"/>
        <w:rPr>
          <w:rFonts w:asciiTheme="minorHAnsi" w:hAnsiTheme="minorHAnsi"/>
          <w:bCs/>
          <w:snapToGrid w:val="0"/>
        </w:rPr>
      </w:pPr>
      <w:bookmarkStart w:id="84" w:name="_Ref183447859"/>
      <w:r w:rsidRPr="002106BA">
        <w:rPr>
          <w:rFonts w:asciiTheme="minorHAnsi" w:hAnsiTheme="minorHAnsi"/>
          <w:snapToGrid w:val="0"/>
        </w:rPr>
        <w:t>The PBAC considered the submission</w:t>
      </w:r>
      <w:r w:rsidR="00F31ED9" w:rsidRPr="002106BA">
        <w:rPr>
          <w:rFonts w:asciiTheme="minorHAnsi" w:hAnsiTheme="minorHAnsi"/>
          <w:snapToGrid w:val="0"/>
        </w:rPr>
        <w:t>’s</w:t>
      </w:r>
      <w:r w:rsidRPr="002106BA">
        <w:rPr>
          <w:rFonts w:asciiTheme="minorHAnsi" w:hAnsiTheme="minorHAnsi"/>
          <w:snapToGrid w:val="0"/>
        </w:rPr>
        <w:t xml:space="preserve"> cost minimisation approach (CMA), which used a modelled approach was overly complex and</w:t>
      </w:r>
      <w:r w:rsidR="00AE0A4A" w:rsidRPr="002106BA">
        <w:t xml:space="preserve"> not justified, given the limited data available to inform the model. </w:t>
      </w:r>
      <w:r w:rsidR="00AE0A4A" w:rsidRPr="002106BA">
        <w:rPr>
          <w:rFonts w:asciiTheme="minorHAnsi" w:hAnsiTheme="minorHAnsi"/>
          <w:snapToGrid w:val="0"/>
        </w:rPr>
        <w:t xml:space="preserve">The PBAC noted the </w:t>
      </w:r>
      <w:r w:rsidRPr="002106BA">
        <w:rPr>
          <w:rFonts w:asciiTheme="minorHAnsi" w:hAnsiTheme="minorHAnsi"/>
          <w:snapToGrid w:val="0"/>
        </w:rPr>
        <w:t xml:space="preserve">results were </w:t>
      </w:r>
      <w:r w:rsidR="00484066" w:rsidRPr="002106BA">
        <w:rPr>
          <w:rFonts w:asciiTheme="minorHAnsi" w:hAnsiTheme="minorHAnsi"/>
          <w:snapToGrid w:val="0"/>
        </w:rPr>
        <w:t xml:space="preserve">almost entirely </w:t>
      </w:r>
      <w:r w:rsidRPr="002106BA">
        <w:rPr>
          <w:rFonts w:asciiTheme="minorHAnsi" w:hAnsiTheme="minorHAnsi"/>
          <w:snapToGrid w:val="0"/>
        </w:rPr>
        <w:t xml:space="preserve">driven by drug acquisition costs. </w:t>
      </w:r>
      <w:r w:rsidR="00AE0A4A" w:rsidRPr="002106BA">
        <w:rPr>
          <w:rFonts w:asciiTheme="minorHAnsi" w:hAnsiTheme="minorHAnsi"/>
          <w:snapToGrid w:val="0"/>
        </w:rPr>
        <w:t>T</w:t>
      </w:r>
      <w:r w:rsidRPr="002106BA">
        <w:rPr>
          <w:rFonts w:asciiTheme="minorHAnsi" w:hAnsiTheme="minorHAnsi"/>
          <w:snapToGrid w:val="0"/>
        </w:rPr>
        <w:t xml:space="preserve">he PBAC agreed with the ESC that a simpler approach to the CMA was </w:t>
      </w:r>
      <w:r w:rsidR="00AE0A4A" w:rsidRPr="002106BA">
        <w:rPr>
          <w:rFonts w:asciiTheme="minorHAnsi" w:hAnsiTheme="minorHAnsi"/>
          <w:snapToGrid w:val="0"/>
        </w:rPr>
        <w:t xml:space="preserve">preferred </w:t>
      </w:r>
      <w:r w:rsidRPr="002106BA">
        <w:rPr>
          <w:rFonts w:asciiTheme="minorHAnsi" w:hAnsiTheme="minorHAnsi"/>
          <w:snapToGrid w:val="0"/>
        </w:rPr>
        <w:t>(paragraph</w:t>
      </w:r>
      <w:r w:rsidR="005D0629" w:rsidRPr="002106BA">
        <w:rPr>
          <w:rFonts w:asciiTheme="minorHAnsi" w:hAnsiTheme="minorHAnsi"/>
          <w:snapToGrid w:val="0"/>
        </w:rPr>
        <w:t xml:space="preserve">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_Ref182406490 \r \h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Pr>
          <w:rFonts w:asciiTheme="minorHAnsi" w:hAnsiTheme="minorHAnsi"/>
          <w:snapToGrid w:val="0"/>
        </w:rPr>
        <w:t>6.59</w:t>
      </w:r>
      <w:r w:rsidR="005D0629" w:rsidRPr="002106BA">
        <w:rPr>
          <w:rFonts w:asciiTheme="minorHAnsi" w:hAnsiTheme="minorHAnsi"/>
          <w:snapToGrid w:val="0"/>
        </w:rPr>
        <w:fldChar w:fldCharType="end"/>
      </w:r>
      <w:r w:rsidRPr="002106BA">
        <w:rPr>
          <w:rFonts w:asciiTheme="minorHAnsi" w:hAnsiTheme="minorHAnsi"/>
          <w:snapToGrid w:val="0"/>
        </w:rPr>
        <w:t xml:space="preserve"> refers)</w:t>
      </w:r>
      <w:r w:rsidR="00D9591E" w:rsidRPr="002106BA">
        <w:rPr>
          <w:rFonts w:asciiTheme="minorHAnsi" w:hAnsiTheme="minorHAnsi"/>
          <w:snapToGrid w:val="0"/>
        </w:rPr>
        <w:t xml:space="preserve"> </w:t>
      </w:r>
      <w:r w:rsidR="00484066" w:rsidRPr="002106BA">
        <w:rPr>
          <w:rFonts w:asciiTheme="minorHAnsi" w:hAnsiTheme="minorHAnsi"/>
          <w:snapToGrid w:val="0"/>
        </w:rPr>
        <w:t>and that</w:t>
      </w:r>
      <w:r w:rsidRPr="002106BA">
        <w:rPr>
          <w:rFonts w:asciiTheme="minorHAnsi" w:hAnsiTheme="minorHAnsi"/>
          <w:snapToGrid w:val="0"/>
        </w:rPr>
        <w:t xml:space="preserve"> the CMA should be based on equi-effective doses derived from the trials (see paragraph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_Ref182406504 \r \h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Pr>
          <w:rFonts w:asciiTheme="minorHAnsi" w:hAnsiTheme="minorHAnsi"/>
          <w:snapToGrid w:val="0"/>
        </w:rPr>
        <w:t>7.2</w:t>
      </w:r>
      <w:r w:rsidR="005D0629" w:rsidRPr="002106BA">
        <w:rPr>
          <w:rFonts w:asciiTheme="minorHAnsi" w:hAnsiTheme="minorHAnsi"/>
          <w:snapToGrid w:val="0"/>
        </w:rPr>
        <w:fldChar w:fldCharType="end"/>
      </w:r>
      <w:r w:rsidR="007A6A28">
        <w:rPr>
          <w:rFonts w:asciiTheme="minorHAnsi" w:hAnsiTheme="minorHAnsi"/>
          <w:snapToGrid w:val="0"/>
        </w:rPr>
        <w:t>)</w:t>
      </w:r>
      <w:r w:rsidRPr="002106BA">
        <w:rPr>
          <w:rFonts w:asciiTheme="minorHAnsi" w:hAnsiTheme="minorHAnsi"/>
          <w:snapToGrid w:val="0"/>
        </w:rPr>
        <w:t xml:space="preserve">. </w:t>
      </w:r>
      <w:r w:rsidR="001E117C" w:rsidRPr="002106BA">
        <w:t xml:space="preserve">The PBAC considered that the analysis preferred by the ESC (ESC 3 in Table 12) was </w:t>
      </w:r>
      <w:r w:rsidR="004D68F6" w:rsidRPr="002106BA">
        <w:t xml:space="preserve">an </w:t>
      </w:r>
      <w:r w:rsidR="001E117C" w:rsidRPr="002106BA">
        <w:t xml:space="preserve">appropriate </w:t>
      </w:r>
      <w:r w:rsidR="004D68F6" w:rsidRPr="002106BA">
        <w:t>cost minimisation approach</w:t>
      </w:r>
      <w:r w:rsidR="001E117C" w:rsidRPr="002106BA">
        <w:t xml:space="preserve">, noting that this was based on a simplified approach, with the modelled aspects removed (6-month cycles and half-cycle correction). In </w:t>
      </w:r>
      <w:r w:rsidR="004D68F6" w:rsidRPr="002106BA">
        <w:t>this</w:t>
      </w:r>
      <w:r w:rsidR="001E117C" w:rsidRPr="002106BA">
        <w:t xml:space="preserve"> approach</w:t>
      </w:r>
      <w:r w:rsidR="00FA0EAC" w:rsidRPr="002106BA">
        <w:t>:</w:t>
      </w:r>
      <w:bookmarkEnd w:id="84"/>
      <w:r w:rsidR="001E117C" w:rsidRPr="002106BA">
        <w:t xml:space="preserve"> </w:t>
      </w:r>
    </w:p>
    <w:p w14:paraId="4B8A0A97" w14:textId="216351CF" w:rsidR="00FA0EAC" w:rsidRPr="002106BA" w:rsidRDefault="00FA0EAC" w:rsidP="00FA0EAC">
      <w:pPr>
        <w:widowControl w:val="0"/>
        <w:numPr>
          <w:ilvl w:val="1"/>
          <w:numId w:val="22"/>
        </w:numPr>
        <w:spacing w:after="120"/>
        <w:ind w:left="1276" w:hanging="425"/>
        <w:rPr>
          <w:rFonts w:asciiTheme="minorHAnsi" w:hAnsiTheme="minorHAnsi"/>
          <w:bCs/>
          <w:snapToGrid w:val="0"/>
        </w:rPr>
      </w:pPr>
      <w:r w:rsidRPr="002106BA">
        <w:lastRenderedPageBreak/>
        <w:t xml:space="preserve">Treatment </w:t>
      </w:r>
      <w:r w:rsidR="001E117C" w:rsidRPr="002106BA">
        <w:t>persistence was based on based on mean duration of treatment from HELIOS-A (vutrisiran 18.82 months, patisiran 18.08 months), rather than modelled time-on-treatment and mortality estimates.</w:t>
      </w:r>
    </w:p>
    <w:p w14:paraId="72F71DBE" w14:textId="6D8B358A" w:rsidR="00FA0EAC" w:rsidRPr="002106BA" w:rsidRDefault="001E117C" w:rsidP="00FA0EAC">
      <w:pPr>
        <w:widowControl w:val="0"/>
        <w:numPr>
          <w:ilvl w:val="1"/>
          <w:numId w:val="22"/>
        </w:numPr>
        <w:spacing w:after="120"/>
        <w:ind w:left="1276" w:hanging="425"/>
        <w:rPr>
          <w:rFonts w:asciiTheme="minorHAnsi" w:hAnsiTheme="minorHAnsi"/>
          <w:bCs/>
          <w:snapToGrid w:val="0"/>
        </w:rPr>
      </w:pPr>
      <w:r w:rsidRPr="002106BA">
        <w:t>Infusion</w:t>
      </w:r>
      <w:r w:rsidRPr="002106BA">
        <w:noBreakHyphen/>
        <w:t>related serious adverse event costs were based on overall incidence in HELIOS-A (</w:t>
      </w:r>
      <w:r w:rsidR="004D68F6" w:rsidRPr="002106BA">
        <w:t>i</w:t>
      </w:r>
      <w:r w:rsidRPr="002106BA">
        <w:t xml:space="preserve">nfusion-site phlebitis 2.38%, </w:t>
      </w:r>
      <w:r w:rsidR="004D68F6" w:rsidRPr="002106BA">
        <w:t>i</w:t>
      </w:r>
      <w:r w:rsidRPr="002106BA">
        <w:t xml:space="preserve">nfusion-related reactions 7.14%, </w:t>
      </w:r>
      <w:r w:rsidR="004D68F6" w:rsidRPr="002106BA">
        <w:t>i</w:t>
      </w:r>
      <w:r w:rsidRPr="002106BA">
        <w:t>nfusion site cellulitis 4.76%) rather than rate per 6 month period.</w:t>
      </w:r>
    </w:p>
    <w:p w14:paraId="578D510B" w14:textId="613B1BEB" w:rsidR="00FA0EAC" w:rsidRPr="002106BA" w:rsidRDefault="001E117C" w:rsidP="00FA0EAC">
      <w:pPr>
        <w:widowControl w:val="0"/>
        <w:numPr>
          <w:ilvl w:val="1"/>
          <w:numId w:val="22"/>
        </w:numPr>
        <w:spacing w:after="120"/>
        <w:ind w:left="1276" w:hanging="425"/>
        <w:rPr>
          <w:rFonts w:asciiTheme="minorHAnsi" w:hAnsiTheme="minorHAnsi"/>
          <w:bCs/>
          <w:snapToGrid w:val="0"/>
        </w:rPr>
      </w:pPr>
      <w:r w:rsidRPr="002106BA">
        <w:t>End of life costs were removed.</w:t>
      </w:r>
    </w:p>
    <w:p w14:paraId="2C56319D" w14:textId="13D814CF" w:rsidR="001E117C" w:rsidRPr="00186594" w:rsidRDefault="001E117C" w:rsidP="00FA0EAC">
      <w:pPr>
        <w:widowControl w:val="0"/>
        <w:numPr>
          <w:ilvl w:val="1"/>
          <w:numId w:val="22"/>
        </w:numPr>
        <w:spacing w:after="120"/>
        <w:ind w:left="1276" w:hanging="425"/>
        <w:rPr>
          <w:rFonts w:asciiTheme="minorHAnsi" w:hAnsiTheme="minorHAnsi"/>
          <w:bCs/>
          <w:snapToGrid w:val="0"/>
        </w:rPr>
      </w:pPr>
      <w:r w:rsidRPr="002106BA">
        <w:t>The PBAC considered that the analysis should assume vutrisiran dosing every 12</w:t>
      </w:r>
      <w:r w:rsidR="008F5AAF">
        <w:t> </w:t>
      </w:r>
      <w:r w:rsidRPr="002106BA">
        <w:t>weeks (consistent with the HELIOS-A study) and 2.38 vials of patisiran per administration (based on APOLLO study as considered previously by the PBAC).</w:t>
      </w:r>
      <w:r w:rsidR="001C1BC1">
        <w:t xml:space="preserve"> </w:t>
      </w:r>
      <w:r w:rsidR="007A6A28">
        <w:t xml:space="preserve">The PBAC noted that APOLLO included more patients receiving patisiran than HELIOS-A and that the disease severity in APOLLO was more applicable to the </w:t>
      </w:r>
      <w:r w:rsidR="007A6A28" w:rsidRPr="00186594">
        <w:t>PBS population and therefore that the comparative dosing of patisiran should be the same as accepted in the patisiran study.</w:t>
      </w:r>
    </w:p>
    <w:p w14:paraId="2C0C5B5D" w14:textId="7348AB27" w:rsidR="00EC2CC7" w:rsidRPr="00186594" w:rsidRDefault="00E72B91" w:rsidP="00B3462C">
      <w:pPr>
        <w:pStyle w:val="COMexecsummnumbered"/>
        <w:widowControl w:val="0"/>
        <w:numPr>
          <w:ilvl w:val="1"/>
          <w:numId w:val="1"/>
        </w:numPr>
        <w:rPr>
          <w:bCs/>
          <w:snapToGrid w:val="0"/>
        </w:rPr>
      </w:pPr>
      <w:r w:rsidRPr="00186594">
        <w:rPr>
          <w:snapToGrid w:val="0"/>
        </w:rPr>
        <w:t>As discussed above</w:t>
      </w:r>
      <w:r w:rsidR="00D0198E" w:rsidRPr="00186594">
        <w:rPr>
          <w:snapToGrid w:val="0"/>
        </w:rPr>
        <w:t xml:space="preserve"> (paragraph</w:t>
      </w:r>
      <w:r w:rsidR="00846B1F" w:rsidRPr="00186594">
        <w:rPr>
          <w:snapToGrid w:val="0"/>
        </w:rPr>
        <w:t xml:space="preserve">s </w:t>
      </w:r>
      <w:r w:rsidR="00D0198E" w:rsidRPr="00186594">
        <w:rPr>
          <w:snapToGrid w:val="0"/>
        </w:rPr>
        <w:fldChar w:fldCharType="begin"/>
      </w:r>
      <w:r w:rsidR="00D0198E" w:rsidRPr="00186594">
        <w:rPr>
          <w:snapToGrid w:val="0"/>
        </w:rPr>
        <w:instrText xml:space="preserve"> REF _Ref182406504 \r \h </w:instrText>
      </w:r>
      <w:r w:rsidR="00186594">
        <w:rPr>
          <w:snapToGrid w:val="0"/>
        </w:rPr>
        <w:instrText xml:space="preserve"> \* MERGEFORMAT </w:instrText>
      </w:r>
      <w:r w:rsidR="00D0198E" w:rsidRPr="00186594">
        <w:rPr>
          <w:snapToGrid w:val="0"/>
        </w:rPr>
      </w:r>
      <w:r w:rsidR="00D0198E" w:rsidRPr="00186594">
        <w:rPr>
          <w:snapToGrid w:val="0"/>
        </w:rPr>
        <w:fldChar w:fldCharType="separate"/>
      </w:r>
      <w:r w:rsidR="00DB6E9D">
        <w:rPr>
          <w:snapToGrid w:val="0"/>
        </w:rPr>
        <w:t>7.2</w:t>
      </w:r>
      <w:r w:rsidR="00D0198E" w:rsidRPr="00186594">
        <w:rPr>
          <w:snapToGrid w:val="0"/>
        </w:rPr>
        <w:fldChar w:fldCharType="end"/>
      </w:r>
      <w:r w:rsidR="00D45BCF" w:rsidRPr="00186594">
        <w:rPr>
          <w:snapToGrid w:val="0"/>
        </w:rPr>
        <w:t xml:space="preserve"> and</w:t>
      </w:r>
      <w:r w:rsidR="00D0198E" w:rsidRPr="00186594">
        <w:rPr>
          <w:snapToGrid w:val="0"/>
        </w:rPr>
        <w:t xml:space="preserve"> </w:t>
      </w:r>
      <w:r w:rsidR="00D0198E" w:rsidRPr="00186594">
        <w:rPr>
          <w:snapToGrid w:val="0"/>
        </w:rPr>
        <w:fldChar w:fldCharType="begin"/>
      </w:r>
      <w:r w:rsidR="00D0198E" w:rsidRPr="00186594">
        <w:rPr>
          <w:snapToGrid w:val="0"/>
        </w:rPr>
        <w:instrText xml:space="preserve"> REF _Ref183447859 \r \h </w:instrText>
      </w:r>
      <w:r w:rsidR="00186594">
        <w:rPr>
          <w:snapToGrid w:val="0"/>
        </w:rPr>
        <w:instrText xml:space="preserve"> \* MERGEFORMAT </w:instrText>
      </w:r>
      <w:r w:rsidR="00D0198E" w:rsidRPr="00186594">
        <w:rPr>
          <w:snapToGrid w:val="0"/>
        </w:rPr>
      </w:r>
      <w:r w:rsidR="00D0198E" w:rsidRPr="00186594">
        <w:rPr>
          <w:snapToGrid w:val="0"/>
        </w:rPr>
        <w:fldChar w:fldCharType="separate"/>
      </w:r>
      <w:r w:rsidR="00DB6E9D">
        <w:rPr>
          <w:snapToGrid w:val="0"/>
        </w:rPr>
        <w:t>7.9</w:t>
      </w:r>
      <w:r w:rsidR="00D0198E" w:rsidRPr="00186594">
        <w:rPr>
          <w:snapToGrid w:val="0"/>
        </w:rPr>
        <w:fldChar w:fldCharType="end"/>
      </w:r>
      <w:r w:rsidR="00D0198E" w:rsidRPr="00186594">
        <w:rPr>
          <w:snapToGrid w:val="0"/>
        </w:rPr>
        <w:t>)</w:t>
      </w:r>
      <w:r w:rsidRPr="00186594">
        <w:rPr>
          <w:snapToGrid w:val="0"/>
        </w:rPr>
        <w:t>, t</w:t>
      </w:r>
      <w:r w:rsidR="004B4339" w:rsidRPr="00186594">
        <w:rPr>
          <w:snapToGrid w:val="0"/>
        </w:rPr>
        <w:t xml:space="preserve">he PBAC considered </w:t>
      </w:r>
      <w:r w:rsidRPr="00186594">
        <w:rPr>
          <w:snapToGrid w:val="0"/>
        </w:rPr>
        <w:t xml:space="preserve">it was appropriate to assume </w:t>
      </w:r>
      <w:r w:rsidRPr="00186594">
        <w:t xml:space="preserve">vutrisiran dosing every 12 weeks </w:t>
      </w:r>
      <w:r w:rsidR="00EC2CC7" w:rsidRPr="00186594">
        <w:t xml:space="preserve">(84 days) </w:t>
      </w:r>
      <w:r w:rsidRPr="00186594">
        <w:t xml:space="preserve">in the cost minimisation approach. </w:t>
      </w:r>
      <w:r w:rsidR="006F7A03" w:rsidRPr="00186594">
        <w:t xml:space="preserve">However, the PBAC also noted that </w:t>
      </w:r>
      <w:r w:rsidRPr="00186594">
        <w:rPr>
          <w:snapToGrid w:val="0"/>
        </w:rPr>
        <w:t>in the HELIOS</w:t>
      </w:r>
      <w:r w:rsidRPr="00186594">
        <w:rPr>
          <w:snapToGrid w:val="0"/>
        </w:rPr>
        <w:noBreakHyphen/>
        <w:t>A trial, vutrisiran 25</w:t>
      </w:r>
      <w:r w:rsidR="008F5AAF">
        <w:rPr>
          <w:snapToGrid w:val="0"/>
        </w:rPr>
        <w:t> </w:t>
      </w:r>
      <w:r w:rsidRPr="00186594">
        <w:rPr>
          <w:snapToGrid w:val="0"/>
        </w:rPr>
        <w:t xml:space="preserve">mg SC injection was administered </w:t>
      </w:r>
      <w:r w:rsidRPr="00186594">
        <w:t xml:space="preserve">every </w:t>
      </w:r>
      <w:r w:rsidRPr="00186594">
        <w:rPr>
          <w:snapToGrid w:val="0"/>
        </w:rPr>
        <w:t xml:space="preserve">12 weeks ±3 days during the treatment period and every 12 weeks ±7 days during the treatment extension period (paragraph </w:t>
      </w:r>
      <w:r w:rsidRPr="00186594">
        <w:rPr>
          <w:snapToGrid w:val="0"/>
        </w:rPr>
        <w:fldChar w:fldCharType="begin"/>
      </w:r>
      <w:r w:rsidRPr="00186594">
        <w:rPr>
          <w:snapToGrid w:val="0"/>
        </w:rPr>
        <w:instrText xml:space="preserve"> REF _Ref183447028 \r \h </w:instrText>
      </w:r>
      <w:r w:rsidR="00415342" w:rsidRPr="00186594">
        <w:rPr>
          <w:snapToGrid w:val="0"/>
        </w:rPr>
        <w:instrText xml:space="preserve"> \* MERGEFORMAT </w:instrText>
      </w:r>
      <w:r w:rsidRPr="00186594">
        <w:rPr>
          <w:snapToGrid w:val="0"/>
        </w:rPr>
      </w:r>
      <w:r w:rsidRPr="00186594">
        <w:rPr>
          <w:snapToGrid w:val="0"/>
        </w:rPr>
        <w:fldChar w:fldCharType="separate"/>
      </w:r>
      <w:r w:rsidR="00DB6E9D">
        <w:rPr>
          <w:snapToGrid w:val="0"/>
        </w:rPr>
        <w:t>6.60</w:t>
      </w:r>
      <w:r w:rsidRPr="00186594">
        <w:rPr>
          <w:snapToGrid w:val="0"/>
        </w:rPr>
        <w:fldChar w:fldCharType="end"/>
      </w:r>
      <w:r w:rsidRPr="00186594">
        <w:rPr>
          <w:snapToGrid w:val="0"/>
        </w:rPr>
        <w:t xml:space="preserve">). </w:t>
      </w:r>
      <w:r w:rsidR="00EC2CC7" w:rsidRPr="00186594">
        <w:rPr>
          <w:snapToGrid w:val="0"/>
        </w:rPr>
        <w:t xml:space="preserve">On this basis, the PBAC considered that the analysis </w:t>
      </w:r>
      <w:r w:rsidR="00EC2CC7" w:rsidRPr="00186594">
        <w:t>shown as ESC 3 in Table 12 was appropriate for the cost minimisation, however a small adjustment to the dosing interval for vutrisiran would be acceptable, c</w:t>
      </w:r>
      <w:r w:rsidR="00EC2CC7" w:rsidRPr="00186594">
        <w:rPr>
          <w:snapToGrid w:val="0"/>
        </w:rPr>
        <w:t xml:space="preserve">onsistent with the clinical trial protocol for HELIOS-A. The PBAC </w:t>
      </w:r>
      <w:r w:rsidR="00EC2CC7" w:rsidRPr="00186594">
        <w:t xml:space="preserve">noted the additional analysis shown in </w:t>
      </w:r>
      <w:r w:rsidR="00D45BCF" w:rsidRPr="00186594">
        <w:fldChar w:fldCharType="begin"/>
      </w:r>
      <w:r w:rsidR="00D45BCF" w:rsidRPr="00186594">
        <w:instrText xml:space="preserve"> REF _Ref177049158 \h </w:instrText>
      </w:r>
      <w:r w:rsidR="00186594">
        <w:instrText xml:space="preserve"> \* MERGEFORMAT </w:instrText>
      </w:r>
      <w:r w:rsidR="00D45BCF" w:rsidRPr="00186594">
        <w:fldChar w:fldCharType="separate"/>
      </w:r>
      <w:r w:rsidR="00DB6E9D" w:rsidRPr="002106BA">
        <w:t xml:space="preserve">Table </w:t>
      </w:r>
      <w:r w:rsidR="00DB6E9D">
        <w:t>12</w:t>
      </w:r>
      <w:r w:rsidR="00D45BCF" w:rsidRPr="00186594">
        <w:fldChar w:fldCharType="end"/>
      </w:r>
      <w:r w:rsidR="00D45BCF" w:rsidRPr="00186594">
        <w:t xml:space="preserve">, </w:t>
      </w:r>
      <w:r w:rsidR="00625AB2" w:rsidRPr="00186594">
        <w:t xml:space="preserve">that assumed a dosing interval of 87 days </w:t>
      </w:r>
      <w:r w:rsidR="00EC2CC7" w:rsidRPr="00186594">
        <w:t xml:space="preserve">and considered that a cost minimisation approach that assumed a dosing interval </w:t>
      </w:r>
      <w:r w:rsidR="006F7A03" w:rsidRPr="00186594">
        <w:t xml:space="preserve">in the range </w:t>
      </w:r>
      <w:r w:rsidR="00EC2CC7" w:rsidRPr="00186594">
        <w:t>8</w:t>
      </w:r>
      <w:r w:rsidR="000F7AD8" w:rsidRPr="00186594">
        <w:t>1</w:t>
      </w:r>
      <w:r w:rsidR="00EC2CC7" w:rsidRPr="00186594">
        <w:t xml:space="preserve"> days </w:t>
      </w:r>
      <w:r w:rsidR="006F7A03" w:rsidRPr="00186594">
        <w:t xml:space="preserve">to </w:t>
      </w:r>
      <w:r w:rsidR="000F7AD8" w:rsidRPr="00186594">
        <w:t>87</w:t>
      </w:r>
      <w:r w:rsidR="006F7A03" w:rsidRPr="00186594">
        <w:t xml:space="preserve"> days </w:t>
      </w:r>
      <w:r w:rsidR="00EC2CC7" w:rsidRPr="00186594">
        <w:t xml:space="preserve">would be </w:t>
      </w:r>
      <w:r w:rsidR="006F7A03" w:rsidRPr="00186594">
        <w:t>acceptable</w:t>
      </w:r>
      <w:r w:rsidR="00EC2CC7" w:rsidRPr="00186594">
        <w:t>.</w:t>
      </w:r>
    </w:p>
    <w:p w14:paraId="05EA3473" w14:textId="7A42C0D9" w:rsidR="003105F7" w:rsidRPr="002106BA" w:rsidRDefault="003105F7" w:rsidP="00C10561">
      <w:pPr>
        <w:widowControl w:val="0"/>
        <w:numPr>
          <w:ilvl w:val="1"/>
          <w:numId w:val="1"/>
        </w:numPr>
        <w:spacing w:after="120"/>
        <w:rPr>
          <w:rFonts w:asciiTheme="minorHAnsi" w:hAnsiTheme="minorHAnsi"/>
          <w:bCs/>
          <w:snapToGrid w:val="0"/>
        </w:rPr>
      </w:pPr>
      <w:r w:rsidRPr="002106BA">
        <w:rPr>
          <w:rFonts w:asciiTheme="minorHAnsi" w:hAnsiTheme="minorHAnsi"/>
          <w:snapToGrid w:val="0"/>
        </w:rPr>
        <w:t>The PBAC considered the utilisation and financial estimates, which were based on the estimates for patisiran, were generally reasonable for estimating the size of the treated population, as the Australian hATTR population is small and well-defined</w:t>
      </w:r>
      <w:r w:rsidR="005D0629" w:rsidRPr="002106BA">
        <w:rPr>
          <w:rFonts w:asciiTheme="minorHAnsi" w:hAnsiTheme="minorHAnsi"/>
          <w:snapToGrid w:val="0"/>
        </w:rPr>
        <w:t>.</w:t>
      </w:r>
      <w:r w:rsidRPr="002106BA">
        <w:rPr>
          <w:rFonts w:asciiTheme="minorHAnsi" w:hAnsiTheme="minorHAnsi"/>
          <w:snapToGrid w:val="0"/>
        </w:rPr>
        <w:t xml:space="preserve"> </w:t>
      </w:r>
      <w:r w:rsidR="005D0629" w:rsidRPr="002106BA">
        <w:rPr>
          <w:rFonts w:asciiTheme="minorHAnsi" w:hAnsiTheme="minorHAnsi"/>
          <w:snapToGrid w:val="0"/>
        </w:rPr>
        <w:t>T</w:t>
      </w:r>
      <w:r w:rsidRPr="002106BA">
        <w:rPr>
          <w:rFonts w:asciiTheme="minorHAnsi" w:hAnsiTheme="minorHAnsi"/>
          <w:snapToGrid w:val="0"/>
        </w:rPr>
        <w:t>he</w:t>
      </w:r>
      <w:r w:rsidR="005D0629" w:rsidRPr="002106BA">
        <w:rPr>
          <w:rFonts w:asciiTheme="minorHAnsi" w:hAnsiTheme="minorHAnsi"/>
          <w:snapToGrid w:val="0"/>
        </w:rPr>
        <w:t xml:space="preserve"> Committee considered the</w:t>
      </w:r>
      <w:r w:rsidRPr="002106BA">
        <w:rPr>
          <w:rFonts w:asciiTheme="minorHAnsi" w:hAnsiTheme="minorHAnsi"/>
          <w:snapToGrid w:val="0"/>
        </w:rPr>
        <w:t xml:space="preserve"> uptake rates estimated in the submission were likely reasonable</w:t>
      </w:r>
      <w:r w:rsidR="005D0629" w:rsidRPr="002106BA">
        <w:rPr>
          <w:rFonts w:asciiTheme="minorHAnsi" w:hAnsiTheme="minorHAnsi"/>
          <w:snapToGrid w:val="0"/>
        </w:rPr>
        <w:t xml:space="preserve"> as uptake was expected to be high owing to the less onerous administration requirements compared to patisiran</w:t>
      </w:r>
      <w:r w:rsidRPr="002106BA">
        <w:rPr>
          <w:rFonts w:asciiTheme="minorHAnsi" w:hAnsiTheme="minorHAnsi"/>
          <w:snapToGrid w:val="0"/>
        </w:rPr>
        <w:t>.</w:t>
      </w:r>
      <w:r w:rsidR="00B0409C" w:rsidRPr="002106BA">
        <w:rPr>
          <w:rFonts w:asciiTheme="minorHAnsi" w:hAnsiTheme="minorHAnsi"/>
          <w:snapToGrid w:val="0"/>
        </w:rPr>
        <w:t xml:space="preserve"> The PBAC also considered it was appropriate for vutrisiran to join the patisiran Risk Sharing Arrangement (RSA). </w:t>
      </w:r>
      <w:r w:rsidR="00FA087C" w:rsidRPr="002106BA">
        <w:rPr>
          <w:rFonts w:asciiTheme="minorHAnsi" w:hAnsiTheme="minorHAnsi"/>
          <w:snapToGrid w:val="0"/>
        </w:rPr>
        <w:t>T</w:t>
      </w:r>
      <w:r w:rsidRPr="002106BA">
        <w:rPr>
          <w:rFonts w:asciiTheme="minorHAnsi" w:hAnsiTheme="minorHAnsi"/>
          <w:snapToGrid w:val="0"/>
        </w:rPr>
        <w:t xml:space="preserve">he Committee agreed with the ESC that the grandfathered population </w:t>
      </w:r>
      <w:r w:rsidR="004D68F6" w:rsidRPr="002106BA">
        <w:rPr>
          <w:rFonts w:asciiTheme="minorHAnsi" w:hAnsiTheme="minorHAnsi"/>
          <w:snapToGrid w:val="0"/>
        </w:rPr>
        <w:t>would be captured</w:t>
      </w:r>
      <w:r w:rsidRPr="002106BA">
        <w:rPr>
          <w:rFonts w:asciiTheme="minorHAnsi" w:hAnsiTheme="minorHAnsi"/>
          <w:snapToGrid w:val="0"/>
        </w:rPr>
        <w:t xml:space="preserve"> in the prevalent population estimates and did not accept the argument in the PSCR and Pre-PBAC Response that the expected grandfather</w:t>
      </w:r>
      <w:r w:rsidR="004E1801" w:rsidRPr="002106BA">
        <w:rPr>
          <w:rFonts w:asciiTheme="minorHAnsi" w:hAnsiTheme="minorHAnsi"/>
          <w:snapToGrid w:val="0"/>
        </w:rPr>
        <w:t>ed</w:t>
      </w:r>
      <w:r w:rsidRPr="002106BA">
        <w:rPr>
          <w:rFonts w:asciiTheme="minorHAnsi" w:hAnsiTheme="minorHAnsi"/>
          <w:snapToGrid w:val="0"/>
        </w:rPr>
        <w:t xml:space="preserve"> patients currently treated with vutrisiran would never have otherwise commenced treatment with patisiran</w:t>
      </w:r>
      <w:r w:rsidR="00B0409C" w:rsidRPr="002106BA">
        <w:rPr>
          <w:rFonts w:asciiTheme="minorHAnsi" w:hAnsiTheme="minorHAnsi"/>
          <w:snapToGrid w:val="0"/>
        </w:rPr>
        <w:t xml:space="preserve"> (paragraph</w:t>
      </w:r>
      <w:r w:rsidR="005D0629" w:rsidRPr="002106BA">
        <w:rPr>
          <w:rFonts w:asciiTheme="minorHAnsi" w:hAnsiTheme="minorHAnsi"/>
          <w:snapToGrid w:val="0"/>
        </w:rPr>
        <w:t xml:space="preserve"> </w:t>
      </w:r>
      <w:r w:rsidR="005D0629" w:rsidRPr="002106BA">
        <w:rPr>
          <w:rFonts w:asciiTheme="minorHAnsi" w:hAnsiTheme="minorHAnsi"/>
          <w:snapToGrid w:val="0"/>
        </w:rPr>
        <w:fldChar w:fldCharType="begin"/>
      </w:r>
      <w:r w:rsidR="005D0629" w:rsidRPr="002106BA">
        <w:rPr>
          <w:rFonts w:asciiTheme="minorHAnsi" w:hAnsiTheme="minorHAnsi"/>
          <w:snapToGrid w:val="0"/>
        </w:rPr>
        <w:instrText xml:space="preserve"> REF _Ref182406430 \r \h </w:instrText>
      </w:r>
      <w:r w:rsidR="00DC79F6" w:rsidRPr="002106BA">
        <w:rPr>
          <w:rFonts w:asciiTheme="minorHAnsi" w:hAnsiTheme="minorHAnsi"/>
          <w:snapToGrid w:val="0"/>
        </w:rPr>
        <w:instrText xml:space="preserve"> \* MERGEFORMAT </w:instrText>
      </w:r>
      <w:r w:rsidR="005D0629" w:rsidRPr="002106BA">
        <w:rPr>
          <w:rFonts w:asciiTheme="minorHAnsi" w:hAnsiTheme="minorHAnsi"/>
          <w:snapToGrid w:val="0"/>
        </w:rPr>
      </w:r>
      <w:r w:rsidR="005D0629" w:rsidRPr="002106BA">
        <w:rPr>
          <w:rFonts w:asciiTheme="minorHAnsi" w:hAnsiTheme="minorHAnsi"/>
          <w:snapToGrid w:val="0"/>
        </w:rPr>
        <w:fldChar w:fldCharType="separate"/>
      </w:r>
      <w:r w:rsidR="00DB6E9D">
        <w:rPr>
          <w:rFonts w:asciiTheme="minorHAnsi" w:hAnsiTheme="minorHAnsi"/>
          <w:snapToGrid w:val="0"/>
        </w:rPr>
        <w:t>6.71</w:t>
      </w:r>
      <w:r w:rsidR="005D0629" w:rsidRPr="002106BA">
        <w:rPr>
          <w:rFonts w:asciiTheme="minorHAnsi" w:hAnsiTheme="minorHAnsi"/>
          <w:snapToGrid w:val="0"/>
        </w:rPr>
        <w:fldChar w:fldCharType="end"/>
      </w:r>
      <w:r w:rsidR="005D0629" w:rsidRPr="002106BA">
        <w:rPr>
          <w:rFonts w:asciiTheme="minorHAnsi" w:hAnsiTheme="minorHAnsi"/>
          <w:snapToGrid w:val="0"/>
        </w:rPr>
        <w:t xml:space="preserve"> refers)</w:t>
      </w:r>
      <w:r w:rsidRPr="002106BA">
        <w:rPr>
          <w:rFonts w:asciiTheme="minorHAnsi" w:hAnsiTheme="minorHAnsi"/>
          <w:snapToGrid w:val="0"/>
        </w:rPr>
        <w:t xml:space="preserve">. </w:t>
      </w:r>
      <w:r w:rsidR="00595E7D">
        <w:rPr>
          <w:rFonts w:asciiTheme="minorHAnsi" w:hAnsiTheme="minorHAnsi"/>
          <w:snapToGrid w:val="0"/>
        </w:rPr>
        <w:t xml:space="preserve">The PBAC recalled </w:t>
      </w:r>
      <w:r w:rsidR="00C10561">
        <w:rPr>
          <w:rFonts w:asciiTheme="minorHAnsi" w:hAnsiTheme="minorHAnsi"/>
          <w:snapToGrid w:val="0"/>
        </w:rPr>
        <w:t xml:space="preserve">that it had previously given </w:t>
      </w:r>
      <w:r w:rsidR="00A20125">
        <w:rPr>
          <w:rFonts w:asciiTheme="minorHAnsi" w:hAnsiTheme="minorHAnsi"/>
          <w:snapToGrid w:val="0"/>
        </w:rPr>
        <w:t xml:space="preserve">detailed </w:t>
      </w:r>
      <w:r w:rsidR="00C10561">
        <w:rPr>
          <w:rFonts w:asciiTheme="minorHAnsi" w:hAnsiTheme="minorHAnsi"/>
          <w:snapToGrid w:val="0"/>
        </w:rPr>
        <w:t xml:space="preserve">advice regarding the eligible patient population and </w:t>
      </w:r>
      <w:r w:rsidR="00A20125">
        <w:rPr>
          <w:rFonts w:asciiTheme="minorHAnsi" w:hAnsiTheme="minorHAnsi"/>
          <w:snapToGrid w:val="0"/>
        </w:rPr>
        <w:t xml:space="preserve">financial estimates </w:t>
      </w:r>
      <w:r w:rsidR="00C10561">
        <w:rPr>
          <w:rFonts w:asciiTheme="minorHAnsi" w:hAnsiTheme="minorHAnsi"/>
          <w:snapToGrid w:val="0"/>
        </w:rPr>
        <w:t>for patisiran</w:t>
      </w:r>
      <w:r w:rsidR="00A20125">
        <w:rPr>
          <w:rFonts w:asciiTheme="minorHAnsi" w:hAnsiTheme="minorHAnsi"/>
          <w:snapToGrid w:val="0"/>
        </w:rPr>
        <w:t xml:space="preserve"> in July</w:t>
      </w:r>
      <w:r w:rsidR="0096236B">
        <w:rPr>
          <w:rFonts w:asciiTheme="minorHAnsi" w:hAnsiTheme="minorHAnsi"/>
          <w:snapToGrid w:val="0"/>
        </w:rPr>
        <w:t> </w:t>
      </w:r>
      <w:r w:rsidR="00A20125">
        <w:rPr>
          <w:rFonts w:asciiTheme="minorHAnsi" w:hAnsiTheme="minorHAnsi"/>
          <w:snapToGrid w:val="0"/>
        </w:rPr>
        <w:t>2023, September 2023 and December 2023 (</w:t>
      </w:r>
      <w:r w:rsidR="00A20125" w:rsidRPr="002106BA">
        <w:t>Patisiran PSD, July 2023 PBAC meeting, September 2023, December 2023 addenda).</w:t>
      </w:r>
      <w:r w:rsidR="00A20125">
        <w:t xml:space="preserve"> </w:t>
      </w:r>
      <w:r w:rsidR="00C97B15">
        <w:rPr>
          <w:rFonts w:asciiTheme="minorHAnsi" w:hAnsiTheme="minorHAnsi"/>
          <w:snapToGrid w:val="0"/>
        </w:rPr>
        <w:t>T</w:t>
      </w:r>
      <w:r w:rsidR="00393D51" w:rsidRPr="002106BA">
        <w:rPr>
          <w:rFonts w:asciiTheme="minorHAnsi" w:hAnsiTheme="minorHAnsi"/>
          <w:snapToGrid w:val="0"/>
        </w:rPr>
        <w:t>h</w:t>
      </w:r>
      <w:r w:rsidR="004D68F6" w:rsidRPr="002106BA">
        <w:rPr>
          <w:rFonts w:asciiTheme="minorHAnsi" w:hAnsiTheme="minorHAnsi"/>
          <w:snapToGrid w:val="0"/>
        </w:rPr>
        <w:t>us th</w:t>
      </w:r>
      <w:r w:rsidR="00393D51" w:rsidRPr="002106BA">
        <w:rPr>
          <w:rFonts w:asciiTheme="minorHAnsi" w:hAnsiTheme="minorHAnsi"/>
          <w:snapToGrid w:val="0"/>
        </w:rPr>
        <w:t xml:space="preserve">e PBAC </w:t>
      </w:r>
      <w:r w:rsidR="00CB3B9C" w:rsidRPr="002106BA">
        <w:rPr>
          <w:rFonts w:asciiTheme="minorHAnsi" w:hAnsiTheme="minorHAnsi"/>
          <w:snapToGrid w:val="0"/>
        </w:rPr>
        <w:t xml:space="preserve">did not accept the sponsor’s request to add </w:t>
      </w:r>
      <w:r w:rsidR="00C97B15">
        <w:rPr>
          <w:rFonts w:asciiTheme="minorHAnsi" w:hAnsiTheme="minorHAnsi"/>
          <w:snapToGrid w:val="0"/>
        </w:rPr>
        <w:t xml:space="preserve">additional </w:t>
      </w:r>
      <w:r w:rsidR="00CB3B9C" w:rsidRPr="002106BA">
        <w:rPr>
          <w:rFonts w:asciiTheme="minorHAnsi" w:hAnsiTheme="minorHAnsi"/>
          <w:snapToGrid w:val="0"/>
        </w:rPr>
        <w:t xml:space="preserve">grandfathered patients to the financial </w:t>
      </w:r>
      <w:r w:rsidR="00CB3B9C" w:rsidRPr="002106BA">
        <w:rPr>
          <w:rFonts w:asciiTheme="minorHAnsi" w:hAnsiTheme="minorHAnsi"/>
          <w:snapToGrid w:val="0"/>
        </w:rPr>
        <w:lastRenderedPageBreak/>
        <w:t>estimates for the purposes of the RSA</w:t>
      </w:r>
      <w:r w:rsidR="00393D51" w:rsidRPr="002106BA">
        <w:rPr>
          <w:rFonts w:asciiTheme="minorHAnsi" w:hAnsiTheme="minorHAnsi"/>
          <w:snapToGrid w:val="0"/>
        </w:rPr>
        <w:t>.</w:t>
      </w:r>
    </w:p>
    <w:p w14:paraId="154388F9" w14:textId="269A2DC9" w:rsidR="004F465B" w:rsidRPr="002106BA" w:rsidRDefault="003105F7" w:rsidP="00B94444">
      <w:pPr>
        <w:pStyle w:val="COMexecsummnumbered"/>
        <w:rPr>
          <w:bCs/>
          <w:snapToGrid w:val="0"/>
        </w:rPr>
      </w:pPr>
      <w:bookmarkStart w:id="85" w:name="_Ref182813969"/>
      <w:r w:rsidRPr="002106BA">
        <w:rPr>
          <w:rFonts w:eastAsia="Times New Roman" w:cs="Arial"/>
          <w:bCs/>
          <w:snapToGrid w:val="0"/>
          <w:szCs w:val="24"/>
        </w:rPr>
        <w:t xml:space="preserve">The PBAC noted the Deed of Agreement for patisiran includes a clause requiring a review of its cost effectiveness 3 years after PBS listing (which occurred on </w:t>
      </w:r>
      <w:r w:rsidR="0096236B" w:rsidRPr="002106BA">
        <w:rPr>
          <w:rFonts w:eastAsia="Times New Roman" w:cs="Arial"/>
          <w:bCs/>
          <w:snapToGrid w:val="0"/>
          <w:szCs w:val="24"/>
        </w:rPr>
        <w:t>1</w:t>
      </w:r>
      <w:r w:rsidR="0096236B">
        <w:rPr>
          <w:rFonts w:eastAsia="Times New Roman" w:cs="Arial"/>
          <w:bCs/>
          <w:snapToGrid w:val="0"/>
          <w:szCs w:val="24"/>
        </w:rPr>
        <w:t> </w:t>
      </w:r>
      <w:r w:rsidRPr="002106BA">
        <w:rPr>
          <w:rFonts w:eastAsia="Times New Roman" w:cs="Arial"/>
          <w:bCs/>
          <w:snapToGrid w:val="0"/>
          <w:szCs w:val="24"/>
        </w:rPr>
        <w:t>August</w:t>
      </w:r>
      <w:r w:rsidR="0096236B">
        <w:rPr>
          <w:rFonts w:eastAsia="Times New Roman" w:cs="Arial"/>
          <w:bCs/>
          <w:snapToGrid w:val="0"/>
          <w:szCs w:val="24"/>
        </w:rPr>
        <w:t> </w:t>
      </w:r>
      <w:r w:rsidRPr="002106BA">
        <w:rPr>
          <w:rFonts w:eastAsia="Times New Roman" w:cs="Arial"/>
          <w:bCs/>
          <w:snapToGrid w:val="0"/>
          <w:szCs w:val="24"/>
        </w:rPr>
        <w:t>2024)</w:t>
      </w:r>
      <w:r w:rsidR="006312CE" w:rsidRPr="002106BA">
        <w:rPr>
          <w:rFonts w:eastAsia="Times New Roman" w:cs="Arial"/>
          <w:bCs/>
          <w:snapToGrid w:val="0"/>
          <w:szCs w:val="24"/>
        </w:rPr>
        <w:t>, as advised by the PBAC in December 2023 (</w:t>
      </w:r>
      <w:r w:rsidR="006312CE" w:rsidRPr="002106BA">
        <w:t>para</w:t>
      </w:r>
      <w:r w:rsidR="0000370D">
        <w:t>graph</w:t>
      </w:r>
      <w:r w:rsidR="006312CE" w:rsidRPr="002106BA">
        <w:t xml:space="preserve"> 19.9, patisiran PSD, December 2023 PBAC meeting)</w:t>
      </w:r>
      <w:r w:rsidRPr="002106BA">
        <w:rPr>
          <w:rFonts w:eastAsia="Times New Roman" w:cs="Arial"/>
          <w:bCs/>
          <w:snapToGrid w:val="0"/>
          <w:szCs w:val="24"/>
        </w:rPr>
        <w:t>. Given the nature of the clinical data for vutrisiran, which relies on the effectiveness of patisiran over placebo to be affirmed to assess its cost effectiveness, the PBAC considered</w:t>
      </w:r>
      <w:r w:rsidR="00595E7D">
        <w:rPr>
          <w:rFonts w:eastAsia="Times New Roman" w:cs="Arial"/>
          <w:bCs/>
          <w:snapToGrid w:val="0"/>
          <w:szCs w:val="24"/>
        </w:rPr>
        <w:t xml:space="preserve"> </w:t>
      </w:r>
      <w:r w:rsidRPr="002106BA">
        <w:rPr>
          <w:rFonts w:eastAsia="Times New Roman" w:cs="Arial"/>
          <w:bCs/>
          <w:snapToGrid w:val="0"/>
          <w:szCs w:val="24"/>
        </w:rPr>
        <w:t xml:space="preserve">vutrisiran </w:t>
      </w:r>
      <w:r w:rsidR="00C60143" w:rsidRPr="002106BA">
        <w:rPr>
          <w:rFonts w:eastAsia="Times New Roman" w:cs="Arial"/>
          <w:bCs/>
          <w:snapToGrid w:val="0"/>
          <w:szCs w:val="24"/>
        </w:rPr>
        <w:t>should</w:t>
      </w:r>
      <w:r w:rsidRPr="002106BA">
        <w:rPr>
          <w:rFonts w:eastAsia="Times New Roman" w:cs="Arial"/>
          <w:bCs/>
          <w:snapToGrid w:val="0"/>
          <w:szCs w:val="24"/>
        </w:rPr>
        <w:t xml:space="preserve"> be subject to the same cost</w:t>
      </w:r>
      <w:r w:rsidR="004E1801" w:rsidRPr="002106BA">
        <w:rPr>
          <w:rFonts w:eastAsia="Times New Roman" w:cs="Arial"/>
          <w:bCs/>
          <w:snapToGrid w:val="0"/>
          <w:szCs w:val="24"/>
        </w:rPr>
        <w:noBreakHyphen/>
      </w:r>
      <w:r w:rsidRPr="002106BA">
        <w:rPr>
          <w:rFonts w:eastAsia="Times New Roman" w:cs="Arial"/>
          <w:bCs/>
          <w:snapToGrid w:val="0"/>
          <w:szCs w:val="24"/>
        </w:rPr>
        <w:t xml:space="preserve">effectiveness review requirements. </w:t>
      </w:r>
      <w:r w:rsidR="004E1801" w:rsidRPr="002106BA">
        <w:t xml:space="preserve">The PBAC advised that the cost-effectiveness review may impact the future PBS price of vutrisiran, noting that a price reduction would be needed if the review found that patisiran and/or vutrisiran were less cost-effective based on updated data informing the review. The PBAC noted </w:t>
      </w:r>
      <w:r w:rsidR="004F465B" w:rsidRPr="002106BA">
        <w:t>that</w:t>
      </w:r>
      <w:r w:rsidR="00595E7D">
        <w:t>,</w:t>
      </w:r>
      <w:r w:rsidR="004F465B" w:rsidRPr="002106BA">
        <w:t xml:space="preserve"> consistent with its advice for patisiran, </w:t>
      </w:r>
      <w:r w:rsidR="004E1801" w:rsidRPr="002106BA">
        <w:t>there would be no basis for a price increase for vutrisiran</w:t>
      </w:r>
      <w:r w:rsidR="004F465B" w:rsidRPr="002106BA">
        <w:t xml:space="preserve"> (para</w:t>
      </w:r>
      <w:r w:rsidR="007E4E5D">
        <w:t>graph</w:t>
      </w:r>
      <w:r w:rsidR="004F465B" w:rsidRPr="002106BA">
        <w:t xml:space="preserve"> 15.7 patisiran PSD, December 2023 PBAC meeting).</w:t>
      </w:r>
      <w:bookmarkEnd w:id="85"/>
    </w:p>
    <w:p w14:paraId="31C66DE0" w14:textId="33C49BBA" w:rsidR="004F465B" w:rsidRPr="002106BA" w:rsidRDefault="004F465B" w:rsidP="006A6EE9">
      <w:pPr>
        <w:pStyle w:val="COMexecsummnumbered"/>
        <w:rPr>
          <w:bCs/>
          <w:snapToGrid w:val="0"/>
        </w:rPr>
      </w:pPr>
      <w:bookmarkStart w:id="86" w:name="_Ref182813970"/>
      <w:r w:rsidRPr="002106BA">
        <w:rPr>
          <w:bCs/>
          <w:snapToGrid w:val="0"/>
        </w:rPr>
        <w:t xml:space="preserve">The PBAC noted that </w:t>
      </w:r>
      <w:r w:rsidRPr="002106BA">
        <w:t>the open-label extension phase of the HELIOS-A study is ongoing and will capture clinical data for patients treated with up to 5 years of vutrisiran treatment</w:t>
      </w:r>
      <w:r w:rsidR="00BC75B2" w:rsidRPr="002106BA">
        <w:t xml:space="preserve">. The submission presented </w:t>
      </w:r>
      <w:r w:rsidR="00531C0D" w:rsidRPr="002106BA">
        <w:t>an</w:t>
      </w:r>
      <w:r w:rsidR="00BC75B2" w:rsidRPr="002106BA">
        <w:t xml:space="preserve"> </w:t>
      </w:r>
      <w:r w:rsidR="00531C0D" w:rsidRPr="002106BA">
        <w:t xml:space="preserve">interim </w:t>
      </w:r>
      <w:r w:rsidR="00BC75B2" w:rsidRPr="002106BA">
        <w:t xml:space="preserve">analysis </w:t>
      </w:r>
      <w:r w:rsidR="00531C0D" w:rsidRPr="002106BA">
        <w:t xml:space="preserve">of the extension study period </w:t>
      </w:r>
      <w:r w:rsidR="00BC75B2" w:rsidRPr="002106BA">
        <w:t>at 9 months (poster/abstract only; Obici et al 2023)</w:t>
      </w:r>
      <w:r w:rsidR="00531C0D" w:rsidRPr="002106BA">
        <w:t>, corresponding to 27</w:t>
      </w:r>
      <w:r w:rsidR="0096236B">
        <w:t> </w:t>
      </w:r>
      <w:r w:rsidR="00531C0D" w:rsidRPr="002106BA">
        <w:t>months of vutrisiran treatment, including the initial 18-month treatment period (</w:t>
      </w:r>
      <w:r w:rsidR="00531C0D" w:rsidRPr="002106BA">
        <w:fldChar w:fldCharType="begin"/>
      </w:r>
      <w:r w:rsidR="00531C0D" w:rsidRPr="002106BA">
        <w:instrText xml:space="preserve"> REF _Ref182993802 \r \h </w:instrText>
      </w:r>
      <w:r w:rsidR="00DC79F6" w:rsidRPr="002106BA">
        <w:instrText xml:space="preserve"> \* MERGEFORMAT </w:instrText>
      </w:r>
      <w:r w:rsidR="00531C0D" w:rsidRPr="002106BA">
        <w:fldChar w:fldCharType="separate"/>
      </w:r>
      <w:r w:rsidR="00DB6E9D">
        <w:t>6.24</w:t>
      </w:r>
      <w:r w:rsidR="00531C0D" w:rsidRPr="002106BA">
        <w:fldChar w:fldCharType="end"/>
      </w:r>
      <w:r w:rsidR="00531C0D" w:rsidRPr="002106BA">
        <w:t xml:space="preserve">, </w:t>
      </w:r>
      <w:r w:rsidR="00531C0D" w:rsidRPr="002106BA">
        <w:fldChar w:fldCharType="begin"/>
      </w:r>
      <w:r w:rsidR="00531C0D" w:rsidRPr="002106BA">
        <w:instrText xml:space="preserve"> REF _Ref182993804 \r \h </w:instrText>
      </w:r>
      <w:r w:rsidR="00DC79F6" w:rsidRPr="002106BA">
        <w:instrText xml:space="preserve"> \* MERGEFORMAT </w:instrText>
      </w:r>
      <w:r w:rsidR="00531C0D" w:rsidRPr="002106BA">
        <w:fldChar w:fldCharType="separate"/>
      </w:r>
      <w:r w:rsidR="00DB6E9D">
        <w:t>6.25</w:t>
      </w:r>
      <w:r w:rsidR="00531C0D" w:rsidRPr="002106BA">
        <w:fldChar w:fldCharType="end"/>
      </w:r>
      <w:r w:rsidR="00595E7D">
        <w:t>)</w:t>
      </w:r>
      <w:r w:rsidR="00531C0D" w:rsidRPr="002106BA">
        <w:t>. The PBAC noted the estimated study completion date is October 2026</w:t>
      </w:r>
      <w:r w:rsidR="00531C0D" w:rsidRPr="002106BA">
        <w:rPr>
          <w:rStyle w:val="FootnoteReference"/>
        </w:rPr>
        <w:footnoteReference w:id="3"/>
      </w:r>
      <w:r w:rsidR="00531C0D" w:rsidRPr="002106BA">
        <w:t xml:space="preserve">, which </w:t>
      </w:r>
      <w:r w:rsidR="001B15D8" w:rsidRPr="002106BA">
        <w:t xml:space="preserve">would </w:t>
      </w:r>
      <w:r w:rsidR="00531C0D" w:rsidRPr="002106BA">
        <w:t xml:space="preserve">allow </w:t>
      </w:r>
      <w:r w:rsidR="001B15D8" w:rsidRPr="002106BA">
        <w:t xml:space="preserve">the </w:t>
      </w:r>
      <w:r w:rsidR="00531C0D" w:rsidRPr="002106BA">
        <w:t xml:space="preserve">results to be considered at the </w:t>
      </w:r>
      <w:r w:rsidR="001B15D8" w:rsidRPr="002106BA">
        <w:t>time of the patisiran review</w:t>
      </w:r>
      <w:r w:rsidR="00531C0D" w:rsidRPr="002106BA">
        <w:t>.</w:t>
      </w:r>
      <w:r w:rsidR="001B15D8" w:rsidRPr="002106BA">
        <w:t xml:space="preserve"> The PBAC considered that</w:t>
      </w:r>
      <w:r w:rsidRPr="002106BA">
        <w:t xml:space="preserve"> the timeline of the PBAC review of patisiran at 3 years post-PBS listing should remain unchanged. The PBAC considered that evidence from HELIOS-A </w:t>
      </w:r>
      <w:r w:rsidR="00C63C84" w:rsidRPr="002106BA">
        <w:t xml:space="preserve">including the </w:t>
      </w:r>
      <w:r w:rsidRPr="002106BA">
        <w:t xml:space="preserve">extension phase </w:t>
      </w:r>
      <w:r w:rsidRPr="002106BA">
        <w:rPr>
          <w:bCs/>
          <w:snapToGrid w:val="0"/>
        </w:rPr>
        <w:t xml:space="preserve">would provide the basis for the reassessment as discussed above. In addition, the PBAC advised that the sponsor should be required to provide a systematic literature review, to ensure that any relevant clinical evidence </w:t>
      </w:r>
      <w:r w:rsidR="00C64E8C" w:rsidRPr="002106BA">
        <w:rPr>
          <w:bCs/>
          <w:snapToGrid w:val="0"/>
        </w:rPr>
        <w:t>for</w:t>
      </w:r>
      <w:r w:rsidR="002A169C" w:rsidRPr="002106BA">
        <w:rPr>
          <w:bCs/>
          <w:snapToGrid w:val="0"/>
        </w:rPr>
        <w:t xml:space="preserve"> vutrisiran </w:t>
      </w:r>
      <w:r w:rsidR="00C64E8C" w:rsidRPr="002106BA">
        <w:rPr>
          <w:bCs/>
          <w:snapToGrid w:val="0"/>
        </w:rPr>
        <w:t xml:space="preserve">including single arm studies, and comparisons </w:t>
      </w:r>
      <w:r w:rsidR="002A169C" w:rsidRPr="002106BA">
        <w:rPr>
          <w:bCs/>
          <w:snapToGrid w:val="0"/>
        </w:rPr>
        <w:t xml:space="preserve">with either patisiran or placebo, </w:t>
      </w:r>
      <w:r w:rsidRPr="002106BA">
        <w:rPr>
          <w:bCs/>
          <w:snapToGrid w:val="0"/>
        </w:rPr>
        <w:t xml:space="preserve">is presented for consideration in a manner consistent with the PBAC guidelines. If the literature review identifies any relevant studies beyond </w:t>
      </w:r>
      <w:r w:rsidR="00C64E8C" w:rsidRPr="002106BA">
        <w:rPr>
          <w:bCs/>
          <w:snapToGrid w:val="0"/>
        </w:rPr>
        <w:t xml:space="preserve">the </w:t>
      </w:r>
      <w:r w:rsidRPr="002106BA">
        <w:rPr>
          <w:bCs/>
          <w:snapToGrid w:val="0"/>
        </w:rPr>
        <w:t>HELIOS-A extension phase, these should also be presented within the submission for PBAC consideration.</w:t>
      </w:r>
      <w:bookmarkEnd w:id="86"/>
    </w:p>
    <w:p w14:paraId="037099FC" w14:textId="76162B35" w:rsidR="001C7ECD" w:rsidRPr="00B2239A" w:rsidRDefault="0056253D" w:rsidP="00D6559A">
      <w:pPr>
        <w:pStyle w:val="COMexecsummnumbered"/>
        <w:rPr>
          <w:bCs/>
          <w:snapToGrid w:val="0"/>
        </w:rPr>
      </w:pPr>
      <w:bookmarkStart w:id="87" w:name="_Ref183754284"/>
      <w:r w:rsidRPr="002106BA">
        <w:rPr>
          <w:bCs/>
          <w:snapToGrid w:val="0"/>
        </w:rPr>
        <w:t xml:space="preserve">The submission should </w:t>
      </w:r>
      <w:r w:rsidR="00C63C84" w:rsidRPr="002106BA">
        <w:rPr>
          <w:bCs/>
          <w:snapToGrid w:val="0"/>
        </w:rPr>
        <w:t>present</w:t>
      </w:r>
      <w:r w:rsidRPr="002106BA">
        <w:rPr>
          <w:bCs/>
          <w:snapToGrid w:val="0"/>
        </w:rPr>
        <w:t xml:space="preserve"> all relevant clinical evidence </w:t>
      </w:r>
      <w:r w:rsidR="00C63C84" w:rsidRPr="002106BA">
        <w:rPr>
          <w:bCs/>
          <w:snapToGrid w:val="0"/>
        </w:rPr>
        <w:t xml:space="preserve">as described in </w:t>
      </w:r>
      <w:r w:rsidR="00C63C84" w:rsidRPr="002106BA">
        <w:rPr>
          <w:bCs/>
          <w:snapToGrid w:val="0"/>
        </w:rPr>
        <w:fldChar w:fldCharType="begin"/>
      </w:r>
      <w:r w:rsidR="00C63C84" w:rsidRPr="002106BA">
        <w:rPr>
          <w:bCs/>
          <w:snapToGrid w:val="0"/>
        </w:rPr>
        <w:instrText xml:space="preserve"> REF _Ref182813970 \r \h </w:instrText>
      </w:r>
      <w:r w:rsidR="00B82178" w:rsidRPr="002106BA">
        <w:rPr>
          <w:bCs/>
          <w:snapToGrid w:val="0"/>
        </w:rPr>
        <w:instrText xml:space="preserve"> \* MERGEFORMAT </w:instrText>
      </w:r>
      <w:r w:rsidR="00C63C84" w:rsidRPr="002106BA">
        <w:rPr>
          <w:bCs/>
          <w:snapToGrid w:val="0"/>
        </w:rPr>
      </w:r>
      <w:r w:rsidR="00C63C84" w:rsidRPr="002106BA">
        <w:rPr>
          <w:bCs/>
          <w:snapToGrid w:val="0"/>
        </w:rPr>
        <w:fldChar w:fldCharType="separate"/>
      </w:r>
      <w:r w:rsidR="00DB6E9D">
        <w:rPr>
          <w:bCs/>
          <w:snapToGrid w:val="0"/>
        </w:rPr>
        <w:t>7.13</w:t>
      </w:r>
      <w:r w:rsidR="00C63C84" w:rsidRPr="002106BA">
        <w:rPr>
          <w:bCs/>
          <w:snapToGrid w:val="0"/>
        </w:rPr>
        <w:fldChar w:fldCharType="end"/>
      </w:r>
      <w:r w:rsidR="00C63C84" w:rsidRPr="002106BA">
        <w:rPr>
          <w:bCs/>
          <w:snapToGrid w:val="0"/>
        </w:rPr>
        <w:t xml:space="preserve">. In addition, </w:t>
      </w:r>
      <w:r w:rsidR="006B0699" w:rsidRPr="002106BA">
        <w:rPr>
          <w:bCs/>
          <w:snapToGrid w:val="0"/>
        </w:rPr>
        <w:t>c</w:t>
      </w:r>
      <w:r w:rsidR="001C7ECD" w:rsidRPr="002106BA">
        <w:rPr>
          <w:bCs/>
          <w:snapToGrid w:val="0"/>
        </w:rPr>
        <w:t xml:space="preserve">onsistent with its previous advice for patisiran, the PBAC considered that its future reassessment of vutrisiran should consider: 1) whether the data were supportive of long term benefits of vutrisiran (based on QOL and PND score); 2) whether updated mortality data supported a survival benefit; 3) whether updated safety data were consistent with the safety data in the submission and </w:t>
      </w:r>
      <w:r w:rsidR="005C7D88" w:rsidRPr="002106BA">
        <w:rPr>
          <w:bCs/>
          <w:snapToGrid w:val="0"/>
        </w:rPr>
        <w:t>whether any</w:t>
      </w:r>
      <w:r w:rsidR="001C7ECD" w:rsidRPr="002106BA">
        <w:rPr>
          <w:bCs/>
          <w:snapToGrid w:val="0"/>
        </w:rPr>
        <w:t xml:space="preserve"> new clinically significant safety signals were evident; and 4) whether vutrisiran was </w:t>
      </w:r>
      <w:r w:rsidR="001C7ECD" w:rsidRPr="002106BA">
        <w:rPr>
          <w:bCs/>
          <w:snapToGrid w:val="0"/>
        </w:rPr>
        <w:lastRenderedPageBreak/>
        <w:t xml:space="preserve">cost-effective </w:t>
      </w:r>
      <w:r w:rsidR="00932313" w:rsidRPr="002106BA">
        <w:rPr>
          <w:snapToGrid w:val="0"/>
        </w:rPr>
        <w:t>in the PBS population,</w:t>
      </w:r>
      <w:r w:rsidR="00932313" w:rsidRPr="002106BA">
        <w:rPr>
          <w:bCs/>
          <w:snapToGrid w:val="0"/>
        </w:rPr>
        <w:t xml:space="preserve"> </w:t>
      </w:r>
      <w:r w:rsidR="001C7ECD" w:rsidRPr="002106BA">
        <w:rPr>
          <w:bCs/>
          <w:snapToGrid w:val="0"/>
        </w:rPr>
        <w:t xml:space="preserve">based on the updated evidence base. In addition, for vutrisiran, whether </w:t>
      </w:r>
      <w:r w:rsidR="006B0699" w:rsidRPr="002106BA">
        <w:rPr>
          <w:bCs/>
          <w:snapToGrid w:val="0"/>
        </w:rPr>
        <w:t xml:space="preserve">the updated </w:t>
      </w:r>
      <w:r w:rsidR="00C64E8C" w:rsidRPr="002106BA">
        <w:rPr>
          <w:bCs/>
          <w:snapToGrid w:val="0"/>
        </w:rPr>
        <w:t>body of evidence</w:t>
      </w:r>
      <w:r w:rsidR="006B0699" w:rsidRPr="002106BA">
        <w:rPr>
          <w:bCs/>
          <w:snapToGrid w:val="0"/>
        </w:rPr>
        <w:t xml:space="preserve">, including serum TTR data, remained supportive of the claim of non-inferior relative efficacy and safety of </w:t>
      </w:r>
      <w:r w:rsidR="001C7ECD" w:rsidRPr="002106BA">
        <w:rPr>
          <w:snapToGrid w:val="0"/>
        </w:rPr>
        <w:t>vutrisiran and patisiran</w:t>
      </w:r>
      <w:r w:rsidR="00C64E8C" w:rsidRPr="002106BA">
        <w:rPr>
          <w:snapToGrid w:val="0"/>
        </w:rPr>
        <w:t xml:space="preserve"> in the PBS population</w:t>
      </w:r>
      <w:r w:rsidR="001C7ECD" w:rsidRPr="002106BA">
        <w:rPr>
          <w:snapToGrid w:val="0"/>
        </w:rPr>
        <w:t>.</w:t>
      </w:r>
      <w:r w:rsidR="00AD20E5" w:rsidRPr="002106BA">
        <w:rPr>
          <w:snapToGrid w:val="0"/>
        </w:rPr>
        <w:t xml:space="preserve"> </w:t>
      </w:r>
      <w:r w:rsidR="001C7ECD" w:rsidRPr="00B2239A">
        <w:rPr>
          <w:bCs/>
          <w:snapToGrid w:val="0"/>
        </w:rPr>
        <w:t xml:space="preserve">The PBAC noted that the sponsor would be required to submit </w:t>
      </w:r>
      <w:r w:rsidR="002A169C" w:rsidRPr="00B2239A">
        <w:rPr>
          <w:bCs/>
          <w:snapToGrid w:val="0"/>
        </w:rPr>
        <w:t xml:space="preserve">both </w:t>
      </w:r>
      <w:r w:rsidR="001C7ECD" w:rsidRPr="00B2239A">
        <w:rPr>
          <w:bCs/>
          <w:snapToGrid w:val="0"/>
        </w:rPr>
        <w:t>a cost</w:t>
      </w:r>
      <w:r w:rsidR="006B0699" w:rsidRPr="00B2239A">
        <w:rPr>
          <w:bCs/>
          <w:snapToGrid w:val="0"/>
        </w:rPr>
        <w:t>-</w:t>
      </w:r>
      <w:r w:rsidR="002271BE" w:rsidRPr="00B2239A">
        <w:rPr>
          <w:bCs/>
          <w:snapToGrid w:val="0"/>
        </w:rPr>
        <w:t>utility analysis</w:t>
      </w:r>
      <w:r w:rsidR="001C7ECD" w:rsidRPr="00B2239A">
        <w:rPr>
          <w:bCs/>
          <w:snapToGrid w:val="0"/>
        </w:rPr>
        <w:t xml:space="preserve"> for </w:t>
      </w:r>
      <w:r w:rsidR="006B0699" w:rsidRPr="00B2239A">
        <w:rPr>
          <w:bCs/>
          <w:snapToGrid w:val="0"/>
        </w:rPr>
        <w:t xml:space="preserve">vutrisiran </w:t>
      </w:r>
      <w:r w:rsidR="002A169C" w:rsidRPr="00B2239A">
        <w:rPr>
          <w:bCs/>
          <w:snapToGrid w:val="0"/>
        </w:rPr>
        <w:t>compared with placebo, and a cost minimisation approach for vutrisiran compared with patisiran</w:t>
      </w:r>
      <w:r w:rsidR="002271BE" w:rsidRPr="00B2239A">
        <w:rPr>
          <w:bCs/>
          <w:snapToGrid w:val="0"/>
        </w:rPr>
        <w:t>,</w:t>
      </w:r>
      <w:r w:rsidR="002A169C" w:rsidRPr="00B2239A">
        <w:rPr>
          <w:bCs/>
          <w:snapToGrid w:val="0"/>
        </w:rPr>
        <w:t xml:space="preserve"> </w:t>
      </w:r>
      <w:r w:rsidR="00D71748" w:rsidRPr="00B2239A">
        <w:rPr>
          <w:bCs/>
          <w:snapToGrid w:val="0"/>
        </w:rPr>
        <w:t>to support this review</w:t>
      </w:r>
      <w:r w:rsidR="002A169C" w:rsidRPr="00B2239A">
        <w:rPr>
          <w:bCs/>
          <w:snapToGrid w:val="0"/>
        </w:rPr>
        <w:t>. The PBAC noted</w:t>
      </w:r>
      <w:r w:rsidR="00D71748" w:rsidRPr="00B2239A">
        <w:rPr>
          <w:bCs/>
          <w:snapToGrid w:val="0"/>
        </w:rPr>
        <w:t xml:space="preserve"> that the current submission was based on a cost</w:t>
      </w:r>
      <w:r w:rsidR="002A169C" w:rsidRPr="00B2239A">
        <w:rPr>
          <w:bCs/>
          <w:snapToGrid w:val="0"/>
        </w:rPr>
        <w:noBreakHyphen/>
      </w:r>
      <w:r w:rsidR="00D71748" w:rsidRPr="00B2239A">
        <w:rPr>
          <w:bCs/>
          <w:snapToGrid w:val="0"/>
        </w:rPr>
        <w:t>minimisation approach versus patisiran</w:t>
      </w:r>
      <w:r w:rsidR="002271BE" w:rsidRPr="00B2239A">
        <w:rPr>
          <w:bCs/>
          <w:snapToGrid w:val="0"/>
        </w:rPr>
        <w:t xml:space="preserve">, however considered that a cost-utility analysis </w:t>
      </w:r>
      <w:r w:rsidR="00932313" w:rsidRPr="00B2239A">
        <w:rPr>
          <w:bCs/>
          <w:snapToGrid w:val="0"/>
        </w:rPr>
        <w:t xml:space="preserve">versus placebo should </w:t>
      </w:r>
      <w:r w:rsidR="00E77A92" w:rsidRPr="00B2239A">
        <w:rPr>
          <w:bCs/>
          <w:snapToGrid w:val="0"/>
        </w:rPr>
        <w:t xml:space="preserve">also </w:t>
      </w:r>
      <w:r w:rsidR="00932313" w:rsidRPr="00B2239A">
        <w:rPr>
          <w:bCs/>
          <w:snapToGrid w:val="0"/>
        </w:rPr>
        <w:t>be</w:t>
      </w:r>
      <w:r w:rsidR="002271BE" w:rsidRPr="00B2239A">
        <w:rPr>
          <w:bCs/>
          <w:snapToGrid w:val="0"/>
        </w:rPr>
        <w:t xml:space="preserve"> </w:t>
      </w:r>
      <w:r w:rsidR="00932313" w:rsidRPr="00B2239A">
        <w:rPr>
          <w:bCs/>
          <w:snapToGrid w:val="0"/>
        </w:rPr>
        <w:t xml:space="preserve">presented by the sponsor </w:t>
      </w:r>
      <w:r w:rsidR="002271BE" w:rsidRPr="00B2239A">
        <w:rPr>
          <w:bCs/>
          <w:snapToGrid w:val="0"/>
        </w:rPr>
        <w:t>to support the review</w:t>
      </w:r>
      <w:r w:rsidR="00E77A92" w:rsidRPr="00B2239A">
        <w:rPr>
          <w:bCs/>
          <w:snapToGrid w:val="0"/>
        </w:rPr>
        <w:t>, because this would allow the sponsor to provide a comprehensive analysis of the benefits and costs of vutrisiran based on updated evidence</w:t>
      </w:r>
      <w:r w:rsidR="001C7ECD" w:rsidRPr="00B2239A">
        <w:rPr>
          <w:bCs/>
          <w:snapToGrid w:val="0"/>
        </w:rPr>
        <w:t>.</w:t>
      </w:r>
      <w:r w:rsidR="00595E7D" w:rsidRPr="00B2239A">
        <w:rPr>
          <w:bCs/>
          <w:snapToGrid w:val="0"/>
        </w:rPr>
        <w:t xml:space="preserve"> The PBAC would expect that the same, or very similar model</w:t>
      </w:r>
      <w:r w:rsidR="00C97B15" w:rsidRPr="00B2239A">
        <w:rPr>
          <w:bCs/>
          <w:snapToGrid w:val="0"/>
        </w:rPr>
        <w:t xml:space="preserve"> to that presented for patisiran would also be presented for </w:t>
      </w:r>
      <w:r w:rsidR="00595E7D" w:rsidRPr="00B2239A">
        <w:rPr>
          <w:bCs/>
          <w:snapToGrid w:val="0"/>
        </w:rPr>
        <w:t>vutrisiran.</w:t>
      </w:r>
      <w:bookmarkEnd w:id="87"/>
      <w:r w:rsidR="00595E7D" w:rsidRPr="00B2239A">
        <w:rPr>
          <w:bCs/>
          <w:snapToGrid w:val="0"/>
        </w:rPr>
        <w:t xml:space="preserve"> </w:t>
      </w:r>
    </w:p>
    <w:p w14:paraId="227DBDBB" w14:textId="11128016" w:rsidR="003105F7" w:rsidRPr="002106BA" w:rsidRDefault="006E6039" w:rsidP="00D6559A">
      <w:pPr>
        <w:pStyle w:val="COMexecsummnumbered"/>
        <w:rPr>
          <w:bCs/>
          <w:snapToGrid w:val="0"/>
        </w:rPr>
      </w:pPr>
      <w:bookmarkStart w:id="88" w:name="_Ref182996411"/>
      <w:r w:rsidRPr="002106BA">
        <w:rPr>
          <w:bCs/>
          <w:snapToGrid w:val="0"/>
        </w:rPr>
        <w:t xml:space="preserve">The PBAC advised that the requirement for vutrisiran to be considered at the same time as the scheduled review of patisiran at three years post the date of patisiran listing should be documented in a Deed of Agreement with the sponsor, including an expectation that the sponsor will provide a submission to the PBAC to inform a review of the cost-effectiveness of vutrisiran as described in paragraphs </w:t>
      </w:r>
      <w:r w:rsidRPr="002106BA">
        <w:rPr>
          <w:bCs/>
          <w:snapToGrid w:val="0"/>
        </w:rPr>
        <w:fldChar w:fldCharType="begin"/>
      </w:r>
      <w:r w:rsidRPr="002106BA">
        <w:rPr>
          <w:bCs/>
          <w:snapToGrid w:val="0"/>
        </w:rPr>
        <w:instrText xml:space="preserve"> REF _Ref182813969 \r \h  \* MERGEFORMAT </w:instrText>
      </w:r>
      <w:r w:rsidRPr="002106BA">
        <w:rPr>
          <w:bCs/>
          <w:snapToGrid w:val="0"/>
        </w:rPr>
      </w:r>
      <w:r w:rsidRPr="002106BA">
        <w:rPr>
          <w:bCs/>
          <w:snapToGrid w:val="0"/>
        </w:rPr>
        <w:fldChar w:fldCharType="separate"/>
      </w:r>
      <w:r w:rsidR="00DB6E9D">
        <w:rPr>
          <w:bCs/>
          <w:snapToGrid w:val="0"/>
        </w:rPr>
        <w:t>7.12</w:t>
      </w:r>
      <w:r w:rsidRPr="002106BA">
        <w:rPr>
          <w:bCs/>
          <w:snapToGrid w:val="0"/>
        </w:rPr>
        <w:fldChar w:fldCharType="end"/>
      </w:r>
      <w:r w:rsidRPr="002106BA">
        <w:rPr>
          <w:bCs/>
          <w:snapToGrid w:val="0"/>
        </w:rPr>
        <w:t xml:space="preserve"> </w:t>
      </w:r>
      <w:r w:rsidR="00340160" w:rsidRPr="002106BA">
        <w:rPr>
          <w:bCs/>
          <w:snapToGrid w:val="0"/>
        </w:rPr>
        <w:t>to</w:t>
      </w:r>
      <w:r w:rsidR="00D63E9B">
        <w:rPr>
          <w:bCs/>
          <w:snapToGrid w:val="0"/>
        </w:rPr>
        <w:t xml:space="preserve"> </w:t>
      </w:r>
      <w:r w:rsidR="00D63E9B">
        <w:rPr>
          <w:bCs/>
          <w:snapToGrid w:val="0"/>
        </w:rPr>
        <w:fldChar w:fldCharType="begin"/>
      </w:r>
      <w:r w:rsidR="00D63E9B">
        <w:rPr>
          <w:bCs/>
          <w:snapToGrid w:val="0"/>
        </w:rPr>
        <w:instrText xml:space="preserve"> REF _Ref183754284 \r \h </w:instrText>
      </w:r>
      <w:r w:rsidR="00D63E9B">
        <w:rPr>
          <w:bCs/>
          <w:snapToGrid w:val="0"/>
        </w:rPr>
      </w:r>
      <w:r w:rsidR="00D63E9B">
        <w:rPr>
          <w:bCs/>
          <w:snapToGrid w:val="0"/>
        </w:rPr>
        <w:fldChar w:fldCharType="separate"/>
      </w:r>
      <w:r w:rsidR="00DB6E9D">
        <w:rPr>
          <w:bCs/>
          <w:snapToGrid w:val="0"/>
        </w:rPr>
        <w:t>7.14</w:t>
      </w:r>
      <w:r w:rsidR="00D63E9B">
        <w:rPr>
          <w:bCs/>
          <w:snapToGrid w:val="0"/>
        </w:rPr>
        <w:fldChar w:fldCharType="end"/>
      </w:r>
      <w:r w:rsidRPr="002106BA">
        <w:rPr>
          <w:bCs/>
          <w:snapToGrid w:val="0"/>
        </w:rPr>
        <w:t>.</w:t>
      </w:r>
      <w:bookmarkEnd w:id="88"/>
      <w:r w:rsidRPr="002106BA">
        <w:rPr>
          <w:bCs/>
          <w:snapToGrid w:val="0"/>
        </w:rPr>
        <w:t xml:space="preserve"> </w:t>
      </w:r>
      <w:r w:rsidR="003105F7" w:rsidRPr="002106BA">
        <w:rPr>
          <w:rFonts w:eastAsia="Times New Roman" w:cs="Arial"/>
          <w:bCs/>
          <w:snapToGrid w:val="0"/>
          <w:szCs w:val="24"/>
        </w:rPr>
        <w:t xml:space="preserve">The Committee </w:t>
      </w:r>
      <w:r w:rsidR="004F465B" w:rsidRPr="002106BA">
        <w:rPr>
          <w:rFonts w:eastAsia="Times New Roman" w:cs="Arial"/>
          <w:bCs/>
          <w:snapToGrid w:val="0"/>
          <w:szCs w:val="24"/>
        </w:rPr>
        <w:t xml:space="preserve">noted </w:t>
      </w:r>
      <w:r w:rsidR="003105F7" w:rsidRPr="002106BA">
        <w:rPr>
          <w:rFonts w:eastAsia="Times New Roman" w:cs="Arial"/>
          <w:bCs/>
          <w:snapToGrid w:val="0"/>
          <w:szCs w:val="24"/>
        </w:rPr>
        <w:t xml:space="preserve">the </w:t>
      </w:r>
      <w:r w:rsidR="004F465B" w:rsidRPr="002106BA">
        <w:rPr>
          <w:rFonts w:eastAsia="Times New Roman" w:cs="Arial"/>
          <w:bCs/>
          <w:snapToGrid w:val="0"/>
          <w:szCs w:val="24"/>
        </w:rPr>
        <w:t>s</w:t>
      </w:r>
      <w:r w:rsidR="003105F7" w:rsidRPr="002106BA">
        <w:rPr>
          <w:rFonts w:eastAsia="Times New Roman" w:cs="Arial"/>
          <w:bCs/>
          <w:snapToGrid w:val="0"/>
          <w:szCs w:val="24"/>
        </w:rPr>
        <w:t xml:space="preserve">ponsor had agreed to </w:t>
      </w:r>
      <w:r w:rsidR="00340160" w:rsidRPr="002106BA">
        <w:rPr>
          <w:rFonts w:eastAsia="Times New Roman" w:cs="Arial"/>
          <w:bCs/>
          <w:snapToGrid w:val="0"/>
          <w:szCs w:val="24"/>
        </w:rPr>
        <w:t xml:space="preserve">the inclusion of </w:t>
      </w:r>
      <w:r w:rsidR="003105F7" w:rsidRPr="002106BA">
        <w:rPr>
          <w:rFonts w:eastAsia="Times New Roman" w:cs="Arial"/>
          <w:bCs/>
          <w:snapToGrid w:val="0"/>
          <w:szCs w:val="24"/>
        </w:rPr>
        <w:t xml:space="preserve">vutrisiran in such a review (paragraph </w:t>
      </w:r>
      <w:r w:rsidR="00D63E9B">
        <w:rPr>
          <w:rFonts w:eastAsia="Times New Roman" w:cs="Arial"/>
          <w:bCs/>
          <w:snapToGrid w:val="0"/>
          <w:szCs w:val="24"/>
        </w:rPr>
        <w:fldChar w:fldCharType="begin"/>
      </w:r>
      <w:r w:rsidR="00D63E9B">
        <w:rPr>
          <w:rFonts w:eastAsia="Times New Roman" w:cs="Arial"/>
          <w:bCs/>
          <w:snapToGrid w:val="0"/>
          <w:szCs w:val="24"/>
        </w:rPr>
        <w:instrText xml:space="preserve"> REF _Ref183754337 \r \h </w:instrText>
      </w:r>
      <w:r w:rsidR="00D63E9B">
        <w:rPr>
          <w:rFonts w:eastAsia="Times New Roman" w:cs="Arial"/>
          <w:bCs/>
          <w:snapToGrid w:val="0"/>
          <w:szCs w:val="24"/>
        </w:rPr>
      </w:r>
      <w:r w:rsidR="00D63E9B">
        <w:rPr>
          <w:rFonts w:eastAsia="Times New Roman" w:cs="Arial"/>
          <w:bCs/>
          <w:snapToGrid w:val="0"/>
          <w:szCs w:val="24"/>
        </w:rPr>
        <w:fldChar w:fldCharType="separate"/>
      </w:r>
      <w:r w:rsidR="00DB6E9D">
        <w:rPr>
          <w:rFonts w:eastAsia="Times New Roman" w:cs="Arial"/>
          <w:bCs/>
          <w:snapToGrid w:val="0"/>
          <w:szCs w:val="24"/>
        </w:rPr>
        <w:t>6.74</w:t>
      </w:r>
      <w:r w:rsidR="00D63E9B">
        <w:rPr>
          <w:rFonts w:eastAsia="Times New Roman" w:cs="Arial"/>
          <w:bCs/>
          <w:snapToGrid w:val="0"/>
          <w:szCs w:val="24"/>
        </w:rPr>
        <w:fldChar w:fldCharType="end"/>
      </w:r>
      <w:r w:rsidR="00D63E9B">
        <w:rPr>
          <w:rFonts w:eastAsia="Times New Roman" w:cs="Arial"/>
          <w:bCs/>
          <w:snapToGrid w:val="0"/>
          <w:szCs w:val="24"/>
        </w:rPr>
        <w:t xml:space="preserve"> </w:t>
      </w:r>
      <w:r w:rsidR="003105F7" w:rsidRPr="002106BA">
        <w:rPr>
          <w:rFonts w:eastAsia="Times New Roman" w:cs="Arial"/>
          <w:bCs/>
          <w:snapToGrid w:val="0"/>
          <w:szCs w:val="24"/>
        </w:rPr>
        <w:t>refers).</w:t>
      </w:r>
    </w:p>
    <w:p w14:paraId="089F430A" w14:textId="7251055C" w:rsidR="00424F82" w:rsidRPr="00424F82" w:rsidRDefault="002E0F07" w:rsidP="00D6559A">
      <w:pPr>
        <w:widowControl w:val="0"/>
        <w:numPr>
          <w:ilvl w:val="1"/>
          <w:numId w:val="1"/>
        </w:numPr>
        <w:spacing w:after="120"/>
        <w:rPr>
          <w:rFonts w:asciiTheme="minorHAnsi" w:hAnsiTheme="minorHAnsi"/>
          <w:bCs/>
          <w:snapToGrid w:val="0"/>
        </w:rPr>
      </w:pPr>
      <w:r w:rsidRPr="00424F82">
        <w:rPr>
          <w:rFonts w:asciiTheme="minorHAnsi" w:hAnsiTheme="minorHAnsi"/>
          <w:bCs/>
          <w:snapToGrid w:val="0"/>
        </w:rPr>
        <w:t xml:space="preserve">The PBAC </w:t>
      </w:r>
      <w:r w:rsidR="00424F82" w:rsidRPr="00424F82">
        <w:rPr>
          <w:rFonts w:asciiTheme="minorHAnsi" w:hAnsiTheme="minorHAnsi"/>
          <w:bCs/>
          <w:snapToGrid w:val="0"/>
        </w:rPr>
        <w:t xml:space="preserve">recommended that </w:t>
      </w:r>
      <w:r w:rsidRPr="00424F82">
        <w:rPr>
          <w:rFonts w:asciiTheme="minorHAnsi" w:hAnsiTheme="minorHAnsi"/>
          <w:bCs/>
          <w:snapToGrid w:val="0"/>
        </w:rPr>
        <w:t xml:space="preserve">vutrisiran </w:t>
      </w:r>
      <w:r w:rsidR="00424F82" w:rsidRPr="00424F82">
        <w:rPr>
          <w:rFonts w:asciiTheme="minorHAnsi" w:hAnsiTheme="minorHAnsi"/>
          <w:bCs/>
          <w:snapToGrid w:val="0"/>
          <w:lang w:val="en-GB"/>
        </w:rPr>
        <w:t>should be treated as interchangeable on an individual patient basis with patisiran, according to s101(3BA) advice. </w:t>
      </w:r>
    </w:p>
    <w:p w14:paraId="43943B05" w14:textId="6A55C911" w:rsidR="006434D8" w:rsidRPr="002106BA" w:rsidRDefault="006434D8" w:rsidP="00D6559A">
      <w:pPr>
        <w:widowControl w:val="0"/>
        <w:numPr>
          <w:ilvl w:val="1"/>
          <w:numId w:val="1"/>
        </w:numPr>
        <w:spacing w:after="120"/>
        <w:rPr>
          <w:rFonts w:asciiTheme="minorHAnsi" w:hAnsiTheme="minorHAnsi"/>
          <w:bCs/>
          <w:snapToGrid w:val="0"/>
        </w:rPr>
      </w:pPr>
      <w:r w:rsidRPr="002106BA">
        <w:rPr>
          <w:rFonts w:asciiTheme="minorHAnsi" w:hAnsiTheme="minorHAnsi"/>
          <w:bCs/>
          <w:snapToGrid w:val="0"/>
        </w:rPr>
        <w:t xml:space="preserve">The PBAC advised that </w:t>
      </w:r>
      <w:r w:rsidR="002E0F07" w:rsidRPr="002106BA">
        <w:rPr>
          <w:rFonts w:asciiTheme="minorHAnsi" w:hAnsiTheme="minorHAnsi"/>
          <w:bCs/>
          <w:snapToGrid w:val="0"/>
        </w:rPr>
        <w:t xml:space="preserve">vutrisiran </w:t>
      </w:r>
      <w:r w:rsidRPr="002106BA">
        <w:rPr>
          <w:rFonts w:asciiTheme="minorHAnsi" w:hAnsiTheme="minorHAnsi"/>
          <w:bCs/>
          <w:snapToGrid w:val="0"/>
        </w:rPr>
        <w:t xml:space="preserve">is not suitable for prescribing by nurse practitioners. </w:t>
      </w:r>
    </w:p>
    <w:p w14:paraId="67A0B1B3" w14:textId="3A41ED84" w:rsidR="006434D8" w:rsidRPr="002106BA" w:rsidRDefault="006434D8" w:rsidP="00D6559A">
      <w:pPr>
        <w:widowControl w:val="0"/>
        <w:numPr>
          <w:ilvl w:val="1"/>
          <w:numId w:val="1"/>
        </w:numPr>
        <w:spacing w:after="120"/>
        <w:rPr>
          <w:rFonts w:asciiTheme="minorHAnsi" w:hAnsiTheme="minorHAnsi"/>
          <w:b/>
          <w:bCs/>
        </w:rPr>
      </w:pPr>
      <w:r w:rsidRPr="002106BA">
        <w:rPr>
          <w:rFonts w:asciiTheme="minorHAnsi" w:hAnsiTheme="minorHAnsi" w:cstheme="minorHAnsi"/>
        </w:rPr>
        <w:t xml:space="preserve">The PBAC noted that its recommendation was on a cost-minimisation basis and advised that, because </w:t>
      </w:r>
      <w:r w:rsidR="00AC4A0D" w:rsidRPr="002106BA">
        <w:rPr>
          <w:rFonts w:asciiTheme="minorHAnsi" w:hAnsiTheme="minorHAnsi" w:cstheme="minorHAnsi"/>
        </w:rPr>
        <w:t>vutrisiran</w:t>
      </w:r>
      <w:r w:rsidRPr="002106BA">
        <w:rPr>
          <w:rFonts w:asciiTheme="minorHAnsi" w:hAnsiTheme="minorHAnsi" w:cstheme="minorHAnsi"/>
        </w:rPr>
        <w:t xml:space="preserve"> is not expected to provide a substantial</w:t>
      </w:r>
      <w:r w:rsidRPr="002106BA">
        <w:rPr>
          <w:rFonts w:asciiTheme="minorHAnsi" w:hAnsiTheme="minorHAnsi"/>
          <w:bCs/>
        </w:rPr>
        <w:t xml:space="preserve"> and clinically relevant improvement in efficacy, or reduction of toxicity, over </w:t>
      </w:r>
      <w:r w:rsidR="00AC4A0D" w:rsidRPr="002106BA">
        <w:rPr>
          <w:rFonts w:asciiTheme="minorHAnsi" w:hAnsiTheme="minorHAnsi"/>
          <w:bCs/>
        </w:rPr>
        <w:t>patisiran</w:t>
      </w:r>
      <w:r w:rsidRPr="002106BA">
        <w:rPr>
          <w:rFonts w:asciiTheme="minorHAnsi" w:hAnsiTheme="minorHAnsi"/>
          <w:bCs/>
        </w:rPr>
        <w:t xml:space="preserve">, or not expected to address a high and urgent unmet clinical need given the presence of an alternative therapy, the criteria prescribed by the </w:t>
      </w:r>
      <w:r w:rsidRPr="002106BA">
        <w:rPr>
          <w:rFonts w:asciiTheme="minorHAnsi" w:hAnsiTheme="minorHAnsi"/>
          <w:bCs/>
          <w:i/>
        </w:rPr>
        <w:t>National Health (Pharmaceuticals and Vaccines – Cost Recovery) Regulations 2022</w:t>
      </w:r>
      <w:r w:rsidRPr="002106BA">
        <w:rPr>
          <w:rFonts w:asciiTheme="minorHAnsi" w:hAnsiTheme="minorHAnsi"/>
          <w:bCs/>
        </w:rPr>
        <w:t xml:space="preserve"> for Pricing Pathway A were not met.</w:t>
      </w:r>
    </w:p>
    <w:p w14:paraId="1B3A7B35" w14:textId="2378B618" w:rsidR="006434D8" w:rsidRPr="002106BA" w:rsidRDefault="006434D8" w:rsidP="00D6559A">
      <w:pPr>
        <w:widowControl w:val="0"/>
        <w:numPr>
          <w:ilvl w:val="1"/>
          <w:numId w:val="1"/>
        </w:numPr>
        <w:spacing w:after="120"/>
        <w:rPr>
          <w:rFonts w:asciiTheme="minorHAnsi" w:hAnsiTheme="minorHAnsi"/>
          <w:bCs/>
          <w:snapToGrid w:val="0"/>
        </w:rPr>
      </w:pPr>
      <w:r w:rsidRPr="002106BA">
        <w:rPr>
          <w:rFonts w:asciiTheme="minorHAnsi" w:hAnsiTheme="minorHAnsi"/>
          <w:bCs/>
          <w:snapToGrid w:val="0"/>
        </w:rPr>
        <w:t>The PBAC noted that this submission is not eligible for an Independent Review</w:t>
      </w:r>
      <w:r w:rsidR="00AC4A0D" w:rsidRPr="002106BA">
        <w:rPr>
          <w:rFonts w:asciiTheme="minorHAnsi" w:hAnsiTheme="minorHAnsi"/>
          <w:bCs/>
          <w:snapToGrid w:val="0"/>
        </w:rPr>
        <w:t xml:space="preserve"> as it received a positive recommendation</w:t>
      </w:r>
      <w:r w:rsidRPr="002106BA">
        <w:rPr>
          <w:rFonts w:asciiTheme="minorHAnsi" w:hAnsiTheme="minorHAnsi"/>
          <w:bCs/>
          <w:snapToGrid w:val="0"/>
        </w:rPr>
        <w:t xml:space="preserve">. </w:t>
      </w:r>
    </w:p>
    <w:p w14:paraId="2D95639E" w14:textId="77777777" w:rsidR="006434D8" w:rsidRPr="002106BA" w:rsidRDefault="006434D8" w:rsidP="009B2646">
      <w:pPr>
        <w:keepNext/>
        <w:spacing w:before="120"/>
        <w:rPr>
          <w:rFonts w:asciiTheme="minorHAnsi" w:hAnsiTheme="minorHAnsi"/>
          <w:b/>
          <w:bCs/>
          <w:snapToGrid w:val="0"/>
        </w:rPr>
      </w:pPr>
      <w:r w:rsidRPr="002106BA">
        <w:rPr>
          <w:rFonts w:asciiTheme="minorHAnsi" w:hAnsiTheme="minorHAnsi"/>
          <w:b/>
          <w:bCs/>
          <w:snapToGrid w:val="0"/>
        </w:rPr>
        <w:t>Outcome:</w:t>
      </w:r>
    </w:p>
    <w:p w14:paraId="571B6330" w14:textId="496826B8" w:rsidR="006434D8" w:rsidRPr="002106BA" w:rsidRDefault="006434D8" w:rsidP="006434D8">
      <w:pPr>
        <w:rPr>
          <w:rFonts w:asciiTheme="minorHAnsi" w:hAnsiTheme="minorHAnsi"/>
          <w:bCs/>
          <w:snapToGrid w:val="0"/>
        </w:rPr>
      </w:pPr>
      <w:r w:rsidRPr="002106BA">
        <w:rPr>
          <w:rFonts w:asciiTheme="minorHAnsi" w:hAnsiTheme="minorHAnsi"/>
          <w:bCs/>
          <w:snapToGrid w:val="0"/>
        </w:rPr>
        <w:t>Recommended</w:t>
      </w:r>
    </w:p>
    <w:bookmarkEnd w:id="75"/>
    <w:p w14:paraId="29970867" w14:textId="3502A901" w:rsidR="006434D8" w:rsidRPr="002106BA" w:rsidRDefault="006434D8" w:rsidP="006434D8">
      <w:pPr>
        <w:pStyle w:val="2-SectionHeading"/>
        <w:numPr>
          <w:ilvl w:val="0"/>
          <w:numId w:val="1"/>
        </w:numPr>
        <w:outlineLvl w:val="0"/>
      </w:pPr>
      <w:r w:rsidRPr="002106BA">
        <w:t>Recommended listing</w:t>
      </w:r>
    </w:p>
    <w:p w14:paraId="292D3CEF" w14:textId="013CA9AF" w:rsidR="006434D8" w:rsidRPr="002106BA" w:rsidRDefault="006434D8" w:rsidP="00B0409C">
      <w:pPr>
        <w:widowControl w:val="0"/>
        <w:numPr>
          <w:ilvl w:val="1"/>
          <w:numId w:val="1"/>
        </w:numPr>
        <w:spacing w:after="120"/>
        <w:rPr>
          <w:rFonts w:asciiTheme="minorHAnsi" w:hAnsiTheme="minorHAnsi"/>
          <w:b/>
          <w:bCs/>
          <w:snapToGrid w:val="0"/>
        </w:rPr>
      </w:pPr>
      <w:r w:rsidRPr="002106BA">
        <w:rPr>
          <w:rFonts w:asciiTheme="minorHAnsi" w:hAnsiTheme="minorHAnsi"/>
          <w:bCs/>
          <w:snapToGrid w:val="0"/>
        </w:rPr>
        <w:t>Add new item</w:t>
      </w:r>
      <w:r w:rsidR="00B0409C" w:rsidRPr="002106BA">
        <w:rPr>
          <w:rFonts w:asciiTheme="minorHAnsi" w:hAnsiTheme="minorHAnsi"/>
          <w:bCs/>
          <w:snapToGrid w:val="0"/>
        </w:rPr>
        <w:t>s</w:t>
      </w:r>
      <w:r w:rsidRPr="002106BA">
        <w:rPr>
          <w:rFonts w:asciiTheme="minorHAnsi" w:hAnsiTheme="minorHAnsi"/>
          <w:bCs/>
          <w:snapToGrid w:val="0"/>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37"/>
      </w:tblGrid>
      <w:tr w:rsidR="00B0409C" w:rsidRPr="002106BA" w14:paraId="38ADC359" w14:textId="77777777" w:rsidTr="00920D12">
        <w:trPr>
          <w:cantSplit/>
          <w:trHeight w:val="20"/>
        </w:trPr>
        <w:tc>
          <w:tcPr>
            <w:tcW w:w="3938" w:type="dxa"/>
            <w:vAlign w:val="center"/>
          </w:tcPr>
          <w:p w14:paraId="0C1ECA2E" w14:textId="77777777" w:rsidR="00B0409C" w:rsidRPr="002106BA" w:rsidRDefault="00B0409C" w:rsidP="00920D12">
            <w:pPr>
              <w:keepLines/>
              <w:rPr>
                <w:rFonts w:ascii="Arial Narrow" w:hAnsi="Arial Narrow"/>
                <w:b/>
                <w:bCs/>
                <w:sz w:val="20"/>
                <w:szCs w:val="20"/>
              </w:rPr>
            </w:pPr>
            <w:r w:rsidRPr="002106BA">
              <w:rPr>
                <w:rFonts w:ascii="Arial Narrow" w:hAnsi="Arial Narrow"/>
                <w:b/>
                <w:bCs/>
                <w:sz w:val="20"/>
                <w:szCs w:val="20"/>
              </w:rPr>
              <w:t>MEDICINAL PRODUCT</w:t>
            </w:r>
          </w:p>
          <w:p w14:paraId="143F01FB" w14:textId="77777777" w:rsidR="00B0409C" w:rsidRPr="002106BA" w:rsidRDefault="00B0409C" w:rsidP="00920D12">
            <w:pPr>
              <w:keepLines/>
              <w:rPr>
                <w:rFonts w:ascii="Arial Narrow" w:hAnsi="Arial Narrow"/>
                <w:b/>
                <w:sz w:val="20"/>
                <w:szCs w:val="20"/>
              </w:rPr>
            </w:pPr>
            <w:r w:rsidRPr="002106BA">
              <w:rPr>
                <w:rFonts w:ascii="Arial Narrow" w:hAnsi="Arial Narrow"/>
                <w:b/>
                <w:bCs/>
                <w:sz w:val="20"/>
                <w:szCs w:val="20"/>
              </w:rPr>
              <w:t>medicinal product pack</w:t>
            </w:r>
          </w:p>
        </w:tc>
        <w:tc>
          <w:tcPr>
            <w:tcW w:w="811" w:type="dxa"/>
            <w:vAlign w:val="center"/>
          </w:tcPr>
          <w:p w14:paraId="503BC7A9" w14:textId="77777777" w:rsidR="00B0409C" w:rsidRPr="002106BA" w:rsidRDefault="00B0409C" w:rsidP="00920D12">
            <w:pPr>
              <w:keepLines/>
              <w:jc w:val="center"/>
              <w:rPr>
                <w:rFonts w:ascii="Arial Narrow" w:hAnsi="Arial Narrow"/>
                <w:b/>
                <w:sz w:val="20"/>
                <w:szCs w:val="20"/>
              </w:rPr>
            </w:pPr>
            <w:r w:rsidRPr="002106BA">
              <w:rPr>
                <w:rFonts w:ascii="Arial Narrow" w:hAnsi="Arial Narrow"/>
                <w:b/>
                <w:sz w:val="20"/>
                <w:szCs w:val="20"/>
              </w:rPr>
              <w:t>PBS item code</w:t>
            </w:r>
          </w:p>
        </w:tc>
        <w:tc>
          <w:tcPr>
            <w:tcW w:w="812" w:type="dxa"/>
            <w:vAlign w:val="center"/>
          </w:tcPr>
          <w:p w14:paraId="20677131" w14:textId="77777777" w:rsidR="00B0409C" w:rsidRPr="002106BA" w:rsidRDefault="00B0409C" w:rsidP="00920D12">
            <w:pPr>
              <w:keepLines/>
              <w:jc w:val="center"/>
              <w:rPr>
                <w:rFonts w:ascii="Arial Narrow" w:hAnsi="Arial Narrow"/>
                <w:b/>
                <w:sz w:val="20"/>
                <w:szCs w:val="20"/>
              </w:rPr>
            </w:pPr>
            <w:r w:rsidRPr="002106BA">
              <w:rPr>
                <w:rFonts w:ascii="Arial Narrow" w:hAnsi="Arial Narrow"/>
                <w:b/>
                <w:sz w:val="20"/>
                <w:szCs w:val="20"/>
              </w:rPr>
              <w:t>Max. qty packs</w:t>
            </w:r>
          </w:p>
        </w:tc>
        <w:tc>
          <w:tcPr>
            <w:tcW w:w="811" w:type="dxa"/>
            <w:vAlign w:val="center"/>
          </w:tcPr>
          <w:p w14:paraId="3B6E33A0" w14:textId="77777777" w:rsidR="00B0409C" w:rsidRPr="002106BA" w:rsidRDefault="00B0409C" w:rsidP="00920D12">
            <w:pPr>
              <w:keepLines/>
              <w:jc w:val="center"/>
              <w:rPr>
                <w:rFonts w:ascii="Arial Narrow" w:hAnsi="Arial Narrow"/>
                <w:b/>
                <w:sz w:val="20"/>
                <w:szCs w:val="20"/>
              </w:rPr>
            </w:pPr>
            <w:r w:rsidRPr="002106BA">
              <w:rPr>
                <w:rFonts w:ascii="Arial Narrow" w:hAnsi="Arial Narrow"/>
                <w:b/>
                <w:sz w:val="20"/>
                <w:szCs w:val="20"/>
              </w:rPr>
              <w:t>Max. qty units</w:t>
            </w:r>
          </w:p>
        </w:tc>
        <w:tc>
          <w:tcPr>
            <w:tcW w:w="812" w:type="dxa"/>
            <w:vAlign w:val="center"/>
          </w:tcPr>
          <w:p w14:paraId="0DBF5E44" w14:textId="77777777" w:rsidR="00B0409C" w:rsidRPr="002106BA" w:rsidRDefault="00B0409C" w:rsidP="00920D12">
            <w:pPr>
              <w:keepLines/>
              <w:jc w:val="center"/>
              <w:rPr>
                <w:rFonts w:ascii="Arial Narrow" w:hAnsi="Arial Narrow"/>
                <w:b/>
                <w:sz w:val="20"/>
                <w:szCs w:val="20"/>
              </w:rPr>
            </w:pPr>
            <w:r w:rsidRPr="002106BA">
              <w:rPr>
                <w:rFonts w:ascii="Arial Narrow" w:hAnsi="Arial Narrow"/>
                <w:b/>
                <w:sz w:val="20"/>
                <w:szCs w:val="20"/>
              </w:rPr>
              <w:t>№.of</w:t>
            </w:r>
          </w:p>
          <w:p w14:paraId="019001B7" w14:textId="77777777" w:rsidR="00B0409C" w:rsidRPr="002106BA" w:rsidRDefault="00B0409C" w:rsidP="00920D12">
            <w:pPr>
              <w:keepLines/>
              <w:jc w:val="center"/>
              <w:rPr>
                <w:rFonts w:ascii="Arial Narrow" w:hAnsi="Arial Narrow"/>
                <w:b/>
                <w:sz w:val="20"/>
                <w:szCs w:val="20"/>
              </w:rPr>
            </w:pPr>
            <w:r w:rsidRPr="002106BA">
              <w:rPr>
                <w:rFonts w:ascii="Arial Narrow" w:hAnsi="Arial Narrow"/>
                <w:b/>
                <w:sz w:val="20"/>
                <w:szCs w:val="20"/>
              </w:rPr>
              <w:t>Rpts</w:t>
            </w:r>
          </w:p>
        </w:tc>
        <w:tc>
          <w:tcPr>
            <w:tcW w:w="1837" w:type="dxa"/>
            <w:vAlign w:val="center"/>
          </w:tcPr>
          <w:p w14:paraId="0C9E8700" w14:textId="77777777" w:rsidR="00B0409C" w:rsidRPr="002106BA" w:rsidRDefault="00B0409C" w:rsidP="00920D12">
            <w:pPr>
              <w:keepLines/>
              <w:rPr>
                <w:rFonts w:ascii="Arial Narrow" w:hAnsi="Arial Narrow"/>
                <w:b/>
                <w:sz w:val="20"/>
                <w:szCs w:val="20"/>
              </w:rPr>
            </w:pPr>
            <w:r w:rsidRPr="002106BA">
              <w:rPr>
                <w:rFonts w:ascii="Arial Narrow" w:hAnsi="Arial Narrow"/>
                <w:b/>
                <w:sz w:val="20"/>
                <w:szCs w:val="20"/>
              </w:rPr>
              <w:t>Available brands</w:t>
            </w:r>
          </w:p>
        </w:tc>
      </w:tr>
      <w:tr w:rsidR="00B0409C" w:rsidRPr="002106BA" w14:paraId="1C7F4BBF" w14:textId="77777777" w:rsidTr="00920D12">
        <w:trPr>
          <w:cantSplit/>
          <w:trHeight w:val="20"/>
        </w:trPr>
        <w:tc>
          <w:tcPr>
            <w:tcW w:w="9021" w:type="dxa"/>
            <w:gridSpan w:val="6"/>
            <w:vAlign w:val="center"/>
          </w:tcPr>
          <w:p w14:paraId="7D2C0316" w14:textId="77777777" w:rsidR="00B0409C" w:rsidRPr="002106BA" w:rsidRDefault="00B0409C" w:rsidP="00920D12">
            <w:pPr>
              <w:keepLines/>
              <w:rPr>
                <w:rFonts w:ascii="Arial Narrow" w:hAnsi="Arial Narrow"/>
                <w:sz w:val="20"/>
                <w:szCs w:val="20"/>
              </w:rPr>
            </w:pPr>
            <w:r w:rsidRPr="002106BA">
              <w:rPr>
                <w:rFonts w:ascii="Arial Narrow" w:hAnsi="Arial Narrow"/>
                <w:sz w:val="20"/>
                <w:szCs w:val="20"/>
              </w:rPr>
              <w:t>VUTRISIRAN</w:t>
            </w:r>
          </w:p>
        </w:tc>
      </w:tr>
      <w:tr w:rsidR="00B0409C" w:rsidRPr="002106BA" w14:paraId="4AFED209" w14:textId="77777777" w:rsidTr="00920D12">
        <w:trPr>
          <w:cantSplit/>
          <w:trHeight w:val="20"/>
        </w:trPr>
        <w:tc>
          <w:tcPr>
            <w:tcW w:w="3938" w:type="dxa"/>
            <w:vAlign w:val="center"/>
          </w:tcPr>
          <w:p w14:paraId="5A898F77" w14:textId="77777777" w:rsidR="00B0409C" w:rsidRPr="002106BA" w:rsidRDefault="00B0409C" w:rsidP="00920D12">
            <w:pPr>
              <w:keepLines/>
              <w:rPr>
                <w:rFonts w:ascii="Arial Narrow" w:hAnsi="Arial Narrow"/>
                <w:sz w:val="20"/>
                <w:szCs w:val="20"/>
              </w:rPr>
            </w:pPr>
            <w:r w:rsidRPr="002106BA">
              <w:rPr>
                <w:rFonts w:ascii="Arial Narrow" w:hAnsi="Arial Narrow"/>
                <w:sz w:val="20"/>
                <w:szCs w:val="20"/>
              </w:rPr>
              <w:t>vutrisiran 25 mg/0.5 mL injection, 0.5 mL syringe</w:t>
            </w:r>
          </w:p>
        </w:tc>
        <w:tc>
          <w:tcPr>
            <w:tcW w:w="811" w:type="dxa"/>
            <w:vAlign w:val="center"/>
          </w:tcPr>
          <w:p w14:paraId="6A51A118" w14:textId="77777777" w:rsidR="00B0409C" w:rsidRPr="002106BA" w:rsidRDefault="00B0409C" w:rsidP="00920D12">
            <w:pPr>
              <w:keepLines/>
              <w:jc w:val="center"/>
              <w:rPr>
                <w:rFonts w:ascii="Arial Narrow" w:hAnsi="Arial Narrow"/>
                <w:sz w:val="20"/>
                <w:szCs w:val="20"/>
              </w:rPr>
            </w:pPr>
            <w:r w:rsidRPr="002106BA">
              <w:rPr>
                <w:rFonts w:ascii="Arial Narrow" w:hAnsi="Arial Narrow"/>
                <w:sz w:val="20"/>
                <w:szCs w:val="20"/>
              </w:rPr>
              <w:t>NEW</w:t>
            </w:r>
          </w:p>
        </w:tc>
        <w:tc>
          <w:tcPr>
            <w:tcW w:w="812" w:type="dxa"/>
            <w:vAlign w:val="center"/>
          </w:tcPr>
          <w:p w14:paraId="589DFFE4" w14:textId="77777777" w:rsidR="00B0409C" w:rsidRPr="002106BA" w:rsidRDefault="00B0409C" w:rsidP="00920D12">
            <w:pPr>
              <w:keepLines/>
              <w:jc w:val="center"/>
              <w:rPr>
                <w:rFonts w:ascii="Arial Narrow" w:hAnsi="Arial Narrow"/>
                <w:sz w:val="20"/>
                <w:szCs w:val="20"/>
              </w:rPr>
            </w:pPr>
            <w:r w:rsidRPr="002106BA">
              <w:rPr>
                <w:rFonts w:ascii="Arial Narrow" w:hAnsi="Arial Narrow"/>
                <w:sz w:val="20"/>
                <w:szCs w:val="20"/>
              </w:rPr>
              <w:t>1</w:t>
            </w:r>
          </w:p>
        </w:tc>
        <w:tc>
          <w:tcPr>
            <w:tcW w:w="811" w:type="dxa"/>
            <w:vAlign w:val="center"/>
          </w:tcPr>
          <w:p w14:paraId="406EB66E" w14:textId="77777777" w:rsidR="00B0409C" w:rsidRPr="002106BA" w:rsidRDefault="00B0409C" w:rsidP="00920D12">
            <w:pPr>
              <w:keepLines/>
              <w:jc w:val="center"/>
              <w:rPr>
                <w:rFonts w:ascii="Arial Narrow" w:hAnsi="Arial Narrow"/>
                <w:sz w:val="20"/>
                <w:szCs w:val="20"/>
              </w:rPr>
            </w:pPr>
            <w:r w:rsidRPr="002106BA">
              <w:rPr>
                <w:rFonts w:ascii="Arial Narrow" w:hAnsi="Arial Narrow"/>
                <w:sz w:val="20"/>
                <w:szCs w:val="20"/>
              </w:rPr>
              <w:t>1</w:t>
            </w:r>
          </w:p>
        </w:tc>
        <w:tc>
          <w:tcPr>
            <w:tcW w:w="812" w:type="dxa"/>
            <w:vAlign w:val="center"/>
          </w:tcPr>
          <w:p w14:paraId="72596350" w14:textId="77777777" w:rsidR="00B0409C" w:rsidRPr="002106BA" w:rsidRDefault="00B0409C" w:rsidP="00920D12">
            <w:pPr>
              <w:keepLines/>
              <w:jc w:val="center"/>
              <w:rPr>
                <w:rFonts w:ascii="Arial Narrow" w:hAnsi="Arial Narrow"/>
                <w:sz w:val="20"/>
                <w:szCs w:val="20"/>
              </w:rPr>
            </w:pPr>
            <w:r w:rsidRPr="002106BA">
              <w:rPr>
                <w:rFonts w:ascii="Arial Narrow" w:hAnsi="Arial Narrow"/>
                <w:sz w:val="20"/>
                <w:szCs w:val="20"/>
              </w:rPr>
              <w:t>1</w:t>
            </w:r>
          </w:p>
        </w:tc>
        <w:tc>
          <w:tcPr>
            <w:tcW w:w="1837" w:type="dxa"/>
            <w:vAlign w:val="center"/>
          </w:tcPr>
          <w:p w14:paraId="6A43ED98" w14:textId="77777777" w:rsidR="00B0409C" w:rsidRPr="002106BA" w:rsidRDefault="00B0409C" w:rsidP="00920D12">
            <w:pPr>
              <w:keepLines/>
              <w:rPr>
                <w:rFonts w:ascii="Arial Narrow" w:hAnsi="Arial Narrow"/>
                <w:sz w:val="20"/>
                <w:szCs w:val="20"/>
              </w:rPr>
            </w:pPr>
            <w:proofErr w:type="spellStart"/>
            <w:r w:rsidRPr="002106BA">
              <w:rPr>
                <w:rFonts w:ascii="Arial Narrow" w:hAnsi="Arial Narrow"/>
                <w:sz w:val="20"/>
                <w:szCs w:val="20"/>
              </w:rPr>
              <w:t>Amvuttra</w:t>
            </w:r>
            <w:proofErr w:type="spellEnd"/>
          </w:p>
        </w:tc>
      </w:tr>
    </w:tbl>
    <w:p w14:paraId="2CCC79BD" w14:textId="77777777" w:rsidR="00B0409C" w:rsidRPr="002106BA" w:rsidRDefault="00B0409C" w:rsidP="002C3AC5">
      <w:pPr>
        <w:rPr>
          <w:rFonts w:asciiTheme="minorHAnsi" w:hAnsiTheme="minorHAnsi" w:cstheme="minorHAnsi"/>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487"/>
        <w:gridCol w:w="790"/>
        <w:gridCol w:w="7745"/>
      </w:tblGrid>
      <w:tr w:rsidR="00B0409C" w:rsidRPr="002106BA" w14:paraId="7C43D6C6" w14:textId="77777777" w:rsidTr="00920D12">
        <w:trPr>
          <w:trHeight w:val="20"/>
        </w:trPr>
        <w:tc>
          <w:tcPr>
            <w:tcW w:w="9022" w:type="dxa"/>
            <w:gridSpan w:val="3"/>
            <w:tcBorders>
              <w:top w:val="single" w:sz="4" w:space="0" w:color="auto"/>
              <w:left w:val="single" w:sz="4" w:space="0" w:color="auto"/>
              <w:right w:val="single" w:sz="4" w:space="0" w:color="auto"/>
            </w:tcBorders>
            <w:vAlign w:val="center"/>
          </w:tcPr>
          <w:p w14:paraId="3B6712AA" w14:textId="44D191F7" w:rsidR="00B0409C" w:rsidRPr="002106BA" w:rsidRDefault="00B0409C" w:rsidP="00920D12">
            <w:pPr>
              <w:keepLines/>
              <w:rPr>
                <w:rFonts w:ascii="Arial Narrow" w:hAnsi="Arial Narrow"/>
                <w:b/>
                <w:sz w:val="20"/>
                <w:szCs w:val="20"/>
              </w:rPr>
            </w:pPr>
            <w:r w:rsidRPr="002106BA">
              <w:rPr>
                <w:rFonts w:ascii="Arial Narrow" w:hAnsi="Arial Narrow"/>
                <w:b/>
                <w:sz w:val="20"/>
                <w:szCs w:val="20"/>
              </w:rPr>
              <w:t xml:space="preserve">Restriction Summary / Treatment of Concept: </w:t>
            </w:r>
          </w:p>
        </w:tc>
      </w:tr>
      <w:tr w:rsidR="00B0409C" w:rsidRPr="002106BA" w14:paraId="7CDCFF70" w14:textId="77777777" w:rsidTr="00920D12">
        <w:trPr>
          <w:trHeight w:val="20"/>
        </w:trPr>
        <w:tc>
          <w:tcPr>
            <w:tcW w:w="1277" w:type="dxa"/>
            <w:gridSpan w:val="2"/>
            <w:vMerge w:val="restart"/>
            <w:tcBorders>
              <w:top w:val="single" w:sz="4" w:space="0" w:color="auto"/>
              <w:left w:val="single" w:sz="4" w:space="0" w:color="auto"/>
              <w:right w:val="single" w:sz="4" w:space="0" w:color="auto"/>
            </w:tcBorders>
          </w:tcPr>
          <w:p w14:paraId="51937406" w14:textId="602C3172" w:rsidR="00B0409C" w:rsidRPr="002106BA" w:rsidRDefault="00B0409C" w:rsidP="00920D12">
            <w:pPr>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0D6DB08" w14:textId="77777777" w:rsidR="00B0409C" w:rsidRPr="002106BA" w:rsidRDefault="00B0409C" w:rsidP="00920D12">
            <w:pPr>
              <w:keepLines/>
              <w:rPr>
                <w:rFonts w:ascii="Arial Narrow" w:hAnsi="Arial Narrow"/>
                <w:sz w:val="20"/>
                <w:szCs w:val="20"/>
              </w:rPr>
            </w:pPr>
            <w:r w:rsidRPr="002106BA">
              <w:rPr>
                <w:rFonts w:ascii="Arial Narrow" w:hAnsi="Arial Narrow"/>
                <w:b/>
                <w:sz w:val="20"/>
                <w:szCs w:val="20"/>
              </w:rPr>
              <w:t>Category / Program:</w:t>
            </w:r>
            <w:r w:rsidRPr="002106BA">
              <w:rPr>
                <w:rFonts w:ascii="Arial Narrow" w:hAnsi="Arial Narrow"/>
                <w:color w:val="FF0000"/>
                <w:sz w:val="20"/>
                <w:szCs w:val="20"/>
              </w:rPr>
              <w:t xml:space="preserve"> </w:t>
            </w:r>
          </w:p>
          <w:p w14:paraId="4C9EA2EB" w14:textId="1CE3B5DA" w:rsidR="00B0409C" w:rsidRPr="002106BA" w:rsidRDefault="00B0409C" w:rsidP="002F09B3">
            <w:pPr>
              <w:keepLines/>
              <w:jc w:val="left"/>
              <w:rPr>
                <w:rFonts w:ascii="Arial Narrow" w:hAnsi="Arial Narrow"/>
                <w:sz w:val="20"/>
                <w:szCs w:val="20"/>
              </w:rPr>
            </w:pP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 Section 100 – Highly Specialised Drugs Program – Public (Code HB)</w:t>
            </w:r>
            <w:r w:rsidRPr="002106BA">
              <w:rPr>
                <w:rFonts w:ascii="Arial Narrow" w:eastAsia="Calibri" w:hAnsi="Arial Narrow"/>
                <w:color w:val="FF0000"/>
                <w:sz w:val="20"/>
                <w:szCs w:val="20"/>
              </w:rPr>
              <w:t xml:space="preserve"> </w:t>
            </w:r>
            <w:r w:rsidRPr="002106BA">
              <w:rPr>
                <w:rFonts w:ascii="Arial Narrow" w:eastAsia="Calibri" w:hAnsi="Arial Narrow"/>
                <w:sz w:val="20"/>
                <w:szCs w:val="20"/>
              </w:rPr>
              <w:t>/ Private (Code HS)</w:t>
            </w:r>
            <w:r w:rsidRPr="002106BA">
              <w:rPr>
                <w:rFonts w:ascii="Arial Narrow" w:eastAsia="Calibri" w:hAnsi="Arial Narrow"/>
                <w:color w:val="FF0000"/>
                <w:sz w:val="20"/>
                <w:szCs w:val="20"/>
              </w:rPr>
              <w:t xml:space="preserve"> </w:t>
            </w:r>
          </w:p>
        </w:tc>
      </w:tr>
      <w:tr w:rsidR="00B0409C" w:rsidRPr="002106BA" w14:paraId="3E3E9A67" w14:textId="77777777" w:rsidTr="00920D12">
        <w:trPr>
          <w:trHeight w:val="20"/>
        </w:trPr>
        <w:tc>
          <w:tcPr>
            <w:tcW w:w="1277" w:type="dxa"/>
            <w:gridSpan w:val="2"/>
            <w:vMerge/>
            <w:tcBorders>
              <w:left w:val="single" w:sz="4" w:space="0" w:color="auto"/>
              <w:right w:val="single" w:sz="4" w:space="0" w:color="auto"/>
            </w:tcBorders>
          </w:tcPr>
          <w:p w14:paraId="4540655F" w14:textId="77777777" w:rsidR="00B0409C" w:rsidRPr="002106BA" w:rsidRDefault="00B0409C" w:rsidP="00920D12">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27DC6C0" w14:textId="77777777" w:rsidR="00B0409C" w:rsidRPr="002106BA" w:rsidRDefault="00B0409C" w:rsidP="00920D12">
            <w:pPr>
              <w:keepLines/>
              <w:rPr>
                <w:rFonts w:ascii="Arial Narrow" w:hAnsi="Arial Narrow"/>
                <w:b/>
                <w:sz w:val="20"/>
                <w:szCs w:val="20"/>
              </w:rPr>
            </w:pPr>
            <w:r w:rsidRPr="002106BA">
              <w:rPr>
                <w:rFonts w:ascii="Arial Narrow" w:hAnsi="Arial Narrow"/>
                <w:b/>
                <w:sz w:val="20"/>
                <w:szCs w:val="20"/>
              </w:rPr>
              <w:t xml:space="preserve">Prescriber type: </w:t>
            </w:r>
            <w:r w:rsidRPr="002106BA">
              <w:rPr>
                <w:rFonts w:ascii="Arial Narrow" w:hAnsi="Arial Narrow"/>
                <w:sz w:val="20"/>
                <w:szCs w:val="20"/>
              </w:rPr>
              <w:fldChar w:fldCharType="begin">
                <w:ffData>
                  <w:name w:val=""/>
                  <w:enabled/>
                  <w:calcOnExit w:val="0"/>
                  <w:checkBox>
                    <w:sizeAuto/>
                    <w:default w:val="1"/>
                  </w:checkBox>
                </w:ffData>
              </w:fldChar>
            </w:r>
            <w:r w:rsidRPr="002106BA">
              <w:rPr>
                <w:rFonts w:ascii="Arial Narrow" w:hAnsi="Arial Narrow"/>
                <w:sz w:val="20"/>
                <w:szCs w:val="20"/>
              </w:rPr>
              <w:instrText xml:space="preserve"> FORMCHECKBOX </w:instrText>
            </w:r>
            <w:r w:rsidRPr="002106BA">
              <w:rPr>
                <w:rFonts w:ascii="Arial Narrow" w:hAnsi="Arial Narrow"/>
                <w:sz w:val="20"/>
                <w:szCs w:val="20"/>
              </w:rPr>
            </w:r>
            <w:r w:rsidRPr="002106BA">
              <w:rPr>
                <w:rFonts w:ascii="Arial Narrow" w:hAnsi="Arial Narrow"/>
                <w:sz w:val="20"/>
                <w:szCs w:val="20"/>
              </w:rPr>
              <w:fldChar w:fldCharType="separate"/>
            </w:r>
            <w:r w:rsidRPr="002106BA">
              <w:rPr>
                <w:rFonts w:ascii="Arial Narrow" w:hAnsi="Arial Narrow"/>
                <w:sz w:val="20"/>
                <w:szCs w:val="20"/>
              </w:rPr>
              <w:fldChar w:fldCharType="end"/>
            </w:r>
            <w:r w:rsidRPr="002106BA">
              <w:rPr>
                <w:rFonts w:ascii="Arial Narrow" w:hAnsi="Arial Narrow"/>
                <w:sz w:val="20"/>
                <w:szCs w:val="20"/>
              </w:rPr>
              <w:t xml:space="preserve">Medical Practitioners </w:t>
            </w:r>
          </w:p>
        </w:tc>
      </w:tr>
      <w:tr w:rsidR="00B0409C" w:rsidRPr="002106BA" w14:paraId="67728A39" w14:textId="77777777" w:rsidTr="00920D12">
        <w:trPr>
          <w:trHeight w:val="20"/>
        </w:trPr>
        <w:tc>
          <w:tcPr>
            <w:tcW w:w="1277" w:type="dxa"/>
            <w:gridSpan w:val="2"/>
            <w:vMerge/>
            <w:tcBorders>
              <w:left w:val="single" w:sz="4" w:space="0" w:color="auto"/>
              <w:right w:val="single" w:sz="4" w:space="0" w:color="auto"/>
            </w:tcBorders>
          </w:tcPr>
          <w:p w14:paraId="02B6356B" w14:textId="77777777" w:rsidR="00B0409C" w:rsidRPr="002106BA" w:rsidRDefault="00B0409C" w:rsidP="00920D12">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32BEEBD" w14:textId="77777777" w:rsidR="00B0409C" w:rsidRPr="002106BA" w:rsidRDefault="00B0409C" w:rsidP="00920D12">
            <w:pPr>
              <w:keepLines/>
              <w:rPr>
                <w:rFonts w:ascii="Arial Narrow" w:eastAsia="Calibri" w:hAnsi="Arial Narrow"/>
                <w:color w:val="FF0000"/>
                <w:sz w:val="20"/>
                <w:szCs w:val="20"/>
              </w:rPr>
            </w:pPr>
            <w:r w:rsidRPr="002106BA">
              <w:rPr>
                <w:rFonts w:ascii="Arial Narrow" w:hAnsi="Arial Narrow"/>
                <w:b/>
                <w:sz w:val="20"/>
                <w:szCs w:val="20"/>
              </w:rPr>
              <w:t xml:space="preserve">Restriction type: </w:t>
            </w: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Authority Required (FULL assessment) in writing only via post/HPOS upload) </w:t>
            </w:r>
          </w:p>
        </w:tc>
      </w:tr>
      <w:tr w:rsidR="00B0409C" w:rsidRPr="002106BA" w14:paraId="6BB9E2D6" w14:textId="77777777" w:rsidTr="00920D12">
        <w:trPr>
          <w:trHeight w:val="20"/>
        </w:trPr>
        <w:tc>
          <w:tcPr>
            <w:tcW w:w="1277" w:type="dxa"/>
            <w:gridSpan w:val="2"/>
            <w:vMerge/>
            <w:tcBorders>
              <w:left w:val="single" w:sz="4" w:space="0" w:color="auto"/>
              <w:bottom w:val="single" w:sz="4" w:space="0" w:color="auto"/>
              <w:right w:val="single" w:sz="4" w:space="0" w:color="auto"/>
            </w:tcBorders>
          </w:tcPr>
          <w:p w14:paraId="302D9B14" w14:textId="77777777" w:rsidR="00B0409C" w:rsidRPr="002106BA" w:rsidRDefault="00B0409C" w:rsidP="00920D12">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0A31718" w14:textId="77777777" w:rsidR="00B0409C" w:rsidRPr="002106BA" w:rsidRDefault="00B0409C" w:rsidP="00920D12">
            <w:pPr>
              <w:keepLines/>
              <w:rPr>
                <w:rFonts w:ascii="Arial Narrow" w:eastAsia="Calibri" w:hAnsi="Arial Narrow"/>
                <w:sz w:val="20"/>
                <w:szCs w:val="20"/>
              </w:rPr>
            </w:pPr>
            <w:r w:rsidRPr="002106BA">
              <w:rPr>
                <w:rFonts w:ascii="Arial Narrow" w:hAnsi="Arial Narrow"/>
                <w:b/>
                <w:sz w:val="20"/>
                <w:szCs w:val="20"/>
              </w:rPr>
              <w:t xml:space="preserve">Authority type: </w:t>
            </w: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 </w:t>
            </w:r>
            <w:r w:rsidRPr="002106BA">
              <w:rPr>
                <w:rFonts w:ascii="Arial Narrow" w:eastAsia="Calibri" w:hAnsi="Arial Narrow"/>
                <w:color w:val="000000" w:themeColor="text1"/>
                <w:sz w:val="20"/>
                <w:szCs w:val="20"/>
              </w:rPr>
              <w:t>Complex Authority Required (CAR)</w:t>
            </w:r>
          </w:p>
        </w:tc>
      </w:tr>
      <w:tr w:rsidR="00B0409C" w:rsidRPr="002106BA" w14:paraId="6D156A05" w14:textId="77777777" w:rsidTr="00920D12">
        <w:trPr>
          <w:trHeight w:val="20"/>
        </w:trPr>
        <w:tc>
          <w:tcPr>
            <w:tcW w:w="487" w:type="dxa"/>
            <w:vMerge w:val="restart"/>
            <w:tcBorders>
              <w:left w:val="single" w:sz="4" w:space="0" w:color="auto"/>
              <w:right w:val="single" w:sz="4" w:space="0" w:color="auto"/>
            </w:tcBorders>
            <w:textDirection w:val="btLr"/>
            <w:vAlign w:val="center"/>
          </w:tcPr>
          <w:p w14:paraId="554013E4" w14:textId="1A71D31C" w:rsidR="00B0409C" w:rsidRPr="002106BA" w:rsidRDefault="00B0409C" w:rsidP="00920D12">
            <w:pPr>
              <w:jc w:val="center"/>
              <w:rPr>
                <w:rFonts w:ascii="Arial Narrow" w:hAnsi="Arial Narrow"/>
                <w:sz w:val="20"/>
                <w:szCs w:val="20"/>
              </w:rPr>
            </w:pPr>
          </w:p>
        </w:tc>
        <w:tc>
          <w:tcPr>
            <w:tcW w:w="790" w:type="dxa"/>
            <w:vAlign w:val="center"/>
          </w:tcPr>
          <w:p w14:paraId="1647FE41" w14:textId="1BBC93D8" w:rsidR="00B0409C" w:rsidRPr="002106BA" w:rsidRDefault="00B0409C" w:rsidP="00920D12">
            <w:pPr>
              <w:jc w:val="center"/>
              <w:rPr>
                <w:rFonts w:ascii="Arial Narrow" w:hAnsi="Arial Narrow"/>
                <w:color w:val="333333"/>
                <w:sz w:val="20"/>
                <w:szCs w:val="20"/>
              </w:rPr>
            </w:pPr>
          </w:p>
        </w:tc>
        <w:tc>
          <w:tcPr>
            <w:tcW w:w="7745" w:type="dxa"/>
            <w:vAlign w:val="center"/>
          </w:tcPr>
          <w:p w14:paraId="62F1B0B8"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Administrative Advice:</w:t>
            </w:r>
            <w:r w:rsidRPr="002106BA">
              <w:rPr>
                <w:rFonts w:ascii="Arial Narrow" w:hAnsi="Arial Narrow"/>
                <w:color w:val="333333"/>
                <w:sz w:val="20"/>
                <w:szCs w:val="20"/>
              </w:rPr>
              <w:t xml:space="preserve"> </w:t>
            </w:r>
            <w:r w:rsidRPr="002106BA">
              <w:rPr>
                <w:rFonts w:ascii="Arial Narrow" w:hAnsi="Arial Narrow"/>
                <w:color w:val="000000" w:themeColor="text1"/>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authorisation under this restriction should be made in real time using the Online PBS Authorities system (see www.servicesaustralia.gov.au/hpos), Alternatively, applications for authority to prescribe can be submitted online using the form upload facility in Health Professional Online Services (HPOS) at www.servicesaustralia.gov.au/hpos, Or mailed to:, Services Australia, Complex Drugs, Reply Paid 9826, HOBART TAS 7001</w:t>
            </w:r>
          </w:p>
        </w:tc>
      </w:tr>
      <w:tr w:rsidR="00B0409C" w:rsidRPr="002106BA" w14:paraId="38452267" w14:textId="77777777" w:rsidTr="00920D12">
        <w:trPr>
          <w:trHeight w:val="20"/>
        </w:trPr>
        <w:tc>
          <w:tcPr>
            <w:tcW w:w="487" w:type="dxa"/>
            <w:vMerge/>
            <w:tcBorders>
              <w:left w:val="single" w:sz="4" w:space="0" w:color="auto"/>
              <w:right w:val="single" w:sz="4" w:space="0" w:color="auto"/>
            </w:tcBorders>
          </w:tcPr>
          <w:p w14:paraId="69912039" w14:textId="77777777" w:rsidR="00B0409C" w:rsidRPr="002106BA" w:rsidRDefault="00B0409C" w:rsidP="00920D12">
            <w:pPr>
              <w:rPr>
                <w:rFonts w:ascii="Arial Narrow" w:hAnsi="Arial Narrow"/>
                <w:sz w:val="20"/>
                <w:szCs w:val="20"/>
              </w:rPr>
            </w:pPr>
          </w:p>
        </w:tc>
        <w:tc>
          <w:tcPr>
            <w:tcW w:w="790" w:type="dxa"/>
            <w:vAlign w:val="center"/>
          </w:tcPr>
          <w:p w14:paraId="7F8E25D0" w14:textId="2C808190" w:rsidR="00B0409C" w:rsidRPr="002106BA" w:rsidRDefault="00B0409C" w:rsidP="00920D12">
            <w:pPr>
              <w:jc w:val="center"/>
              <w:rPr>
                <w:rFonts w:ascii="Arial Narrow" w:hAnsi="Arial Narrow"/>
                <w:color w:val="333333"/>
                <w:sz w:val="20"/>
                <w:szCs w:val="20"/>
              </w:rPr>
            </w:pPr>
          </w:p>
        </w:tc>
        <w:tc>
          <w:tcPr>
            <w:tcW w:w="7745" w:type="dxa"/>
            <w:vAlign w:val="center"/>
          </w:tcPr>
          <w:p w14:paraId="0B4D871D" w14:textId="77777777" w:rsidR="00B0409C" w:rsidRPr="002106BA" w:rsidRDefault="00B0409C" w:rsidP="00920D12">
            <w:pPr>
              <w:rPr>
                <w:rFonts w:ascii="Arial Narrow" w:hAnsi="Arial Narrow"/>
                <w:b/>
                <w:bCs/>
                <w:color w:val="333333"/>
                <w:sz w:val="20"/>
                <w:szCs w:val="20"/>
              </w:rPr>
            </w:pPr>
            <w:r w:rsidRPr="002106BA">
              <w:rPr>
                <w:rFonts w:ascii="Arial Narrow" w:hAnsi="Arial Narrow"/>
                <w:b/>
                <w:bCs/>
                <w:color w:val="333333"/>
                <w:sz w:val="20"/>
                <w:szCs w:val="20"/>
              </w:rPr>
              <w:t xml:space="preserve">Administrative Advice: </w:t>
            </w:r>
            <w:r w:rsidRPr="002106BA">
              <w:rPr>
                <w:rFonts w:ascii="Arial Narrow" w:hAnsi="Arial Narrow"/>
                <w:color w:val="333333"/>
                <w:sz w:val="20"/>
                <w:szCs w:val="20"/>
              </w:rPr>
              <w:t>No increase in the maximum quantity or number of units may be authorised.</w:t>
            </w:r>
          </w:p>
        </w:tc>
      </w:tr>
      <w:tr w:rsidR="00B0409C" w:rsidRPr="002106BA" w14:paraId="765E2D3B" w14:textId="77777777" w:rsidTr="00920D12">
        <w:trPr>
          <w:trHeight w:val="20"/>
        </w:trPr>
        <w:tc>
          <w:tcPr>
            <w:tcW w:w="487" w:type="dxa"/>
            <w:vMerge/>
            <w:tcBorders>
              <w:left w:val="single" w:sz="4" w:space="0" w:color="auto"/>
              <w:right w:val="single" w:sz="4" w:space="0" w:color="auto"/>
            </w:tcBorders>
          </w:tcPr>
          <w:p w14:paraId="4F458C1B" w14:textId="77777777" w:rsidR="00B0409C" w:rsidRPr="002106BA" w:rsidRDefault="00B0409C" w:rsidP="00920D12">
            <w:pPr>
              <w:rPr>
                <w:rFonts w:ascii="Arial Narrow" w:hAnsi="Arial Narrow"/>
                <w:sz w:val="20"/>
                <w:szCs w:val="20"/>
              </w:rPr>
            </w:pPr>
          </w:p>
        </w:tc>
        <w:tc>
          <w:tcPr>
            <w:tcW w:w="790" w:type="dxa"/>
            <w:vAlign w:val="center"/>
          </w:tcPr>
          <w:p w14:paraId="3A1CB49C" w14:textId="58F73EB6" w:rsidR="00B0409C" w:rsidRPr="002106BA" w:rsidRDefault="00B0409C" w:rsidP="00920D12">
            <w:pPr>
              <w:jc w:val="center"/>
              <w:rPr>
                <w:rFonts w:ascii="Arial Narrow" w:hAnsi="Arial Narrow"/>
                <w:color w:val="333333"/>
                <w:sz w:val="20"/>
                <w:szCs w:val="20"/>
              </w:rPr>
            </w:pPr>
          </w:p>
        </w:tc>
        <w:tc>
          <w:tcPr>
            <w:tcW w:w="7745" w:type="dxa"/>
            <w:vAlign w:val="center"/>
          </w:tcPr>
          <w:p w14:paraId="7A49A57A"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 xml:space="preserve">Administrative Advice: </w:t>
            </w:r>
            <w:r w:rsidRPr="002106BA">
              <w:rPr>
                <w:rFonts w:ascii="Arial Narrow" w:hAnsi="Arial Narrow"/>
                <w:color w:val="333333"/>
                <w:sz w:val="20"/>
                <w:szCs w:val="20"/>
              </w:rPr>
              <w:t>No increase in the maximum number of repeats may be authorised.</w:t>
            </w:r>
          </w:p>
        </w:tc>
      </w:tr>
      <w:tr w:rsidR="00B0409C" w:rsidRPr="002106BA" w14:paraId="62AEF0AC" w14:textId="77777777" w:rsidTr="00920D12">
        <w:trPr>
          <w:trHeight w:val="20"/>
        </w:trPr>
        <w:tc>
          <w:tcPr>
            <w:tcW w:w="487" w:type="dxa"/>
            <w:vMerge/>
            <w:tcBorders>
              <w:left w:val="single" w:sz="4" w:space="0" w:color="auto"/>
              <w:bottom w:val="single" w:sz="4" w:space="0" w:color="auto"/>
              <w:right w:val="single" w:sz="4" w:space="0" w:color="auto"/>
            </w:tcBorders>
          </w:tcPr>
          <w:p w14:paraId="15FA30A4" w14:textId="77777777" w:rsidR="00B0409C" w:rsidRPr="002106BA" w:rsidRDefault="00B0409C" w:rsidP="00920D12">
            <w:pPr>
              <w:rPr>
                <w:rFonts w:ascii="Arial Narrow" w:hAnsi="Arial Narrow"/>
                <w:sz w:val="20"/>
                <w:szCs w:val="20"/>
              </w:rPr>
            </w:pPr>
          </w:p>
        </w:tc>
        <w:tc>
          <w:tcPr>
            <w:tcW w:w="790" w:type="dxa"/>
            <w:vAlign w:val="center"/>
          </w:tcPr>
          <w:p w14:paraId="3A28AEF6" w14:textId="202DBE4F" w:rsidR="00B0409C" w:rsidRPr="002106BA" w:rsidRDefault="00B0409C" w:rsidP="00920D12">
            <w:pPr>
              <w:jc w:val="center"/>
              <w:rPr>
                <w:rFonts w:ascii="Arial Narrow" w:hAnsi="Arial Narrow"/>
                <w:color w:val="333333"/>
                <w:sz w:val="20"/>
                <w:szCs w:val="20"/>
              </w:rPr>
            </w:pPr>
          </w:p>
        </w:tc>
        <w:tc>
          <w:tcPr>
            <w:tcW w:w="7745" w:type="dxa"/>
            <w:vAlign w:val="center"/>
          </w:tcPr>
          <w:p w14:paraId="45CCF3BA"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 xml:space="preserve">Administrative Advice: </w:t>
            </w:r>
            <w:r w:rsidRPr="002106BA">
              <w:rPr>
                <w:rFonts w:ascii="Arial Narrow" w:hAnsi="Arial Narrow"/>
                <w:color w:val="333333"/>
                <w:sz w:val="20"/>
                <w:szCs w:val="20"/>
              </w:rPr>
              <w:t>Special Pricing Arrangements apply.</w:t>
            </w:r>
          </w:p>
        </w:tc>
      </w:tr>
      <w:tr w:rsidR="00B0409C" w:rsidRPr="002106BA" w14:paraId="09DB7B26" w14:textId="77777777" w:rsidTr="00920D12">
        <w:trPr>
          <w:cantSplit/>
          <w:trHeight w:val="20"/>
        </w:trPr>
        <w:tc>
          <w:tcPr>
            <w:tcW w:w="1277" w:type="dxa"/>
            <w:gridSpan w:val="2"/>
            <w:vMerge w:val="restart"/>
            <w:vAlign w:val="center"/>
          </w:tcPr>
          <w:p w14:paraId="6C53E8F9" w14:textId="77777777" w:rsidR="00B0409C" w:rsidRPr="002106BA" w:rsidRDefault="00B0409C" w:rsidP="00920D12">
            <w:pPr>
              <w:keepLines/>
              <w:jc w:val="center"/>
              <w:rPr>
                <w:rFonts w:ascii="Arial Narrow" w:hAnsi="Arial Narrow"/>
                <w:color w:val="333333"/>
                <w:sz w:val="20"/>
                <w:szCs w:val="20"/>
              </w:rPr>
            </w:pPr>
          </w:p>
        </w:tc>
        <w:tc>
          <w:tcPr>
            <w:tcW w:w="7745" w:type="dxa"/>
            <w:vAlign w:val="center"/>
          </w:tcPr>
          <w:p w14:paraId="6A1D8746" w14:textId="77777777" w:rsidR="00B0409C" w:rsidRPr="002106BA" w:rsidRDefault="00B0409C" w:rsidP="00920D12">
            <w:pPr>
              <w:keepLines/>
              <w:rPr>
                <w:rFonts w:ascii="Arial Narrow" w:hAnsi="Arial Narrow"/>
                <w:bCs/>
                <w:color w:val="333333"/>
                <w:sz w:val="20"/>
                <w:szCs w:val="20"/>
              </w:rPr>
            </w:pPr>
            <w:r w:rsidRPr="002106BA">
              <w:rPr>
                <w:rFonts w:ascii="Arial Narrow" w:hAnsi="Arial Narrow"/>
                <w:b/>
                <w:bCs/>
                <w:color w:val="333333"/>
                <w:sz w:val="20"/>
                <w:szCs w:val="20"/>
              </w:rPr>
              <w:t xml:space="preserve">Episodicity: </w:t>
            </w:r>
          </w:p>
        </w:tc>
      </w:tr>
      <w:tr w:rsidR="00B0409C" w:rsidRPr="002106BA" w14:paraId="6E131244" w14:textId="77777777" w:rsidTr="00920D12">
        <w:trPr>
          <w:cantSplit/>
          <w:trHeight w:val="20"/>
        </w:trPr>
        <w:tc>
          <w:tcPr>
            <w:tcW w:w="1277" w:type="dxa"/>
            <w:gridSpan w:val="2"/>
            <w:vMerge/>
            <w:vAlign w:val="center"/>
          </w:tcPr>
          <w:p w14:paraId="441017CD" w14:textId="77777777" w:rsidR="00B0409C" w:rsidRPr="002106BA" w:rsidRDefault="00B0409C" w:rsidP="00920D12">
            <w:pPr>
              <w:keepLines/>
              <w:jc w:val="center"/>
              <w:rPr>
                <w:rFonts w:ascii="Arial Narrow" w:hAnsi="Arial Narrow"/>
                <w:color w:val="333333"/>
                <w:sz w:val="20"/>
                <w:szCs w:val="20"/>
              </w:rPr>
            </w:pPr>
          </w:p>
        </w:tc>
        <w:tc>
          <w:tcPr>
            <w:tcW w:w="7745" w:type="dxa"/>
            <w:vAlign w:val="center"/>
          </w:tcPr>
          <w:p w14:paraId="386DF9C0" w14:textId="77777777" w:rsidR="00B0409C" w:rsidRPr="002106BA" w:rsidRDefault="00B0409C" w:rsidP="00920D12">
            <w:pPr>
              <w:keepLines/>
              <w:rPr>
                <w:rFonts w:ascii="Arial Narrow" w:hAnsi="Arial Narrow"/>
                <w:b/>
                <w:bCs/>
                <w:color w:val="333333"/>
                <w:sz w:val="20"/>
                <w:szCs w:val="20"/>
              </w:rPr>
            </w:pPr>
            <w:r w:rsidRPr="002106BA">
              <w:rPr>
                <w:rFonts w:ascii="Arial Narrow" w:hAnsi="Arial Narrow"/>
                <w:b/>
                <w:bCs/>
                <w:color w:val="333333"/>
                <w:sz w:val="20"/>
                <w:szCs w:val="20"/>
              </w:rPr>
              <w:t xml:space="preserve">Severity: </w:t>
            </w:r>
          </w:p>
        </w:tc>
      </w:tr>
      <w:tr w:rsidR="00B0409C" w:rsidRPr="002106BA" w14:paraId="0ADCC436" w14:textId="77777777" w:rsidTr="00920D12">
        <w:trPr>
          <w:cantSplit/>
          <w:trHeight w:val="20"/>
        </w:trPr>
        <w:tc>
          <w:tcPr>
            <w:tcW w:w="1277" w:type="dxa"/>
            <w:gridSpan w:val="2"/>
            <w:vMerge/>
            <w:vAlign w:val="center"/>
          </w:tcPr>
          <w:p w14:paraId="6CB09A89" w14:textId="77777777" w:rsidR="00B0409C" w:rsidRPr="002106BA" w:rsidRDefault="00B0409C" w:rsidP="00920D12">
            <w:pPr>
              <w:keepLines/>
              <w:jc w:val="center"/>
              <w:rPr>
                <w:rFonts w:ascii="Arial Narrow" w:hAnsi="Arial Narrow"/>
                <w:color w:val="333333"/>
                <w:sz w:val="20"/>
                <w:szCs w:val="20"/>
              </w:rPr>
            </w:pPr>
          </w:p>
        </w:tc>
        <w:tc>
          <w:tcPr>
            <w:tcW w:w="7745" w:type="dxa"/>
            <w:vAlign w:val="center"/>
          </w:tcPr>
          <w:p w14:paraId="4E255FE5" w14:textId="77777777" w:rsidR="00B0409C" w:rsidRPr="002106BA" w:rsidRDefault="00B0409C" w:rsidP="00920D12">
            <w:pPr>
              <w:keepLines/>
              <w:rPr>
                <w:rFonts w:ascii="Arial Narrow" w:hAnsi="Arial Narrow"/>
                <w:b/>
                <w:bCs/>
                <w:color w:val="333333"/>
                <w:sz w:val="20"/>
                <w:szCs w:val="20"/>
              </w:rPr>
            </w:pPr>
            <w:r w:rsidRPr="002106BA">
              <w:rPr>
                <w:rFonts w:ascii="Arial Narrow" w:hAnsi="Arial Narrow"/>
                <w:b/>
                <w:bCs/>
                <w:color w:val="333333"/>
                <w:sz w:val="20"/>
                <w:szCs w:val="20"/>
              </w:rPr>
              <w:t xml:space="preserve">Condition: </w:t>
            </w:r>
            <w:r w:rsidRPr="002106BA">
              <w:rPr>
                <w:rFonts w:ascii="Arial Narrow" w:hAnsi="Arial Narrow"/>
                <w:bCs/>
                <w:color w:val="333333"/>
                <w:sz w:val="20"/>
                <w:szCs w:val="20"/>
              </w:rPr>
              <w:t>Hereditary transthyretin amyloidosis</w:t>
            </w:r>
          </w:p>
        </w:tc>
      </w:tr>
      <w:tr w:rsidR="00B0409C" w:rsidRPr="002106BA" w14:paraId="15479DC7" w14:textId="77777777" w:rsidTr="009E50F6">
        <w:trPr>
          <w:cantSplit/>
          <w:trHeight w:val="20"/>
        </w:trPr>
        <w:tc>
          <w:tcPr>
            <w:tcW w:w="1277" w:type="dxa"/>
            <w:gridSpan w:val="2"/>
            <w:vAlign w:val="center"/>
          </w:tcPr>
          <w:p w14:paraId="5260144C" w14:textId="15EAAFA6" w:rsidR="00B0409C" w:rsidRPr="002106BA" w:rsidRDefault="00B0409C" w:rsidP="00920D12">
            <w:pPr>
              <w:keepLines/>
              <w:jc w:val="center"/>
              <w:rPr>
                <w:rFonts w:ascii="Arial Narrow" w:hAnsi="Arial Narrow"/>
                <w:color w:val="333333"/>
                <w:sz w:val="20"/>
                <w:szCs w:val="20"/>
              </w:rPr>
            </w:pPr>
          </w:p>
        </w:tc>
        <w:tc>
          <w:tcPr>
            <w:tcW w:w="7745" w:type="dxa"/>
            <w:vAlign w:val="center"/>
            <w:hideMark/>
          </w:tcPr>
          <w:p w14:paraId="4AF788CB" w14:textId="77777777" w:rsidR="00B0409C" w:rsidRPr="002106BA" w:rsidRDefault="00B0409C" w:rsidP="00920D12">
            <w:pPr>
              <w:keepLines/>
              <w:rPr>
                <w:rFonts w:ascii="Arial Narrow" w:hAnsi="Arial Narrow"/>
                <w:color w:val="333333"/>
                <w:sz w:val="20"/>
                <w:szCs w:val="20"/>
              </w:rPr>
            </w:pPr>
            <w:r w:rsidRPr="002106BA">
              <w:rPr>
                <w:rFonts w:ascii="Arial Narrow" w:hAnsi="Arial Narrow"/>
                <w:b/>
                <w:bCs/>
                <w:color w:val="333333"/>
                <w:sz w:val="20"/>
                <w:szCs w:val="20"/>
              </w:rPr>
              <w:t>Indication:</w:t>
            </w:r>
            <w:r w:rsidRPr="002106BA">
              <w:rPr>
                <w:rFonts w:ascii="Arial Narrow" w:hAnsi="Arial Narrow"/>
                <w:color w:val="333333"/>
                <w:sz w:val="20"/>
                <w:szCs w:val="20"/>
              </w:rPr>
              <w:t xml:space="preserve"> Hereditary transthyretin amyloidosis</w:t>
            </w:r>
          </w:p>
        </w:tc>
      </w:tr>
      <w:tr w:rsidR="00B0409C" w:rsidRPr="002106BA" w14:paraId="22ECB4E6" w14:textId="77777777" w:rsidTr="009E50F6">
        <w:trPr>
          <w:cantSplit/>
          <w:trHeight w:val="20"/>
        </w:trPr>
        <w:tc>
          <w:tcPr>
            <w:tcW w:w="1277" w:type="dxa"/>
            <w:gridSpan w:val="2"/>
            <w:vAlign w:val="center"/>
          </w:tcPr>
          <w:p w14:paraId="777CA073" w14:textId="77777777" w:rsidR="00B0409C" w:rsidRPr="002106BA" w:rsidRDefault="00B0409C" w:rsidP="00920D12">
            <w:pPr>
              <w:jc w:val="center"/>
              <w:rPr>
                <w:rFonts w:ascii="Arial Narrow" w:hAnsi="Arial Narrow"/>
                <w:color w:val="333333"/>
                <w:sz w:val="20"/>
                <w:szCs w:val="20"/>
                <w:highlight w:val="yellow"/>
              </w:rPr>
            </w:pPr>
          </w:p>
        </w:tc>
        <w:tc>
          <w:tcPr>
            <w:tcW w:w="7745" w:type="dxa"/>
            <w:vAlign w:val="center"/>
            <w:hideMark/>
          </w:tcPr>
          <w:p w14:paraId="03244EB9" w14:textId="77777777" w:rsidR="00B0409C" w:rsidRPr="002106BA" w:rsidRDefault="00B0409C" w:rsidP="00920D12">
            <w:pPr>
              <w:rPr>
                <w:rFonts w:ascii="Arial Narrow" w:hAnsi="Arial Narrow"/>
                <w:sz w:val="20"/>
                <w:szCs w:val="20"/>
              </w:rPr>
            </w:pPr>
            <w:r w:rsidRPr="002106BA">
              <w:rPr>
                <w:rFonts w:ascii="Arial Narrow" w:hAnsi="Arial Narrow"/>
                <w:b/>
                <w:bCs/>
                <w:color w:val="333333"/>
                <w:sz w:val="20"/>
                <w:szCs w:val="20"/>
              </w:rPr>
              <w:t>Treatment Phase:</w:t>
            </w:r>
            <w:r w:rsidRPr="002106BA">
              <w:rPr>
                <w:rFonts w:ascii="Arial Narrow" w:hAnsi="Arial Narrow"/>
                <w:color w:val="FF0000"/>
                <w:sz w:val="20"/>
                <w:szCs w:val="20"/>
              </w:rPr>
              <w:t xml:space="preserve"> </w:t>
            </w:r>
            <w:r w:rsidRPr="002106BA">
              <w:rPr>
                <w:rFonts w:ascii="Arial Narrow" w:hAnsi="Arial Narrow"/>
                <w:color w:val="000000" w:themeColor="text1"/>
                <w:sz w:val="20"/>
                <w:szCs w:val="20"/>
              </w:rPr>
              <w:t>Initial treatment</w:t>
            </w:r>
          </w:p>
        </w:tc>
      </w:tr>
      <w:tr w:rsidR="00B0409C" w:rsidRPr="002106BA" w14:paraId="4BBB9401" w14:textId="77777777" w:rsidTr="009E50F6">
        <w:trPr>
          <w:cantSplit/>
          <w:trHeight w:val="20"/>
        </w:trPr>
        <w:tc>
          <w:tcPr>
            <w:tcW w:w="1277" w:type="dxa"/>
            <w:gridSpan w:val="2"/>
            <w:vAlign w:val="center"/>
          </w:tcPr>
          <w:p w14:paraId="6DE49D0B" w14:textId="676129B3" w:rsidR="00B0409C" w:rsidRPr="002106BA" w:rsidRDefault="00B0409C" w:rsidP="00920D12">
            <w:pPr>
              <w:jc w:val="center"/>
              <w:rPr>
                <w:rFonts w:ascii="Arial Narrow" w:hAnsi="Arial Narrow"/>
                <w:color w:val="333333"/>
                <w:sz w:val="20"/>
                <w:szCs w:val="20"/>
              </w:rPr>
            </w:pPr>
          </w:p>
        </w:tc>
        <w:tc>
          <w:tcPr>
            <w:tcW w:w="7745" w:type="dxa"/>
            <w:vAlign w:val="center"/>
            <w:hideMark/>
          </w:tcPr>
          <w:p w14:paraId="76699665" w14:textId="77777777" w:rsidR="00B0409C" w:rsidRPr="002106BA" w:rsidRDefault="00B0409C" w:rsidP="00920D12">
            <w:pPr>
              <w:rPr>
                <w:rFonts w:ascii="Arial Narrow" w:hAnsi="Arial Narrow"/>
                <w:sz w:val="20"/>
                <w:szCs w:val="20"/>
              </w:rPr>
            </w:pPr>
            <w:r w:rsidRPr="002106BA">
              <w:rPr>
                <w:rFonts w:ascii="Arial Narrow" w:hAnsi="Arial Narrow"/>
                <w:b/>
                <w:bCs/>
                <w:color w:val="333333"/>
                <w:sz w:val="20"/>
                <w:szCs w:val="20"/>
              </w:rPr>
              <w:t xml:space="preserve">Clinical criteria: </w:t>
            </w:r>
          </w:p>
        </w:tc>
      </w:tr>
      <w:tr w:rsidR="00B0409C" w:rsidRPr="002106BA" w14:paraId="7649CF3C" w14:textId="77777777" w:rsidTr="00920D12">
        <w:trPr>
          <w:cantSplit/>
          <w:trHeight w:val="20"/>
        </w:trPr>
        <w:tc>
          <w:tcPr>
            <w:tcW w:w="1277" w:type="dxa"/>
            <w:gridSpan w:val="2"/>
            <w:vAlign w:val="center"/>
          </w:tcPr>
          <w:p w14:paraId="7629D92E" w14:textId="1589B34A" w:rsidR="00B0409C" w:rsidRPr="002106BA" w:rsidRDefault="00B0409C" w:rsidP="00920D12">
            <w:pPr>
              <w:jc w:val="center"/>
              <w:rPr>
                <w:rFonts w:ascii="Arial Narrow" w:hAnsi="Arial Narrow"/>
                <w:color w:val="000000" w:themeColor="text1"/>
                <w:sz w:val="20"/>
                <w:szCs w:val="20"/>
              </w:rPr>
            </w:pPr>
          </w:p>
        </w:tc>
        <w:tc>
          <w:tcPr>
            <w:tcW w:w="7745" w:type="dxa"/>
            <w:vAlign w:val="center"/>
            <w:hideMark/>
          </w:tcPr>
          <w:p w14:paraId="3E7DAC5A"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color w:val="000000" w:themeColor="text1"/>
                <w:sz w:val="20"/>
                <w:szCs w:val="20"/>
              </w:rPr>
              <w:t>Patient must not have previously received PBS-subsidised treatment with this drug for this PBS indication</w:t>
            </w:r>
          </w:p>
        </w:tc>
      </w:tr>
      <w:tr w:rsidR="00B0409C" w:rsidRPr="002106BA" w14:paraId="33EC5719" w14:textId="77777777" w:rsidTr="00920D12">
        <w:trPr>
          <w:cantSplit/>
          <w:trHeight w:val="20"/>
        </w:trPr>
        <w:tc>
          <w:tcPr>
            <w:tcW w:w="1277" w:type="dxa"/>
            <w:gridSpan w:val="2"/>
            <w:vAlign w:val="center"/>
          </w:tcPr>
          <w:p w14:paraId="08A02923" w14:textId="77777777" w:rsidR="00B0409C" w:rsidRPr="002106BA" w:rsidRDefault="00B0409C" w:rsidP="00920D12">
            <w:pPr>
              <w:jc w:val="center"/>
              <w:rPr>
                <w:rFonts w:ascii="Arial Narrow" w:hAnsi="Arial Narrow"/>
                <w:color w:val="000000" w:themeColor="text1"/>
                <w:sz w:val="20"/>
                <w:szCs w:val="20"/>
              </w:rPr>
            </w:pPr>
          </w:p>
        </w:tc>
        <w:tc>
          <w:tcPr>
            <w:tcW w:w="7745" w:type="dxa"/>
            <w:vAlign w:val="center"/>
            <w:hideMark/>
          </w:tcPr>
          <w:p w14:paraId="0356CC68"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b/>
                <w:bCs/>
                <w:color w:val="000000" w:themeColor="text1"/>
                <w:sz w:val="20"/>
                <w:szCs w:val="20"/>
              </w:rPr>
              <w:t>AND</w:t>
            </w:r>
          </w:p>
        </w:tc>
      </w:tr>
      <w:tr w:rsidR="00B0409C" w:rsidRPr="002106BA" w14:paraId="26F58F91" w14:textId="77777777" w:rsidTr="00920D12">
        <w:trPr>
          <w:cantSplit/>
          <w:trHeight w:val="20"/>
        </w:trPr>
        <w:tc>
          <w:tcPr>
            <w:tcW w:w="1277" w:type="dxa"/>
            <w:gridSpan w:val="2"/>
            <w:vAlign w:val="center"/>
          </w:tcPr>
          <w:p w14:paraId="0CD61F18" w14:textId="5EAFC9A4" w:rsidR="00B0409C" w:rsidRPr="002106BA" w:rsidRDefault="00B0409C" w:rsidP="00920D12">
            <w:pPr>
              <w:jc w:val="center"/>
              <w:rPr>
                <w:rFonts w:ascii="Arial Narrow" w:hAnsi="Arial Narrow"/>
                <w:color w:val="000000" w:themeColor="text1"/>
                <w:sz w:val="20"/>
                <w:szCs w:val="20"/>
              </w:rPr>
            </w:pPr>
          </w:p>
        </w:tc>
        <w:tc>
          <w:tcPr>
            <w:tcW w:w="7745" w:type="dxa"/>
            <w:vAlign w:val="center"/>
            <w:hideMark/>
          </w:tcPr>
          <w:p w14:paraId="0D739A5D"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b/>
                <w:bCs/>
                <w:color w:val="000000" w:themeColor="text1"/>
                <w:sz w:val="20"/>
                <w:szCs w:val="20"/>
              </w:rPr>
              <w:t>Clinical criteria:</w:t>
            </w:r>
          </w:p>
        </w:tc>
      </w:tr>
      <w:tr w:rsidR="00B0409C" w:rsidRPr="002106BA" w14:paraId="2526AE80" w14:textId="77777777" w:rsidTr="00920D12">
        <w:trPr>
          <w:cantSplit/>
          <w:trHeight w:val="20"/>
        </w:trPr>
        <w:tc>
          <w:tcPr>
            <w:tcW w:w="1277" w:type="dxa"/>
            <w:gridSpan w:val="2"/>
            <w:vAlign w:val="center"/>
          </w:tcPr>
          <w:p w14:paraId="359186D7" w14:textId="18D7756B" w:rsidR="00B0409C" w:rsidRPr="002106BA" w:rsidRDefault="00B0409C" w:rsidP="00920D12">
            <w:pPr>
              <w:jc w:val="center"/>
              <w:rPr>
                <w:rFonts w:ascii="Arial Narrow" w:hAnsi="Arial Narrow"/>
                <w:color w:val="000000" w:themeColor="text1"/>
                <w:sz w:val="20"/>
                <w:szCs w:val="20"/>
              </w:rPr>
            </w:pPr>
          </w:p>
        </w:tc>
        <w:tc>
          <w:tcPr>
            <w:tcW w:w="7745" w:type="dxa"/>
            <w:vAlign w:val="center"/>
            <w:hideMark/>
          </w:tcPr>
          <w:p w14:paraId="2AEEC5CA"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color w:val="000000" w:themeColor="text1"/>
                <w:sz w:val="20"/>
                <w:szCs w:val="20"/>
              </w:rPr>
              <w:t>The condition must be hereditary transthyretin amyloidosis confirmed by genetic testing</w:t>
            </w:r>
          </w:p>
        </w:tc>
      </w:tr>
      <w:tr w:rsidR="00B0409C" w:rsidRPr="002106BA" w14:paraId="68BB000C" w14:textId="77777777" w:rsidTr="00920D12">
        <w:trPr>
          <w:cantSplit/>
          <w:trHeight w:val="20"/>
        </w:trPr>
        <w:tc>
          <w:tcPr>
            <w:tcW w:w="1277" w:type="dxa"/>
            <w:gridSpan w:val="2"/>
            <w:vAlign w:val="center"/>
          </w:tcPr>
          <w:p w14:paraId="58012F5A" w14:textId="77777777" w:rsidR="00B0409C" w:rsidRPr="002106BA" w:rsidRDefault="00B0409C" w:rsidP="00920D12">
            <w:pPr>
              <w:jc w:val="center"/>
              <w:rPr>
                <w:rFonts w:ascii="Arial Narrow" w:hAnsi="Arial Narrow"/>
                <w:color w:val="333333"/>
                <w:sz w:val="20"/>
                <w:szCs w:val="20"/>
              </w:rPr>
            </w:pPr>
          </w:p>
        </w:tc>
        <w:tc>
          <w:tcPr>
            <w:tcW w:w="7745" w:type="dxa"/>
            <w:vAlign w:val="center"/>
            <w:hideMark/>
          </w:tcPr>
          <w:p w14:paraId="40827B25"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AND</w:t>
            </w:r>
          </w:p>
        </w:tc>
      </w:tr>
      <w:tr w:rsidR="00B0409C" w:rsidRPr="002106BA" w14:paraId="26884A43" w14:textId="77777777" w:rsidTr="00920D12">
        <w:trPr>
          <w:cantSplit/>
          <w:trHeight w:val="20"/>
        </w:trPr>
        <w:tc>
          <w:tcPr>
            <w:tcW w:w="1277" w:type="dxa"/>
            <w:gridSpan w:val="2"/>
            <w:vAlign w:val="center"/>
          </w:tcPr>
          <w:p w14:paraId="68FDC2BE" w14:textId="1CC03F5F" w:rsidR="00B0409C" w:rsidRPr="002106BA" w:rsidRDefault="00B0409C" w:rsidP="00920D12">
            <w:pPr>
              <w:jc w:val="center"/>
              <w:rPr>
                <w:rFonts w:ascii="Arial Narrow" w:hAnsi="Arial Narrow"/>
                <w:color w:val="333333"/>
                <w:sz w:val="20"/>
                <w:szCs w:val="20"/>
              </w:rPr>
            </w:pPr>
          </w:p>
        </w:tc>
        <w:tc>
          <w:tcPr>
            <w:tcW w:w="7745" w:type="dxa"/>
            <w:vAlign w:val="center"/>
            <w:hideMark/>
          </w:tcPr>
          <w:p w14:paraId="6A24F2EC"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Clinical criteria:</w:t>
            </w:r>
          </w:p>
        </w:tc>
      </w:tr>
      <w:tr w:rsidR="00B0409C" w:rsidRPr="002106BA" w14:paraId="12423D2D" w14:textId="77777777" w:rsidTr="00920D12">
        <w:trPr>
          <w:cantSplit/>
          <w:trHeight w:val="20"/>
        </w:trPr>
        <w:tc>
          <w:tcPr>
            <w:tcW w:w="1277" w:type="dxa"/>
            <w:gridSpan w:val="2"/>
            <w:vAlign w:val="center"/>
          </w:tcPr>
          <w:p w14:paraId="0017D994" w14:textId="612503FF" w:rsidR="00B0409C" w:rsidRPr="002106BA" w:rsidRDefault="00B0409C" w:rsidP="00920D12">
            <w:pPr>
              <w:jc w:val="center"/>
              <w:rPr>
                <w:rFonts w:ascii="Arial Narrow" w:hAnsi="Arial Narrow"/>
                <w:color w:val="333333"/>
                <w:sz w:val="20"/>
                <w:szCs w:val="20"/>
              </w:rPr>
            </w:pPr>
          </w:p>
        </w:tc>
        <w:tc>
          <w:tcPr>
            <w:tcW w:w="7745" w:type="dxa"/>
            <w:vAlign w:val="center"/>
            <w:hideMark/>
          </w:tcPr>
          <w:p w14:paraId="2E02AE13" w14:textId="77777777" w:rsidR="00B0409C" w:rsidRPr="002106BA" w:rsidRDefault="00B0409C" w:rsidP="00920D12">
            <w:pPr>
              <w:rPr>
                <w:rFonts w:ascii="Arial Narrow" w:hAnsi="Arial Narrow"/>
                <w:color w:val="333333"/>
                <w:sz w:val="20"/>
                <w:szCs w:val="20"/>
              </w:rPr>
            </w:pPr>
            <w:r w:rsidRPr="002106BA">
              <w:rPr>
                <w:rFonts w:ascii="Arial Narrow" w:hAnsi="Arial Narrow"/>
                <w:color w:val="333333"/>
                <w:sz w:val="20"/>
                <w:szCs w:val="20"/>
              </w:rPr>
              <w:t>Patient must have a Polyneuropathy Disability (PND) score description of either I, II, IIIA, IIIB; OR</w:t>
            </w:r>
          </w:p>
          <w:p w14:paraId="37DCE84B" w14:textId="77777777" w:rsidR="00B0409C" w:rsidRPr="002106BA" w:rsidRDefault="00B0409C" w:rsidP="00920D12">
            <w:pPr>
              <w:rPr>
                <w:rFonts w:ascii="Arial Narrow" w:hAnsi="Arial Narrow"/>
                <w:color w:val="333333"/>
                <w:sz w:val="20"/>
                <w:szCs w:val="20"/>
              </w:rPr>
            </w:pPr>
          </w:p>
          <w:p w14:paraId="30C8611C" w14:textId="77777777" w:rsidR="00B0409C" w:rsidRPr="002106BA" w:rsidRDefault="00B0409C" w:rsidP="00920D12">
            <w:pPr>
              <w:rPr>
                <w:rFonts w:ascii="Arial Narrow" w:hAnsi="Arial Narrow"/>
                <w:color w:val="333333"/>
                <w:sz w:val="20"/>
                <w:szCs w:val="20"/>
              </w:rPr>
            </w:pPr>
            <w:r w:rsidRPr="002106BA">
              <w:rPr>
                <w:rFonts w:ascii="Arial Narrow" w:hAnsi="Arial Narrow"/>
                <w:color w:val="333333"/>
                <w:sz w:val="20"/>
                <w:szCs w:val="20"/>
              </w:rPr>
              <w:t>Patient must have a Familial Amyloid Polyneuropathy (FAP) stage description of 1 or 2</w:t>
            </w:r>
          </w:p>
        </w:tc>
      </w:tr>
      <w:tr w:rsidR="00B0409C" w:rsidRPr="002106BA" w14:paraId="42E2809F" w14:textId="77777777" w:rsidTr="00920D12">
        <w:trPr>
          <w:cantSplit/>
          <w:trHeight w:val="20"/>
        </w:trPr>
        <w:tc>
          <w:tcPr>
            <w:tcW w:w="1277" w:type="dxa"/>
            <w:gridSpan w:val="2"/>
            <w:vAlign w:val="center"/>
          </w:tcPr>
          <w:p w14:paraId="12319E33"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148EBC82"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AND</w:t>
            </w:r>
          </w:p>
        </w:tc>
      </w:tr>
      <w:tr w:rsidR="00B0409C" w:rsidRPr="002106BA" w14:paraId="2B5F0123" w14:textId="77777777" w:rsidTr="00920D12">
        <w:trPr>
          <w:cantSplit/>
          <w:trHeight w:val="20"/>
        </w:trPr>
        <w:tc>
          <w:tcPr>
            <w:tcW w:w="1277" w:type="dxa"/>
            <w:gridSpan w:val="2"/>
            <w:vAlign w:val="center"/>
          </w:tcPr>
          <w:p w14:paraId="066D32D9" w14:textId="641739D5" w:rsidR="00B0409C" w:rsidRPr="002106BA" w:rsidRDefault="00B0409C" w:rsidP="00920D12">
            <w:pPr>
              <w:jc w:val="center"/>
              <w:rPr>
                <w:rFonts w:ascii="Arial Narrow" w:hAnsi="Arial Narrow"/>
                <w:color w:val="333333"/>
                <w:sz w:val="20"/>
                <w:szCs w:val="20"/>
              </w:rPr>
            </w:pPr>
          </w:p>
        </w:tc>
        <w:tc>
          <w:tcPr>
            <w:tcW w:w="7745" w:type="dxa"/>
            <w:vAlign w:val="center"/>
          </w:tcPr>
          <w:p w14:paraId="26447591"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Clinical criteria:</w:t>
            </w:r>
          </w:p>
        </w:tc>
      </w:tr>
      <w:tr w:rsidR="00B0409C" w:rsidRPr="002106BA" w14:paraId="628E9019" w14:textId="77777777" w:rsidTr="00920D12">
        <w:trPr>
          <w:cantSplit/>
          <w:trHeight w:val="20"/>
        </w:trPr>
        <w:tc>
          <w:tcPr>
            <w:tcW w:w="1277" w:type="dxa"/>
            <w:gridSpan w:val="2"/>
            <w:vAlign w:val="center"/>
          </w:tcPr>
          <w:p w14:paraId="76BB5DCC" w14:textId="6A12854E" w:rsidR="00B0409C" w:rsidRPr="002106BA" w:rsidRDefault="00B0409C" w:rsidP="00920D12">
            <w:pPr>
              <w:jc w:val="center"/>
              <w:rPr>
                <w:rFonts w:ascii="Arial Narrow" w:hAnsi="Arial Narrow"/>
                <w:color w:val="333333"/>
                <w:sz w:val="20"/>
                <w:szCs w:val="20"/>
              </w:rPr>
            </w:pPr>
          </w:p>
        </w:tc>
        <w:tc>
          <w:tcPr>
            <w:tcW w:w="7745" w:type="dxa"/>
            <w:vAlign w:val="center"/>
          </w:tcPr>
          <w:p w14:paraId="0D0A6342" w14:textId="77777777" w:rsidR="00B0409C" w:rsidRPr="002106BA" w:rsidRDefault="00B0409C" w:rsidP="00920D12">
            <w:pPr>
              <w:rPr>
                <w:rFonts w:ascii="Arial Narrow" w:hAnsi="Arial Narrow"/>
                <w:color w:val="333333"/>
                <w:sz w:val="20"/>
                <w:szCs w:val="20"/>
              </w:rPr>
            </w:pPr>
            <w:r w:rsidRPr="002106BA">
              <w:rPr>
                <w:rFonts w:ascii="Arial Narrow" w:hAnsi="Arial Narrow"/>
                <w:color w:val="333333"/>
                <w:sz w:val="20"/>
                <w:szCs w:val="20"/>
              </w:rPr>
              <w:t>Patient must not have previously undergone a liver transplant</w:t>
            </w:r>
          </w:p>
        </w:tc>
      </w:tr>
      <w:tr w:rsidR="00B0409C" w:rsidRPr="002106BA" w14:paraId="446B8854" w14:textId="77777777" w:rsidTr="00920D12">
        <w:trPr>
          <w:cantSplit/>
          <w:trHeight w:val="20"/>
        </w:trPr>
        <w:tc>
          <w:tcPr>
            <w:tcW w:w="1277" w:type="dxa"/>
            <w:gridSpan w:val="2"/>
            <w:vAlign w:val="center"/>
          </w:tcPr>
          <w:p w14:paraId="123B06F8"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7D87238B"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AND</w:t>
            </w:r>
          </w:p>
        </w:tc>
      </w:tr>
      <w:tr w:rsidR="00B0409C" w:rsidRPr="002106BA" w14:paraId="021688E8" w14:textId="77777777" w:rsidTr="00920D12">
        <w:trPr>
          <w:cantSplit/>
          <w:trHeight w:val="20"/>
        </w:trPr>
        <w:tc>
          <w:tcPr>
            <w:tcW w:w="1277" w:type="dxa"/>
            <w:gridSpan w:val="2"/>
            <w:vAlign w:val="center"/>
          </w:tcPr>
          <w:p w14:paraId="6C59C9AB" w14:textId="6390F4E0" w:rsidR="00B0409C" w:rsidRPr="002106BA" w:rsidRDefault="00B0409C" w:rsidP="00920D12">
            <w:pPr>
              <w:jc w:val="center"/>
              <w:rPr>
                <w:rFonts w:ascii="Arial Narrow" w:hAnsi="Arial Narrow"/>
                <w:color w:val="333333"/>
                <w:sz w:val="20"/>
                <w:szCs w:val="20"/>
              </w:rPr>
            </w:pPr>
          </w:p>
        </w:tc>
        <w:tc>
          <w:tcPr>
            <w:tcW w:w="7745" w:type="dxa"/>
            <w:vAlign w:val="center"/>
          </w:tcPr>
          <w:p w14:paraId="4B9A8614"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Clinical criteria:</w:t>
            </w:r>
          </w:p>
        </w:tc>
      </w:tr>
      <w:tr w:rsidR="00B0409C" w:rsidRPr="002106BA" w14:paraId="689392FF" w14:textId="77777777" w:rsidTr="00920D12">
        <w:trPr>
          <w:cantSplit/>
          <w:trHeight w:val="20"/>
        </w:trPr>
        <w:tc>
          <w:tcPr>
            <w:tcW w:w="1277" w:type="dxa"/>
            <w:gridSpan w:val="2"/>
            <w:vAlign w:val="center"/>
          </w:tcPr>
          <w:p w14:paraId="358EE561" w14:textId="4B0F12A9" w:rsidR="00B0409C" w:rsidRPr="002106BA" w:rsidRDefault="00B0409C" w:rsidP="00920D12">
            <w:pPr>
              <w:jc w:val="center"/>
              <w:rPr>
                <w:rFonts w:ascii="Arial Narrow" w:hAnsi="Arial Narrow"/>
                <w:color w:val="333333"/>
                <w:sz w:val="20"/>
                <w:szCs w:val="20"/>
              </w:rPr>
            </w:pPr>
          </w:p>
        </w:tc>
        <w:tc>
          <w:tcPr>
            <w:tcW w:w="7745" w:type="dxa"/>
            <w:vAlign w:val="center"/>
          </w:tcPr>
          <w:p w14:paraId="46027D74" w14:textId="77777777" w:rsidR="00B0409C" w:rsidRPr="002106BA" w:rsidRDefault="00B0409C" w:rsidP="00920D12">
            <w:pPr>
              <w:rPr>
                <w:rFonts w:ascii="Arial Narrow" w:hAnsi="Arial Narrow"/>
                <w:color w:val="333333"/>
                <w:sz w:val="20"/>
                <w:szCs w:val="20"/>
              </w:rPr>
            </w:pPr>
            <w:r w:rsidRPr="002106BA">
              <w:rPr>
                <w:rFonts w:ascii="Arial Narrow" w:hAnsi="Arial Narrow"/>
                <w:color w:val="333333"/>
                <w:sz w:val="20"/>
                <w:szCs w:val="20"/>
              </w:rPr>
              <w:t>Patient must not exhibit heart failure symptoms (defined as New York Heart Association NYHA class III or IV)</w:t>
            </w:r>
          </w:p>
        </w:tc>
      </w:tr>
      <w:tr w:rsidR="00B0409C" w:rsidRPr="002106BA" w14:paraId="61495BD7" w14:textId="77777777" w:rsidTr="00920D12">
        <w:trPr>
          <w:cantSplit/>
          <w:trHeight w:val="20"/>
        </w:trPr>
        <w:tc>
          <w:tcPr>
            <w:tcW w:w="1277" w:type="dxa"/>
            <w:gridSpan w:val="2"/>
            <w:vAlign w:val="center"/>
          </w:tcPr>
          <w:p w14:paraId="007B21E6"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0ED01F31"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AND</w:t>
            </w:r>
          </w:p>
        </w:tc>
      </w:tr>
      <w:tr w:rsidR="00B0409C" w:rsidRPr="002106BA" w14:paraId="4E76DDD7" w14:textId="77777777" w:rsidTr="00920D12">
        <w:trPr>
          <w:cantSplit/>
          <w:trHeight w:val="20"/>
        </w:trPr>
        <w:tc>
          <w:tcPr>
            <w:tcW w:w="1277" w:type="dxa"/>
            <w:gridSpan w:val="2"/>
            <w:vAlign w:val="center"/>
          </w:tcPr>
          <w:p w14:paraId="56551F8F" w14:textId="1C4BBCB5" w:rsidR="00B0409C" w:rsidRPr="002106BA" w:rsidRDefault="00B0409C" w:rsidP="00920D12">
            <w:pPr>
              <w:keepNext/>
              <w:jc w:val="center"/>
              <w:rPr>
                <w:rFonts w:ascii="Arial Narrow" w:hAnsi="Arial Narrow"/>
                <w:color w:val="333333"/>
                <w:sz w:val="20"/>
                <w:szCs w:val="20"/>
              </w:rPr>
            </w:pPr>
          </w:p>
        </w:tc>
        <w:tc>
          <w:tcPr>
            <w:tcW w:w="7745" w:type="dxa"/>
            <w:vAlign w:val="center"/>
            <w:hideMark/>
          </w:tcPr>
          <w:p w14:paraId="1AA88805" w14:textId="77777777" w:rsidR="00B0409C" w:rsidRPr="002106BA" w:rsidRDefault="00B0409C" w:rsidP="00920D12">
            <w:pPr>
              <w:keepNext/>
              <w:rPr>
                <w:rFonts w:ascii="Arial Narrow" w:hAnsi="Arial Narrow"/>
                <w:color w:val="333333"/>
                <w:sz w:val="20"/>
                <w:szCs w:val="20"/>
              </w:rPr>
            </w:pPr>
            <w:r w:rsidRPr="002106BA">
              <w:rPr>
                <w:rFonts w:ascii="Arial Narrow" w:hAnsi="Arial Narrow"/>
                <w:b/>
                <w:bCs/>
                <w:color w:val="333333"/>
                <w:sz w:val="20"/>
                <w:szCs w:val="20"/>
              </w:rPr>
              <w:t>Treatment criteria:</w:t>
            </w:r>
          </w:p>
        </w:tc>
      </w:tr>
      <w:tr w:rsidR="00B0409C" w:rsidRPr="002106BA" w14:paraId="6CC5C2F5" w14:textId="77777777" w:rsidTr="00920D12">
        <w:trPr>
          <w:cantSplit/>
          <w:trHeight w:val="20"/>
        </w:trPr>
        <w:tc>
          <w:tcPr>
            <w:tcW w:w="1277" w:type="dxa"/>
            <w:gridSpan w:val="2"/>
            <w:vAlign w:val="center"/>
          </w:tcPr>
          <w:p w14:paraId="41295985" w14:textId="20932108" w:rsidR="00B0409C" w:rsidRPr="002106BA" w:rsidRDefault="00B0409C" w:rsidP="00920D12">
            <w:pPr>
              <w:jc w:val="center"/>
              <w:rPr>
                <w:rFonts w:ascii="Arial Narrow" w:hAnsi="Arial Narrow"/>
                <w:color w:val="333333"/>
                <w:sz w:val="20"/>
                <w:szCs w:val="20"/>
              </w:rPr>
            </w:pPr>
          </w:p>
        </w:tc>
        <w:tc>
          <w:tcPr>
            <w:tcW w:w="7745" w:type="dxa"/>
            <w:vAlign w:val="center"/>
            <w:hideMark/>
          </w:tcPr>
          <w:p w14:paraId="6A5C2A0A" w14:textId="77777777" w:rsidR="00B0409C" w:rsidRPr="002106BA" w:rsidRDefault="00B0409C" w:rsidP="00920D12">
            <w:pPr>
              <w:autoSpaceDE w:val="0"/>
              <w:autoSpaceDN w:val="0"/>
              <w:adjustRightInd w:val="0"/>
              <w:rPr>
                <w:rFonts w:ascii="Arial Narrow" w:hAnsi="Arial Narrow" w:cs="Arial Narrow"/>
                <w:i/>
                <w:iCs/>
                <w:color w:val="000000" w:themeColor="text1"/>
                <w:sz w:val="20"/>
                <w:szCs w:val="20"/>
              </w:rPr>
            </w:pPr>
            <w:r w:rsidRPr="002106BA">
              <w:rPr>
                <w:rFonts w:ascii="Arial Narrow" w:hAnsi="Arial Narrow" w:cs="Arial Narrow"/>
                <w:iCs/>
                <w:color w:val="000000" w:themeColor="text1"/>
                <w:sz w:val="20"/>
                <w:szCs w:val="20"/>
              </w:rPr>
              <w:t>Must be treated by a consultant with experience in the management of amyloid disorders or in consultation with a consultant with experience in the management of amyloid disorders</w:t>
            </w:r>
          </w:p>
        </w:tc>
      </w:tr>
      <w:tr w:rsidR="00B0409C" w:rsidRPr="002106BA" w14:paraId="7256C7C4" w14:textId="77777777" w:rsidTr="00920D12">
        <w:trPr>
          <w:cantSplit/>
          <w:trHeight w:val="20"/>
        </w:trPr>
        <w:tc>
          <w:tcPr>
            <w:tcW w:w="1277" w:type="dxa"/>
            <w:gridSpan w:val="2"/>
            <w:vAlign w:val="center"/>
          </w:tcPr>
          <w:p w14:paraId="79D51E79"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7FFEF054" w14:textId="77777777" w:rsidR="00B0409C" w:rsidRPr="002106BA" w:rsidRDefault="00B0409C" w:rsidP="00920D12">
            <w:pPr>
              <w:autoSpaceDE w:val="0"/>
              <w:autoSpaceDN w:val="0"/>
              <w:adjustRightInd w:val="0"/>
              <w:rPr>
                <w:rFonts w:ascii="Arial Narrow" w:hAnsi="Arial Narrow" w:cs="Arial Narrow"/>
                <w:i/>
                <w:iCs/>
                <w:color w:val="000000" w:themeColor="text1"/>
                <w:sz w:val="20"/>
                <w:szCs w:val="20"/>
              </w:rPr>
            </w:pPr>
            <w:r w:rsidRPr="002106BA">
              <w:rPr>
                <w:rFonts w:ascii="Arial Narrow" w:hAnsi="Arial Narrow"/>
                <w:b/>
                <w:bCs/>
                <w:color w:val="000000" w:themeColor="text1"/>
                <w:sz w:val="20"/>
                <w:szCs w:val="20"/>
              </w:rPr>
              <w:t>AND</w:t>
            </w:r>
          </w:p>
        </w:tc>
      </w:tr>
      <w:tr w:rsidR="00B0409C" w:rsidRPr="002106BA" w14:paraId="633C89CB" w14:textId="77777777" w:rsidTr="00920D12">
        <w:trPr>
          <w:cantSplit/>
          <w:trHeight w:val="20"/>
        </w:trPr>
        <w:tc>
          <w:tcPr>
            <w:tcW w:w="1277" w:type="dxa"/>
            <w:gridSpan w:val="2"/>
            <w:vAlign w:val="center"/>
          </w:tcPr>
          <w:p w14:paraId="063A90C9" w14:textId="4766E900" w:rsidR="00B0409C" w:rsidRPr="002106BA" w:rsidRDefault="00B0409C" w:rsidP="00920D12">
            <w:pPr>
              <w:jc w:val="center"/>
              <w:rPr>
                <w:rFonts w:ascii="Arial Narrow" w:hAnsi="Arial Narrow"/>
                <w:color w:val="333333"/>
                <w:sz w:val="20"/>
                <w:szCs w:val="20"/>
              </w:rPr>
            </w:pPr>
          </w:p>
        </w:tc>
        <w:tc>
          <w:tcPr>
            <w:tcW w:w="7745" w:type="dxa"/>
            <w:vAlign w:val="center"/>
          </w:tcPr>
          <w:p w14:paraId="0FD115C3" w14:textId="77777777" w:rsidR="00B0409C" w:rsidRPr="002106BA" w:rsidRDefault="00B0409C" w:rsidP="00920D12">
            <w:pPr>
              <w:rPr>
                <w:rFonts w:ascii="Arial Narrow" w:hAnsi="Arial Narrow"/>
                <w:b/>
                <w:bCs/>
                <w:color w:val="000000" w:themeColor="text1"/>
                <w:sz w:val="20"/>
                <w:szCs w:val="20"/>
              </w:rPr>
            </w:pPr>
            <w:r w:rsidRPr="002106BA">
              <w:rPr>
                <w:rFonts w:ascii="Arial Narrow" w:hAnsi="Arial Narrow"/>
                <w:b/>
                <w:bCs/>
                <w:color w:val="000000" w:themeColor="text1"/>
                <w:sz w:val="20"/>
                <w:szCs w:val="20"/>
              </w:rPr>
              <w:t>Treatment criteria:</w:t>
            </w:r>
          </w:p>
        </w:tc>
      </w:tr>
      <w:tr w:rsidR="00B0409C" w:rsidRPr="002106BA" w14:paraId="3F838CA7" w14:textId="77777777" w:rsidTr="00920D12">
        <w:trPr>
          <w:cantSplit/>
          <w:trHeight w:val="20"/>
        </w:trPr>
        <w:tc>
          <w:tcPr>
            <w:tcW w:w="1277" w:type="dxa"/>
            <w:gridSpan w:val="2"/>
            <w:vAlign w:val="center"/>
          </w:tcPr>
          <w:p w14:paraId="247F142E" w14:textId="52058E93" w:rsidR="00B0409C" w:rsidRPr="002106BA" w:rsidRDefault="00B0409C" w:rsidP="00920D12">
            <w:pPr>
              <w:jc w:val="center"/>
              <w:rPr>
                <w:rFonts w:ascii="Arial Narrow" w:hAnsi="Arial Narrow"/>
                <w:color w:val="333333"/>
                <w:sz w:val="20"/>
                <w:szCs w:val="20"/>
              </w:rPr>
            </w:pPr>
          </w:p>
        </w:tc>
        <w:tc>
          <w:tcPr>
            <w:tcW w:w="7745" w:type="dxa"/>
            <w:vAlign w:val="center"/>
          </w:tcPr>
          <w:p w14:paraId="3A35DD9C" w14:textId="77777777" w:rsidR="00B0409C" w:rsidRPr="002106BA" w:rsidRDefault="00B0409C" w:rsidP="00920D12">
            <w:pPr>
              <w:rPr>
                <w:rFonts w:ascii="Arial Narrow" w:hAnsi="Arial Narrow"/>
                <w:b/>
                <w:bCs/>
                <w:iCs/>
                <w:color w:val="000000" w:themeColor="text1"/>
                <w:sz w:val="20"/>
                <w:szCs w:val="20"/>
              </w:rPr>
            </w:pPr>
            <w:r w:rsidRPr="002106BA">
              <w:rPr>
                <w:rFonts w:ascii="Arial Narrow" w:hAnsi="Arial Narrow" w:cs="Arial Narrow"/>
                <w:iCs/>
                <w:color w:val="000000" w:themeColor="text1"/>
                <w:sz w:val="20"/>
                <w:szCs w:val="20"/>
              </w:rPr>
              <w:t>Patient must be undergoing treatment with this drug as a monotherapy (i.e. not in combination with any other disease modifying medicines for amyloidosis disorders)</w:t>
            </w:r>
          </w:p>
        </w:tc>
      </w:tr>
      <w:tr w:rsidR="00B0409C" w:rsidRPr="002106BA" w14:paraId="6DD45DE5" w14:textId="77777777" w:rsidTr="00920D12">
        <w:trPr>
          <w:cantSplit/>
          <w:trHeight w:val="20"/>
        </w:trPr>
        <w:tc>
          <w:tcPr>
            <w:tcW w:w="1277" w:type="dxa"/>
            <w:gridSpan w:val="2"/>
            <w:vAlign w:val="center"/>
          </w:tcPr>
          <w:p w14:paraId="34B7BA7C"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0779FC65" w14:textId="77777777" w:rsidR="00B0409C" w:rsidRPr="002106BA" w:rsidRDefault="00B0409C" w:rsidP="00920D12">
            <w:pPr>
              <w:rPr>
                <w:rFonts w:ascii="Arial Narrow" w:hAnsi="Arial Narrow" w:cs="Arial Narrow"/>
                <w:iCs/>
                <w:color w:val="000000" w:themeColor="text1"/>
                <w:sz w:val="20"/>
                <w:szCs w:val="20"/>
              </w:rPr>
            </w:pPr>
            <w:r w:rsidRPr="002106BA">
              <w:rPr>
                <w:rFonts w:ascii="Arial Narrow" w:hAnsi="Arial Narrow"/>
                <w:b/>
                <w:bCs/>
                <w:color w:val="000000" w:themeColor="text1"/>
                <w:sz w:val="20"/>
                <w:szCs w:val="20"/>
              </w:rPr>
              <w:t>AND</w:t>
            </w:r>
          </w:p>
        </w:tc>
      </w:tr>
      <w:tr w:rsidR="00B0409C" w:rsidRPr="002106BA" w14:paraId="197AC2C1" w14:textId="77777777" w:rsidTr="00920D12">
        <w:trPr>
          <w:cantSplit/>
          <w:trHeight w:val="20"/>
        </w:trPr>
        <w:tc>
          <w:tcPr>
            <w:tcW w:w="1277" w:type="dxa"/>
            <w:gridSpan w:val="2"/>
            <w:vAlign w:val="center"/>
          </w:tcPr>
          <w:p w14:paraId="072304AB" w14:textId="3A3B749F" w:rsidR="00B0409C" w:rsidRPr="002106BA" w:rsidRDefault="00B0409C" w:rsidP="00920D12">
            <w:pPr>
              <w:jc w:val="center"/>
              <w:rPr>
                <w:rFonts w:ascii="Arial Narrow" w:hAnsi="Arial Narrow"/>
                <w:color w:val="333333"/>
                <w:sz w:val="20"/>
                <w:szCs w:val="20"/>
              </w:rPr>
            </w:pPr>
          </w:p>
        </w:tc>
        <w:tc>
          <w:tcPr>
            <w:tcW w:w="7745" w:type="dxa"/>
            <w:vAlign w:val="center"/>
            <w:hideMark/>
          </w:tcPr>
          <w:p w14:paraId="6576CBF1"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Population criteria:</w:t>
            </w:r>
          </w:p>
        </w:tc>
      </w:tr>
      <w:tr w:rsidR="00B0409C" w:rsidRPr="002106BA" w14:paraId="58AC9D02" w14:textId="77777777" w:rsidTr="00920D12">
        <w:trPr>
          <w:cantSplit/>
          <w:trHeight w:val="20"/>
        </w:trPr>
        <w:tc>
          <w:tcPr>
            <w:tcW w:w="1277" w:type="dxa"/>
            <w:gridSpan w:val="2"/>
            <w:vAlign w:val="center"/>
          </w:tcPr>
          <w:p w14:paraId="158E36AA" w14:textId="15F5BBB9" w:rsidR="00B0409C" w:rsidRPr="002106BA" w:rsidRDefault="00B0409C" w:rsidP="00920D12">
            <w:pPr>
              <w:jc w:val="center"/>
              <w:rPr>
                <w:rFonts w:ascii="Arial Narrow" w:hAnsi="Arial Narrow"/>
                <w:color w:val="333333"/>
                <w:sz w:val="20"/>
                <w:szCs w:val="20"/>
              </w:rPr>
            </w:pPr>
          </w:p>
        </w:tc>
        <w:tc>
          <w:tcPr>
            <w:tcW w:w="7745" w:type="dxa"/>
            <w:vAlign w:val="center"/>
            <w:hideMark/>
          </w:tcPr>
          <w:p w14:paraId="0BD3D55A"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color w:val="000000" w:themeColor="text1"/>
                <w:sz w:val="20"/>
                <w:szCs w:val="20"/>
              </w:rPr>
              <w:t>Patient must have either: (i) stage 1 polyneuropathy, (ii) stage 2 polyneuropathy</w:t>
            </w:r>
          </w:p>
        </w:tc>
      </w:tr>
      <w:tr w:rsidR="00B0409C" w:rsidRPr="002106BA" w14:paraId="2353F193" w14:textId="77777777" w:rsidTr="00920D12">
        <w:trPr>
          <w:cantSplit/>
          <w:trHeight w:val="20"/>
        </w:trPr>
        <w:tc>
          <w:tcPr>
            <w:tcW w:w="1277" w:type="dxa"/>
            <w:gridSpan w:val="2"/>
            <w:vAlign w:val="center"/>
          </w:tcPr>
          <w:p w14:paraId="71104238"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17C95F26"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b/>
                <w:bCs/>
                <w:color w:val="000000" w:themeColor="text1"/>
                <w:sz w:val="20"/>
                <w:szCs w:val="20"/>
              </w:rPr>
              <w:t>AND</w:t>
            </w:r>
          </w:p>
        </w:tc>
      </w:tr>
      <w:tr w:rsidR="00B0409C" w:rsidRPr="002106BA" w14:paraId="0097DE27" w14:textId="77777777" w:rsidTr="00920D12">
        <w:trPr>
          <w:cantSplit/>
          <w:trHeight w:val="20"/>
        </w:trPr>
        <w:tc>
          <w:tcPr>
            <w:tcW w:w="1277" w:type="dxa"/>
            <w:gridSpan w:val="2"/>
            <w:vAlign w:val="center"/>
          </w:tcPr>
          <w:p w14:paraId="666753CA" w14:textId="0F2F7862" w:rsidR="00B0409C" w:rsidRPr="002106BA" w:rsidRDefault="00B0409C" w:rsidP="00920D12">
            <w:pPr>
              <w:jc w:val="center"/>
              <w:rPr>
                <w:rFonts w:ascii="Arial Narrow" w:hAnsi="Arial Narrow"/>
                <w:color w:val="333333"/>
                <w:sz w:val="20"/>
                <w:szCs w:val="20"/>
              </w:rPr>
            </w:pPr>
          </w:p>
        </w:tc>
        <w:tc>
          <w:tcPr>
            <w:tcW w:w="7745" w:type="dxa"/>
            <w:vAlign w:val="center"/>
          </w:tcPr>
          <w:p w14:paraId="25065FD9"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b/>
                <w:bCs/>
                <w:color w:val="000000" w:themeColor="text1"/>
                <w:sz w:val="20"/>
                <w:szCs w:val="20"/>
              </w:rPr>
              <w:t>Population criteria:</w:t>
            </w:r>
          </w:p>
        </w:tc>
      </w:tr>
      <w:tr w:rsidR="00B0409C" w:rsidRPr="002106BA" w14:paraId="773455E4" w14:textId="77777777" w:rsidTr="00920D12">
        <w:trPr>
          <w:cantSplit/>
          <w:trHeight w:val="20"/>
        </w:trPr>
        <w:tc>
          <w:tcPr>
            <w:tcW w:w="1277" w:type="dxa"/>
            <w:gridSpan w:val="2"/>
            <w:vAlign w:val="center"/>
          </w:tcPr>
          <w:p w14:paraId="5D323B3C" w14:textId="2B2A08B7" w:rsidR="00B0409C" w:rsidRPr="002106BA" w:rsidRDefault="00B0409C" w:rsidP="00920D12">
            <w:pPr>
              <w:jc w:val="center"/>
              <w:rPr>
                <w:rFonts w:ascii="Arial Narrow" w:hAnsi="Arial Narrow"/>
                <w:color w:val="333333"/>
                <w:sz w:val="20"/>
                <w:szCs w:val="20"/>
              </w:rPr>
            </w:pPr>
          </w:p>
        </w:tc>
        <w:tc>
          <w:tcPr>
            <w:tcW w:w="7745" w:type="dxa"/>
            <w:vAlign w:val="center"/>
          </w:tcPr>
          <w:p w14:paraId="6B17480F"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color w:val="000000" w:themeColor="text1"/>
                <w:sz w:val="20"/>
                <w:szCs w:val="20"/>
              </w:rPr>
              <w:t>Patient must be at least 18 years of age</w:t>
            </w:r>
          </w:p>
        </w:tc>
      </w:tr>
      <w:tr w:rsidR="00B0409C" w:rsidRPr="002106BA" w14:paraId="2CBC2D76" w14:textId="77777777" w:rsidTr="00920D12">
        <w:trPr>
          <w:cantSplit/>
          <w:trHeight w:val="20"/>
        </w:trPr>
        <w:tc>
          <w:tcPr>
            <w:tcW w:w="1277" w:type="dxa"/>
            <w:gridSpan w:val="2"/>
            <w:vAlign w:val="center"/>
          </w:tcPr>
          <w:p w14:paraId="2DD00224" w14:textId="069D2867" w:rsidR="00B0409C" w:rsidRPr="002106BA" w:rsidRDefault="00B0409C" w:rsidP="00920D12">
            <w:pPr>
              <w:jc w:val="center"/>
              <w:rPr>
                <w:rFonts w:ascii="Arial Narrow" w:hAnsi="Arial Narrow"/>
                <w:color w:val="333333"/>
                <w:sz w:val="20"/>
                <w:szCs w:val="20"/>
              </w:rPr>
            </w:pPr>
          </w:p>
        </w:tc>
        <w:tc>
          <w:tcPr>
            <w:tcW w:w="7745" w:type="dxa"/>
            <w:vAlign w:val="center"/>
            <w:hideMark/>
          </w:tcPr>
          <w:p w14:paraId="1FEEF1BA" w14:textId="77777777" w:rsidR="00B0409C" w:rsidRPr="002106BA" w:rsidRDefault="00B0409C" w:rsidP="00920D12">
            <w:pPr>
              <w:rPr>
                <w:rFonts w:ascii="Arial Narrow" w:hAnsi="Arial Narrow"/>
                <w:color w:val="000000" w:themeColor="text1"/>
                <w:sz w:val="20"/>
                <w:szCs w:val="20"/>
              </w:rPr>
            </w:pPr>
            <w:r w:rsidRPr="002106BA">
              <w:rPr>
                <w:rFonts w:ascii="Arial Narrow" w:hAnsi="Arial Narrow"/>
                <w:b/>
                <w:bCs/>
                <w:color w:val="000000" w:themeColor="text1"/>
                <w:sz w:val="20"/>
                <w:szCs w:val="20"/>
              </w:rPr>
              <w:t xml:space="preserve">Prescribing Instructions: </w:t>
            </w:r>
            <w:r w:rsidRPr="002106BA">
              <w:rPr>
                <w:rFonts w:ascii="Arial Narrow" w:hAnsi="Arial Narrow"/>
                <w:bCs/>
                <w:color w:val="000000" w:themeColor="text1"/>
                <w:sz w:val="20"/>
                <w:szCs w:val="20"/>
              </w:rPr>
              <w:t>PND scores in the context of this PBS restriction are:, Stage 0 - No symptoms;, Stage I - Sensory disturbances but preserved walking capability;, Stage II - Impaired walking capacity but able to walk without stick or crutches;, Stage IIIA - Walking with help of one stick or crutch;, Stage IIIB - Walking with help of two sticks or crutches;, Stage IV - Confined to wheelchair or bedridden.</w:t>
            </w:r>
          </w:p>
        </w:tc>
      </w:tr>
      <w:tr w:rsidR="00B0409C" w:rsidRPr="002106BA" w14:paraId="77235020" w14:textId="77777777" w:rsidTr="00920D12">
        <w:trPr>
          <w:cantSplit/>
          <w:trHeight w:val="20"/>
        </w:trPr>
        <w:tc>
          <w:tcPr>
            <w:tcW w:w="1277" w:type="dxa"/>
            <w:gridSpan w:val="2"/>
            <w:vAlign w:val="center"/>
          </w:tcPr>
          <w:p w14:paraId="4A28C6E2" w14:textId="5623BBAD" w:rsidR="00B0409C" w:rsidRPr="002106BA" w:rsidRDefault="00B0409C" w:rsidP="00920D12">
            <w:pPr>
              <w:jc w:val="center"/>
              <w:rPr>
                <w:rFonts w:ascii="Arial Narrow" w:hAnsi="Arial Narrow"/>
                <w:color w:val="333333"/>
                <w:sz w:val="20"/>
                <w:szCs w:val="20"/>
              </w:rPr>
            </w:pPr>
          </w:p>
        </w:tc>
        <w:tc>
          <w:tcPr>
            <w:tcW w:w="7745" w:type="dxa"/>
            <w:vAlign w:val="center"/>
          </w:tcPr>
          <w:p w14:paraId="19629CBA" w14:textId="77777777" w:rsidR="00B0409C" w:rsidRPr="002106BA" w:rsidRDefault="00B0409C" w:rsidP="00920D12">
            <w:pPr>
              <w:rPr>
                <w:rFonts w:ascii="Arial Narrow" w:hAnsi="Arial Narrow"/>
                <w:b/>
                <w:bCs/>
                <w:color w:val="000000" w:themeColor="text1"/>
                <w:sz w:val="20"/>
                <w:szCs w:val="20"/>
              </w:rPr>
            </w:pPr>
            <w:r w:rsidRPr="002106BA">
              <w:rPr>
                <w:rFonts w:ascii="Arial Narrow" w:hAnsi="Arial Narrow"/>
                <w:b/>
                <w:bCs/>
                <w:color w:val="000000" w:themeColor="text1"/>
                <w:sz w:val="20"/>
                <w:szCs w:val="20"/>
              </w:rPr>
              <w:t xml:space="preserve">Prescribing Instructions: </w:t>
            </w:r>
            <w:r w:rsidRPr="002106BA">
              <w:rPr>
                <w:rFonts w:ascii="Arial Narrow" w:hAnsi="Arial Narrow"/>
                <w:bCs/>
                <w:color w:val="000000" w:themeColor="text1"/>
                <w:sz w:val="20"/>
                <w:szCs w:val="20"/>
              </w:rPr>
              <w:t>FAP stage in the context of this PBS restriction are:, Stage 0 - No symptoms;, Stage 1 - Unimpaired ambulation;, Stage 2 - Assistance with ambulation required;, Stage 3 - Wheelchair-bound or bedridden.</w:t>
            </w:r>
          </w:p>
        </w:tc>
      </w:tr>
      <w:tr w:rsidR="00B0409C" w:rsidRPr="002106BA" w14:paraId="2A0004CF" w14:textId="77777777" w:rsidTr="00920D12">
        <w:trPr>
          <w:cantSplit/>
          <w:trHeight w:val="20"/>
        </w:trPr>
        <w:tc>
          <w:tcPr>
            <w:tcW w:w="1277" w:type="dxa"/>
            <w:gridSpan w:val="2"/>
            <w:vAlign w:val="center"/>
          </w:tcPr>
          <w:p w14:paraId="20C5E38C" w14:textId="33E3C7E5" w:rsidR="00B0409C" w:rsidRPr="002106BA" w:rsidRDefault="00B0409C" w:rsidP="00920D12">
            <w:pPr>
              <w:jc w:val="center"/>
              <w:rPr>
                <w:rFonts w:ascii="Arial Narrow" w:hAnsi="Arial Narrow"/>
                <w:color w:val="333333"/>
                <w:sz w:val="20"/>
                <w:szCs w:val="20"/>
              </w:rPr>
            </w:pPr>
          </w:p>
        </w:tc>
        <w:tc>
          <w:tcPr>
            <w:tcW w:w="7745" w:type="dxa"/>
            <w:vAlign w:val="center"/>
          </w:tcPr>
          <w:p w14:paraId="62B73884" w14:textId="77777777" w:rsidR="00B0409C" w:rsidRPr="002106BA" w:rsidRDefault="00B0409C" w:rsidP="00920D12">
            <w:pPr>
              <w:rPr>
                <w:rFonts w:ascii="Arial Narrow" w:hAnsi="Arial Narrow"/>
                <w:b/>
                <w:bCs/>
                <w:color w:val="000000" w:themeColor="text1"/>
                <w:sz w:val="20"/>
                <w:szCs w:val="20"/>
              </w:rPr>
            </w:pPr>
            <w:r w:rsidRPr="002106BA">
              <w:rPr>
                <w:rFonts w:ascii="Arial Narrow" w:hAnsi="Arial Narrow"/>
                <w:b/>
                <w:bCs/>
                <w:color w:val="000000" w:themeColor="text1"/>
                <w:sz w:val="20"/>
                <w:szCs w:val="20"/>
              </w:rPr>
              <w:t>Prescribing Instructions</w:t>
            </w:r>
            <w:r w:rsidRPr="002106BA">
              <w:rPr>
                <w:rFonts w:ascii="Arial Narrow" w:hAnsi="Arial Narrow"/>
                <w:color w:val="000000" w:themeColor="text1"/>
                <w:sz w:val="20"/>
                <w:szCs w:val="20"/>
              </w:rPr>
              <w:t>: A</w:t>
            </w:r>
            <w:r w:rsidRPr="002106BA">
              <w:rPr>
                <w:rFonts w:ascii="Arial Narrow" w:hAnsi="Arial Narrow"/>
                <w:bCs/>
                <w:color w:val="000000" w:themeColor="text1"/>
                <w:sz w:val="20"/>
                <w:szCs w:val="20"/>
              </w:rPr>
              <w:t>pplications for authorisation under this treatment phase must be made via the Online PBS Authorities System (real time assessment) or in writing via HPOS form upload or mail., If the application is submitted through HPOS form upload or mail, it must include:, (a) details of the proposed prescription; and, (b) a completed authority application form relevant to the indication and treatment phase (the latest version is located on the website specified in the Administrative Advice).</w:t>
            </w:r>
          </w:p>
        </w:tc>
      </w:tr>
    </w:tbl>
    <w:p w14:paraId="5DC53F68" w14:textId="77777777" w:rsidR="00B0409C" w:rsidRPr="002106BA" w:rsidRDefault="00B0409C" w:rsidP="002C3AC5">
      <w:pPr>
        <w:pStyle w:val="COMexecsummnumbered"/>
        <w:numPr>
          <w:ilvl w:val="0"/>
          <w:numId w:val="0"/>
        </w:numPr>
        <w:spacing w:after="0"/>
        <w:ind w:left="720"/>
        <w:rPr>
          <w:snapToGrid w:val="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7"/>
        <w:gridCol w:w="7745"/>
      </w:tblGrid>
      <w:tr w:rsidR="00B0409C" w:rsidRPr="002106BA" w14:paraId="6E76C25F" w14:textId="77777777" w:rsidTr="00920D12">
        <w:trPr>
          <w:cantSplit/>
          <w:trHeight w:val="20"/>
        </w:trPr>
        <w:tc>
          <w:tcPr>
            <w:tcW w:w="9022" w:type="dxa"/>
            <w:gridSpan w:val="2"/>
            <w:vAlign w:val="center"/>
          </w:tcPr>
          <w:p w14:paraId="731E5A2F" w14:textId="6111694F" w:rsidR="00B0409C" w:rsidRPr="002106BA" w:rsidRDefault="00B0409C" w:rsidP="00920D12">
            <w:pPr>
              <w:keepNext/>
              <w:keepLines/>
              <w:rPr>
                <w:rFonts w:ascii="Arial Narrow" w:hAnsi="Arial Narrow"/>
                <w:b/>
                <w:bCs/>
                <w:color w:val="333333"/>
                <w:sz w:val="20"/>
                <w:szCs w:val="20"/>
              </w:rPr>
            </w:pPr>
            <w:r w:rsidRPr="002106BA">
              <w:rPr>
                <w:rFonts w:ascii="Arial Narrow" w:hAnsi="Arial Narrow"/>
                <w:b/>
                <w:bCs/>
                <w:color w:val="333333"/>
                <w:sz w:val="20"/>
                <w:szCs w:val="20"/>
              </w:rPr>
              <w:t xml:space="preserve">Restriction Summary / Treatment of Concept: </w:t>
            </w:r>
          </w:p>
        </w:tc>
      </w:tr>
      <w:tr w:rsidR="00B0409C" w:rsidRPr="002106BA" w14:paraId="46A240F2" w14:textId="77777777" w:rsidTr="00920D12">
        <w:trPr>
          <w:cantSplit/>
          <w:trHeight w:val="20"/>
        </w:trPr>
        <w:tc>
          <w:tcPr>
            <w:tcW w:w="1277" w:type="dxa"/>
            <w:vMerge w:val="restart"/>
            <w:tcBorders>
              <w:top w:val="single" w:sz="4" w:space="0" w:color="auto"/>
              <w:left w:val="single" w:sz="4" w:space="0" w:color="auto"/>
              <w:right w:val="single" w:sz="4" w:space="0" w:color="auto"/>
            </w:tcBorders>
          </w:tcPr>
          <w:p w14:paraId="5D0B95BE" w14:textId="0749EB36" w:rsidR="00B0409C" w:rsidRPr="002106BA" w:rsidRDefault="00B0409C" w:rsidP="00920D12">
            <w:pPr>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07C9522" w14:textId="77777777" w:rsidR="00B0409C" w:rsidRPr="002106BA" w:rsidRDefault="00B0409C" w:rsidP="00920D12">
            <w:pPr>
              <w:keepLines/>
              <w:rPr>
                <w:rFonts w:ascii="Arial Narrow" w:hAnsi="Arial Narrow"/>
                <w:sz w:val="20"/>
                <w:szCs w:val="20"/>
              </w:rPr>
            </w:pPr>
            <w:r w:rsidRPr="002106BA">
              <w:rPr>
                <w:rFonts w:ascii="Arial Narrow" w:hAnsi="Arial Narrow"/>
                <w:b/>
                <w:sz w:val="20"/>
                <w:szCs w:val="20"/>
              </w:rPr>
              <w:t>Category / Program:</w:t>
            </w:r>
            <w:r w:rsidRPr="002106BA">
              <w:rPr>
                <w:rFonts w:ascii="Arial Narrow" w:hAnsi="Arial Narrow"/>
                <w:color w:val="FF0000"/>
                <w:sz w:val="20"/>
                <w:szCs w:val="20"/>
              </w:rPr>
              <w:t xml:space="preserve"> </w:t>
            </w:r>
          </w:p>
          <w:p w14:paraId="3E1855D9" w14:textId="3A3112E0" w:rsidR="00B0409C" w:rsidRPr="002106BA" w:rsidRDefault="00B0409C" w:rsidP="002C3AC5">
            <w:pPr>
              <w:keepLines/>
              <w:jc w:val="left"/>
              <w:rPr>
                <w:rFonts w:ascii="Arial Narrow" w:hAnsi="Arial Narrow"/>
                <w:sz w:val="20"/>
                <w:szCs w:val="20"/>
              </w:rPr>
            </w:pP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 Section 100 – Highly Specialised Drugs Program – Public (Code HB)</w:t>
            </w:r>
            <w:r w:rsidRPr="002106BA">
              <w:rPr>
                <w:rFonts w:ascii="Arial Narrow" w:eastAsia="Calibri" w:hAnsi="Arial Narrow"/>
                <w:color w:val="FF0000"/>
                <w:sz w:val="20"/>
                <w:szCs w:val="20"/>
              </w:rPr>
              <w:t xml:space="preserve"> </w:t>
            </w:r>
            <w:r w:rsidRPr="002106BA">
              <w:rPr>
                <w:rFonts w:ascii="Arial Narrow" w:eastAsia="Calibri" w:hAnsi="Arial Narrow"/>
                <w:sz w:val="20"/>
                <w:szCs w:val="20"/>
              </w:rPr>
              <w:t>/ Private (Code HS)</w:t>
            </w:r>
            <w:r w:rsidRPr="002106BA">
              <w:rPr>
                <w:rFonts w:ascii="Arial Narrow" w:eastAsia="Calibri" w:hAnsi="Arial Narrow"/>
                <w:color w:val="FF0000"/>
                <w:sz w:val="20"/>
                <w:szCs w:val="20"/>
              </w:rPr>
              <w:t xml:space="preserve"> </w:t>
            </w:r>
          </w:p>
        </w:tc>
      </w:tr>
      <w:tr w:rsidR="00B0409C" w:rsidRPr="002106BA" w14:paraId="3BEC2D68" w14:textId="77777777" w:rsidTr="00920D12">
        <w:trPr>
          <w:cantSplit/>
          <w:trHeight w:val="20"/>
        </w:trPr>
        <w:tc>
          <w:tcPr>
            <w:tcW w:w="1277" w:type="dxa"/>
            <w:vMerge/>
            <w:tcBorders>
              <w:left w:val="single" w:sz="4" w:space="0" w:color="auto"/>
              <w:right w:val="single" w:sz="4" w:space="0" w:color="auto"/>
            </w:tcBorders>
          </w:tcPr>
          <w:p w14:paraId="59A258F5" w14:textId="77777777" w:rsidR="00B0409C" w:rsidRPr="002106BA" w:rsidRDefault="00B0409C" w:rsidP="00920D12">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443B8F10" w14:textId="77777777" w:rsidR="00B0409C" w:rsidRPr="002106BA" w:rsidRDefault="00B0409C" w:rsidP="00920D12">
            <w:pPr>
              <w:keepNext/>
              <w:keepLines/>
              <w:rPr>
                <w:rFonts w:ascii="Arial Narrow" w:hAnsi="Arial Narrow"/>
                <w:b/>
                <w:sz w:val="20"/>
                <w:szCs w:val="20"/>
              </w:rPr>
            </w:pPr>
            <w:r w:rsidRPr="002106BA">
              <w:rPr>
                <w:rFonts w:ascii="Arial Narrow" w:hAnsi="Arial Narrow"/>
                <w:b/>
                <w:sz w:val="20"/>
                <w:szCs w:val="20"/>
              </w:rPr>
              <w:t xml:space="preserve">Prescriber type: </w:t>
            </w:r>
            <w:r w:rsidRPr="002106BA">
              <w:rPr>
                <w:rFonts w:ascii="Arial Narrow" w:hAnsi="Arial Narrow"/>
                <w:sz w:val="20"/>
                <w:szCs w:val="20"/>
              </w:rPr>
              <w:fldChar w:fldCharType="begin">
                <w:ffData>
                  <w:name w:val=""/>
                  <w:enabled/>
                  <w:calcOnExit w:val="0"/>
                  <w:checkBox>
                    <w:sizeAuto/>
                    <w:default w:val="1"/>
                  </w:checkBox>
                </w:ffData>
              </w:fldChar>
            </w:r>
            <w:r w:rsidRPr="002106BA">
              <w:rPr>
                <w:rFonts w:ascii="Arial Narrow" w:hAnsi="Arial Narrow"/>
                <w:sz w:val="20"/>
                <w:szCs w:val="20"/>
              </w:rPr>
              <w:instrText xml:space="preserve"> FORMCHECKBOX </w:instrText>
            </w:r>
            <w:r w:rsidRPr="002106BA">
              <w:rPr>
                <w:rFonts w:ascii="Arial Narrow" w:hAnsi="Arial Narrow"/>
                <w:sz w:val="20"/>
                <w:szCs w:val="20"/>
              </w:rPr>
            </w:r>
            <w:r w:rsidRPr="002106BA">
              <w:rPr>
                <w:rFonts w:ascii="Arial Narrow" w:hAnsi="Arial Narrow"/>
                <w:sz w:val="20"/>
                <w:szCs w:val="20"/>
              </w:rPr>
              <w:fldChar w:fldCharType="separate"/>
            </w:r>
            <w:r w:rsidRPr="002106BA">
              <w:rPr>
                <w:rFonts w:ascii="Arial Narrow" w:hAnsi="Arial Narrow"/>
                <w:sz w:val="20"/>
                <w:szCs w:val="20"/>
              </w:rPr>
              <w:fldChar w:fldCharType="end"/>
            </w:r>
            <w:r w:rsidRPr="002106BA">
              <w:rPr>
                <w:rFonts w:ascii="Arial Narrow" w:hAnsi="Arial Narrow"/>
                <w:sz w:val="20"/>
                <w:szCs w:val="20"/>
              </w:rPr>
              <w:t xml:space="preserve">Medical Practitioners </w:t>
            </w:r>
          </w:p>
        </w:tc>
      </w:tr>
      <w:tr w:rsidR="00B0409C" w:rsidRPr="002106BA" w14:paraId="3623C2BE" w14:textId="77777777" w:rsidTr="00920D12">
        <w:trPr>
          <w:cantSplit/>
          <w:trHeight w:val="20"/>
        </w:trPr>
        <w:tc>
          <w:tcPr>
            <w:tcW w:w="1277" w:type="dxa"/>
            <w:vMerge/>
            <w:tcBorders>
              <w:left w:val="single" w:sz="4" w:space="0" w:color="auto"/>
              <w:bottom w:val="single" w:sz="4" w:space="0" w:color="auto"/>
              <w:right w:val="single" w:sz="4" w:space="0" w:color="auto"/>
            </w:tcBorders>
          </w:tcPr>
          <w:p w14:paraId="6E96CB64" w14:textId="77777777" w:rsidR="00B0409C" w:rsidRPr="002106BA" w:rsidRDefault="00B0409C" w:rsidP="00920D12">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A05A8A6" w14:textId="77777777" w:rsidR="00B0409C" w:rsidRPr="002106BA" w:rsidRDefault="00B0409C" w:rsidP="00920D12">
            <w:pPr>
              <w:keepNext/>
              <w:keepLines/>
              <w:rPr>
                <w:rFonts w:ascii="Arial Narrow" w:eastAsia="Calibri" w:hAnsi="Arial Narrow"/>
                <w:sz w:val="20"/>
                <w:szCs w:val="20"/>
              </w:rPr>
            </w:pPr>
            <w:r w:rsidRPr="002106BA">
              <w:rPr>
                <w:rFonts w:ascii="Arial Narrow" w:hAnsi="Arial Narrow"/>
                <w:b/>
                <w:sz w:val="20"/>
                <w:szCs w:val="20"/>
              </w:rPr>
              <w:t xml:space="preserve">Restriction type: </w:t>
            </w: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Authority Required ( FULL assessment) in writing only via post/HPOS upload) </w:t>
            </w:r>
          </w:p>
        </w:tc>
      </w:tr>
      <w:tr w:rsidR="00B0409C" w:rsidRPr="002106BA" w14:paraId="2F6E6FF2" w14:textId="77777777" w:rsidTr="00920D12">
        <w:trPr>
          <w:cantSplit/>
          <w:trHeight w:val="20"/>
        </w:trPr>
        <w:tc>
          <w:tcPr>
            <w:tcW w:w="1277" w:type="dxa"/>
            <w:vAlign w:val="center"/>
          </w:tcPr>
          <w:p w14:paraId="14F2D615"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430B9C0D" w14:textId="77777777" w:rsidR="00B0409C" w:rsidRPr="002106BA" w:rsidRDefault="00B0409C" w:rsidP="00920D12">
            <w:pPr>
              <w:rPr>
                <w:rFonts w:ascii="Arial Narrow" w:hAnsi="Arial Narrow"/>
                <w:b/>
                <w:bCs/>
                <w:color w:val="000000" w:themeColor="text1"/>
                <w:sz w:val="20"/>
                <w:szCs w:val="20"/>
              </w:rPr>
            </w:pPr>
            <w:r w:rsidRPr="002106BA">
              <w:rPr>
                <w:rFonts w:ascii="Arial Narrow" w:hAnsi="Arial Narrow"/>
                <w:b/>
                <w:color w:val="000000" w:themeColor="text1"/>
                <w:sz w:val="20"/>
                <w:szCs w:val="20"/>
              </w:rPr>
              <w:t xml:space="preserve">Authority type: </w:t>
            </w:r>
            <w:r w:rsidRPr="002106BA">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2106BA">
              <w:rPr>
                <w:rFonts w:ascii="Arial Narrow" w:eastAsia="Calibri" w:hAnsi="Arial Narrow"/>
                <w:color w:val="000000" w:themeColor="text1"/>
                <w:sz w:val="20"/>
                <w:szCs w:val="20"/>
              </w:rPr>
              <w:instrText xml:space="preserve"> FORMCHECKBOX </w:instrText>
            </w:r>
            <w:r w:rsidRPr="002106BA">
              <w:rPr>
                <w:rFonts w:ascii="Arial Narrow" w:eastAsia="Calibri" w:hAnsi="Arial Narrow"/>
                <w:color w:val="000000" w:themeColor="text1"/>
                <w:sz w:val="20"/>
                <w:szCs w:val="20"/>
              </w:rPr>
            </w:r>
            <w:r w:rsidRPr="002106BA">
              <w:rPr>
                <w:rFonts w:ascii="Arial Narrow" w:eastAsia="Calibri" w:hAnsi="Arial Narrow"/>
                <w:color w:val="000000" w:themeColor="text1"/>
                <w:sz w:val="20"/>
                <w:szCs w:val="20"/>
              </w:rPr>
              <w:fldChar w:fldCharType="separate"/>
            </w:r>
            <w:r w:rsidRPr="002106BA">
              <w:rPr>
                <w:rFonts w:ascii="Arial Narrow" w:eastAsia="Calibri" w:hAnsi="Arial Narrow"/>
                <w:color w:val="000000" w:themeColor="text1"/>
                <w:sz w:val="20"/>
                <w:szCs w:val="20"/>
              </w:rPr>
              <w:fldChar w:fldCharType="end"/>
            </w:r>
            <w:r w:rsidRPr="002106BA">
              <w:rPr>
                <w:rFonts w:ascii="Arial Narrow" w:eastAsia="Calibri" w:hAnsi="Arial Narrow"/>
                <w:color w:val="000000" w:themeColor="text1"/>
                <w:sz w:val="20"/>
                <w:szCs w:val="20"/>
              </w:rPr>
              <w:t xml:space="preserve"> Complex Authority Required (CAR)</w:t>
            </w:r>
          </w:p>
        </w:tc>
      </w:tr>
      <w:tr w:rsidR="00B0409C" w:rsidRPr="002106BA" w14:paraId="34EE0F18" w14:textId="77777777" w:rsidTr="00920D12">
        <w:trPr>
          <w:cantSplit/>
          <w:trHeight w:val="20"/>
        </w:trPr>
        <w:tc>
          <w:tcPr>
            <w:tcW w:w="1277" w:type="dxa"/>
            <w:vAlign w:val="center"/>
          </w:tcPr>
          <w:p w14:paraId="3AC96CDC" w14:textId="07ADF358" w:rsidR="00B0409C" w:rsidRPr="002106BA" w:rsidRDefault="00B0409C" w:rsidP="00920D12">
            <w:pPr>
              <w:jc w:val="center"/>
              <w:rPr>
                <w:rFonts w:ascii="Arial Narrow" w:hAnsi="Arial Narrow"/>
                <w:color w:val="333333"/>
                <w:sz w:val="20"/>
                <w:szCs w:val="20"/>
              </w:rPr>
            </w:pPr>
          </w:p>
        </w:tc>
        <w:tc>
          <w:tcPr>
            <w:tcW w:w="7745" w:type="dxa"/>
            <w:vAlign w:val="center"/>
            <w:hideMark/>
          </w:tcPr>
          <w:p w14:paraId="5C61F482" w14:textId="77777777" w:rsidR="00B0409C" w:rsidRPr="002106BA" w:rsidRDefault="00B0409C" w:rsidP="00920D12">
            <w:pPr>
              <w:rPr>
                <w:rFonts w:ascii="Arial Narrow" w:hAnsi="Arial Narrow"/>
                <w:color w:val="333333"/>
                <w:sz w:val="20"/>
                <w:szCs w:val="20"/>
              </w:rPr>
            </w:pPr>
            <w:r w:rsidRPr="002106BA">
              <w:rPr>
                <w:rFonts w:ascii="Arial Narrow" w:hAnsi="Arial Narrow"/>
                <w:b/>
                <w:bCs/>
                <w:color w:val="333333"/>
                <w:sz w:val="20"/>
                <w:szCs w:val="20"/>
              </w:rPr>
              <w:t>Indication:</w:t>
            </w:r>
            <w:r w:rsidRPr="002106BA">
              <w:rPr>
                <w:rFonts w:ascii="Arial Narrow" w:hAnsi="Arial Narrow"/>
                <w:color w:val="333333"/>
                <w:sz w:val="20"/>
                <w:szCs w:val="20"/>
              </w:rPr>
              <w:t xml:space="preserve"> </w:t>
            </w:r>
            <w:r w:rsidRPr="002106BA">
              <w:rPr>
                <w:rFonts w:ascii="Arial Narrow" w:hAnsi="Arial Narrow"/>
                <w:color w:val="000000" w:themeColor="text1"/>
                <w:sz w:val="20"/>
                <w:szCs w:val="20"/>
              </w:rPr>
              <w:t>Hereditary transthyretin amyloidosis</w:t>
            </w:r>
          </w:p>
        </w:tc>
      </w:tr>
      <w:tr w:rsidR="00B0409C" w:rsidRPr="002106BA" w14:paraId="280F7C8C" w14:textId="77777777" w:rsidTr="00920D12">
        <w:trPr>
          <w:cantSplit/>
          <w:trHeight w:val="20"/>
        </w:trPr>
        <w:tc>
          <w:tcPr>
            <w:tcW w:w="1277" w:type="dxa"/>
            <w:vAlign w:val="center"/>
          </w:tcPr>
          <w:p w14:paraId="2BC5ECD4" w14:textId="77777777" w:rsidR="00B0409C" w:rsidRPr="002106BA" w:rsidRDefault="00B0409C" w:rsidP="00920D12">
            <w:pPr>
              <w:jc w:val="center"/>
              <w:rPr>
                <w:rFonts w:ascii="Arial Narrow" w:hAnsi="Arial Narrow"/>
                <w:color w:val="333333"/>
                <w:sz w:val="20"/>
                <w:szCs w:val="20"/>
                <w:highlight w:val="yellow"/>
              </w:rPr>
            </w:pPr>
          </w:p>
        </w:tc>
        <w:tc>
          <w:tcPr>
            <w:tcW w:w="7745" w:type="dxa"/>
            <w:vAlign w:val="center"/>
            <w:hideMark/>
          </w:tcPr>
          <w:p w14:paraId="631B4413" w14:textId="77777777" w:rsidR="00B0409C" w:rsidRPr="002106BA" w:rsidRDefault="00B0409C" w:rsidP="00920D12">
            <w:pPr>
              <w:rPr>
                <w:rFonts w:ascii="Arial Narrow" w:hAnsi="Arial Narrow"/>
                <w:sz w:val="20"/>
                <w:szCs w:val="20"/>
              </w:rPr>
            </w:pPr>
            <w:r w:rsidRPr="002106BA">
              <w:rPr>
                <w:rFonts w:ascii="Arial Narrow" w:hAnsi="Arial Narrow"/>
                <w:b/>
                <w:bCs/>
                <w:color w:val="333333"/>
                <w:sz w:val="20"/>
                <w:szCs w:val="20"/>
              </w:rPr>
              <w:t>Treatment Phase:</w:t>
            </w:r>
            <w:r w:rsidRPr="002106BA">
              <w:rPr>
                <w:rFonts w:ascii="Arial Narrow" w:hAnsi="Arial Narrow"/>
                <w:color w:val="FF0000"/>
                <w:sz w:val="20"/>
                <w:szCs w:val="20"/>
              </w:rPr>
              <w:t xml:space="preserve"> </w:t>
            </w:r>
            <w:r w:rsidRPr="002106BA">
              <w:rPr>
                <w:rFonts w:ascii="Arial Narrow" w:hAnsi="Arial Narrow"/>
                <w:color w:val="000000" w:themeColor="text1"/>
                <w:sz w:val="20"/>
                <w:szCs w:val="20"/>
              </w:rPr>
              <w:t>Continuing treatment</w:t>
            </w:r>
          </w:p>
        </w:tc>
      </w:tr>
      <w:tr w:rsidR="00B0409C" w:rsidRPr="002106BA" w14:paraId="7D17D850" w14:textId="77777777" w:rsidTr="00920D12">
        <w:trPr>
          <w:cantSplit/>
          <w:trHeight w:val="20"/>
        </w:trPr>
        <w:tc>
          <w:tcPr>
            <w:tcW w:w="1277" w:type="dxa"/>
            <w:vAlign w:val="center"/>
          </w:tcPr>
          <w:p w14:paraId="7529D30F" w14:textId="375D33E3" w:rsidR="00B0409C" w:rsidRPr="002106BA" w:rsidRDefault="00B0409C" w:rsidP="00920D12">
            <w:pPr>
              <w:jc w:val="center"/>
              <w:rPr>
                <w:rFonts w:ascii="Arial Narrow" w:hAnsi="Arial Narrow"/>
                <w:color w:val="333333"/>
                <w:sz w:val="20"/>
                <w:szCs w:val="20"/>
              </w:rPr>
            </w:pPr>
          </w:p>
        </w:tc>
        <w:tc>
          <w:tcPr>
            <w:tcW w:w="7745" w:type="dxa"/>
            <w:vAlign w:val="center"/>
          </w:tcPr>
          <w:p w14:paraId="6092DC3C" w14:textId="77777777" w:rsidR="00B0409C" w:rsidRPr="002106BA" w:rsidRDefault="00B0409C" w:rsidP="00920D12">
            <w:pPr>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B0409C" w:rsidRPr="002106BA" w14:paraId="4A209D7D" w14:textId="77777777" w:rsidTr="00920D12">
        <w:trPr>
          <w:cantSplit/>
          <w:trHeight w:val="20"/>
        </w:trPr>
        <w:tc>
          <w:tcPr>
            <w:tcW w:w="1277" w:type="dxa"/>
            <w:vAlign w:val="center"/>
          </w:tcPr>
          <w:p w14:paraId="16D27232" w14:textId="0D9C58CB" w:rsidR="00B0409C" w:rsidRPr="002106BA" w:rsidRDefault="00B0409C" w:rsidP="00920D12">
            <w:pPr>
              <w:jc w:val="center"/>
              <w:rPr>
                <w:rFonts w:ascii="Arial Narrow" w:hAnsi="Arial Narrow"/>
                <w:color w:val="333333"/>
                <w:sz w:val="20"/>
                <w:szCs w:val="20"/>
              </w:rPr>
            </w:pPr>
          </w:p>
        </w:tc>
        <w:tc>
          <w:tcPr>
            <w:tcW w:w="7745" w:type="dxa"/>
            <w:vAlign w:val="center"/>
          </w:tcPr>
          <w:p w14:paraId="2273A8D4" w14:textId="77777777" w:rsidR="00B0409C" w:rsidRPr="002106BA" w:rsidRDefault="00B0409C" w:rsidP="00920D12">
            <w:pPr>
              <w:rPr>
                <w:rFonts w:ascii="Arial Narrow" w:hAnsi="Arial Narrow"/>
                <w:b/>
                <w:bCs/>
                <w:color w:val="333333"/>
                <w:sz w:val="20"/>
                <w:szCs w:val="20"/>
              </w:rPr>
            </w:pPr>
            <w:r w:rsidRPr="002106BA">
              <w:rPr>
                <w:rFonts w:ascii="Arial Narrow" w:hAnsi="Arial Narrow"/>
                <w:color w:val="000000" w:themeColor="text1"/>
                <w:sz w:val="20"/>
                <w:szCs w:val="20"/>
              </w:rPr>
              <w:t>Patient must have previously received PBS-subsidised treatment with this drug for this condition</w:t>
            </w:r>
          </w:p>
        </w:tc>
      </w:tr>
      <w:tr w:rsidR="00B0409C" w:rsidRPr="002106BA" w14:paraId="79696C87" w14:textId="77777777" w:rsidTr="00920D12">
        <w:trPr>
          <w:cantSplit/>
          <w:trHeight w:val="20"/>
        </w:trPr>
        <w:tc>
          <w:tcPr>
            <w:tcW w:w="1277" w:type="dxa"/>
            <w:vAlign w:val="center"/>
          </w:tcPr>
          <w:p w14:paraId="6046A165" w14:textId="77777777" w:rsidR="00B0409C" w:rsidRPr="002106BA" w:rsidRDefault="00B0409C" w:rsidP="00920D12">
            <w:pPr>
              <w:jc w:val="center"/>
              <w:rPr>
                <w:rFonts w:ascii="Arial Narrow" w:hAnsi="Arial Narrow"/>
                <w:color w:val="333333"/>
                <w:sz w:val="20"/>
                <w:szCs w:val="20"/>
              </w:rPr>
            </w:pPr>
          </w:p>
        </w:tc>
        <w:tc>
          <w:tcPr>
            <w:tcW w:w="7745" w:type="dxa"/>
            <w:vAlign w:val="center"/>
          </w:tcPr>
          <w:p w14:paraId="10AA897E" w14:textId="77777777" w:rsidR="00B0409C" w:rsidRPr="002106BA" w:rsidRDefault="00B0409C" w:rsidP="00920D12">
            <w:pPr>
              <w:rPr>
                <w:rFonts w:ascii="Arial Narrow" w:hAnsi="Arial Narrow"/>
                <w:b/>
                <w:bCs/>
                <w:color w:val="333333"/>
                <w:sz w:val="20"/>
                <w:szCs w:val="20"/>
              </w:rPr>
            </w:pPr>
            <w:r w:rsidRPr="002106BA">
              <w:rPr>
                <w:rFonts w:ascii="Arial Narrow" w:hAnsi="Arial Narrow"/>
                <w:b/>
                <w:bCs/>
                <w:color w:val="000000" w:themeColor="text1"/>
                <w:sz w:val="20"/>
                <w:szCs w:val="20"/>
              </w:rPr>
              <w:t>AND</w:t>
            </w:r>
          </w:p>
        </w:tc>
      </w:tr>
      <w:tr w:rsidR="00B0409C" w:rsidRPr="002106BA" w14:paraId="0B403012" w14:textId="77777777" w:rsidTr="00920D12">
        <w:trPr>
          <w:cantSplit/>
          <w:trHeight w:val="20"/>
        </w:trPr>
        <w:tc>
          <w:tcPr>
            <w:tcW w:w="1277" w:type="dxa"/>
            <w:vAlign w:val="center"/>
          </w:tcPr>
          <w:p w14:paraId="5C757B5D" w14:textId="4207289B" w:rsidR="00B0409C" w:rsidRPr="002106BA" w:rsidRDefault="00B0409C" w:rsidP="00920D12">
            <w:pPr>
              <w:jc w:val="center"/>
              <w:rPr>
                <w:rFonts w:ascii="Arial Narrow" w:hAnsi="Arial Narrow"/>
                <w:color w:val="333333"/>
                <w:sz w:val="20"/>
                <w:szCs w:val="20"/>
              </w:rPr>
            </w:pPr>
          </w:p>
        </w:tc>
        <w:tc>
          <w:tcPr>
            <w:tcW w:w="7745" w:type="dxa"/>
            <w:vAlign w:val="center"/>
          </w:tcPr>
          <w:p w14:paraId="220A9699" w14:textId="77777777" w:rsidR="00B0409C" w:rsidRPr="002106BA" w:rsidRDefault="00B0409C" w:rsidP="00920D12">
            <w:pPr>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B0409C" w:rsidRPr="002106BA" w14:paraId="60B9ACEB" w14:textId="77777777" w:rsidTr="00920D12">
        <w:trPr>
          <w:cantSplit/>
          <w:trHeight w:val="20"/>
        </w:trPr>
        <w:tc>
          <w:tcPr>
            <w:tcW w:w="1277" w:type="dxa"/>
            <w:vAlign w:val="center"/>
          </w:tcPr>
          <w:p w14:paraId="3880D6C4" w14:textId="27AD9961" w:rsidR="00B0409C" w:rsidRPr="002106BA" w:rsidRDefault="00B0409C" w:rsidP="00920D12">
            <w:pPr>
              <w:jc w:val="center"/>
              <w:rPr>
                <w:rFonts w:ascii="Arial Narrow" w:hAnsi="Arial Narrow"/>
                <w:color w:val="333333"/>
                <w:sz w:val="20"/>
                <w:szCs w:val="20"/>
              </w:rPr>
            </w:pPr>
          </w:p>
        </w:tc>
        <w:tc>
          <w:tcPr>
            <w:tcW w:w="7745" w:type="dxa"/>
            <w:vAlign w:val="center"/>
          </w:tcPr>
          <w:p w14:paraId="41BBE7D5" w14:textId="77777777" w:rsidR="00B0409C" w:rsidRPr="002106BA" w:rsidRDefault="00B0409C" w:rsidP="00920D12">
            <w:pPr>
              <w:rPr>
                <w:rFonts w:ascii="Arial Narrow" w:hAnsi="Arial Narrow"/>
                <w:b/>
                <w:bCs/>
                <w:color w:val="333333"/>
                <w:sz w:val="20"/>
                <w:szCs w:val="20"/>
              </w:rPr>
            </w:pPr>
            <w:r w:rsidRPr="002106BA">
              <w:rPr>
                <w:rFonts w:ascii="Arial Narrow" w:hAnsi="Arial Narrow"/>
                <w:color w:val="000000" w:themeColor="text1"/>
                <w:sz w:val="20"/>
                <w:szCs w:val="20"/>
              </w:rPr>
              <w:t>Patient must continue to demonstrate clinical benefit</w:t>
            </w:r>
          </w:p>
        </w:tc>
      </w:tr>
      <w:tr w:rsidR="003958B9" w:rsidRPr="002106BA" w14:paraId="30FC3319" w14:textId="77777777" w:rsidTr="00920D12">
        <w:trPr>
          <w:cantSplit/>
          <w:trHeight w:val="20"/>
        </w:trPr>
        <w:tc>
          <w:tcPr>
            <w:tcW w:w="1277" w:type="dxa"/>
            <w:vAlign w:val="center"/>
          </w:tcPr>
          <w:p w14:paraId="6C28EAB8" w14:textId="77777777" w:rsidR="003958B9" w:rsidRPr="002106BA" w:rsidRDefault="003958B9" w:rsidP="003958B9">
            <w:pPr>
              <w:jc w:val="center"/>
              <w:rPr>
                <w:rFonts w:ascii="Arial Narrow" w:hAnsi="Arial Narrow"/>
                <w:color w:val="333333"/>
                <w:sz w:val="18"/>
                <w:szCs w:val="18"/>
              </w:rPr>
            </w:pPr>
          </w:p>
        </w:tc>
        <w:tc>
          <w:tcPr>
            <w:tcW w:w="7745" w:type="dxa"/>
            <w:vAlign w:val="center"/>
          </w:tcPr>
          <w:p w14:paraId="78C176EC" w14:textId="4A028B8F" w:rsidR="003958B9" w:rsidRPr="002106BA" w:rsidRDefault="003958B9" w:rsidP="003958B9">
            <w:pPr>
              <w:rPr>
                <w:rFonts w:ascii="Arial Narrow" w:hAnsi="Arial Narrow"/>
                <w:color w:val="000000" w:themeColor="text1"/>
                <w:sz w:val="18"/>
                <w:szCs w:val="18"/>
              </w:rPr>
            </w:pPr>
            <w:r w:rsidRPr="002106BA">
              <w:rPr>
                <w:rFonts w:ascii="Arial Narrow" w:hAnsi="Arial Narrow"/>
                <w:sz w:val="18"/>
                <w:szCs w:val="18"/>
              </w:rPr>
              <w:t>AND</w:t>
            </w:r>
          </w:p>
        </w:tc>
      </w:tr>
      <w:tr w:rsidR="003958B9" w:rsidRPr="002106BA" w14:paraId="4781B29A" w14:textId="77777777" w:rsidTr="00920D12">
        <w:trPr>
          <w:cantSplit/>
          <w:trHeight w:val="20"/>
        </w:trPr>
        <w:tc>
          <w:tcPr>
            <w:tcW w:w="1277" w:type="dxa"/>
            <w:vAlign w:val="center"/>
          </w:tcPr>
          <w:p w14:paraId="69D75940" w14:textId="49E1D443" w:rsidR="003958B9" w:rsidRPr="002106BA" w:rsidRDefault="003958B9" w:rsidP="003958B9">
            <w:pPr>
              <w:jc w:val="center"/>
              <w:rPr>
                <w:rFonts w:ascii="Arial Narrow" w:hAnsi="Arial Narrow"/>
                <w:color w:val="333333"/>
                <w:sz w:val="18"/>
                <w:szCs w:val="18"/>
              </w:rPr>
            </w:pPr>
          </w:p>
        </w:tc>
        <w:tc>
          <w:tcPr>
            <w:tcW w:w="7745" w:type="dxa"/>
            <w:vAlign w:val="center"/>
          </w:tcPr>
          <w:p w14:paraId="0587D84D" w14:textId="5EB0C2E4" w:rsidR="003958B9" w:rsidRPr="002106BA" w:rsidRDefault="003958B9" w:rsidP="003958B9">
            <w:pPr>
              <w:rPr>
                <w:rFonts w:ascii="Arial Narrow" w:hAnsi="Arial Narrow"/>
                <w:color w:val="000000" w:themeColor="text1"/>
                <w:sz w:val="20"/>
                <w:szCs w:val="20"/>
              </w:rPr>
            </w:pPr>
            <w:r w:rsidRPr="002106BA">
              <w:rPr>
                <w:rFonts w:ascii="Arial Narrow" w:hAnsi="Arial Narrow"/>
                <w:b/>
                <w:sz w:val="20"/>
                <w:szCs w:val="20"/>
              </w:rPr>
              <w:t>Clinical criteria:</w:t>
            </w:r>
          </w:p>
        </w:tc>
      </w:tr>
      <w:tr w:rsidR="003958B9" w:rsidRPr="002106BA" w14:paraId="19B335C5" w14:textId="77777777" w:rsidTr="00920D12">
        <w:trPr>
          <w:cantSplit/>
          <w:trHeight w:val="20"/>
        </w:trPr>
        <w:tc>
          <w:tcPr>
            <w:tcW w:w="1277" w:type="dxa"/>
            <w:vAlign w:val="center"/>
          </w:tcPr>
          <w:p w14:paraId="05ECB725" w14:textId="7798E6C1" w:rsidR="003958B9" w:rsidRPr="002106BA" w:rsidRDefault="003958B9" w:rsidP="003958B9">
            <w:pPr>
              <w:jc w:val="center"/>
              <w:rPr>
                <w:rFonts w:ascii="Arial Narrow" w:hAnsi="Arial Narrow"/>
                <w:color w:val="333333"/>
                <w:sz w:val="18"/>
                <w:szCs w:val="18"/>
              </w:rPr>
            </w:pPr>
          </w:p>
        </w:tc>
        <w:tc>
          <w:tcPr>
            <w:tcW w:w="7745" w:type="dxa"/>
            <w:vAlign w:val="center"/>
          </w:tcPr>
          <w:p w14:paraId="3E318BC8" w14:textId="77777777" w:rsidR="003958B9" w:rsidRPr="002106BA" w:rsidRDefault="003958B9" w:rsidP="003958B9">
            <w:pPr>
              <w:pStyle w:val="COMTabletext"/>
              <w:rPr>
                <w:szCs w:val="20"/>
              </w:rPr>
            </w:pPr>
            <w:r w:rsidRPr="002106BA">
              <w:rPr>
                <w:szCs w:val="20"/>
              </w:rPr>
              <w:t>Patient must have had a Polyneuropathy Disability (PND) score description of either I, II, IIIA, IIIB prior to commencing non-PBS subsidised therapy; OR</w:t>
            </w:r>
          </w:p>
          <w:p w14:paraId="653ABEB6" w14:textId="0DCC412A" w:rsidR="003958B9" w:rsidRPr="002106BA" w:rsidRDefault="003958B9" w:rsidP="003958B9">
            <w:pPr>
              <w:rPr>
                <w:rFonts w:ascii="Arial Narrow" w:hAnsi="Arial Narrow"/>
                <w:color w:val="000000" w:themeColor="text1"/>
                <w:sz w:val="20"/>
                <w:szCs w:val="20"/>
              </w:rPr>
            </w:pPr>
            <w:r w:rsidRPr="002106BA">
              <w:rPr>
                <w:rFonts w:ascii="Arial Narrow" w:hAnsi="Arial Narrow"/>
                <w:sz w:val="20"/>
                <w:szCs w:val="20"/>
              </w:rPr>
              <w:t>Patient must have had a Familial Amyloid Polyneuropathy (FAP) stage description of 1 or 2 prior to commencing non-PBS subsidised therapy.</w:t>
            </w:r>
          </w:p>
        </w:tc>
      </w:tr>
      <w:tr w:rsidR="003958B9" w:rsidRPr="002106BA" w14:paraId="65E52A14" w14:textId="77777777" w:rsidTr="00920D12">
        <w:trPr>
          <w:cantSplit/>
          <w:trHeight w:val="20"/>
        </w:trPr>
        <w:tc>
          <w:tcPr>
            <w:tcW w:w="1277" w:type="dxa"/>
            <w:vAlign w:val="center"/>
          </w:tcPr>
          <w:p w14:paraId="49297C2B" w14:textId="77777777" w:rsidR="003958B9" w:rsidRPr="002106BA" w:rsidRDefault="003958B9" w:rsidP="003958B9">
            <w:pPr>
              <w:jc w:val="center"/>
              <w:rPr>
                <w:rFonts w:ascii="Arial Narrow" w:hAnsi="Arial Narrow"/>
                <w:color w:val="333333"/>
                <w:sz w:val="18"/>
                <w:szCs w:val="18"/>
              </w:rPr>
            </w:pPr>
          </w:p>
        </w:tc>
        <w:tc>
          <w:tcPr>
            <w:tcW w:w="7745" w:type="dxa"/>
            <w:vAlign w:val="center"/>
          </w:tcPr>
          <w:p w14:paraId="578D6193" w14:textId="6FECA300" w:rsidR="003958B9" w:rsidRPr="002106BA" w:rsidRDefault="003958B9" w:rsidP="003958B9">
            <w:pPr>
              <w:rPr>
                <w:rFonts w:ascii="Arial Narrow" w:hAnsi="Arial Narrow"/>
                <w:color w:val="000000" w:themeColor="text1"/>
                <w:sz w:val="20"/>
                <w:szCs w:val="20"/>
              </w:rPr>
            </w:pPr>
            <w:r w:rsidRPr="002106BA">
              <w:rPr>
                <w:rFonts w:ascii="Arial Narrow" w:hAnsi="Arial Narrow"/>
                <w:sz w:val="20"/>
                <w:szCs w:val="20"/>
              </w:rPr>
              <w:t>AND</w:t>
            </w:r>
          </w:p>
        </w:tc>
      </w:tr>
      <w:tr w:rsidR="003958B9" w:rsidRPr="002106BA" w14:paraId="6FEFC79E" w14:textId="77777777" w:rsidTr="00920D12">
        <w:trPr>
          <w:cantSplit/>
          <w:trHeight w:val="20"/>
        </w:trPr>
        <w:tc>
          <w:tcPr>
            <w:tcW w:w="1277" w:type="dxa"/>
            <w:vAlign w:val="center"/>
          </w:tcPr>
          <w:p w14:paraId="317AC2D9" w14:textId="3FD960D7" w:rsidR="003958B9" w:rsidRPr="002106BA" w:rsidRDefault="003958B9" w:rsidP="003958B9">
            <w:pPr>
              <w:jc w:val="center"/>
              <w:rPr>
                <w:rFonts w:ascii="Arial Narrow" w:hAnsi="Arial Narrow"/>
                <w:color w:val="333333"/>
                <w:sz w:val="18"/>
                <w:szCs w:val="18"/>
              </w:rPr>
            </w:pPr>
          </w:p>
        </w:tc>
        <w:tc>
          <w:tcPr>
            <w:tcW w:w="7745" w:type="dxa"/>
            <w:vAlign w:val="center"/>
          </w:tcPr>
          <w:p w14:paraId="4D91DD9E" w14:textId="6436206C" w:rsidR="003958B9" w:rsidRPr="002106BA" w:rsidRDefault="003958B9" w:rsidP="003958B9">
            <w:pPr>
              <w:rPr>
                <w:rFonts w:ascii="Arial Narrow" w:hAnsi="Arial Narrow"/>
                <w:color w:val="000000" w:themeColor="text1"/>
                <w:sz w:val="20"/>
                <w:szCs w:val="20"/>
              </w:rPr>
            </w:pPr>
            <w:r w:rsidRPr="002106BA">
              <w:rPr>
                <w:rFonts w:ascii="Arial Narrow" w:hAnsi="Arial Narrow"/>
                <w:b/>
                <w:sz w:val="20"/>
                <w:szCs w:val="20"/>
              </w:rPr>
              <w:t>Clinical criteria:</w:t>
            </w:r>
          </w:p>
        </w:tc>
      </w:tr>
      <w:tr w:rsidR="003958B9" w:rsidRPr="002106BA" w14:paraId="1F1ECB71" w14:textId="77777777" w:rsidTr="00920D12">
        <w:trPr>
          <w:cantSplit/>
          <w:trHeight w:val="20"/>
        </w:trPr>
        <w:tc>
          <w:tcPr>
            <w:tcW w:w="1277" w:type="dxa"/>
            <w:vAlign w:val="center"/>
          </w:tcPr>
          <w:p w14:paraId="638DCD58" w14:textId="1164F326" w:rsidR="003958B9" w:rsidRPr="002106BA" w:rsidRDefault="003958B9" w:rsidP="003958B9">
            <w:pPr>
              <w:jc w:val="center"/>
              <w:rPr>
                <w:rFonts w:ascii="Arial Narrow" w:hAnsi="Arial Narrow"/>
                <w:color w:val="333333"/>
                <w:sz w:val="18"/>
                <w:szCs w:val="18"/>
              </w:rPr>
            </w:pPr>
          </w:p>
        </w:tc>
        <w:tc>
          <w:tcPr>
            <w:tcW w:w="7745" w:type="dxa"/>
            <w:vAlign w:val="center"/>
          </w:tcPr>
          <w:p w14:paraId="520B85F4" w14:textId="0B86BEF5" w:rsidR="003958B9" w:rsidRPr="002106BA" w:rsidRDefault="003958B9" w:rsidP="003958B9">
            <w:pPr>
              <w:rPr>
                <w:rFonts w:ascii="Arial Narrow" w:hAnsi="Arial Narrow"/>
                <w:color w:val="000000" w:themeColor="text1"/>
                <w:sz w:val="20"/>
                <w:szCs w:val="20"/>
              </w:rPr>
            </w:pPr>
            <w:r w:rsidRPr="002106BA">
              <w:rPr>
                <w:rFonts w:ascii="Arial Narrow" w:hAnsi="Arial Narrow"/>
                <w:sz w:val="20"/>
                <w:szCs w:val="20"/>
              </w:rPr>
              <w:t>Patient must not have previously undergone a liver transplant</w:t>
            </w:r>
          </w:p>
        </w:tc>
      </w:tr>
      <w:tr w:rsidR="003958B9" w:rsidRPr="002106BA" w14:paraId="00BD38AE" w14:textId="77777777" w:rsidTr="00920D12">
        <w:trPr>
          <w:cantSplit/>
          <w:trHeight w:val="20"/>
        </w:trPr>
        <w:tc>
          <w:tcPr>
            <w:tcW w:w="1277" w:type="dxa"/>
            <w:vAlign w:val="center"/>
          </w:tcPr>
          <w:p w14:paraId="7D1EB857" w14:textId="77777777" w:rsidR="003958B9" w:rsidRPr="002106BA" w:rsidRDefault="003958B9" w:rsidP="003958B9">
            <w:pPr>
              <w:jc w:val="center"/>
              <w:rPr>
                <w:rFonts w:ascii="Arial Narrow" w:hAnsi="Arial Narrow"/>
                <w:color w:val="333333"/>
                <w:sz w:val="18"/>
                <w:szCs w:val="18"/>
              </w:rPr>
            </w:pPr>
          </w:p>
        </w:tc>
        <w:tc>
          <w:tcPr>
            <w:tcW w:w="7745" w:type="dxa"/>
            <w:vAlign w:val="center"/>
          </w:tcPr>
          <w:p w14:paraId="1E92CC88" w14:textId="4B5869D0" w:rsidR="003958B9" w:rsidRPr="002106BA" w:rsidRDefault="003958B9" w:rsidP="003958B9">
            <w:pPr>
              <w:rPr>
                <w:rFonts w:ascii="Arial Narrow" w:hAnsi="Arial Narrow"/>
                <w:color w:val="000000" w:themeColor="text1"/>
                <w:sz w:val="20"/>
                <w:szCs w:val="20"/>
              </w:rPr>
            </w:pPr>
            <w:r w:rsidRPr="002106BA">
              <w:rPr>
                <w:rFonts w:ascii="Arial Narrow" w:hAnsi="Arial Narrow"/>
                <w:sz w:val="20"/>
                <w:szCs w:val="20"/>
              </w:rPr>
              <w:t>AND</w:t>
            </w:r>
          </w:p>
        </w:tc>
      </w:tr>
      <w:tr w:rsidR="003958B9" w:rsidRPr="002106BA" w14:paraId="4631798E" w14:textId="77777777" w:rsidTr="00920D12">
        <w:trPr>
          <w:cantSplit/>
          <w:trHeight w:val="20"/>
        </w:trPr>
        <w:tc>
          <w:tcPr>
            <w:tcW w:w="1277" w:type="dxa"/>
            <w:vAlign w:val="center"/>
          </w:tcPr>
          <w:p w14:paraId="615660B7" w14:textId="68D0A084" w:rsidR="003958B9" w:rsidRPr="002106BA" w:rsidRDefault="003958B9" w:rsidP="003958B9">
            <w:pPr>
              <w:jc w:val="center"/>
              <w:rPr>
                <w:rFonts w:ascii="Arial Narrow" w:hAnsi="Arial Narrow"/>
                <w:color w:val="333333"/>
                <w:sz w:val="18"/>
                <w:szCs w:val="18"/>
              </w:rPr>
            </w:pPr>
          </w:p>
        </w:tc>
        <w:tc>
          <w:tcPr>
            <w:tcW w:w="7745" w:type="dxa"/>
            <w:vAlign w:val="center"/>
          </w:tcPr>
          <w:p w14:paraId="49C92F89" w14:textId="19E01BDE" w:rsidR="003958B9" w:rsidRPr="002106BA" w:rsidRDefault="003958B9" w:rsidP="003958B9">
            <w:pPr>
              <w:rPr>
                <w:rFonts w:ascii="Arial Narrow" w:hAnsi="Arial Narrow"/>
                <w:color w:val="000000" w:themeColor="text1"/>
                <w:sz w:val="20"/>
                <w:szCs w:val="20"/>
              </w:rPr>
            </w:pPr>
            <w:r w:rsidRPr="002106BA">
              <w:rPr>
                <w:rFonts w:ascii="Arial Narrow" w:hAnsi="Arial Narrow"/>
                <w:b/>
                <w:sz w:val="20"/>
                <w:szCs w:val="20"/>
              </w:rPr>
              <w:t>Clinical criteria:</w:t>
            </w:r>
          </w:p>
        </w:tc>
      </w:tr>
      <w:tr w:rsidR="003958B9" w:rsidRPr="002106BA" w14:paraId="21760304" w14:textId="77777777" w:rsidTr="00920D12">
        <w:trPr>
          <w:cantSplit/>
          <w:trHeight w:val="20"/>
        </w:trPr>
        <w:tc>
          <w:tcPr>
            <w:tcW w:w="1277" w:type="dxa"/>
            <w:vAlign w:val="center"/>
          </w:tcPr>
          <w:p w14:paraId="1E7F101B" w14:textId="26AACC22" w:rsidR="003958B9" w:rsidRPr="002106BA" w:rsidRDefault="003958B9" w:rsidP="003958B9">
            <w:pPr>
              <w:jc w:val="center"/>
              <w:rPr>
                <w:rFonts w:ascii="Arial Narrow" w:hAnsi="Arial Narrow"/>
                <w:color w:val="333333"/>
                <w:sz w:val="18"/>
                <w:szCs w:val="18"/>
              </w:rPr>
            </w:pPr>
          </w:p>
        </w:tc>
        <w:tc>
          <w:tcPr>
            <w:tcW w:w="7745" w:type="dxa"/>
            <w:vAlign w:val="center"/>
          </w:tcPr>
          <w:p w14:paraId="0B99AC5C" w14:textId="4599DC2E" w:rsidR="003958B9" w:rsidRPr="002106BA" w:rsidRDefault="003958B9" w:rsidP="003958B9">
            <w:pPr>
              <w:rPr>
                <w:rFonts w:ascii="Arial Narrow" w:hAnsi="Arial Narrow"/>
                <w:color w:val="000000" w:themeColor="text1"/>
                <w:sz w:val="20"/>
                <w:szCs w:val="20"/>
              </w:rPr>
            </w:pPr>
            <w:r w:rsidRPr="002106BA">
              <w:rPr>
                <w:rFonts w:ascii="Arial Narrow" w:hAnsi="Arial Narrow"/>
                <w:sz w:val="20"/>
                <w:szCs w:val="20"/>
              </w:rPr>
              <w:t>Patient must not have exhibited heart failure symptoms (defined as New York Heart Association [NYHA] class III or IV) prior to commencing non-PBS subsidised therapy.</w:t>
            </w:r>
          </w:p>
        </w:tc>
      </w:tr>
      <w:tr w:rsidR="003958B9" w:rsidRPr="002106BA" w14:paraId="1883A3C6" w14:textId="77777777" w:rsidTr="00920D12">
        <w:trPr>
          <w:cantSplit/>
          <w:trHeight w:val="20"/>
        </w:trPr>
        <w:tc>
          <w:tcPr>
            <w:tcW w:w="1277" w:type="dxa"/>
            <w:vAlign w:val="center"/>
          </w:tcPr>
          <w:p w14:paraId="4E2BABB5" w14:textId="77777777" w:rsidR="003958B9" w:rsidRPr="002106BA" w:rsidRDefault="003958B9" w:rsidP="003958B9">
            <w:pPr>
              <w:jc w:val="center"/>
              <w:rPr>
                <w:rFonts w:ascii="Arial Narrow" w:hAnsi="Arial Narrow"/>
                <w:color w:val="333333"/>
                <w:sz w:val="20"/>
                <w:szCs w:val="20"/>
              </w:rPr>
            </w:pPr>
          </w:p>
        </w:tc>
        <w:tc>
          <w:tcPr>
            <w:tcW w:w="7745" w:type="dxa"/>
            <w:vAlign w:val="center"/>
          </w:tcPr>
          <w:p w14:paraId="7C670DA6" w14:textId="77777777" w:rsidR="003958B9" w:rsidRPr="002106BA" w:rsidRDefault="003958B9" w:rsidP="003958B9">
            <w:pPr>
              <w:rPr>
                <w:rFonts w:ascii="Arial Narrow" w:hAnsi="Arial Narrow"/>
                <w:b/>
                <w:bCs/>
                <w:color w:val="333333"/>
                <w:sz w:val="20"/>
                <w:szCs w:val="20"/>
              </w:rPr>
            </w:pPr>
            <w:r w:rsidRPr="002106BA">
              <w:rPr>
                <w:rFonts w:ascii="Arial Narrow" w:hAnsi="Arial Narrow"/>
                <w:b/>
                <w:bCs/>
                <w:color w:val="000000" w:themeColor="text1"/>
                <w:sz w:val="20"/>
                <w:szCs w:val="20"/>
              </w:rPr>
              <w:t>AND</w:t>
            </w:r>
          </w:p>
        </w:tc>
      </w:tr>
      <w:tr w:rsidR="003958B9" w:rsidRPr="002106BA" w14:paraId="02A9B6EC" w14:textId="77777777" w:rsidTr="00920D12">
        <w:trPr>
          <w:cantSplit/>
          <w:trHeight w:val="20"/>
        </w:trPr>
        <w:tc>
          <w:tcPr>
            <w:tcW w:w="1277" w:type="dxa"/>
            <w:vAlign w:val="center"/>
          </w:tcPr>
          <w:p w14:paraId="0D2EB02F" w14:textId="01660893" w:rsidR="003958B9" w:rsidRPr="002106BA" w:rsidRDefault="003958B9" w:rsidP="003958B9">
            <w:pPr>
              <w:jc w:val="center"/>
              <w:rPr>
                <w:rFonts w:ascii="Arial Narrow" w:hAnsi="Arial Narrow"/>
                <w:color w:val="333333"/>
                <w:sz w:val="20"/>
                <w:szCs w:val="20"/>
              </w:rPr>
            </w:pPr>
          </w:p>
        </w:tc>
        <w:tc>
          <w:tcPr>
            <w:tcW w:w="7745" w:type="dxa"/>
            <w:vAlign w:val="center"/>
          </w:tcPr>
          <w:p w14:paraId="5329B8F7" w14:textId="77777777" w:rsidR="003958B9" w:rsidRPr="002106BA" w:rsidRDefault="003958B9" w:rsidP="003958B9">
            <w:pPr>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3958B9" w:rsidRPr="002106BA" w14:paraId="55E08F47" w14:textId="77777777" w:rsidTr="00920D12">
        <w:trPr>
          <w:cantSplit/>
          <w:trHeight w:val="20"/>
        </w:trPr>
        <w:tc>
          <w:tcPr>
            <w:tcW w:w="1277" w:type="dxa"/>
            <w:vAlign w:val="center"/>
          </w:tcPr>
          <w:p w14:paraId="340B921B" w14:textId="0F4EDE79" w:rsidR="003958B9" w:rsidRPr="002106BA" w:rsidRDefault="003958B9" w:rsidP="003958B9">
            <w:pPr>
              <w:jc w:val="center"/>
              <w:rPr>
                <w:rFonts w:ascii="Arial Narrow" w:hAnsi="Arial Narrow"/>
                <w:color w:val="333333"/>
                <w:sz w:val="20"/>
                <w:szCs w:val="20"/>
              </w:rPr>
            </w:pPr>
          </w:p>
        </w:tc>
        <w:tc>
          <w:tcPr>
            <w:tcW w:w="7745" w:type="dxa"/>
            <w:vAlign w:val="center"/>
          </w:tcPr>
          <w:p w14:paraId="3AF0E5D5" w14:textId="77777777" w:rsidR="003958B9" w:rsidRPr="002106BA" w:rsidRDefault="003958B9" w:rsidP="003958B9">
            <w:pPr>
              <w:rPr>
                <w:rFonts w:ascii="Arial Narrow" w:hAnsi="Arial Narrow"/>
                <w:color w:val="000000" w:themeColor="text1"/>
                <w:sz w:val="20"/>
                <w:szCs w:val="20"/>
              </w:rPr>
            </w:pPr>
            <w:r w:rsidRPr="002106BA">
              <w:rPr>
                <w:rFonts w:ascii="Arial Narrow" w:hAnsi="Arial Narrow"/>
                <w:color w:val="000000" w:themeColor="text1"/>
                <w:sz w:val="20"/>
                <w:szCs w:val="20"/>
              </w:rPr>
              <w:t xml:space="preserve">Patient must not be permanently bedridden; OR </w:t>
            </w:r>
          </w:p>
          <w:p w14:paraId="46ADF5EB" w14:textId="77777777" w:rsidR="003958B9" w:rsidRPr="002106BA" w:rsidRDefault="003958B9" w:rsidP="003958B9">
            <w:pPr>
              <w:rPr>
                <w:rFonts w:ascii="Arial Narrow" w:hAnsi="Arial Narrow"/>
                <w:color w:val="000000" w:themeColor="text1"/>
                <w:sz w:val="20"/>
                <w:szCs w:val="20"/>
              </w:rPr>
            </w:pPr>
          </w:p>
          <w:p w14:paraId="1AC01489" w14:textId="77777777" w:rsidR="003958B9" w:rsidRPr="002106BA" w:rsidRDefault="003958B9" w:rsidP="003958B9">
            <w:pPr>
              <w:rPr>
                <w:rFonts w:ascii="Arial Narrow" w:hAnsi="Arial Narrow"/>
                <w:color w:val="333333"/>
                <w:sz w:val="20"/>
                <w:szCs w:val="20"/>
              </w:rPr>
            </w:pPr>
            <w:r w:rsidRPr="002106BA">
              <w:rPr>
                <w:rFonts w:ascii="Arial Narrow" w:hAnsi="Arial Narrow"/>
                <w:color w:val="333333"/>
                <w:sz w:val="20"/>
                <w:szCs w:val="20"/>
              </w:rPr>
              <w:t>Patient must not be receiving end-of-life care</w:t>
            </w:r>
          </w:p>
        </w:tc>
      </w:tr>
      <w:tr w:rsidR="003958B9" w:rsidRPr="002106BA" w14:paraId="7DB0FB38" w14:textId="77777777" w:rsidTr="00920D12">
        <w:trPr>
          <w:cantSplit/>
          <w:trHeight w:val="20"/>
        </w:trPr>
        <w:tc>
          <w:tcPr>
            <w:tcW w:w="1277" w:type="dxa"/>
            <w:vAlign w:val="center"/>
          </w:tcPr>
          <w:p w14:paraId="22E589E3" w14:textId="77777777" w:rsidR="003958B9" w:rsidRPr="002106BA" w:rsidRDefault="003958B9" w:rsidP="003958B9">
            <w:pPr>
              <w:jc w:val="center"/>
              <w:rPr>
                <w:rFonts w:ascii="Arial Narrow" w:hAnsi="Arial Narrow"/>
                <w:color w:val="333333"/>
                <w:sz w:val="20"/>
                <w:szCs w:val="20"/>
              </w:rPr>
            </w:pPr>
          </w:p>
        </w:tc>
        <w:tc>
          <w:tcPr>
            <w:tcW w:w="7745" w:type="dxa"/>
            <w:vAlign w:val="center"/>
          </w:tcPr>
          <w:p w14:paraId="5AE77CF0" w14:textId="77777777" w:rsidR="003958B9" w:rsidRPr="002106BA" w:rsidRDefault="003958B9" w:rsidP="003958B9">
            <w:pPr>
              <w:rPr>
                <w:rFonts w:ascii="Arial Narrow" w:hAnsi="Arial Narrow"/>
                <w:color w:val="000000" w:themeColor="text1"/>
                <w:sz w:val="20"/>
                <w:szCs w:val="20"/>
              </w:rPr>
            </w:pPr>
            <w:r w:rsidRPr="002106BA">
              <w:rPr>
                <w:rFonts w:ascii="Arial Narrow" w:hAnsi="Arial Narrow"/>
                <w:b/>
                <w:bCs/>
                <w:color w:val="000000" w:themeColor="text1"/>
                <w:sz w:val="20"/>
                <w:szCs w:val="20"/>
              </w:rPr>
              <w:t>AND</w:t>
            </w:r>
          </w:p>
        </w:tc>
      </w:tr>
      <w:tr w:rsidR="00E87B2D" w:rsidRPr="002106BA" w14:paraId="2427450B" w14:textId="77777777" w:rsidTr="00920D12">
        <w:trPr>
          <w:cantSplit/>
          <w:trHeight w:val="20"/>
        </w:trPr>
        <w:tc>
          <w:tcPr>
            <w:tcW w:w="1277" w:type="dxa"/>
            <w:vAlign w:val="center"/>
          </w:tcPr>
          <w:p w14:paraId="40F7AAE8" w14:textId="5FB984A6" w:rsidR="000B5A53" w:rsidRPr="002106BA" w:rsidRDefault="000B5A53" w:rsidP="000B5A53">
            <w:pPr>
              <w:jc w:val="center"/>
              <w:rPr>
                <w:rFonts w:ascii="Arial Narrow" w:hAnsi="Arial Narrow"/>
                <w:color w:val="333333"/>
                <w:sz w:val="20"/>
                <w:szCs w:val="20"/>
              </w:rPr>
            </w:pPr>
          </w:p>
        </w:tc>
        <w:tc>
          <w:tcPr>
            <w:tcW w:w="7745" w:type="dxa"/>
            <w:vAlign w:val="center"/>
          </w:tcPr>
          <w:p w14:paraId="78645F38" w14:textId="40F8B4FD" w:rsidR="000B5A53" w:rsidRPr="002106BA" w:rsidRDefault="000B5A53" w:rsidP="000B5A53">
            <w:pPr>
              <w:rPr>
                <w:rFonts w:ascii="Arial Narrow" w:hAnsi="Arial Narrow"/>
                <w:b/>
                <w:bCs/>
                <w:color w:val="000000" w:themeColor="text1"/>
                <w:sz w:val="20"/>
                <w:szCs w:val="20"/>
              </w:rPr>
            </w:pPr>
            <w:r w:rsidRPr="002106BA">
              <w:rPr>
                <w:rFonts w:ascii="Arial Narrow" w:hAnsi="Arial Narrow"/>
                <w:b/>
                <w:bCs/>
                <w:color w:val="333333"/>
                <w:sz w:val="20"/>
                <w:szCs w:val="20"/>
              </w:rPr>
              <w:t>Treatment criteria:</w:t>
            </w:r>
          </w:p>
        </w:tc>
      </w:tr>
      <w:tr w:rsidR="00E87B2D" w:rsidRPr="002106BA" w14:paraId="30F816BC" w14:textId="77777777" w:rsidTr="00920D12">
        <w:trPr>
          <w:cantSplit/>
          <w:trHeight w:val="20"/>
        </w:trPr>
        <w:tc>
          <w:tcPr>
            <w:tcW w:w="1277" w:type="dxa"/>
            <w:vAlign w:val="center"/>
          </w:tcPr>
          <w:p w14:paraId="6B747E65" w14:textId="6B22B316" w:rsidR="000B5A53" w:rsidRPr="002106BA" w:rsidRDefault="000B5A53" w:rsidP="000B5A53">
            <w:pPr>
              <w:jc w:val="center"/>
              <w:rPr>
                <w:rFonts w:ascii="Arial Narrow" w:hAnsi="Arial Narrow"/>
                <w:color w:val="333333"/>
                <w:sz w:val="20"/>
                <w:szCs w:val="20"/>
              </w:rPr>
            </w:pPr>
          </w:p>
        </w:tc>
        <w:tc>
          <w:tcPr>
            <w:tcW w:w="7745" w:type="dxa"/>
            <w:vAlign w:val="center"/>
          </w:tcPr>
          <w:p w14:paraId="6F21D5B6" w14:textId="72485BD3" w:rsidR="000B5A53" w:rsidRPr="002106BA" w:rsidRDefault="000B5A53" w:rsidP="000B5A53">
            <w:pPr>
              <w:rPr>
                <w:rFonts w:ascii="Arial Narrow" w:hAnsi="Arial Narrow"/>
                <w:b/>
                <w:bCs/>
                <w:color w:val="000000" w:themeColor="text1"/>
                <w:sz w:val="20"/>
                <w:szCs w:val="20"/>
              </w:rPr>
            </w:pPr>
            <w:r w:rsidRPr="002106BA">
              <w:rPr>
                <w:rFonts w:ascii="Arial Narrow" w:hAnsi="Arial Narrow" w:cs="Arial Narrow"/>
                <w:iCs/>
                <w:color w:val="000000" w:themeColor="text1"/>
                <w:sz w:val="20"/>
                <w:szCs w:val="20"/>
              </w:rPr>
              <w:t>Must be treated by a consultant with experience in the management of amyloid disorders or in consultation with a consultant with experience in the management of amyloid disorders</w:t>
            </w:r>
          </w:p>
        </w:tc>
      </w:tr>
      <w:tr w:rsidR="000B5A53" w:rsidRPr="002106BA" w14:paraId="29392653" w14:textId="77777777" w:rsidTr="00920D12">
        <w:trPr>
          <w:cantSplit/>
          <w:trHeight w:val="20"/>
        </w:trPr>
        <w:tc>
          <w:tcPr>
            <w:tcW w:w="1277" w:type="dxa"/>
            <w:vAlign w:val="center"/>
          </w:tcPr>
          <w:p w14:paraId="09A2931A" w14:textId="2D3D4A94" w:rsidR="000B5A53" w:rsidRPr="002106BA" w:rsidRDefault="000B5A53" w:rsidP="000B5A53">
            <w:pPr>
              <w:jc w:val="center"/>
              <w:rPr>
                <w:rFonts w:ascii="Arial Narrow" w:hAnsi="Arial Narrow"/>
                <w:color w:val="333333"/>
                <w:sz w:val="20"/>
                <w:szCs w:val="20"/>
              </w:rPr>
            </w:pPr>
          </w:p>
        </w:tc>
        <w:tc>
          <w:tcPr>
            <w:tcW w:w="7745" w:type="dxa"/>
            <w:vAlign w:val="center"/>
          </w:tcPr>
          <w:p w14:paraId="3CF1F462" w14:textId="77777777" w:rsidR="000B5A53" w:rsidRPr="002106BA" w:rsidRDefault="000B5A53" w:rsidP="000B5A53">
            <w:pPr>
              <w:rPr>
                <w:rFonts w:ascii="Arial Narrow" w:hAnsi="Arial Narrow"/>
                <w:color w:val="000000" w:themeColor="text1"/>
                <w:sz w:val="20"/>
                <w:szCs w:val="20"/>
              </w:rPr>
            </w:pPr>
            <w:r w:rsidRPr="002106BA">
              <w:rPr>
                <w:rFonts w:ascii="Arial Narrow" w:hAnsi="Arial Narrow"/>
                <w:b/>
                <w:bCs/>
                <w:color w:val="000000" w:themeColor="text1"/>
                <w:sz w:val="20"/>
                <w:szCs w:val="20"/>
              </w:rPr>
              <w:t>Treatment criteria:</w:t>
            </w:r>
          </w:p>
        </w:tc>
      </w:tr>
      <w:tr w:rsidR="000B5A53" w:rsidRPr="002106BA" w14:paraId="569CA38B" w14:textId="77777777" w:rsidTr="00920D12">
        <w:trPr>
          <w:cantSplit/>
          <w:trHeight w:val="20"/>
        </w:trPr>
        <w:tc>
          <w:tcPr>
            <w:tcW w:w="1277" w:type="dxa"/>
            <w:vAlign w:val="center"/>
          </w:tcPr>
          <w:p w14:paraId="10800603" w14:textId="2362E5B6" w:rsidR="000B5A53" w:rsidRPr="002106BA" w:rsidRDefault="000B5A53" w:rsidP="000B5A53">
            <w:pPr>
              <w:jc w:val="center"/>
              <w:rPr>
                <w:rFonts w:ascii="Arial Narrow" w:hAnsi="Arial Narrow"/>
                <w:color w:val="333333"/>
                <w:sz w:val="20"/>
                <w:szCs w:val="20"/>
              </w:rPr>
            </w:pPr>
          </w:p>
        </w:tc>
        <w:tc>
          <w:tcPr>
            <w:tcW w:w="7745" w:type="dxa"/>
            <w:vAlign w:val="center"/>
          </w:tcPr>
          <w:p w14:paraId="1A735BFC" w14:textId="77777777" w:rsidR="000B5A53" w:rsidRPr="002106BA" w:rsidRDefault="000B5A53" w:rsidP="000B5A53">
            <w:pPr>
              <w:rPr>
                <w:rFonts w:ascii="Arial Narrow" w:hAnsi="Arial Narrow"/>
                <w:color w:val="000000" w:themeColor="text1"/>
                <w:sz w:val="20"/>
                <w:szCs w:val="20"/>
              </w:rPr>
            </w:pPr>
            <w:r w:rsidRPr="002106BA">
              <w:rPr>
                <w:rFonts w:ascii="Arial Narrow" w:hAnsi="Arial Narrow" w:cs="Arial Narrow"/>
                <w:iCs/>
                <w:color w:val="000000" w:themeColor="text1"/>
                <w:sz w:val="20"/>
                <w:szCs w:val="20"/>
              </w:rPr>
              <w:t>Patient must be undergoing treatment with this drug as a monotherapy (i.e. not in combination with any other disease modifying medicines for amyloidosis disorders)</w:t>
            </w:r>
          </w:p>
        </w:tc>
      </w:tr>
      <w:tr w:rsidR="000B5A53" w:rsidRPr="002106BA" w14:paraId="2255F99C" w14:textId="77777777" w:rsidTr="00920D12">
        <w:trPr>
          <w:cantSplit/>
          <w:trHeight w:val="20"/>
        </w:trPr>
        <w:tc>
          <w:tcPr>
            <w:tcW w:w="1277" w:type="dxa"/>
            <w:vAlign w:val="center"/>
          </w:tcPr>
          <w:p w14:paraId="523AF2E5" w14:textId="241337B5" w:rsidR="000B5A53" w:rsidRPr="002106BA" w:rsidRDefault="000B5A53" w:rsidP="000B5A53">
            <w:pPr>
              <w:jc w:val="center"/>
              <w:rPr>
                <w:rFonts w:ascii="Arial Narrow" w:hAnsi="Arial Narrow"/>
                <w:color w:val="333333"/>
                <w:sz w:val="20"/>
                <w:szCs w:val="20"/>
              </w:rPr>
            </w:pPr>
          </w:p>
        </w:tc>
        <w:tc>
          <w:tcPr>
            <w:tcW w:w="7745" w:type="dxa"/>
            <w:vAlign w:val="center"/>
          </w:tcPr>
          <w:p w14:paraId="3A852E82" w14:textId="77777777" w:rsidR="000B5A53" w:rsidRPr="002106BA" w:rsidRDefault="000B5A53" w:rsidP="000B5A53">
            <w:pPr>
              <w:rPr>
                <w:rFonts w:ascii="Arial Narrow" w:hAnsi="Arial Narrow"/>
                <w:b/>
                <w:bCs/>
                <w:color w:val="333333"/>
                <w:sz w:val="20"/>
                <w:szCs w:val="20"/>
              </w:rPr>
            </w:pPr>
            <w:r w:rsidRPr="002106BA">
              <w:rPr>
                <w:rFonts w:ascii="Arial Narrow" w:hAnsi="Arial Narrow"/>
                <w:b/>
                <w:bCs/>
                <w:color w:val="000000" w:themeColor="text1"/>
                <w:sz w:val="20"/>
                <w:szCs w:val="20"/>
              </w:rPr>
              <w:t xml:space="preserve">Prescribing Instructions: </w:t>
            </w:r>
            <w:r w:rsidRPr="002106BA">
              <w:rPr>
                <w:rFonts w:ascii="Arial Narrow" w:hAnsi="Arial Narrow"/>
                <w:bCs/>
                <w:color w:val="000000" w:themeColor="text1"/>
                <w:sz w:val="20"/>
                <w:szCs w:val="20"/>
              </w:rPr>
              <w:t>Applications for authorisation under this treatment phase must be made via the Online PBS Authorities System (real time assessment) or in writing via HPOS form upload or mail., If the application is submitted through HPOS form upload or mail, it must include:, (a) details of the proposed prescription; and, (b) a completed authority application form relevant to the indication and treatment phase (the latest version is located on the website specified in the Administrative Advice).</w:t>
            </w:r>
          </w:p>
        </w:tc>
      </w:tr>
    </w:tbl>
    <w:p w14:paraId="57559AFB" w14:textId="77777777" w:rsidR="00B0409C" w:rsidRPr="002106BA" w:rsidRDefault="00B0409C" w:rsidP="002C3AC5">
      <w:pPr>
        <w:pStyle w:val="COMexecsummnumbered"/>
        <w:numPr>
          <w:ilvl w:val="0"/>
          <w:numId w:val="0"/>
        </w:numPr>
        <w:spacing w:after="0"/>
        <w:ind w:left="720"/>
        <w:rPr>
          <w:snapToGrid w:val="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7"/>
        <w:gridCol w:w="7745"/>
      </w:tblGrid>
      <w:tr w:rsidR="00B0409C" w:rsidRPr="002106BA" w14:paraId="352A08EB" w14:textId="77777777" w:rsidTr="00920D12">
        <w:trPr>
          <w:cantSplit/>
          <w:trHeight w:val="20"/>
        </w:trPr>
        <w:tc>
          <w:tcPr>
            <w:tcW w:w="9022" w:type="dxa"/>
            <w:gridSpan w:val="2"/>
            <w:vAlign w:val="center"/>
          </w:tcPr>
          <w:p w14:paraId="489FCA8B" w14:textId="0046A40F"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333333"/>
                <w:sz w:val="20"/>
                <w:szCs w:val="20"/>
              </w:rPr>
              <w:t xml:space="preserve">Restriction Summary / Treatment of Concept: </w:t>
            </w:r>
          </w:p>
        </w:tc>
      </w:tr>
      <w:tr w:rsidR="00B0409C" w:rsidRPr="002106BA" w14:paraId="6A345CE2" w14:textId="77777777" w:rsidTr="00920D12">
        <w:trPr>
          <w:cantSplit/>
          <w:trHeight w:val="20"/>
        </w:trPr>
        <w:tc>
          <w:tcPr>
            <w:tcW w:w="1277" w:type="dxa"/>
            <w:vMerge w:val="restart"/>
            <w:tcBorders>
              <w:top w:val="single" w:sz="4" w:space="0" w:color="auto"/>
              <w:left w:val="single" w:sz="4" w:space="0" w:color="auto"/>
              <w:right w:val="single" w:sz="4" w:space="0" w:color="auto"/>
            </w:tcBorders>
          </w:tcPr>
          <w:p w14:paraId="28A4F1B8" w14:textId="5F9CA039" w:rsidR="00B0409C" w:rsidRPr="002106BA" w:rsidRDefault="00B0409C" w:rsidP="002C3AC5">
            <w:pPr>
              <w:widowControl w:val="0"/>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AD9EB38" w14:textId="77777777" w:rsidR="00B0409C" w:rsidRPr="002106BA" w:rsidRDefault="00B0409C" w:rsidP="002C3AC5">
            <w:pPr>
              <w:widowControl w:val="0"/>
              <w:rPr>
                <w:rFonts w:ascii="Arial Narrow" w:hAnsi="Arial Narrow"/>
                <w:sz w:val="20"/>
                <w:szCs w:val="20"/>
              </w:rPr>
            </w:pPr>
            <w:r w:rsidRPr="002106BA">
              <w:rPr>
                <w:rFonts w:ascii="Arial Narrow" w:hAnsi="Arial Narrow"/>
                <w:b/>
                <w:sz w:val="20"/>
                <w:szCs w:val="20"/>
              </w:rPr>
              <w:t>Category / Program:</w:t>
            </w:r>
            <w:r w:rsidRPr="002106BA">
              <w:rPr>
                <w:rFonts w:ascii="Arial Narrow" w:hAnsi="Arial Narrow"/>
                <w:color w:val="FF0000"/>
                <w:sz w:val="20"/>
                <w:szCs w:val="20"/>
              </w:rPr>
              <w:t xml:space="preserve"> </w:t>
            </w:r>
          </w:p>
          <w:p w14:paraId="29CAF561" w14:textId="63D22703" w:rsidR="00B0409C" w:rsidRPr="002106BA" w:rsidRDefault="00B0409C" w:rsidP="002C3AC5">
            <w:pPr>
              <w:widowControl w:val="0"/>
              <w:jc w:val="left"/>
              <w:rPr>
                <w:rFonts w:ascii="Arial Narrow" w:hAnsi="Arial Narrow"/>
                <w:sz w:val="20"/>
                <w:szCs w:val="20"/>
              </w:rPr>
            </w:pP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 Section 100 – Highly Specialised Drugs Program – Public (Code HB)</w:t>
            </w:r>
            <w:r w:rsidRPr="002106BA">
              <w:rPr>
                <w:rFonts w:ascii="Arial Narrow" w:eastAsia="Calibri" w:hAnsi="Arial Narrow"/>
                <w:color w:val="FF0000"/>
                <w:sz w:val="20"/>
                <w:szCs w:val="20"/>
              </w:rPr>
              <w:t xml:space="preserve"> </w:t>
            </w:r>
            <w:r w:rsidRPr="002106BA">
              <w:rPr>
                <w:rFonts w:ascii="Arial Narrow" w:eastAsia="Calibri" w:hAnsi="Arial Narrow"/>
                <w:sz w:val="20"/>
                <w:szCs w:val="20"/>
              </w:rPr>
              <w:t>/ Private (Code HS)</w:t>
            </w:r>
            <w:r w:rsidRPr="002106BA">
              <w:rPr>
                <w:rFonts w:ascii="Arial Narrow" w:eastAsia="Calibri" w:hAnsi="Arial Narrow"/>
                <w:color w:val="FF0000"/>
                <w:sz w:val="20"/>
                <w:szCs w:val="20"/>
              </w:rPr>
              <w:t xml:space="preserve"> </w:t>
            </w:r>
          </w:p>
        </w:tc>
      </w:tr>
      <w:tr w:rsidR="00B0409C" w:rsidRPr="002106BA" w14:paraId="0740BC9B" w14:textId="77777777" w:rsidTr="00920D12">
        <w:trPr>
          <w:cantSplit/>
          <w:trHeight w:val="20"/>
        </w:trPr>
        <w:tc>
          <w:tcPr>
            <w:tcW w:w="1277" w:type="dxa"/>
            <w:vMerge/>
            <w:tcBorders>
              <w:left w:val="single" w:sz="4" w:space="0" w:color="auto"/>
              <w:right w:val="single" w:sz="4" w:space="0" w:color="auto"/>
            </w:tcBorders>
          </w:tcPr>
          <w:p w14:paraId="75DC315A" w14:textId="77777777" w:rsidR="00B0409C" w:rsidRPr="002106BA" w:rsidRDefault="00B0409C" w:rsidP="002C3AC5">
            <w:pPr>
              <w:widowControl w:val="0"/>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B5E2F13" w14:textId="77777777" w:rsidR="00B0409C" w:rsidRPr="002106BA" w:rsidRDefault="00B0409C" w:rsidP="002C3AC5">
            <w:pPr>
              <w:widowControl w:val="0"/>
              <w:rPr>
                <w:rFonts w:ascii="Arial Narrow" w:hAnsi="Arial Narrow"/>
                <w:b/>
                <w:sz w:val="20"/>
                <w:szCs w:val="20"/>
              </w:rPr>
            </w:pPr>
            <w:r w:rsidRPr="002106BA">
              <w:rPr>
                <w:rFonts w:ascii="Arial Narrow" w:hAnsi="Arial Narrow"/>
                <w:b/>
                <w:sz w:val="20"/>
                <w:szCs w:val="20"/>
              </w:rPr>
              <w:t xml:space="preserve">Prescriber type: </w:t>
            </w:r>
            <w:r w:rsidRPr="002106BA">
              <w:rPr>
                <w:rFonts w:ascii="Arial Narrow" w:hAnsi="Arial Narrow"/>
                <w:sz w:val="20"/>
                <w:szCs w:val="20"/>
              </w:rPr>
              <w:fldChar w:fldCharType="begin">
                <w:ffData>
                  <w:name w:val=""/>
                  <w:enabled/>
                  <w:calcOnExit w:val="0"/>
                  <w:checkBox>
                    <w:sizeAuto/>
                    <w:default w:val="1"/>
                  </w:checkBox>
                </w:ffData>
              </w:fldChar>
            </w:r>
            <w:r w:rsidRPr="002106BA">
              <w:rPr>
                <w:rFonts w:ascii="Arial Narrow" w:hAnsi="Arial Narrow"/>
                <w:sz w:val="20"/>
                <w:szCs w:val="20"/>
              </w:rPr>
              <w:instrText xml:space="preserve"> FORMCHECKBOX </w:instrText>
            </w:r>
            <w:r w:rsidRPr="002106BA">
              <w:rPr>
                <w:rFonts w:ascii="Arial Narrow" w:hAnsi="Arial Narrow"/>
                <w:sz w:val="20"/>
                <w:szCs w:val="20"/>
              </w:rPr>
            </w:r>
            <w:r w:rsidRPr="002106BA">
              <w:rPr>
                <w:rFonts w:ascii="Arial Narrow" w:hAnsi="Arial Narrow"/>
                <w:sz w:val="20"/>
                <w:szCs w:val="20"/>
              </w:rPr>
              <w:fldChar w:fldCharType="separate"/>
            </w:r>
            <w:r w:rsidRPr="002106BA">
              <w:rPr>
                <w:rFonts w:ascii="Arial Narrow" w:hAnsi="Arial Narrow"/>
                <w:sz w:val="20"/>
                <w:szCs w:val="20"/>
              </w:rPr>
              <w:fldChar w:fldCharType="end"/>
            </w:r>
            <w:r w:rsidRPr="002106BA">
              <w:rPr>
                <w:rFonts w:ascii="Arial Narrow" w:hAnsi="Arial Narrow"/>
                <w:sz w:val="20"/>
                <w:szCs w:val="20"/>
              </w:rPr>
              <w:t xml:space="preserve">Medical Practitioners </w:t>
            </w:r>
          </w:p>
        </w:tc>
      </w:tr>
      <w:tr w:rsidR="00B0409C" w:rsidRPr="002106BA" w14:paraId="66294F92" w14:textId="77777777" w:rsidTr="00920D12">
        <w:trPr>
          <w:cantSplit/>
          <w:trHeight w:val="20"/>
        </w:trPr>
        <w:tc>
          <w:tcPr>
            <w:tcW w:w="1277" w:type="dxa"/>
            <w:vMerge/>
            <w:tcBorders>
              <w:left w:val="single" w:sz="4" w:space="0" w:color="auto"/>
              <w:bottom w:val="single" w:sz="4" w:space="0" w:color="auto"/>
              <w:right w:val="single" w:sz="4" w:space="0" w:color="auto"/>
            </w:tcBorders>
          </w:tcPr>
          <w:p w14:paraId="59902B79" w14:textId="77777777" w:rsidR="00B0409C" w:rsidRPr="002106BA" w:rsidRDefault="00B0409C" w:rsidP="002C3AC5">
            <w:pPr>
              <w:widowControl w:val="0"/>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AE09E65" w14:textId="77777777" w:rsidR="00B0409C" w:rsidRPr="002106BA" w:rsidRDefault="00B0409C" w:rsidP="002C3AC5">
            <w:pPr>
              <w:widowControl w:val="0"/>
              <w:rPr>
                <w:rFonts w:ascii="Arial Narrow" w:eastAsia="Calibri" w:hAnsi="Arial Narrow"/>
                <w:sz w:val="20"/>
                <w:szCs w:val="20"/>
              </w:rPr>
            </w:pPr>
            <w:r w:rsidRPr="002106BA">
              <w:rPr>
                <w:rFonts w:ascii="Arial Narrow" w:hAnsi="Arial Narrow"/>
                <w:b/>
                <w:sz w:val="20"/>
                <w:szCs w:val="20"/>
              </w:rPr>
              <w:t xml:space="preserve">Restriction type: </w:t>
            </w: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Authority Required ( FULL assessment) in writing only via post/HPOS upload) </w:t>
            </w:r>
          </w:p>
        </w:tc>
      </w:tr>
      <w:tr w:rsidR="00B0409C" w:rsidRPr="002106BA" w14:paraId="7DA324F4" w14:textId="77777777" w:rsidTr="00920D12">
        <w:trPr>
          <w:cantSplit/>
          <w:trHeight w:val="20"/>
        </w:trPr>
        <w:tc>
          <w:tcPr>
            <w:tcW w:w="1277" w:type="dxa"/>
            <w:vAlign w:val="center"/>
          </w:tcPr>
          <w:p w14:paraId="59DE8DCC" w14:textId="77777777"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49F2AB51" w14:textId="77777777" w:rsidR="00B0409C" w:rsidRPr="002106BA" w:rsidRDefault="00B0409C" w:rsidP="002C3AC5">
            <w:pPr>
              <w:widowControl w:val="0"/>
              <w:rPr>
                <w:rFonts w:ascii="Arial Narrow" w:hAnsi="Arial Narrow"/>
                <w:b/>
                <w:bCs/>
                <w:color w:val="FF0000"/>
                <w:sz w:val="20"/>
                <w:szCs w:val="20"/>
              </w:rPr>
            </w:pPr>
            <w:r w:rsidRPr="002106BA">
              <w:rPr>
                <w:rFonts w:ascii="Arial Narrow" w:hAnsi="Arial Narrow"/>
                <w:b/>
                <w:sz w:val="20"/>
                <w:szCs w:val="20"/>
              </w:rPr>
              <w:t xml:space="preserve">Authority type: </w:t>
            </w:r>
            <w:r w:rsidRPr="002106BA">
              <w:rPr>
                <w:rFonts w:ascii="Arial Narrow" w:eastAsia="Calibri" w:hAnsi="Arial Narrow"/>
                <w:sz w:val="20"/>
                <w:szCs w:val="20"/>
              </w:rPr>
              <w:fldChar w:fldCharType="begin">
                <w:ffData>
                  <w:name w:val=""/>
                  <w:enabled/>
                  <w:calcOnExit w:val="0"/>
                  <w:checkBox>
                    <w:sizeAuto/>
                    <w:default w:val="1"/>
                  </w:checkBox>
                </w:ffData>
              </w:fldChar>
            </w:r>
            <w:r w:rsidRPr="002106BA">
              <w:rPr>
                <w:rFonts w:ascii="Arial Narrow" w:eastAsia="Calibri" w:hAnsi="Arial Narrow"/>
                <w:sz w:val="20"/>
                <w:szCs w:val="20"/>
              </w:rPr>
              <w:instrText xml:space="preserve"> FORMCHECKBOX </w:instrText>
            </w:r>
            <w:r w:rsidRPr="002106BA">
              <w:rPr>
                <w:rFonts w:ascii="Arial Narrow" w:eastAsia="Calibri" w:hAnsi="Arial Narrow"/>
                <w:sz w:val="20"/>
                <w:szCs w:val="20"/>
              </w:rPr>
            </w:r>
            <w:r w:rsidRPr="002106BA">
              <w:rPr>
                <w:rFonts w:ascii="Arial Narrow" w:eastAsia="Calibri" w:hAnsi="Arial Narrow"/>
                <w:sz w:val="20"/>
                <w:szCs w:val="20"/>
              </w:rPr>
              <w:fldChar w:fldCharType="separate"/>
            </w:r>
            <w:r w:rsidRPr="002106BA">
              <w:rPr>
                <w:rFonts w:ascii="Arial Narrow" w:eastAsia="Calibri" w:hAnsi="Arial Narrow"/>
                <w:sz w:val="20"/>
                <w:szCs w:val="20"/>
              </w:rPr>
              <w:fldChar w:fldCharType="end"/>
            </w:r>
            <w:r w:rsidRPr="002106BA">
              <w:rPr>
                <w:rFonts w:ascii="Arial Narrow" w:eastAsia="Calibri" w:hAnsi="Arial Narrow"/>
                <w:sz w:val="20"/>
                <w:szCs w:val="20"/>
              </w:rPr>
              <w:t xml:space="preserve"> </w:t>
            </w:r>
            <w:r w:rsidRPr="002106BA">
              <w:rPr>
                <w:rFonts w:ascii="Arial Narrow" w:eastAsia="Calibri" w:hAnsi="Arial Narrow"/>
                <w:color w:val="000000" w:themeColor="text1"/>
                <w:sz w:val="20"/>
                <w:szCs w:val="20"/>
              </w:rPr>
              <w:t>Complex Authority Required (CAR)</w:t>
            </w:r>
          </w:p>
        </w:tc>
      </w:tr>
      <w:tr w:rsidR="00B0409C" w:rsidRPr="002106BA" w14:paraId="33180044" w14:textId="77777777" w:rsidTr="009E50F6">
        <w:trPr>
          <w:cantSplit/>
          <w:trHeight w:val="20"/>
        </w:trPr>
        <w:tc>
          <w:tcPr>
            <w:tcW w:w="1277" w:type="dxa"/>
            <w:vAlign w:val="center"/>
          </w:tcPr>
          <w:p w14:paraId="76CD9F5F" w14:textId="102F91EF" w:rsidR="00B0409C" w:rsidRPr="002106BA" w:rsidRDefault="00B0409C" w:rsidP="002C3AC5">
            <w:pPr>
              <w:widowControl w:val="0"/>
              <w:jc w:val="center"/>
              <w:rPr>
                <w:rFonts w:ascii="Arial Narrow" w:hAnsi="Arial Narrow"/>
                <w:color w:val="333333"/>
                <w:sz w:val="20"/>
                <w:szCs w:val="20"/>
              </w:rPr>
            </w:pPr>
          </w:p>
        </w:tc>
        <w:tc>
          <w:tcPr>
            <w:tcW w:w="7745" w:type="dxa"/>
            <w:vAlign w:val="center"/>
            <w:hideMark/>
          </w:tcPr>
          <w:p w14:paraId="4967EDBB" w14:textId="77777777" w:rsidR="00B0409C" w:rsidRPr="002106BA" w:rsidRDefault="00B0409C" w:rsidP="002C3AC5">
            <w:pPr>
              <w:widowControl w:val="0"/>
              <w:rPr>
                <w:rFonts w:ascii="Arial Narrow" w:hAnsi="Arial Narrow"/>
                <w:color w:val="333333"/>
                <w:sz w:val="20"/>
                <w:szCs w:val="20"/>
              </w:rPr>
            </w:pPr>
            <w:r w:rsidRPr="002106BA">
              <w:rPr>
                <w:rFonts w:ascii="Arial Narrow" w:hAnsi="Arial Narrow"/>
                <w:b/>
                <w:bCs/>
                <w:color w:val="333333"/>
                <w:sz w:val="20"/>
                <w:szCs w:val="20"/>
              </w:rPr>
              <w:t>Indication:</w:t>
            </w:r>
            <w:r w:rsidRPr="002106BA">
              <w:rPr>
                <w:rFonts w:ascii="Arial Narrow" w:hAnsi="Arial Narrow"/>
                <w:color w:val="333333"/>
                <w:sz w:val="20"/>
                <w:szCs w:val="20"/>
              </w:rPr>
              <w:t xml:space="preserve"> Hereditary transthyretin amyloidosis</w:t>
            </w:r>
          </w:p>
        </w:tc>
      </w:tr>
      <w:tr w:rsidR="00B0409C" w:rsidRPr="002106BA" w14:paraId="2D011BBF" w14:textId="77777777" w:rsidTr="009E50F6">
        <w:trPr>
          <w:cantSplit/>
          <w:trHeight w:val="20"/>
        </w:trPr>
        <w:tc>
          <w:tcPr>
            <w:tcW w:w="1277" w:type="dxa"/>
            <w:vAlign w:val="center"/>
          </w:tcPr>
          <w:p w14:paraId="3ACF08AB" w14:textId="77777777" w:rsidR="00B0409C" w:rsidRPr="002106BA" w:rsidRDefault="00B0409C" w:rsidP="002C3AC5">
            <w:pPr>
              <w:widowControl w:val="0"/>
              <w:jc w:val="center"/>
              <w:rPr>
                <w:rFonts w:ascii="Arial Narrow" w:hAnsi="Arial Narrow"/>
                <w:color w:val="333333"/>
                <w:sz w:val="20"/>
                <w:szCs w:val="20"/>
              </w:rPr>
            </w:pPr>
          </w:p>
        </w:tc>
        <w:tc>
          <w:tcPr>
            <w:tcW w:w="7745" w:type="dxa"/>
            <w:vAlign w:val="center"/>
            <w:hideMark/>
          </w:tcPr>
          <w:p w14:paraId="338C6B67" w14:textId="77777777" w:rsidR="00B0409C" w:rsidRPr="002106BA" w:rsidRDefault="00B0409C" w:rsidP="002C3AC5">
            <w:pPr>
              <w:widowControl w:val="0"/>
              <w:rPr>
                <w:rFonts w:ascii="Arial Narrow" w:hAnsi="Arial Narrow"/>
                <w:sz w:val="20"/>
                <w:szCs w:val="20"/>
              </w:rPr>
            </w:pPr>
            <w:r w:rsidRPr="002106BA">
              <w:rPr>
                <w:rFonts w:ascii="Arial Narrow" w:hAnsi="Arial Narrow"/>
                <w:b/>
                <w:bCs/>
                <w:color w:val="333333"/>
                <w:sz w:val="20"/>
                <w:szCs w:val="20"/>
              </w:rPr>
              <w:t>Treatment Phase:</w:t>
            </w:r>
            <w:r w:rsidRPr="002106BA">
              <w:rPr>
                <w:rFonts w:ascii="Arial Narrow" w:hAnsi="Arial Narrow"/>
                <w:color w:val="FF0000"/>
                <w:sz w:val="20"/>
                <w:szCs w:val="20"/>
              </w:rPr>
              <w:t xml:space="preserve"> </w:t>
            </w:r>
            <w:r w:rsidRPr="002106BA">
              <w:rPr>
                <w:rFonts w:ascii="Arial Narrow" w:hAnsi="Arial Narrow"/>
                <w:color w:val="000000" w:themeColor="text1"/>
                <w:sz w:val="20"/>
                <w:szCs w:val="20"/>
              </w:rPr>
              <w:t>Transitioning from non-PBS to PBS-subsidised supply - Grandfather arrangements</w:t>
            </w:r>
          </w:p>
        </w:tc>
      </w:tr>
      <w:tr w:rsidR="00B0409C" w:rsidRPr="002106BA" w14:paraId="3E444307" w14:textId="77777777" w:rsidTr="00920D12">
        <w:trPr>
          <w:cantSplit/>
          <w:trHeight w:val="20"/>
        </w:trPr>
        <w:tc>
          <w:tcPr>
            <w:tcW w:w="1277" w:type="dxa"/>
            <w:vAlign w:val="center"/>
          </w:tcPr>
          <w:p w14:paraId="1E923340" w14:textId="0BFE2A43"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69C4CEF3"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B0409C" w:rsidRPr="002106BA" w14:paraId="39663CE6" w14:textId="77777777" w:rsidTr="00920D12">
        <w:trPr>
          <w:cantSplit/>
          <w:trHeight w:val="20"/>
        </w:trPr>
        <w:tc>
          <w:tcPr>
            <w:tcW w:w="1277" w:type="dxa"/>
            <w:vAlign w:val="center"/>
          </w:tcPr>
          <w:p w14:paraId="5BCC3BF5" w14:textId="30A7F4CD"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45250CBB"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color w:val="000000" w:themeColor="text1"/>
                <w:sz w:val="20"/>
                <w:szCs w:val="20"/>
              </w:rPr>
              <w:t>Patient must have received treatment with this drug for this condition prior to [PBS listing date]</w:t>
            </w:r>
          </w:p>
        </w:tc>
      </w:tr>
      <w:tr w:rsidR="00B0409C" w:rsidRPr="002106BA" w14:paraId="1189C983" w14:textId="77777777" w:rsidTr="00920D12">
        <w:trPr>
          <w:cantSplit/>
          <w:trHeight w:val="20"/>
        </w:trPr>
        <w:tc>
          <w:tcPr>
            <w:tcW w:w="1277" w:type="dxa"/>
            <w:vAlign w:val="center"/>
          </w:tcPr>
          <w:p w14:paraId="223B0AAA" w14:textId="77777777"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4E14DDB2"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000000" w:themeColor="text1"/>
                <w:sz w:val="20"/>
                <w:szCs w:val="20"/>
              </w:rPr>
              <w:t>AND</w:t>
            </w:r>
          </w:p>
        </w:tc>
      </w:tr>
      <w:tr w:rsidR="00B0409C" w:rsidRPr="002106BA" w14:paraId="637500F9" w14:textId="77777777" w:rsidTr="00920D12">
        <w:trPr>
          <w:cantSplit/>
          <w:trHeight w:val="20"/>
        </w:trPr>
        <w:tc>
          <w:tcPr>
            <w:tcW w:w="1277" w:type="dxa"/>
            <w:vAlign w:val="center"/>
          </w:tcPr>
          <w:p w14:paraId="6E0463E1" w14:textId="3667399C"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39789EE8"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B0409C" w:rsidRPr="002106BA" w14:paraId="01B65FB2" w14:textId="77777777" w:rsidTr="00920D12">
        <w:trPr>
          <w:cantSplit/>
          <w:trHeight w:val="20"/>
        </w:trPr>
        <w:tc>
          <w:tcPr>
            <w:tcW w:w="1277" w:type="dxa"/>
            <w:vAlign w:val="center"/>
          </w:tcPr>
          <w:p w14:paraId="1AB3305E" w14:textId="3119E70C"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67534CCE"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color w:val="000000" w:themeColor="text1"/>
                <w:sz w:val="20"/>
                <w:szCs w:val="20"/>
              </w:rPr>
              <w:t>Patient must continue to demonstrate clinical benefit</w:t>
            </w:r>
          </w:p>
        </w:tc>
      </w:tr>
      <w:tr w:rsidR="00B0409C" w:rsidRPr="002106BA" w14:paraId="1C4D2FCB" w14:textId="77777777" w:rsidTr="00920D12">
        <w:trPr>
          <w:cantSplit/>
          <w:trHeight w:val="20"/>
        </w:trPr>
        <w:tc>
          <w:tcPr>
            <w:tcW w:w="1277" w:type="dxa"/>
            <w:vAlign w:val="center"/>
          </w:tcPr>
          <w:p w14:paraId="4C81CF82" w14:textId="77777777"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2B028FA3"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000000" w:themeColor="text1"/>
                <w:sz w:val="20"/>
                <w:szCs w:val="20"/>
              </w:rPr>
              <w:t>AND</w:t>
            </w:r>
          </w:p>
        </w:tc>
      </w:tr>
      <w:tr w:rsidR="00B0409C" w:rsidRPr="002106BA" w14:paraId="76BD6217" w14:textId="77777777" w:rsidTr="00920D12">
        <w:trPr>
          <w:cantSplit/>
          <w:trHeight w:val="20"/>
        </w:trPr>
        <w:tc>
          <w:tcPr>
            <w:tcW w:w="1277" w:type="dxa"/>
            <w:vAlign w:val="center"/>
          </w:tcPr>
          <w:p w14:paraId="582F2E79" w14:textId="49C174E0"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2516CCD9"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b/>
                <w:bCs/>
                <w:color w:val="333333"/>
                <w:sz w:val="20"/>
                <w:szCs w:val="20"/>
              </w:rPr>
              <w:t xml:space="preserve">Clinical criteria: </w:t>
            </w:r>
          </w:p>
        </w:tc>
      </w:tr>
      <w:tr w:rsidR="00B0409C" w:rsidRPr="002106BA" w14:paraId="570D488D" w14:textId="77777777" w:rsidTr="00920D12">
        <w:trPr>
          <w:cantSplit/>
          <w:trHeight w:val="20"/>
        </w:trPr>
        <w:tc>
          <w:tcPr>
            <w:tcW w:w="1277" w:type="dxa"/>
            <w:vAlign w:val="center"/>
          </w:tcPr>
          <w:p w14:paraId="21B9FE32" w14:textId="7C8EEBD6"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77598BDE" w14:textId="77777777" w:rsidR="00B0409C" w:rsidRPr="002106BA" w:rsidRDefault="00B0409C" w:rsidP="002C3AC5">
            <w:pPr>
              <w:widowControl w:val="0"/>
              <w:rPr>
                <w:rFonts w:ascii="Arial Narrow" w:hAnsi="Arial Narrow"/>
                <w:color w:val="000000" w:themeColor="text1"/>
                <w:sz w:val="20"/>
                <w:szCs w:val="20"/>
              </w:rPr>
            </w:pPr>
            <w:r w:rsidRPr="002106BA">
              <w:rPr>
                <w:rFonts w:ascii="Arial Narrow" w:hAnsi="Arial Narrow"/>
                <w:color w:val="000000" w:themeColor="text1"/>
                <w:sz w:val="20"/>
                <w:szCs w:val="20"/>
              </w:rPr>
              <w:t xml:space="preserve">Patient must not be permanently bedridden; OR </w:t>
            </w:r>
          </w:p>
          <w:p w14:paraId="4157BD55" w14:textId="77777777" w:rsidR="00B0409C" w:rsidRPr="002106BA" w:rsidRDefault="00B0409C" w:rsidP="002C3AC5">
            <w:pPr>
              <w:widowControl w:val="0"/>
              <w:rPr>
                <w:rFonts w:ascii="Arial Narrow" w:hAnsi="Arial Narrow"/>
                <w:color w:val="000000" w:themeColor="text1"/>
                <w:sz w:val="20"/>
                <w:szCs w:val="20"/>
              </w:rPr>
            </w:pPr>
          </w:p>
          <w:p w14:paraId="5E073F1E" w14:textId="77777777" w:rsidR="00B0409C" w:rsidRPr="002106BA" w:rsidRDefault="00B0409C" w:rsidP="002C3AC5">
            <w:pPr>
              <w:widowControl w:val="0"/>
              <w:rPr>
                <w:rFonts w:ascii="Arial Narrow" w:hAnsi="Arial Narrow"/>
                <w:b/>
                <w:bCs/>
                <w:color w:val="333333"/>
                <w:sz w:val="20"/>
                <w:szCs w:val="20"/>
              </w:rPr>
            </w:pPr>
            <w:r w:rsidRPr="002106BA">
              <w:rPr>
                <w:rFonts w:ascii="Arial Narrow" w:hAnsi="Arial Narrow"/>
                <w:color w:val="333333"/>
                <w:sz w:val="20"/>
                <w:szCs w:val="20"/>
              </w:rPr>
              <w:t>Patient must not be receiving end-of-life care</w:t>
            </w:r>
          </w:p>
        </w:tc>
      </w:tr>
      <w:tr w:rsidR="00B0409C" w:rsidRPr="002106BA" w14:paraId="2CDBA0F7" w14:textId="77777777" w:rsidTr="00920D12">
        <w:trPr>
          <w:cantSplit/>
          <w:trHeight w:val="20"/>
        </w:trPr>
        <w:tc>
          <w:tcPr>
            <w:tcW w:w="1277" w:type="dxa"/>
            <w:vAlign w:val="center"/>
          </w:tcPr>
          <w:p w14:paraId="33A51D38" w14:textId="77777777" w:rsidR="00B0409C" w:rsidRPr="002106BA" w:rsidRDefault="00B0409C" w:rsidP="002C3AC5">
            <w:pPr>
              <w:widowControl w:val="0"/>
              <w:jc w:val="center"/>
              <w:rPr>
                <w:rFonts w:ascii="Arial Narrow" w:hAnsi="Arial Narrow"/>
                <w:color w:val="333333"/>
                <w:sz w:val="20"/>
                <w:szCs w:val="20"/>
              </w:rPr>
            </w:pPr>
          </w:p>
        </w:tc>
        <w:tc>
          <w:tcPr>
            <w:tcW w:w="7745" w:type="dxa"/>
            <w:vAlign w:val="center"/>
          </w:tcPr>
          <w:p w14:paraId="605EB892" w14:textId="77777777" w:rsidR="00B0409C" w:rsidRPr="002106BA" w:rsidRDefault="00B0409C" w:rsidP="002C3AC5">
            <w:pPr>
              <w:widowControl w:val="0"/>
              <w:rPr>
                <w:rFonts w:ascii="Arial Narrow" w:hAnsi="Arial Narrow"/>
                <w:color w:val="000000" w:themeColor="text1"/>
                <w:sz w:val="20"/>
                <w:szCs w:val="20"/>
              </w:rPr>
            </w:pPr>
            <w:r w:rsidRPr="002106BA">
              <w:rPr>
                <w:rFonts w:ascii="Arial Narrow" w:hAnsi="Arial Narrow"/>
                <w:b/>
                <w:bCs/>
                <w:color w:val="000000" w:themeColor="text1"/>
                <w:sz w:val="20"/>
                <w:szCs w:val="20"/>
              </w:rPr>
              <w:t>AND</w:t>
            </w:r>
          </w:p>
        </w:tc>
      </w:tr>
      <w:tr w:rsidR="00E87B2D" w:rsidRPr="002106BA" w14:paraId="537FD657" w14:textId="77777777" w:rsidTr="00920D12">
        <w:trPr>
          <w:cantSplit/>
          <w:trHeight w:val="20"/>
        </w:trPr>
        <w:tc>
          <w:tcPr>
            <w:tcW w:w="1277" w:type="dxa"/>
            <w:vAlign w:val="center"/>
          </w:tcPr>
          <w:p w14:paraId="03810EC8" w14:textId="11FA7EA9" w:rsidR="000B5A53" w:rsidRPr="002106BA" w:rsidRDefault="000B5A53" w:rsidP="002C3AC5">
            <w:pPr>
              <w:widowControl w:val="0"/>
              <w:jc w:val="center"/>
              <w:rPr>
                <w:rFonts w:ascii="Arial Narrow" w:hAnsi="Arial Narrow"/>
                <w:color w:val="333333"/>
                <w:sz w:val="20"/>
                <w:szCs w:val="20"/>
              </w:rPr>
            </w:pPr>
          </w:p>
        </w:tc>
        <w:tc>
          <w:tcPr>
            <w:tcW w:w="7745" w:type="dxa"/>
            <w:vAlign w:val="center"/>
          </w:tcPr>
          <w:p w14:paraId="0920BB3E" w14:textId="6BD4CE2F" w:rsidR="000B5A53" w:rsidRPr="002106BA" w:rsidRDefault="000B5A53" w:rsidP="002C3AC5">
            <w:pPr>
              <w:widowControl w:val="0"/>
              <w:rPr>
                <w:rFonts w:ascii="Arial Narrow" w:hAnsi="Arial Narrow"/>
                <w:b/>
                <w:bCs/>
                <w:color w:val="000000" w:themeColor="text1"/>
                <w:sz w:val="20"/>
                <w:szCs w:val="20"/>
              </w:rPr>
            </w:pPr>
            <w:r w:rsidRPr="002106BA">
              <w:rPr>
                <w:rFonts w:ascii="Arial Narrow" w:hAnsi="Arial Narrow"/>
                <w:b/>
                <w:bCs/>
                <w:color w:val="333333"/>
                <w:sz w:val="20"/>
                <w:szCs w:val="20"/>
              </w:rPr>
              <w:t>Treatment criteria:</w:t>
            </w:r>
          </w:p>
        </w:tc>
      </w:tr>
      <w:tr w:rsidR="00E87B2D" w:rsidRPr="002106BA" w14:paraId="341D7012" w14:textId="77777777" w:rsidTr="00920D12">
        <w:trPr>
          <w:cantSplit/>
          <w:trHeight w:val="20"/>
        </w:trPr>
        <w:tc>
          <w:tcPr>
            <w:tcW w:w="1277" w:type="dxa"/>
            <w:vAlign w:val="center"/>
          </w:tcPr>
          <w:p w14:paraId="7A360A7C" w14:textId="51D9CE12" w:rsidR="000B5A53" w:rsidRPr="002106BA" w:rsidRDefault="000B5A53" w:rsidP="002C3AC5">
            <w:pPr>
              <w:widowControl w:val="0"/>
              <w:jc w:val="center"/>
              <w:rPr>
                <w:rFonts w:ascii="Arial Narrow" w:hAnsi="Arial Narrow"/>
                <w:color w:val="333333"/>
                <w:sz w:val="20"/>
                <w:szCs w:val="20"/>
              </w:rPr>
            </w:pPr>
          </w:p>
        </w:tc>
        <w:tc>
          <w:tcPr>
            <w:tcW w:w="7745" w:type="dxa"/>
            <w:vAlign w:val="center"/>
          </w:tcPr>
          <w:p w14:paraId="063D3FA5" w14:textId="62BFF774" w:rsidR="000B5A53" w:rsidRPr="002106BA" w:rsidRDefault="000B5A53" w:rsidP="002C3AC5">
            <w:pPr>
              <w:widowControl w:val="0"/>
              <w:rPr>
                <w:rFonts w:ascii="Arial Narrow" w:hAnsi="Arial Narrow"/>
                <w:b/>
                <w:bCs/>
                <w:color w:val="000000" w:themeColor="text1"/>
                <w:sz w:val="20"/>
                <w:szCs w:val="20"/>
              </w:rPr>
            </w:pPr>
            <w:r w:rsidRPr="002106BA">
              <w:rPr>
                <w:rFonts w:ascii="Arial Narrow" w:hAnsi="Arial Narrow" w:cs="Arial Narrow"/>
                <w:iCs/>
                <w:color w:val="000000" w:themeColor="text1"/>
                <w:sz w:val="20"/>
                <w:szCs w:val="20"/>
              </w:rPr>
              <w:t>Must be treated by a consultant with experience in the management of amyloid disorders or in consultation with a consultant with experience in the management of amyloid disorders</w:t>
            </w:r>
          </w:p>
        </w:tc>
      </w:tr>
      <w:tr w:rsidR="000B5A53" w:rsidRPr="002106BA" w14:paraId="48B4C81E" w14:textId="77777777" w:rsidTr="00920D12">
        <w:trPr>
          <w:cantSplit/>
          <w:trHeight w:val="20"/>
        </w:trPr>
        <w:tc>
          <w:tcPr>
            <w:tcW w:w="1277" w:type="dxa"/>
            <w:vAlign w:val="center"/>
          </w:tcPr>
          <w:p w14:paraId="00BAFB1A" w14:textId="2BC3569E" w:rsidR="000B5A53" w:rsidRPr="002106BA" w:rsidRDefault="000B5A53" w:rsidP="002C3AC5">
            <w:pPr>
              <w:widowControl w:val="0"/>
              <w:jc w:val="center"/>
              <w:rPr>
                <w:rFonts w:ascii="Arial Narrow" w:hAnsi="Arial Narrow"/>
                <w:color w:val="333333"/>
                <w:sz w:val="20"/>
                <w:szCs w:val="20"/>
              </w:rPr>
            </w:pPr>
          </w:p>
        </w:tc>
        <w:tc>
          <w:tcPr>
            <w:tcW w:w="7745" w:type="dxa"/>
            <w:vAlign w:val="center"/>
          </w:tcPr>
          <w:p w14:paraId="203FBFFB" w14:textId="77777777" w:rsidR="000B5A53" w:rsidRPr="002106BA" w:rsidRDefault="000B5A53" w:rsidP="002C3AC5">
            <w:pPr>
              <w:widowControl w:val="0"/>
              <w:rPr>
                <w:rFonts w:ascii="Arial Narrow" w:hAnsi="Arial Narrow"/>
                <w:color w:val="000000" w:themeColor="text1"/>
                <w:sz w:val="20"/>
                <w:szCs w:val="20"/>
              </w:rPr>
            </w:pPr>
            <w:r w:rsidRPr="002106BA">
              <w:rPr>
                <w:rFonts w:ascii="Arial Narrow" w:hAnsi="Arial Narrow"/>
                <w:b/>
                <w:bCs/>
                <w:color w:val="000000" w:themeColor="text1"/>
                <w:sz w:val="20"/>
                <w:szCs w:val="20"/>
              </w:rPr>
              <w:t>Treatment criteria:</w:t>
            </w:r>
          </w:p>
        </w:tc>
      </w:tr>
      <w:tr w:rsidR="000B5A53" w:rsidRPr="002106BA" w14:paraId="11F73B69" w14:textId="77777777" w:rsidTr="00920D12">
        <w:trPr>
          <w:cantSplit/>
          <w:trHeight w:val="20"/>
        </w:trPr>
        <w:tc>
          <w:tcPr>
            <w:tcW w:w="1277" w:type="dxa"/>
            <w:vAlign w:val="center"/>
          </w:tcPr>
          <w:p w14:paraId="5A6DF443" w14:textId="7FDEA936" w:rsidR="000B5A53" w:rsidRPr="002106BA" w:rsidRDefault="000B5A53" w:rsidP="002C3AC5">
            <w:pPr>
              <w:widowControl w:val="0"/>
              <w:jc w:val="center"/>
              <w:rPr>
                <w:rFonts w:ascii="Arial Narrow" w:hAnsi="Arial Narrow"/>
                <w:color w:val="333333"/>
                <w:sz w:val="20"/>
                <w:szCs w:val="20"/>
              </w:rPr>
            </w:pPr>
          </w:p>
        </w:tc>
        <w:tc>
          <w:tcPr>
            <w:tcW w:w="7745" w:type="dxa"/>
            <w:vAlign w:val="center"/>
          </w:tcPr>
          <w:p w14:paraId="474089E7" w14:textId="77777777" w:rsidR="000B5A53" w:rsidRPr="002106BA" w:rsidRDefault="000B5A53" w:rsidP="002C3AC5">
            <w:pPr>
              <w:widowControl w:val="0"/>
              <w:rPr>
                <w:rFonts w:ascii="Arial Narrow" w:hAnsi="Arial Narrow"/>
                <w:color w:val="000000" w:themeColor="text1"/>
                <w:sz w:val="20"/>
                <w:szCs w:val="20"/>
              </w:rPr>
            </w:pPr>
            <w:r w:rsidRPr="002106BA">
              <w:rPr>
                <w:rFonts w:ascii="Arial Narrow" w:hAnsi="Arial Narrow" w:cs="Arial Narrow"/>
                <w:iCs/>
                <w:color w:val="000000" w:themeColor="text1"/>
                <w:sz w:val="20"/>
                <w:szCs w:val="20"/>
              </w:rPr>
              <w:t>Patient must be undergoing treatment with this drug as a monotherapy (i.e. not in combination with any other disease modifying medicines for amyloidosis disorders)</w:t>
            </w:r>
          </w:p>
        </w:tc>
      </w:tr>
      <w:tr w:rsidR="000B5A53" w:rsidRPr="002106BA" w14:paraId="480157BD" w14:textId="77777777" w:rsidTr="00920D12">
        <w:trPr>
          <w:cantSplit/>
          <w:trHeight w:val="20"/>
        </w:trPr>
        <w:tc>
          <w:tcPr>
            <w:tcW w:w="1277" w:type="dxa"/>
            <w:vAlign w:val="center"/>
          </w:tcPr>
          <w:p w14:paraId="54AEF27A" w14:textId="1C0E7734" w:rsidR="000B5A53" w:rsidRPr="002106BA" w:rsidRDefault="000B5A53" w:rsidP="002C3AC5">
            <w:pPr>
              <w:widowControl w:val="0"/>
              <w:jc w:val="center"/>
              <w:rPr>
                <w:rFonts w:ascii="Arial Narrow" w:hAnsi="Arial Narrow"/>
                <w:color w:val="333333"/>
                <w:sz w:val="20"/>
                <w:szCs w:val="20"/>
              </w:rPr>
            </w:pPr>
          </w:p>
        </w:tc>
        <w:tc>
          <w:tcPr>
            <w:tcW w:w="7745" w:type="dxa"/>
            <w:vAlign w:val="center"/>
          </w:tcPr>
          <w:p w14:paraId="56990929" w14:textId="77777777" w:rsidR="000B5A53" w:rsidRPr="002106BA" w:rsidRDefault="000B5A53" w:rsidP="002C3AC5">
            <w:pPr>
              <w:widowControl w:val="0"/>
              <w:rPr>
                <w:rFonts w:ascii="Arial Narrow" w:hAnsi="Arial Narrow"/>
                <w:b/>
                <w:bCs/>
                <w:color w:val="333333"/>
                <w:sz w:val="20"/>
                <w:szCs w:val="20"/>
              </w:rPr>
            </w:pPr>
            <w:r w:rsidRPr="002106BA">
              <w:rPr>
                <w:rFonts w:ascii="Arial Narrow" w:hAnsi="Arial Narrow"/>
                <w:b/>
                <w:bCs/>
                <w:color w:val="000000" w:themeColor="text1"/>
                <w:sz w:val="20"/>
                <w:szCs w:val="20"/>
              </w:rPr>
              <w:t xml:space="preserve">Prescribing Instructions: </w:t>
            </w:r>
            <w:r w:rsidRPr="002106BA">
              <w:rPr>
                <w:rFonts w:ascii="Arial Narrow" w:hAnsi="Arial Narrow"/>
                <w:bCs/>
                <w:color w:val="000000" w:themeColor="text1"/>
                <w:sz w:val="20"/>
                <w:szCs w:val="20"/>
              </w:rPr>
              <w:t>Applications for authorisation under this treatment phase must be made via the Online PBS Authorities System (real time assessment) or in writing via HPOS form upload or mail., If the application is submitted through HPOS form upload or mail, it must include:, (a) details of the proposed prescription; and, (b) a completed authority application form relevant to the indication and treatment phase (the latest version is located on the website specified in the Administrative Advice).</w:t>
            </w:r>
          </w:p>
        </w:tc>
      </w:tr>
    </w:tbl>
    <w:bookmarkEnd w:id="73"/>
    <w:p w14:paraId="562E0156" w14:textId="77777777" w:rsidR="00785302" w:rsidRPr="00785302" w:rsidRDefault="00785302" w:rsidP="00785302">
      <w:pPr>
        <w:spacing w:before="120"/>
        <w:rPr>
          <w:rFonts w:asciiTheme="minorHAnsi" w:hAnsiTheme="minorHAnsi"/>
          <w:b/>
          <w:i/>
          <w:iCs/>
          <w:snapToGrid w:val="0"/>
          <w:lang w:val="en-GB"/>
        </w:rPr>
      </w:pPr>
      <w:r w:rsidRPr="00785302">
        <w:rPr>
          <w:rFonts w:asciiTheme="minorHAnsi" w:hAnsiTheme="minorHAnsi"/>
          <w:b/>
          <w:i/>
          <w:iCs/>
          <w:snapToGrid w:val="0"/>
          <w:lang w:val="en-GB"/>
        </w:rPr>
        <w:t>These restrictions may be subject to further review. Should there be any changes made to the restriction the sponsor will be informed.</w:t>
      </w:r>
    </w:p>
    <w:p w14:paraId="03CB3135" w14:textId="77777777" w:rsidR="00F5249E" w:rsidRPr="00F5249E" w:rsidRDefault="00F5249E" w:rsidP="00F5249E">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89" w:name="_Hlk175730821"/>
      <w:r w:rsidRPr="00F5249E">
        <w:rPr>
          <w:rFonts w:asciiTheme="minorHAnsi" w:hAnsiTheme="minorHAnsi" w:cs="Times New Roman"/>
          <w:b/>
          <w:bCs/>
          <w:snapToGrid w:val="0"/>
          <w:sz w:val="32"/>
          <w:szCs w:val="32"/>
        </w:rPr>
        <w:lastRenderedPageBreak/>
        <w:t>Context for Decision</w:t>
      </w:r>
    </w:p>
    <w:p w14:paraId="252B6811" w14:textId="77777777" w:rsidR="00F5249E" w:rsidRPr="00F5249E" w:rsidRDefault="00F5249E" w:rsidP="00406AA8">
      <w:pPr>
        <w:spacing w:after="120"/>
        <w:ind w:left="720"/>
        <w:rPr>
          <w:rFonts w:asciiTheme="minorHAnsi" w:hAnsiTheme="minorHAnsi" w:cs="Times New Roman"/>
          <w:bCs/>
          <w:lang w:val="en-GB"/>
        </w:rPr>
      </w:pPr>
      <w:r w:rsidRPr="00F5249E">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D44154B" w14:textId="77777777" w:rsidR="00F5249E" w:rsidRPr="00F5249E" w:rsidRDefault="00F5249E" w:rsidP="00F5249E">
      <w:pPr>
        <w:keepNext/>
        <w:numPr>
          <w:ilvl w:val="0"/>
          <w:numId w:val="1"/>
        </w:numPr>
        <w:spacing w:before="240" w:after="120"/>
        <w:jc w:val="left"/>
        <w:outlineLvl w:val="0"/>
        <w:rPr>
          <w:rFonts w:asciiTheme="minorHAnsi" w:hAnsiTheme="minorHAnsi" w:cs="Times New Roman"/>
          <w:b/>
          <w:snapToGrid w:val="0"/>
          <w:sz w:val="32"/>
          <w:szCs w:val="32"/>
        </w:rPr>
      </w:pPr>
      <w:r w:rsidRPr="00F5249E">
        <w:rPr>
          <w:rFonts w:asciiTheme="minorHAnsi" w:hAnsiTheme="minorHAnsi" w:cs="Times New Roman"/>
          <w:b/>
          <w:snapToGrid w:val="0"/>
          <w:sz w:val="32"/>
          <w:szCs w:val="32"/>
        </w:rPr>
        <w:t>Sponsor’s Comment</w:t>
      </w:r>
    </w:p>
    <w:p w14:paraId="71E3D8C6" w14:textId="17DD4CD1" w:rsidR="00785302" w:rsidRPr="002106BA" w:rsidRDefault="00F5249E" w:rsidP="009B2646">
      <w:pPr>
        <w:spacing w:after="120" w:line="276" w:lineRule="auto"/>
        <w:ind w:left="720"/>
        <w:jc w:val="left"/>
        <w:rPr>
          <w:rFonts w:asciiTheme="minorHAnsi" w:hAnsiTheme="minorHAnsi"/>
          <w:b/>
          <w:snapToGrid w:val="0"/>
          <w:sz w:val="32"/>
          <w:szCs w:val="32"/>
        </w:rPr>
      </w:pPr>
      <w:r w:rsidRPr="00F5249E">
        <w:rPr>
          <w:rFonts w:asciiTheme="minorHAnsi" w:eastAsiaTheme="minorHAnsi" w:hAnsiTheme="minorHAnsi" w:cs="Times New Roman"/>
          <w:bCs/>
          <w:szCs w:val="22"/>
          <w:lang w:eastAsia="en-US"/>
        </w:rPr>
        <w:t>The sponsor had no comment.</w:t>
      </w:r>
      <w:bookmarkEnd w:id="89"/>
    </w:p>
    <w:sectPr w:rsidR="00785302" w:rsidRPr="002106BA" w:rsidSect="0036456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343B" w14:textId="77777777" w:rsidR="00387D3F" w:rsidRDefault="00387D3F" w:rsidP="00124A51">
      <w:r>
        <w:separator/>
      </w:r>
    </w:p>
    <w:p w14:paraId="74D77AAC" w14:textId="77777777" w:rsidR="00387D3F" w:rsidRDefault="00387D3F"/>
    <w:p w14:paraId="0989FE04" w14:textId="77777777" w:rsidR="00387D3F" w:rsidRDefault="00387D3F"/>
    <w:p w14:paraId="0DE297BA" w14:textId="77777777" w:rsidR="00387D3F" w:rsidRDefault="00387D3F"/>
  </w:endnote>
  <w:endnote w:type="continuationSeparator" w:id="0">
    <w:p w14:paraId="5A6018BE" w14:textId="77777777" w:rsidR="00387D3F" w:rsidRDefault="00387D3F" w:rsidP="00124A51">
      <w:r>
        <w:continuationSeparator/>
      </w:r>
    </w:p>
    <w:p w14:paraId="33A2173A" w14:textId="77777777" w:rsidR="00387D3F" w:rsidRDefault="00387D3F"/>
    <w:p w14:paraId="6C61DC9E" w14:textId="77777777" w:rsidR="00387D3F" w:rsidRDefault="00387D3F"/>
    <w:p w14:paraId="01597D5B" w14:textId="77777777" w:rsidR="00387D3F" w:rsidRDefault="00387D3F"/>
  </w:endnote>
  <w:endnote w:type="continuationNotice" w:id="1">
    <w:p w14:paraId="41CEA7C0" w14:textId="77777777" w:rsidR="00387D3F" w:rsidRDefault="00387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abon">
    <w:altName w:val="Cambria"/>
    <w:charset w:val="00"/>
    <w:family w:val="roman"/>
    <w:pitch w:val="variable"/>
    <w:sig w:usb0="00000001"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BD4A" w14:textId="77777777" w:rsidR="00DD7F0E" w:rsidRDefault="00DD7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F864" w14:textId="77777777" w:rsidR="00364566" w:rsidRDefault="00364566" w:rsidP="00364566">
    <w:pPr>
      <w:pStyle w:val="Footer"/>
      <w:jc w:val="center"/>
    </w:pPr>
  </w:p>
  <w:bookmarkStart w:id="91" w:name="_Hlk76375156"/>
  <w:p w14:paraId="53ED6C3B" w14:textId="5495AE61" w:rsidR="00364566" w:rsidRPr="00EF64BC" w:rsidRDefault="00EF64BC" w:rsidP="00EF64B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9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8234" w14:textId="77777777" w:rsidR="00DD7F0E" w:rsidRDefault="00DD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BA99" w14:textId="77777777" w:rsidR="00387D3F" w:rsidRDefault="00387D3F" w:rsidP="00124A51">
      <w:r>
        <w:separator/>
      </w:r>
    </w:p>
    <w:p w14:paraId="0E925886" w14:textId="77777777" w:rsidR="00387D3F" w:rsidRDefault="00387D3F"/>
    <w:p w14:paraId="1F5AD776" w14:textId="77777777" w:rsidR="00387D3F" w:rsidRDefault="00387D3F"/>
    <w:p w14:paraId="7B0887FB" w14:textId="77777777" w:rsidR="00387D3F" w:rsidRDefault="00387D3F"/>
  </w:footnote>
  <w:footnote w:type="continuationSeparator" w:id="0">
    <w:p w14:paraId="1BBFAB72" w14:textId="77777777" w:rsidR="00387D3F" w:rsidRDefault="00387D3F" w:rsidP="00124A51">
      <w:r>
        <w:continuationSeparator/>
      </w:r>
    </w:p>
    <w:p w14:paraId="2320EB1D" w14:textId="77777777" w:rsidR="00387D3F" w:rsidRDefault="00387D3F"/>
    <w:p w14:paraId="40E881F0" w14:textId="77777777" w:rsidR="00387D3F" w:rsidRDefault="00387D3F"/>
    <w:p w14:paraId="32CDBC30" w14:textId="77777777" w:rsidR="00387D3F" w:rsidRDefault="00387D3F"/>
  </w:footnote>
  <w:footnote w:type="continuationNotice" w:id="1">
    <w:p w14:paraId="770288B4" w14:textId="77777777" w:rsidR="00387D3F" w:rsidRDefault="00387D3F"/>
  </w:footnote>
  <w:footnote w:id="2">
    <w:p w14:paraId="0BDAF4B2" w14:textId="71A7C2DE" w:rsidR="00963685" w:rsidRDefault="00963685">
      <w:pPr>
        <w:pStyle w:val="FootnoteText"/>
      </w:pPr>
      <w:r>
        <w:rPr>
          <w:rStyle w:val="FootnoteReference"/>
        </w:rPr>
        <w:footnoteRef/>
      </w:r>
      <w:r>
        <w:t xml:space="preserve"> </w:t>
      </w:r>
      <w:r w:rsidRPr="00963685">
        <w:t>https://www.servicesaustralia.gov.au/dispensing-highly-specialised-drugs-hsd?context=20#accordion2</w:t>
      </w:r>
    </w:p>
  </w:footnote>
  <w:footnote w:id="3">
    <w:p w14:paraId="254ACAFD" w14:textId="78B0F112" w:rsidR="00531C0D" w:rsidRDefault="00531C0D">
      <w:pPr>
        <w:pStyle w:val="FootnoteText"/>
      </w:pPr>
      <w:r>
        <w:rPr>
          <w:rStyle w:val="FootnoteReference"/>
        </w:rPr>
        <w:footnoteRef/>
      </w:r>
      <w:r>
        <w:t xml:space="preserve"> </w:t>
      </w:r>
      <w:hyperlink r:id="rId1" w:history="1">
        <w:r w:rsidRPr="002F2A16">
          <w:rPr>
            <w:rStyle w:val="Hyperlink"/>
          </w:rPr>
          <w:t>https://clinicaltrials.gov/study/NCT03759379</w:t>
        </w:r>
      </w:hyperlink>
      <w:r>
        <w:t>, accessed 6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ECC6" w14:textId="77777777" w:rsidR="00DD7F0E" w:rsidRDefault="00DD7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1869" w14:textId="40B26B1B" w:rsidR="00EF64BC" w:rsidRPr="00056684" w:rsidRDefault="00E519AD" w:rsidP="00EF64BC">
    <w:pPr>
      <w:pStyle w:val="Header"/>
      <w:ind w:left="360"/>
      <w:rPr>
        <w:rFonts w:asciiTheme="minorHAnsi" w:hAnsiTheme="minorHAnsi"/>
        <w:i w:val="0"/>
        <w:color w:val="808080"/>
      </w:rPr>
    </w:pPr>
    <w:bookmarkStart w:id="90" w:name="_Hlk76375146"/>
    <w:r w:rsidRPr="00E519AD">
      <w:rPr>
        <w:rFonts w:asciiTheme="minorHAnsi" w:hAnsiTheme="minorHAnsi"/>
        <w:color w:val="808080"/>
      </w:rPr>
      <w:t xml:space="preserve">Public Summary Document </w:t>
    </w:r>
    <w:r w:rsidR="00EF64BC" w:rsidRPr="00056684">
      <w:rPr>
        <w:rFonts w:asciiTheme="minorHAnsi" w:hAnsiTheme="minorHAnsi"/>
        <w:color w:val="808080"/>
      </w:rPr>
      <w:t xml:space="preserve">– </w:t>
    </w:r>
    <w:r w:rsidR="00EF64BC">
      <w:rPr>
        <w:rFonts w:asciiTheme="minorHAnsi" w:hAnsiTheme="minorHAnsi"/>
        <w:color w:val="808080"/>
      </w:rPr>
      <w:t>November 2024</w:t>
    </w:r>
    <w:r w:rsidR="00EF64BC" w:rsidRPr="00056684">
      <w:rPr>
        <w:rFonts w:asciiTheme="minorHAnsi" w:hAnsiTheme="minorHAnsi"/>
        <w:color w:val="808080"/>
      </w:rPr>
      <w:t xml:space="preserve"> PBAC Meeting</w:t>
    </w:r>
  </w:p>
  <w:bookmarkEnd w:id="90"/>
  <w:p w14:paraId="29CD5DA0" w14:textId="77777777" w:rsidR="00364566" w:rsidRDefault="00364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89B7" w14:textId="77777777" w:rsidR="00DD7F0E" w:rsidRDefault="00DD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B6274A"/>
    <w:multiLevelType w:val="hybridMultilevel"/>
    <w:tmpl w:val="D2B61D7C"/>
    <w:lvl w:ilvl="0" w:tplc="7212A4E0">
      <w:start w:val="1"/>
      <w:numFmt w:val="decimal"/>
      <w:lvlText w:val="%1."/>
      <w:lvlJc w:val="left"/>
      <w:pPr>
        <w:ind w:left="1778" w:hanging="360"/>
      </w:pPr>
      <w:rPr>
        <w:rFonts w:hint="default"/>
        <w:b w:val="0"/>
        <w:b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1D0B7B"/>
    <w:multiLevelType w:val="hybridMultilevel"/>
    <w:tmpl w:val="53763C08"/>
    <w:lvl w:ilvl="0" w:tplc="7BE8DEAC">
      <w:start w:val="1"/>
      <w:numFmt w:val="bullet"/>
      <w:lvlText w:val="•"/>
      <w:lvlJc w:val="left"/>
      <w:pPr>
        <w:tabs>
          <w:tab w:val="num" w:pos="720"/>
        </w:tabs>
        <w:ind w:left="720" w:hanging="360"/>
      </w:pPr>
      <w:rPr>
        <w:rFonts w:ascii="Arial" w:hAnsi="Arial" w:hint="default"/>
      </w:rPr>
    </w:lvl>
    <w:lvl w:ilvl="1" w:tplc="1FC067C0">
      <w:start w:val="1"/>
      <w:numFmt w:val="bullet"/>
      <w:lvlText w:val="•"/>
      <w:lvlJc w:val="left"/>
      <w:pPr>
        <w:tabs>
          <w:tab w:val="num" w:pos="1440"/>
        </w:tabs>
        <w:ind w:left="1440" w:hanging="360"/>
      </w:pPr>
      <w:rPr>
        <w:rFonts w:ascii="Arial" w:hAnsi="Arial" w:hint="default"/>
      </w:rPr>
    </w:lvl>
    <w:lvl w:ilvl="2" w:tplc="ABA68090" w:tentative="1">
      <w:start w:val="1"/>
      <w:numFmt w:val="bullet"/>
      <w:lvlText w:val="•"/>
      <w:lvlJc w:val="left"/>
      <w:pPr>
        <w:tabs>
          <w:tab w:val="num" w:pos="2160"/>
        </w:tabs>
        <w:ind w:left="2160" w:hanging="360"/>
      </w:pPr>
      <w:rPr>
        <w:rFonts w:ascii="Arial" w:hAnsi="Arial" w:hint="default"/>
      </w:rPr>
    </w:lvl>
    <w:lvl w:ilvl="3" w:tplc="91F034BA" w:tentative="1">
      <w:start w:val="1"/>
      <w:numFmt w:val="bullet"/>
      <w:lvlText w:val="•"/>
      <w:lvlJc w:val="left"/>
      <w:pPr>
        <w:tabs>
          <w:tab w:val="num" w:pos="2880"/>
        </w:tabs>
        <w:ind w:left="2880" w:hanging="360"/>
      </w:pPr>
      <w:rPr>
        <w:rFonts w:ascii="Arial" w:hAnsi="Arial" w:hint="default"/>
      </w:rPr>
    </w:lvl>
    <w:lvl w:ilvl="4" w:tplc="43CC5E64" w:tentative="1">
      <w:start w:val="1"/>
      <w:numFmt w:val="bullet"/>
      <w:lvlText w:val="•"/>
      <w:lvlJc w:val="left"/>
      <w:pPr>
        <w:tabs>
          <w:tab w:val="num" w:pos="3600"/>
        </w:tabs>
        <w:ind w:left="3600" w:hanging="360"/>
      </w:pPr>
      <w:rPr>
        <w:rFonts w:ascii="Arial" w:hAnsi="Arial" w:hint="default"/>
      </w:rPr>
    </w:lvl>
    <w:lvl w:ilvl="5" w:tplc="84623998" w:tentative="1">
      <w:start w:val="1"/>
      <w:numFmt w:val="bullet"/>
      <w:lvlText w:val="•"/>
      <w:lvlJc w:val="left"/>
      <w:pPr>
        <w:tabs>
          <w:tab w:val="num" w:pos="4320"/>
        </w:tabs>
        <w:ind w:left="4320" w:hanging="360"/>
      </w:pPr>
      <w:rPr>
        <w:rFonts w:ascii="Arial" w:hAnsi="Arial" w:hint="default"/>
      </w:rPr>
    </w:lvl>
    <w:lvl w:ilvl="6" w:tplc="CF8CDDD8" w:tentative="1">
      <w:start w:val="1"/>
      <w:numFmt w:val="bullet"/>
      <w:lvlText w:val="•"/>
      <w:lvlJc w:val="left"/>
      <w:pPr>
        <w:tabs>
          <w:tab w:val="num" w:pos="5040"/>
        </w:tabs>
        <w:ind w:left="5040" w:hanging="360"/>
      </w:pPr>
      <w:rPr>
        <w:rFonts w:ascii="Arial" w:hAnsi="Arial" w:hint="default"/>
      </w:rPr>
    </w:lvl>
    <w:lvl w:ilvl="7" w:tplc="2DEE771A" w:tentative="1">
      <w:start w:val="1"/>
      <w:numFmt w:val="bullet"/>
      <w:lvlText w:val="•"/>
      <w:lvlJc w:val="left"/>
      <w:pPr>
        <w:tabs>
          <w:tab w:val="num" w:pos="5760"/>
        </w:tabs>
        <w:ind w:left="5760" w:hanging="360"/>
      </w:pPr>
      <w:rPr>
        <w:rFonts w:ascii="Arial" w:hAnsi="Arial" w:hint="default"/>
      </w:rPr>
    </w:lvl>
    <w:lvl w:ilvl="8" w:tplc="7E1A32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9A6469"/>
    <w:multiLevelType w:val="hybridMultilevel"/>
    <w:tmpl w:val="D41CD6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CF23F9"/>
    <w:multiLevelType w:val="multilevel"/>
    <w:tmpl w:val="6E3A0E9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361FDE"/>
    <w:multiLevelType w:val="hybridMultilevel"/>
    <w:tmpl w:val="69D81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DD7815"/>
    <w:multiLevelType w:val="hybridMultilevel"/>
    <w:tmpl w:val="BD1EC366"/>
    <w:lvl w:ilvl="0" w:tplc="D95646BA">
      <w:start w:val="3"/>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17"/>
  </w:num>
  <w:num w:numId="2" w16cid:durableId="917793048">
    <w:abstractNumId w:val="7"/>
  </w:num>
  <w:num w:numId="3" w16cid:durableId="1048839230">
    <w:abstractNumId w:val="17"/>
  </w:num>
  <w:num w:numId="4" w16cid:durableId="2123836775">
    <w:abstractNumId w:val="8"/>
  </w:num>
  <w:num w:numId="5" w16cid:durableId="690643893">
    <w:abstractNumId w:val="2"/>
  </w:num>
  <w:num w:numId="6" w16cid:durableId="68622730">
    <w:abstractNumId w:val="15"/>
  </w:num>
  <w:num w:numId="7" w16cid:durableId="1021971401">
    <w:abstractNumId w:val="4"/>
  </w:num>
  <w:num w:numId="8" w16cid:durableId="1947349301">
    <w:abstractNumId w:val="19"/>
  </w:num>
  <w:num w:numId="9" w16cid:durableId="126240624">
    <w:abstractNumId w:val="14"/>
  </w:num>
  <w:num w:numId="10" w16cid:durableId="2088915997">
    <w:abstractNumId w:val="18"/>
  </w:num>
  <w:num w:numId="11" w16cid:durableId="1476992387">
    <w:abstractNumId w:val="11"/>
  </w:num>
  <w:num w:numId="12" w16cid:durableId="408699874">
    <w:abstractNumId w:val="9"/>
  </w:num>
  <w:num w:numId="13" w16cid:durableId="1569418770">
    <w:abstractNumId w:val="1"/>
  </w:num>
  <w:num w:numId="14" w16cid:durableId="705176722">
    <w:abstractNumId w:val="0"/>
  </w:num>
  <w:num w:numId="15" w16cid:durableId="1926569401">
    <w:abstractNumId w:val="5"/>
  </w:num>
  <w:num w:numId="16" w16cid:durableId="1979457665">
    <w:abstractNumId w:val="6"/>
  </w:num>
  <w:num w:numId="17" w16cid:durableId="2038313566">
    <w:abstractNumId w:val="3"/>
  </w:num>
  <w:num w:numId="18"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997201">
    <w:abstractNumId w:val="16"/>
  </w:num>
  <w:num w:numId="20" w16cid:durableId="1689135098">
    <w:abstractNumId w:val="17"/>
  </w:num>
  <w:num w:numId="21" w16cid:durableId="1199784426">
    <w:abstractNumId w:val="10"/>
  </w:num>
  <w:num w:numId="22" w16cid:durableId="99700418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10"/>
    <w:rsid w:val="00000D6C"/>
    <w:rsid w:val="0000110B"/>
    <w:rsid w:val="00001369"/>
    <w:rsid w:val="00001568"/>
    <w:rsid w:val="0000239F"/>
    <w:rsid w:val="000027BC"/>
    <w:rsid w:val="00002C05"/>
    <w:rsid w:val="00003499"/>
    <w:rsid w:val="0000370D"/>
    <w:rsid w:val="000039B7"/>
    <w:rsid w:val="00004174"/>
    <w:rsid w:val="00004234"/>
    <w:rsid w:val="000043CD"/>
    <w:rsid w:val="00004B33"/>
    <w:rsid w:val="00005074"/>
    <w:rsid w:val="000056B9"/>
    <w:rsid w:val="00005FB5"/>
    <w:rsid w:val="0000639A"/>
    <w:rsid w:val="0000640F"/>
    <w:rsid w:val="00006E87"/>
    <w:rsid w:val="000075AC"/>
    <w:rsid w:val="00007619"/>
    <w:rsid w:val="00007D10"/>
    <w:rsid w:val="0001047B"/>
    <w:rsid w:val="00010871"/>
    <w:rsid w:val="0001096E"/>
    <w:rsid w:val="00010F5B"/>
    <w:rsid w:val="00012088"/>
    <w:rsid w:val="000128B7"/>
    <w:rsid w:val="00012E91"/>
    <w:rsid w:val="00013247"/>
    <w:rsid w:val="00013335"/>
    <w:rsid w:val="00013395"/>
    <w:rsid w:val="00013603"/>
    <w:rsid w:val="00014257"/>
    <w:rsid w:val="000146AE"/>
    <w:rsid w:val="00015054"/>
    <w:rsid w:val="00015886"/>
    <w:rsid w:val="000162EF"/>
    <w:rsid w:val="000168E4"/>
    <w:rsid w:val="000200F1"/>
    <w:rsid w:val="000202E2"/>
    <w:rsid w:val="00020304"/>
    <w:rsid w:val="00020556"/>
    <w:rsid w:val="00020763"/>
    <w:rsid w:val="000207C9"/>
    <w:rsid w:val="000209A8"/>
    <w:rsid w:val="00020A50"/>
    <w:rsid w:val="00020E95"/>
    <w:rsid w:val="0002134A"/>
    <w:rsid w:val="000215A0"/>
    <w:rsid w:val="00021729"/>
    <w:rsid w:val="00021784"/>
    <w:rsid w:val="00021803"/>
    <w:rsid w:val="00021A69"/>
    <w:rsid w:val="0002225F"/>
    <w:rsid w:val="0002235E"/>
    <w:rsid w:val="00022586"/>
    <w:rsid w:val="00023564"/>
    <w:rsid w:val="00023763"/>
    <w:rsid w:val="000241AC"/>
    <w:rsid w:val="000243BB"/>
    <w:rsid w:val="0002448B"/>
    <w:rsid w:val="000245CC"/>
    <w:rsid w:val="00024B76"/>
    <w:rsid w:val="00024EB5"/>
    <w:rsid w:val="00025D73"/>
    <w:rsid w:val="00026099"/>
    <w:rsid w:val="00026102"/>
    <w:rsid w:val="000266E6"/>
    <w:rsid w:val="000267DE"/>
    <w:rsid w:val="00026980"/>
    <w:rsid w:val="00026A77"/>
    <w:rsid w:val="000272E9"/>
    <w:rsid w:val="000274B8"/>
    <w:rsid w:val="0002751A"/>
    <w:rsid w:val="000278D8"/>
    <w:rsid w:val="00027FB8"/>
    <w:rsid w:val="000302E9"/>
    <w:rsid w:val="00030F31"/>
    <w:rsid w:val="00030FE0"/>
    <w:rsid w:val="00031127"/>
    <w:rsid w:val="00031B2A"/>
    <w:rsid w:val="00032B64"/>
    <w:rsid w:val="000330CC"/>
    <w:rsid w:val="00033676"/>
    <w:rsid w:val="00033863"/>
    <w:rsid w:val="000339F6"/>
    <w:rsid w:val="00033C33"/>
    <w:rsid w:val="000345D9"/>
    <w:rsid w:val="00034CA5"/>
    <w:rsid w:val="000352FD"/>
    <w:rsid w:val="0003576F"/>
    <w:rsid w:val="00035B8C"/>
    <w:rsid w:val="00035DC0"/>
    <w:rsid w:val="00036829"/>
    <w:rsid w:val="00036F24"/>
    <w:rsid w:val="0003728E"/>
    <w:rsid w:val="0003735B"/>
    <w:rsid w:val="00037AEF"/>
    <w:rsid w:val="0004087F"/>
    <w:rsid w:val="00040895"/>
    <w:rsid w:val="00040B9B"/>
    <w:rsid w:val="00040F57"/>
    <w:rsid w:val="000410A0"/>
    <w:rsid w:val="00041355"/>
    <w:rsid w:val="000414D4"/>
    <w:rsid w:val="00041F79"/>
    <w:rsid w:val="000420A3"/>
    <w:rsid w:val="000423B1"/>
    <w:rsid w:val="0004299E"/>
    <w:rsid w:val="00043225"/>
    <w:rsid w:val="000435EE"/>
    <w:rsid w:val="00043C37"/>
    <w:rsid w:val="00043C96"/>
    <w:rsid w:val="00043DCA"/>
    <w:rsid w:val="000448E3"/>
    <w:rsid w:val="00044A53"/>
    <w:rsid w:val="00044CEC"/>
    <w:rsid w:val="00044D85"/>
    <w:rsid w:val="00044DA5"/>
    <w:rsid w:val="00044DF2"/>
    <w:rsid w:val="00045017"/>
    <w:rsid w:val="000451B8"/>
    <w:rsid w:val="000452D6"/>
    <w:rsid w:val="0004560A"/>
    <w:rsid w:val="00045A2B"/>
    <w:rsid w:val="00045A78"/>
    <w:rsid w:val="0004643F"/>
    <w:rsid w:val="000467A7"/>
    <w:rsid w:val="000467F4"/>
    <w:rsid w:val="0004698F"/>
    <w:rsid w:val="00046D64"/>
    <w:rsid w:val="0004708A"/>
    <w:rsid w:val="00047C79"/>
    <w:rsid w:val="00047E00"/>
    <w:rsid w:val="00050398"/>
    <w:rsid w:val="000508C2"/>
    <w:rsid w:val="00050B61"/>
    <w:rsid w:val="00050D18"/>
    <w:rsid w:val="0005253A"/>
    <w:rsid w:val="00052EDC"/>
    <w:rsid w:val="00053890"/>
    <w:rsid w:val="000539D0"/>
    <w:rsid w:val="00053A47"/>
    <w:rsid w:val="00053C06"/>
    <w:rsid w:val="00054621"/>
    <w:rsid w:val="000546D7"/>
    <w:rsid w:val="000548FF"/>
    <w:rsid w:val="00054A8D"/>
    <w:rsid w:val="00054AD1"/>
    <w:rsid w:val="000555BF"/>
    <w:rsid w:val="00056D68"/>
    <w:rsid w:val="00056ECF"/>
    <w:rsid w:val="00056F10"/>
    <w:rsid w:val="00057450"/>
    <w:rsid w:val="0005797F"/>
    <w:rsid w:val="00057AC0"/>
    <w:rsid w:val="00057B48"/>
    <w:rsid w:val="00057DE3"/>
    <w:rsid w:val="000604DF"/>
    <w:rsid w:val="000604FC"/>
    <w:rsid w:val="00061D6E"/>
    <w:rsid w:val="000620A5"/>
    <w:rsid w:val="00062324"/>
    <w:rsid w:val="00062366"/>
    <w:rsid w:val="00062D76"/>
    <w:rsid w:val="000632D5"/>
    <w:rsid w:val="00065007"/>
    <w:rsid w:val="00065317"/>
    <w:rsid w:val="000653B5"/>
    <w:rsid w:val="00065510"/>
    <w:rsid w:val="0006576F"/>
    <w:rsid w:val="000660DC"/>
    <w:rsid w:val="00066360"/>
    <w:rsid w:val="0006666D"/>
    <w:rsid w:val="00066844"/>
    <w:rsid w:val="000668DD"/>
    <w:rsid w:val="00066AF8"/>
    <w:rsid w:val="00066D72"/>
    <w:rsid w:val="000702F5"/>
    <w:rsid w:val="00070ADA"/>
    <w:rsid w:val="00071248"/>
    <w:rsid w:val="00071C5A"/>
    <w:rsid w:val="000720B9"/>
    <w:rsid w:val="00072B28"/>
    <w:rsid w:val="0007323E"/>
    <w:rsid w:val="00073331"/>
    <w:rsid w:val="0007352F"/>
    <w:rsid w:val="000737F7"/>
    <w:rsid w:val="00074216"/>
    <w:rsid w:val="0007490D"/>
    <w:rsid w:val="000750B9"/>
    <w:rsid w:val="0007519D"/>
    <w:rsid w:val="000759FF"/>
    <w:rsid w:val="00075C05"/>
    <w:rsid w:val="00076270"/>
    <w:rsid w:val="0007672F"/>
    <w:rsid w:val="000767B8"/>
    <w:rsid w:val="00076B54"/>
    <w:rsid w:val="000774F0"/>
    <w:rsid w:val="000778A7"/>
    <w:rsid w:val="00077A10"/>
    <w:rsid w:val="00077AF0"/>
    <w:rsid w:val="00080233"/>
    <w:rsid w:val="0008035A"/>
    <w:rsid w:val="00080394"/>
    <w:rsid w:val="000803B5"/>
    <w:rsid w:val="00080909"/>
    <w:rsid w:val="00080A9D"/>
    <w:rsid w:val="00080BAC"/>
    <w:rsid w:val="000812CA"/>
    <w:rsid w:val="00081482"/>
    <w:rsid w:val="00081520"/>
    <w:rsid w:val="00081C9A"/>
    <w:rsid w:val="00081E63"/>
    <w:rsid w:val="00081F02"/>
    <w:rsid w:val="00082285"/>
    <w:rsid w:val="0008252D"/>
    <w:rsid w:val="0008258D"/>
    <w:rsid w:val="00082630"/>
    <w:rsid w:val="00082DFB"/>
    <w:rsid w:val="00082EBF"/>
    <w:rsid w:val="00083927"/>
    <w:rsid w:val="00083BC4"/>
    <w:rsid w:val="00083E99"/>
    <w:rsid w:val="00083FCD"/>
    <w:rsid w:val="000848EC"/>
    <w:rsid w:val="00084BA5"/>
    <w:rsid w:val="00084D3A"/>
    <w:rsid w:val="00084F8F"/>
    <w:rsid w:val="00084FA8"/>
    <w:rsid w:val="000856C5"/>
    <w:rsid w:val="000856F3"/>
    <w:rsid w:val="00085C31"/>
    <w:rsid w:val="00085D0C"/>
    <w:rsid w:val="00087D0F"/>
    <w:rsid w:val="000902D9"/>
    <w:rsid w:val="00090685"/>
    <w:rsid w:val="00090AED"/>
    <w:rsid w:val="00090C7E"/>
    <w:rsid w:val="00090EBA"/>
    <w:rsid w:val="000911AC"/>
    <w:rsid w:val="0009135C"/>
    <w:rsid w:val="00091CB8"/>
    <w:rsid w:val="00092600"/>
    <w:rsid w:val="0009262B"/>
    <w:rsid w:val="00092978"/>
    <w:rsid w:val="00092EE6"/>
    <w:rsid w:val="00093210"/>
    <w:rsid w:val="0009329C"/>
    <w:rsid w:val="00093310"/>
    <w:rsid w:val="00093721"/>
    <w:rsid w:val="0009386C"/>
    <w:rsid w:val="0009445C"/>
    <w:rsid w:val="00094523"/>
    <w:rsid w:val="00094C36"/>
    <w:rsid w:val="00095200"/>
    <w:rsid w:val="00095500"/>
    <w:rsid w:val="00095E94"/>
    <w:rsid w:val="00095FE5"/>
    <w:rsid w:val="00096284"/>
    <w:rsid w:val="00096317"/>
    <w:rsid w:val="00096746"/>
    <w:rsid w:val="0009674F"/>
    <w:rsid w:val="00096884"/>
    <w:rsid w:val="00096947"/>
    <w:rsid w:val="000971FB"/>
    <w:rsid w:val="000975EA"/>
    <w:rsid w:val="00097D10"/>
    <w:rsid w:val="000A136E"/>
    <w:rsid w:val="000A1BC0"/>
    <w:rsid w:val="000A1BDA"/>
    <w:rsid w:val="000A2708"/>
    <w:rsid w:val="000A2F9E"/>
    <w:rsid w:val="000A316F"/>
    <w:rsid w:val="000A3C77"/>
    <w:rsid w:val="000A3DB4"/>
    <w:rsid w:val="000A3DE0"/>
    <w:rsid w:val="000A3DFD"/>
    <w:rsid w:val="000A3E47"/>
    <w:rsid w:val="000A47BA"/>
    <w:rsid w:val="000A5189"/>
    <w:rsid w:val="000A522B"/>
    <w:rsid w:val="000A6039"/>
    <w:rsid w:val="000A6A8D"/>
    <w:rsid w:val="000A7191"/>
    <w:rsid w:val="000A7453"/>
    <w:rsid w:val="000A758A"/>
    <w:rsid w:val="000A7D08"/>
    <w:rsid w:val="000A7FCF"/>
    <w:rsid w:val="000B0121"/>
    <w:rsid w:val="000B02BC"/>
    <w:rsid w:val="000B042A"/>
    <w:rsid w:val="000B051E"/>
    <w:rsid w:val="000B0670"/>
    <w:rsid w:val="000B09E4"/>
    <w:rsid w:val="000B0E75"/>
    <w:rsid w:val="000B0F3C"/>
    <w:rsid w:val="000B1229"/>
    <w:rsid w:val="000B132A"/>
    <w:rsid w:val="000B1C28"/>
    <w:rsid w:val="000B1CF3"/>
    <w:rsid w:val="000B298D"/>
    <w:rsid w:val="000B2DBF"/>
    <w:rsid w:val="000B2DCB"/>
    <w:rsid w:val="000B3DA1"/>
    <w:rsid w:val="000B4A4C"/>
    <w:rsid w:val="000B5264"/>
    <w:rsid w:val="000B5A53"/>
    <w:rsid w:val="000B5CE0"/>
    <w:rsid w:val="000B6046"/>
    <w:rsid w:val="000B647E"/>
    <w:rsid w:val="000B67A3"/>
    <w:rsid w:val="000B69B8"/>
    <w:rsid w:val="000B6BE5"/>
    <w:rsid w:val="000B6CAC"/>
    <w:rsid w:val="000B6DDA"/>
    <w:rsid w:val="000B72B6"/>
    <w:rsid w:val="000B7612"/>
    <w:rsid w:val="000B78AE"/>
    <w:rsid w:val="000C013A"/>
    <w:rsid w:val="000C0630"/>
    <w:rsid w:val="000C1C1D"/>
    <w:rsid w:val="000C2F18"/>
    <w:rsid w:val="000C3079"/>
    <w:rsid w:val="000C3CCE"/>
    <w:rsid w:val="000C3DF9"/>
    <w:rsid w:val="000C3FF5"/>
    <w:rsid w:val="000C4227"/>
    <w:rsid w:val="000C4B00"/>
    <w:rsid w:val="000C4CF2"/>
    <w:rsid w:val="000C66BD"/>
    <w:rsid w:val="000C6713"/>
    <w:rsid w:val="000C675D"/>
    <w:rsid w:val="000C6B4A"/>
    <w:rsid w:val="000C72CB"/>
    <w:rsid w:val="000C78A8"/>
    <w:rsid w:val="000C7A5C"/>
    <w:rsid w:val="000D0637"/>
    <w:rsid w:val="000D099F"/>
    <w:rsid w:val="000D1184"/>
    <w:rsid w:val="000D1348"/>
    <w:rsid w:val="000D1BFC"/>
    <w:rsid w:val="000D1D5D"/>
    <w:rsid w:val="000D1E5C"/>
    <w:rsid w:val="000D2055"/>
    <w:rsid w:val="000D281A"/>
    <w:rsid w:val="000D2848"/>
    <w:rsid w:val="000D326A"/>
    <w:rsid w:val="000D35A1"/>
    <w:rsid w:val="000D3626"/>
    <w:rsid w:val="000D3B43"/>
    <w:rsid w:val="000D3B53"/>
    <w:rsid w:val="000D3F8F"/>
    <w:rsid w:val="000D51D4"/>
    <w:rsid w:val="000D51FB"/>
    <w:rsid w:val="000D6A85"/>
    <w:rsid w:val="000D6F21"/>
    <w:rsid w:val="000D7246"/>
    <w:rsid w:val="000E0640"/>
    <w:rsid w:val="000E06B5"/>
    <w:rsid w:val="000E0E88"/>
    <w:rsid w:val="000E0EA9"/>
    <w:rsid w:val="000E10B5"/>
    <w:rsid w:val="000E135D"/>
    <w:rsid w:val="000E152F"/>
    <w:rsid w:val="000E1DCE"/>
    <w:rsid w:val="000E24A9"/>
    <w:rsid w:val="000E27D2"/>
    <w:rsid w:val="000E2FA0"/>
    <w:rsid w:val="000E3085"/>
    <w:rsid w:val="000E3886"/>
    <w:rsid w:val="000E3A29"/>
    <w:rsid w:val="000E4115"/>
    <w:rsid w:val="000E5021"/>
    <w:rsid w:val="000E5ABB"/>
    <w:rsid w:val="000E7C0B"/>
    <w:rsid w:val="000E7D2A"/>
    <w:rsid w:val="000E7E6F"/>
    <w:rsid w:val="000F00BA"/>
    <w:rsid w:val="000F0AB6"/>
    <w:rsid w:val="000F126C"/>
    <w:rsid w:val="000F12E2"/>
    <w:rsid w:val="000F14F6"/>
    <w:rsid w:val="000F153B"/>
    <w:rsid w:val="000F18B0"/>
    <w:rsid w:val="000F198D"/>
    <w:rsid w:val="000F1C16"/>
    <w:rsid w:val="000F1E0A"/>
    <w:rsid w:val="000F1E29"/>
    <w:rsid w:val="000F2B92"/>
    <w:rsid w:val="000F30D0"/>
    <w:rsid w:val="000F311C"/>
    <w:rsid w:val="000F316A"/>
    <w:rsid w:val="000F3C74"/>
    <w:rsid w:val="000F3E6F"/>
    <w:rsid w:val="000F421B"/>
    <w:rsid w:val="000F4689"/>
    <w:rsid w:val="000F4A3C"/>
    <w:rsid w:val="000F4BB8"/>
    <w:rsid w:val="000F4FA9"/>
    <w:rsid w:val="000F511B"/>
    <w:rsid w:val="000F53FB"/>
    <w:rsid w:val="000F5606"/>
    <w:rsid w:val="000F5E71"/>
    <w:rsid w:val="000F658A"/>
    <w:rsid w:val="000F6CC3"/>
    <w:rsid w:val="000F7127"/>
    <w:rsid w:val="000F7AD8"/>
    <w:rsid w:val="000F7B54"/>
    <w:rsid w:val="001000B3"/>
    <w:rsid w:val="00100968"/>
    <w:rsid w:val="00100F8A"/>
    <w:rsid w:val="00101076"/>
    <w:rsid w:val="00101711"/>
    <w:rsid w:val="0010171F"/>
    <w:rsid w:val="00101E17"/>
    <w:rsid w:val="0010228A"/>
    <w:rsid w:val="001028C9"/>
    <w:rsid w:val="00102AA0"/>
    <w:rsid w:val="00102EA4"/>
    <w:rsid w:val="00103272"/>
    <w:rsid w:val="00103384"/>
    <w:rsid w:val="0010352D"/>
    <w:rsid w:val="00103896"/>
    <w:rsid w:val="00103F20"/>
    <w:rsid w:val="00104077"/>
    <w:rsid w:val="0010442D"/>
    <w:rsid w:val="0010452E"/>
    <w:rsid w:val="00104D46"/>
    <w:rsid w:val="00104EF0"/>
    <w:rsid w:val="00104F4F"/>
    <w:rsid w:val="00105AE2"/>
    <w:rsid w:val="00105F64"/>
    <w:rsid w:val="001060C6"/>
    <w:rsid w:val="00106B80"/>
    <w:rsid w:val="00107E54"/>
    <w:rsid w:val="00107ED7"/>
    <w:rsid w:val="0011032E"/>
    <w:rsid w:val="00110420"/>
    <w:rsid w:val="0011067E"/>
    <w:rsid w:val="001112C2"/>
    <w:rsid w:val="001125D1"/>
    <w:rsid w:val="00112C69"/>
    <w:rsid w:val="0011348B"/>
    <w:rsid w:val="001135D1"/>
    <w:rsid w:val="0011389A"/>
    <w:rsid w:val="00113CD2"/>
    <w:rsid w:val="00114716"/>
    <w:rsid w:val="00114A07"/>
    <w:rsid w:val="00114C4F"/>
    <w:rsid w:val="00114DFE"/>
    <w:rsid w:val="00115982"/>
    <w:rsid w:val="001161C5"/>
    <w:rsid w:val="00116C53"/>
    <w:rsid w:val="00116F1D"/>
    <w:rsid w:val="00117A1D"/>
    <w:rsid w:val="00120648"/>
    <w:rsid w:val="00120754"/>
    <w:rsid w:val="00120B6E"/>
    <w:rsid w:val="00120B86"/>
    <w:rsid w:val="001210B4"/>
    <w:rsid w:val="00121799"/>
    <w:rsid w:val="001220AD"/>
    <w:rsid w:val="001221D0"/>
    <w:rsid w:val="001222FC"/>
    <w:rsid w:val="00122343"/>
    <w:rsid w:val="00122484"/>
    <w:rsid w:val="001227CD"/>
    <w:rsid w:val="00122B5F"/>
    <w:rsid w:val="00122DC5"/>
    <w:rsid w:val="0012314C"/>
    <w:rsid w:val="00123902"/>
    <w:rsid w:val="001240F0"/>
    <w:rsid w:val="001245A3"/>
    <w:rsid w:val="0012487B"/>
    <w:rsid w:val="001249F0"/>
    <w:rsid w:val="00124A51"/>
    <w:rsid w:val="00125724"/>
    <w:rsid w:val="00125B60"/>
    <w:rsid w:val="00126621"/>
    <w:rsid w:val="00126B1D"/>
    <w:rsid w:val="00127087"/>
    <w:rsid w:val="0012787E"/>
    <w:rsid w:val="00127EA9"/>
    <w:rsid w:val="001301E9"/>
    <w:rsid w:val="00130D8C"/>
    <w:rsid w:val="0013143D"/>
    <w:rsid w:val="00131D82"/>
    <w:rsid w:val="0013234D"/>
    <w:rsid w:val="00132762"/>
    <w:rsid w:val="0013291D"/>
    <w:rsid w:val="00132B22"/>
    <w:rsid w:val="00133682"/>
    <w:rsid w:val="0013385F"/>
    <w:rsid w:val="00133D36"/>
    <w:rsid w:val="00134DDF"/>
    <w:rsid w:val="0013501E"/>
    <w:rsid w:val="001353A2"/>
    <w:rsid w:val="0013634C"/>
    <w:rsid w:val="00136741"/>
    <w:rsid w:val="001375D7"/>
    <w:rsid w:val="00137645"/>
    <w:rsid w:val="0014015A"/>
    <w:rsid w:val="0014064D"/>
    <w:rsid w:val="00140E10"/>
    <w:rsid w:val="00140E99"/>
    <w:rsid w:val="00141449"/>
    <w:rsid w:val="001423FD"/>
    <w:rsid w:val="00143246"/>
    <w:rsid w:val="001438ED"/>
    <w:rsid w:val="00143C60"/>
    <w:rsid w:val="00143F67"/>
    <w:rsid w:val="00145234"/>
    <w:rsid w:val="00145540"/>
    <w:rsid w:val="001455C0"/>
    <w:rsid w:val="001456B0"/>
    <w:rsid w:val="00145850"/>
    <w:rsid w:val="00145A3F"/>
    <w:rsid w:val="00146490"/>
    <w:rsid w:val="00146E55"/>
    <w:rsid w:val="00146EE6"/>
    <w:rsid w:val="00146F50"/>
    <w:rsid w:val="00147CC1"/>
    <w:rsid w:val="00150840"/>
    <w:rsid w:val="00150975"/>
    <w:rsid w:val="001511A5"/>
    <w:rsid w:val="001526A8"/>
    <w:rsid w:val="00153483"/>
    <w:rsid w:val="0015361B"/>
    <w:rsid w:val="00153637"/>
    <w:rsid w:val="00153888"/>
    <w:rsid w:val="00153998"/>
    <w:rsid w:val="001547AB"/>
    <w:rsid w:val="001548C7"/>
    <w:rsid w:val="0015499D"/>
    <w:rsid w:val="00154EB1"/>
    <w:rsid w:val="00154F7E"/>
    <w:rsid w:val="00155287"/>
    <w:rsid w:val="00155F3C"/>
    <w:rsid w:val="00156568"/>
    <w:rsid w:val="00156A0E"/>
    <w:rsid w:val="00156B3C"/>
    <w:rsid w:val="00156F8F"/>
    <w:rsid w:val="00157130"/>
    <w:rsid w:val="001576B1"/>
    <w:rsid w:val="0015781A"/>
    <w:rsid w:val="00157A61"/>
    <w:rsid w:val="00157C70"/>
    <w:rsid w:val="00160102"/>
    <w:rsid w:val="0016047B"/>
    <w:rsid w:val="00160A4C"/>
    <w:rsid w:val="00160B93"/>
    <w:rsid w:val="00160D58"/>
    <w:rsid w:val="00161451"/>
    <w:rsid w:val="00161575"/>
    <w:rsid w:val="001619D9"/>
    <w:rsid w:val="00161AF7"/>
    <w:rsid w:val="00161B54"/>
    <w:rsid w:val="001621C3"/>
    <w:rsid w:val="0016233B"/>
    <w:rsid w:val="0016240B"/>
    <w:rsid w:val="00162913"/>
    <w:rsid w:val="00162DBD"/>
    <w:rsid w:val="00162FEA"/>
    <w:rsid w:val="00163B6D"/>
    <w:rsid w:val="00163EFF"/>
    <w:rsid w:val="00163F66"/>
    <w:rsid w:val="00164041"/>
    <w:rsid w:val="00164537"/>
    <w:rsid w:val="0016478E"/>
    <w:rsid w:val="001652C5"/>
    <w:rsid w:val="001656D4"/>
    <w:rsid w:val="00165D99"/>
    <w:rsid w:val="00165E09"/>
    <w:rsid w:val="00165E8F"/>
    <w:rsid w:val="00165EC4"/>
    <w:rsid w:val="00166047"/>
    <w:rsid w:val="001661FB"/>
    <w:rsid w:val="00166240"/>
    <w:rsid w:val="001669F3"/>
    <w:rsid w:val="00166D93"/>
    <w:rsid w:val="00166FDF"/>
    <w:rsid w:val="001671A0"/>
    <w:rsid w:val="0016767F"/>
    <w:rsid w:val="00170662"/>
    <w:rsid w:val="00170A7D"/>
    <w:rsid w:val="00170B2C"/>
    <w:rsid w:val="00170BF0"/>
    <w:rsid w:val="00170C25"/>
    <w:rsid w:val="00170FB3"/>
    <w:rsid w:val="001712CB"/>
    <w:rsid w:val="00171884"/>
    <w:rsid w:val="00172235"/>
    <w:rsid w:val="00173108"/>
    <w:rsid w:val="001734AB"/>
    <w:rsid w:val="00173565"/>
    <w:rsid w:val="00173B07"/>
    <w:rsid w:val="00173C72"/>
    <w:rsid w:val="00174A78"/>
    <w:rsid w:val="00174DA7"/>
    <w:rsid w:val="001751FA"/>
    <w:rsid w:val="001762CE"/>
    <w:rsid w:val="001772F3"/>
    <w:rsid w:val="00177523"/>
    <w:rsid w:val="00181258"/>
    <w:rsid w:val="001813DA"/>
    <w:rsid w:val="00181B94"/>
    <w:rsid w:val="00181C10"/>
    <w:rsid w:val="00181D9C"/>
    <w:rsid w:val="00182016"/>
    <w:rsid w:val="00183033"/>
    <w:rsid w:val="00183241"/>
    <w:rsid w:val="00183555"/>
    <w:rsid w:val="001837FF"/>
    <w:rsid w:val="00183CC3"/>
    <w:rsid w:val="00183D0E"/>
    <w:rsid w:val="00184854"/>
    <w:rsid w:val="0018490A"/>
    <w:rsid w:val="00184B0E"/>
    <w:rsid w:val="0018512B"/>
    <w:rsid w:val="001857FC"/>
    <w:rsid w:val="00185E76"/>
    <w:rsid w:val="0018604E"/>
    <w:rsid w:val="00186594"/>
    <w:rsid w:val="0018736C"/>
    <w:rsid w:val="0018752F"/>
    <w:rsid w:val="0018796A"/>
    <w:rsid w:val="00187C4A"/>
    <w:rsid w:val="00190031"/>
    <w:rsid w:val="0019064D"/>
    <w:rsid w:val="001909D7"/>
    <w:rsid w:val="001919F2"/>
    <w:rsid w:val="00191CD0"/>
    <w:rsid w:val="001926CA"/>
    <w:rsid w:val="00193812"/>
    <w:rsid w:val="00193837"/>
    <w:rsid w:val="00193838"/>
    <w:rsid w:val="00193957"/>
    <w:rsid w:val="00194AD8"/>
    <w:rsid w:val="00195136"/>
    <w:rsid w:val="0019519D"/>
    <w:rsid w:val="00195222"/>
    <w:rsid w:val="001952A5"/>
    <w:rsid w:val="001952E3"/>
    <w:rsid w:val="00195452"/>
    <w:rsid w:val="001964FC"/>
    <w:rsid w:val="001966DD"/>
    <w:rsid w:val="00196865"/>
    <w:rsid w:val="00196A59"/>
    <w:rsid w:val="00196D40"/>
    <w:rsid w:val="00196E5F"/>
    <w:rsid w:val="001975D8"/>
    <w:rsid w:val="00197A94"/>
    <w:rsid w:val="00197CC8"/>
    <w:rsid w:val="00197D0B"/>
    <w:rsid w:val="00197D47"/>
    <w:rsid w:val="001A0234"/>
    <w:rsid w:val="001A14DA"/>
    <w:rsid w:val="001A160C"/>
    <w:rsid w:val="001A178E"/>
    <w:rsid w:val="001A1FF6"/>
    <w:rsid w:val="001A2376"/>
    <w:rsid w:val="001A2BEA"/>
    <w:rsid w:val="001A2DEA"/>
    <w:rsid w:val="001A2EB8"/>
    <w:rsid w:val="001A32C3"/>
    <w:rsid w:val="001A3605"/>
    <w:rsid w:val="001A3714"/>
    <w:rsid w:val="001A3BBE"/>
    <w:rsid w:val="001A4076"/>
    <w:rsid w:val="001A43FA"/>
    <w:rsid w:val="001A47C5"/>
    <w:rsid w:val="001A4AF1"/>
    <w:rsid w:val="001A59FB"/>
    <w:rsid w:val="001A5C24"/>
    <w:rsid w:val="001A5E24"/>
    <w:rsid w:val="001A5E93"/>
    <w:rsid w:val="001A5E9E"/>
    <w:rsid w:val="001A5EB5"/>
    <w:rsid w:val="001A632D"/>
    <w:rsid w:val="001A6354"/>
    <w:rsid w:val="001A6366"/>
    <w:rsid w:val="001A745B"/>
    <w:rsid w:val="001A756D"/>
    <w:rsid w:val="001A7720"/>
    <w:rsid w:val="001A7AB6"/>
    <w:rsid w:val="001A7AE8"/>
    <w:rsid w:val="001A7D21"/>
    <w:rsid w:val="001B02AC"/>
    <w:rsid w:val="001B0428"/>
    <w:rsid w:val="001B05BE"/>
    <w:rsid w:val="001B0B56"/>
    <w:rsid w:val="001B0CB0"/>
    <w:rsid w:val="001B15D8"/>
    <w:rsid w:val="001B204E"/>
    <w:rsid w:val="001B2372"/>
    <w:rsid w:val="001B3443"/>
    <w:rsid w:val="001B3D0E"/>
    <w:rsid w:val="001B424F"/>
    <w:rsid w:val="001B4970"/>
    <w:rsid w:val="001B4D20"/>
    <w:rsid w:val="001B5EDE"/>
    <w:rsid w:val="001B5EE1"/>
    <w:rsid w:val="001B7016"/>
    <w:rsid w:val="001B7B11"/>
    <w:rsid w:val="001B7F84"/>
    <w:rsid w:val="001C002E"/>
    <w:rsid w:val="001C0793"/>
    <w:rsid w:val="001C0843"/>
    <w:rsid w:val="001C12E4"/>
    <w:rsid w:val="001C1903"/>
    <w:rsid w:val="001C1BC1"/>
    <w:rsid w:val="001C26C0"/>
    <w:rsid w:val="001C2797"/>
    <w:rsid w:val="001C2A9B"/>
    <w:rsid w:val="001C2AA8"/>
    <w:rsid w:val="001C3269"/>
    <w:rsid w:val="001C335C"/>
    <w:rsid w:val="001C37BA"/>
    <w:rsid w:val="001C3DD6"/>
    <w:rsid w:val="001C4202"/>
    <w:rsid w:val="001C4299"/>
    <w:rsid w:val="001C44A5"/>
    <w:rsid w:val="001C4874"/>
    <w:rsid w:val="001C4B12"/>
    <w:rsid w:val="001C50ED"/>
    <w:rsid w:val="001C52DA"/>
    <w:rsid w:val="001C535A"/>
    <w:rsid w:val="001C583E"/>
    <w:rsid w:val="001C58CA"/>
    <w:rsid w:val="001C5BD4"/>
    <w:rsid w:val="001C5D2A"/>
    <w:rsid w:val="001C5F94"/>
    <w:rsid w:val="001C60A9"/>
    <w:rsid w:val="001C6126"/>
    <w:rsid w:val="001C6149"/>
    <w:rsid w:val="001C6700"/>
    <w:rsid w:val="001C6AC4"/>
    <w:rsid w:val="001C6C64"/>
    <w:rsid w:val="001C6E66"/>
    <w:rsid w:val="001C7364"/>
    <w:rsid w:val="001C7E03"/>
    <w:rsid w:val="001C7ECD"/>
    <w:rsid w:val="001D0213"/>
    <w:rsid w:val="001D0562"/>
    <w:rsid w:val="001D0802"/>
    <w:rsid w:val="001D0B74"/>
    <w:rsid w:val="001D0CFF"/>
    <w:rsid w:val="001D1100"/>
    <w:rsid w:val="001D1391"/>
    <w:rsid w:val="001D13B6"/>
    <w:rsid w:val="001D1D64"/>
    <w:rsid w:val="001D2484"/>
    <w:rsid w:val="001D25D7"/>
    <w:rsid w:val="001D3231"/>
    <w:rsid w:val="001D34A2"/>
    <w:rsid w:val="001D3BB7"/>
    <w:rsid w:val="001D426D"/>
    <w:rsid w:val="001D47CA"/>
    <w:rsid w:val="001D489B"/>
    <w:rsid w:val="001D4B15"/>
    <w:rsid w:val="001D50B2"/>
    <w:rsid w:val="001D5321"/>
    <w:rsid w:val="001D5835"/>
    <w:rsid w:val="001D5DDE"/>
    <w:rsid w:val="001D5F6D"/>
    <w:rsid w:val="001D6659"/>
    <w:rsid w:val="001D6AEC"/>
    <w:rsid w:val="001D6BA9"/>
    <w:rsid w:val="001D707F"/>
    <w:rsid w:val="001D71F4"/>
    <w:rsid w:val="001D75A7"/>
    <w:rsid w:val="001D7645"/>
    <w:rsid w:val="001D78E3"/>
    <w:rsid w:val="001D7AC5"/>
    <w:rsid w:val="001D7DCE"/>
    <w:rsid w:val="001D7EAF"/>
    <w:rsid w:val="001E0423"/>
    <w:rsid w:val="001E042B"/>
    <w:rsid w:val="001E0CD5"/>
    <w:rsid w:val="001E0D66"/>
    <w:rsid w:val="001E0F25"/>
    <w:rsid w:val="001E117C"/>
    <w:rsid w:val="001E1385"/>
    <w:rsid w:val="001E13CE"/>
    <w:rsid w:val="001E1E86"/>
    <w:rsid w:val="001E1FC2"/>
    <w:rsid w:val="001E238E"/>
    <w:rsid w:val="001E2483"/>
    <w:rsid w:val="001E2B1E"/>
    <w:rsid w:val="001E2CFF"/>
    <w:rsid w:val="001E2F24"/>
    <w:rsid w:val="001E30D4"/>
    <w:rsid w:val="001E3138"/>
    <w:rsid w:val="001E31A8"/>
    <w:rsid w:val="001E31C2"/>
    <w:rsid w:val="001E34DF"/>
    <w:rsid w:val="001E39D2"/>
    <w:rsid w:val="001E3ADF"/>
    <w:rsid w:val="001E3D6B"/>
    <w:rsid w:val="001E52EB"/>
    <w:rsid w:val="001E5340"/>
    <w:rsid w:val="001E61D2"/>
    <w:rsid w:val="001E740C"/>
    <w:rsid w:val="001E7E98"/>
    <w:rsid w:val="001E7FDA"/>
    <w:rsid w:val="001F000C"/>
    <w:rsid w:val="001F096F"/>
    <w:rsid w:val="001F0C9B"/>
    <w:rsid w:val="001F0D75"/>
    <w:rsid w:val="001F1235"/>
    <w:rsid w:val="001F12E0"/>
    <w:rsid w:val="001F1C3B"/>
    <w:rsid w:val="001F1CB3"/>
    <w:rsid w:val="001F1DDD"/>
    <w:rsid w:val="001F25B4"/>
    <w:rsid w:val="001F38B5"/>
    <w:rsid w:val="001F3EB6"/>
    <w:rsid w:val="001F3F40"/>
    <w:rsid w:val="001F402F"/>
    <w:rsid w:val="001F4081"/>
    <w:rsid w:val="001F4B25"/>
    <w:rsid w:val="001F4E1B"/>
    <w:rsid w:val="001F5D8B"/>
    <w:rsid w:val="001F6386"/>
    <w:rsid w:val="001F732D"/>
    <w:rsid w:val="001F7361"/>
    <w:rsid w:val="001F7D5C"/>
    <w:rsid w:val="002002D2"/>
    <w:rsid w:val="00200A51"/>
    <w:rsid w:val="002011B0"/>
    <w:rsid w:val="002017DC"/>
    <w:rsid w:val="00201844"/>
    <w:rsid w:val="00201B3E"/>
    <w:rsid w:val="00201FEE"/>
    <w:rsid w:val="00202E5A"/>
    <w:rsid w:val="00203181"/>
    <w:rsid w:val="00203783"/>
    <w:rsid w:val="002037F7"/>
    <w:rsid w:val="0020385F"/>
    <w:rsid w:val="0020467E"/>
    <w:rsid w:val="002046F4"/>
    <w:rsid w:val="00205486"/>
    <w:rsid w:val="00206210"/>
    <w:rsid w:val="002068A0"/>
    <w:rsid w:val="00206ACC"/>
    <w:rsid w:val="00206C6D"/>
    <w:rsid w:val="00207021"/>
    <w:rsid w:val="0020732F"/>
    <w:rsid w:val="0020766E"/>
    <w:rsid w:val="00207D00"/>
    <w:rsid w:val="00207F4A"/>
    <w:rsid w:val="0021025C"/>
    <w:rsid w:val="0021051D"/>
    <w:rsid w:val="002105C1"/>
    <w:rsid w:val="002106BA"/>
    <w:rsid w:val="00210812"/>
    <w:rsid w:val="002116FD"/>
    <w:rsid w:val="00211DC2"/>
    <w:rsid w:val="00211DDB"/>
    <w:rsid w:val="00212436"/>
    <w:rsid w:val="00212567"/>
    <w:rsid w:val="0021260A"/>
    <w:rsid w:val="00212A09"/>
    <w:rsid w:val="00212B27"/>
    <w:rsid w:val="002134DC"/>
    <w:rsid w:val="00213884"/>
    <w:rsid w:val="00213977"/>
    <w:rsid w:val="00213DD2"/>
    <w:rsid w:val="00213EF5"/>
    <w:rsid w:val="00214A9E"/>
    <w:rsid w:val="00216060"/>
    <w:rsid w:val="0021655F"/>
    <w:rsid w:val="00216744"/>
    <w:rsid w:val="00216BF5"/>
    <w:rsid w:val="00217322"/>
    <w:rsid w:val="0021744A"/>
    <w:rsid w:val="002175DD"/>
    <w:rsid w:val="002179E3"/>
    <w:rsid w:val="00220143"/>
    <w:rsid w:val="00220598"/>
    <w:rsid w:val="0022139C"/>
    <w:rsid w:val="00221D98"/>
    <w:rsid w:val="00221D9B"/>
    <w:rsid w:val="00222559"/>
    <w:rsid w:val="00222A34"/>
    <w:rsid w:val="002231BB"/>
    <w:rsid w:val="002233F9"/>
    <w:rsid w:val="0022342F"/>
    <w:rsid w:val="00223568"/>
    <w:rsid w:val="0022389E"/>
    <w:rsid w:val="0022396A"/>
    <w:rsid w:val="00223B49"/>
    <w:rsid w:val="00223D5A"/>
    <w:rsid w:val="00224348"/>
    <w:rsid w:val="00224DD4"/>
    <w:rsid w:val="0022534D"/>
    <w:rsid w:val="00225518"/>
    <w:rsid w:val="00225726"/>
    <w:rsid w:val="002259BB"/>
    <w:rsid w:val="0022620D"/>
    <w:rsid w:val="002271BE"/>
    <w:rsid w:val="002275F2"/>
    <w:rsid w:val="002278A0"/>
    <w:rsid w:val="002309CC"/>
    <w:rsid w:val="00230E47"/>
    <w:rsid w:val="00231BA9"/>
    <w:rsid w:val="00231E37"/>
    <w:rsid w:val="0023209F"/>
    <w:rsid w:val="00232190"/>
    <w:rsid w:val="00232711"/>
    <w:rsid w:val="00232BC1"/>
    <w:rsid w:val="00232DF4"/>
    <w:rsid w:val="0023311E"/>
    <w:rsid w:val="00233374"/>
    <w:rsid w:val="00233598"/>
    <w:rsid w:val="00233692"/>
    <w:rsid w:val="00233C01"/>
    <w:rsid w:val="00233F2E"/>
    <w:rsid w:val="0023413C"/>
    <w:rsid w:val="002346F0"/>
    <w:rsid w:val="00235286"/>
    <w:rsid w:val="00235A8D"/>
    <w:rsid w:val="0023629D"/>
    <w:rsid w:val="00237255"/>
    <w:rsid w:val="00237631"/>
    <w:rsid w:val="00237B9D"/>
    <w:rsid w:val="00237CF1"/>
    <w:rsid w:val="00240321"/>
    <w:rsid w:val="00240737"/>
    <w:rsid w:val="0024075C"/>
    <w:rsid w:val="00240D13"/>
    <w:rsid w:val="00240E42"/>
    <w:rsid w:val="002413AE"/>
    <w:rsid w:val="00241706"/>
    <w:rsid w:val="00241A4F"/>
    <w:rsid w:val="002424AF"/>
    <w:rsid w:val="00243384"/>
    <w:rsid w:val="002439DC"/>
    <w:rsid w:val="002439DF"/>
    <w:rsid w:val="002441D2"/>
    <w:rsid w:val="00244A9E"/>
    <w:rsid w:val="00244BD1"/>
    <w:rsid w:val="00244DC8"/>
    <w:rsid w:val="002454DD"/>
    <w:rsid w:val="00245667"/>
    <w:rsid w:val="002456BC"/>
    <w:rsid w:val="002458BA"/>
    <w:rsid w:val="00245AA1"/>
    <w:rsid w:val="00245CE9"/>
    <w:rsid w:val="0024636C"/>
    <w:rsid w:val="00246672"/>
    <w:rsid w:val="00246C55"/>
    <w:rsid w:val="00246E69"/>
    <w:rsid w:val="00247019"/>
    <w:rsid w:val="00247925"/>
    <w:rsid w:val="00247F86"/>
    <w:rsid w:val="00250764"/>
    <w:rsid w:val="00250841"/>
    <w:rsid w:val="00250C58"/>
    <w:rsid w:val="00251006"/>
    <w:rsid w:val="00251812"/>
    <w:rsid w:val="0025193C"/>
    <w:rsid w:val="00251A7C"/>
    <w:rsid w:val="00251BE3"/>
    <w:rsid w:val="00251D37"/>
    <w:rsid w:val="00251E72"/>
    <w:rsid w:val="00251EEB"/>
    <w:rsid w:val="00251FBF"/>
    <w:rsid w:val="00252268"/>
    <w:rsid w:val="002524D5"/>
    <w:rsid w:val="00252BB6"/>
    <w:rsid w:val="00252DF5"/>
    <w:rsid w:val="00252FD1"/>
    <w:rsid w:val="00253266"/>
    <w:rsid w:val="00253B1D"/>
    <w:rsid w:val="00254DCF"/>
    <w:rsid w:val="00255173"/>
    <w:rsid w:val="0025534B"/>
    <w:rsid w:val="0025541B"/>
    <w:rsid w:val="00255700"/>
    <w:rsid w:val="0025594A"/>
    <w:rsid w:val="00255BB7"/>
    <w:rsid w:val="002563B3"/>
    <w:rsid w:val="002566A3"/>
    <w:rsid w:val="00257258"/>
    <w:rsid w:val="00257541"/>
    <w:rsid w:val="00257847"/>
    <w:rsid w:val="00257A39"/>
    <w:rsid w:val="00257AC4"/>
    <w:rsid w:val="00257B96"/>
    <w:rsid w:val="00257BBE"/>
    <w:rsid w:val="0026078F"/>
    <w:rsid w:val="0026091F"/>
    <w:rsid w:val="0026093E"/>
    <w:rsid w:val="00260FFB"/>
    <w:rsid w:val="00261116"/>
    <w:rsid w:val="00261CCD"/>
    <w:rsid w:val="00261EEF"/>
    <w:rsid w:val="0026255E"/>
    <w:rsid w:val="00262A1A"/>
    <w:rsid w:val="00262A87"/>
    <w:rsid w:val="00262B87"/>
    <w:rsid w:val="00262F17"/>
    <w:rsid w:val="00263D1D"/>
    <w:rsid w:val="00263D4B"/>
    <w:rsid w:val="002642EC"/>
    <w:rsid w:val="00264B6B"/>
    <w:rsid w:val="00264D26"/>
    <w:rsid w:val="002652F0"/>
    <w:rsid w:val="00265BB6"/>
    <w:rsid w:val="0026683C"/>
    <w:rsid w:val="00266DBB"/>
    <w:rsid w:val="00266F48"/>
    <w:rsid w:val="00267191"/>
    <w:rsid w:val="0026745D"/>
    <w:rsid w:val="00267642"/>
    <w:rsid w:val="00267AEA"/>
    <w:rsid w:val="00267B5E"/>
    <w:rsid w:val="002700E6"/>
    <w:rsid w:val="00270B8F"/>
    <w:rsid w:val="002713D8"/>
    <w:rsid w:val="00271F14"/>
    <w:rsid w:val="0027294B"/>
    <w:rsid w:val="00272BD6"/>
    <w:rsid w:val="00272F7C"/>
    <w:rsid w:val="0027304F"/>
    <w:rsid w:val="00273986"/>
    <w:rsid w:val="00273EB4"/>
    <w:rsid w:val="00274425"/>
    <w:rsid w:val="00274682"/>
    <w:rsid w:val="00274705"/>
    <w:rsid w:val="00274DD4"/>
    <w:rsid w:val="00275158"/>
    <w:rsid w:val="002758E0"/>
    <w:rsid w:val="00275B25"/>
    <w:rsid w:val="00275C5A"/>
    <w:rsid w:val="00275D2D"/>
    <w:rsid w:val="00275E96"/>
    <w:rsid w:val="00276241"/>
    <w:rsid w:val="0027663C"/>
    <w:rsid w:val="00276C84"/>
    <w:rsid w:val="00276CF2"/>
    <w:rsid w:val="002770B9"/>
    <w:rsid w:val="0027725A"/>
    <w:rsid w:val="0027740B"/>
    <w:rsid w:val="00277723"/>
    <w:rsid w:val="00277D03"/>
    <w:rsid w:val="00277E16"/>
    <w:rsid w:val="00277E84"/>
    <w:rsid w:val="0028027B"/>
    <w:rsid w:val="00280DC3"/>
    <w:rsid w:val="00281014"/>
    <w:rsid w:val="00281070"/>
    <w:rsid w:val="002812CE"/>
    <w:rsid w:val="002833E4"/>
    <w:rsid w:val="00283E5E"/>
    <w:rsid w:val="0028401B"/>
    <w:rsid w:val="002847C3"/>
    <w:rsid w:val="00284915"/>
    <w:rsid w:val="00285884"/>
    <w:rsid w:val="00285BCE"/>
    <w:rsid w:val="0028665D"/>
    <w:rsid w:val="00286AEF"/>
    <w:rsid w:val="00286D50"/>
    <w:rsid w:val="00287730"/>
    <w:rsid w:val="0029005E"/>
    <w:rsid w:val="002902F7"/>
    <w:rsid w:val="0029035F"/>
    <w:rsid w:val="002903A9"/>
    <w:rsid w:val="00290BDD"/>
    <w:rsid w:val="00290DC5"/>
    <w:rsid w:val="00290F36"/>
    <w:rsid w:val="00290FBD"/>
    <w:rsid w:val="00291635"/>
    <w:rsid w:val="00292028"/>
    <w:rsid w:val="00292209"/>
    <w:rsid w:val="002922F0"/>
    <w:rsid w:val="00292D87"/>
    <w:rsid w:val="00292E75"/>
    <w:rsid w:val="002947F3"/>
    <w:rsid w:val="00294BD7"/>
    <w:rsid w:val="00294D39"/>
    <w:rsid w:val="00295D59"/>
    <w:rsid w:val="00295DE4"/>
    <w:rsid w:val="00295F2A"/>
    <w:rsid w:val="0029673A"/>
    <w:rsid w:val="00296A9D"/>
    <w:rsid w:val="002976C0"/>
    <w:rsid w:val="002977A7"/>
    <w:rsid w:val="002A0793"/>
    <w:rsid w:val="002A10A4"/>
    <w:rsid w:val="002A14AB"/>
    <w:rsid w:val="002A169C"/>
    <w:rsid w:val="002A16EE"/>
    <w:rsid w:val="002A1AC8"/>
    <w:rsid w:val="002A1E69"/>
    <w:rsid w:val="002A2274"/>
    <w:rsid w:val="002A2666"/>
    <w:rsid w:val="002A2ADE"/>
    <w:rsid w:val="002A2C37"/>
    <w:rsid w:val="002A2CD2"/>
    <w:rsid w:val="002A2F50"/>
    <w:rsid w:val="002A33EF"/>
    <w:rsid w:val="002A35A8"/>
    <w:rsid w:val="002A3684"/>
    <w:rsid w:val="002A376C"/>
    <w:rsid w:val="002A3903"/>
    <w:rsid w:val="002A3A49"/>
    <w:rsid w:val="002A3C8C"/>
    <w:rsid w:val="002A4143"/>
    <w:rsid w:val="002A44AF"/>
    <w:rsid w:val="002A450C"/>
    <w:rsid w:val="002A46A1"/>
    <w:rsid w:val="002A477A"/>
    <w:rsid w:val="002A5181"/>
    <w:rsid w:val="002A5DBC"/>
    <w:rsid w:val="002A5F99"/>
    <w:rsid w:val="002A61A1"/>
    <w:rsid w:val="002A61AA"/>
    <w:rsid w:val="002A685A"/>
    <w:rsid w:val="002A6DDF"/>
    <w:rsid w:val="002A7943"/>
    <w:rsid w:val="002B05A1"/>
    <w:rsid w:val="002B06C4"/>
    <w:rsid w:val="002B08B6"/>
    <w:rsid w:val="002B09A4"/>
    <w:rsid w:val="002B1C1F"/>
    <w:rsid w:val="002B2310"/>
    <w:rsid w:val="002B26B5"/>
    <w:rsid w:val="002B3080"/>
    <w:rsid w:val="002B432D"/>
    <w:rsid w:val="002B432F"/>
    <w:rsid w:val="002B4C80"/>
    <w:rsid w:val="002B5F99"/>
    <w:rsid w:val="002B60F9"/>
    <w:rsid w:val="002B62B3"/>
    <w:rsid w:val="002B6754"/>
    <w:rsid w:val="002B6CCE"/>
    <w:rsid w:val="002B7A9B"/>
    <w:rsid w:val="002C05AC"/>
    <w:rsid w:val="002C0D79"/>
    <w:rsid w:val="002C0E69"/>
    <w:rsid w:val="002C1088"/>
    <w:rsid w:val="002C1390"/>
    <w:rsid w:val="002C13B7"/>
    <w:rsid w:val="002C15ED"/>
    <w:rsid w:val="002C1CD4"/>
    <w:rsid w:val="002C2510"/>
    <w:rsid w:val="002C2775"/>
    <w:rsid w:val="002C27C1"/>
    <w:rsid w:val="002C36E3"/>
    <w:rsid w:val="002C371A"/>
    <w:rsid w:val="002C387E"/>
    <w:rsid w:val="002C3AC5"/>
    <w:rsid w:val="002C414E"/>
    <w:rsid w:val="002C483B"/>
    <w:rsid w:val="002C4908"/>
    <w:rsid w:val="002C49C8"/>
    <w:rsid w:val="002C5099"/>
    <w:rsid w:val="002C5169"/>
    <w:rsid w:val="002C5889"/>
    <w:rsid w:val="002C5C07"/>
    <w:rsid w:val="002C62B3"/>
    <w:rsid w:val="002C71CE"/>
    <w:rsid w:val="002C7C89"/>
    <w:rsid w:val="002D08F8"/>
    <w:rsid w:val="002D0ED2"/>
    <w:rsid w:val="002D1238"/>
    <w:rsid w:val="002D1675"/>
    <w:rsid w:val="002D2355"/>
    <w:rsid w:val="002D314C"/>
    <w:rsid w:val="002D3528"/>
    <w:rsid w:val="002D36B3"/>
    <w:rsid w:val="002D3A88"/>
    <w:rsid w:val="002D3DC3"/>
    <w:rsid w:val="002D4571"/>
    <w:rsid w:val="002D4F5F"/>
    <w:rsid w:val="002D5439"/>
    <w:rsid w:val="002D577C"/>
    <w:rsid w:val="002D5C40"/>
    <w:rsid w:val="002D624F"/>
    <w:rsid w:val="002D6403"/>
    <w:rsid w:val="002D6702"/>
    <w:rsid w:val="002D67A4"/>
    <w:rsid w:val="002D7434"/>
    <w:rsid w:val="002D7832"/>
    <w:rsid w:val="002E0588"/>
    <w:rsid w:val="002E0EDB"/>
    <w:rsid w:val="002E0F07"/>
    <w:rsid w:val="002E1071"/>
    <w:rsid w:val="002E15B9"/>
    <w:rsid w:val="002E1798"/>
    <w:rsid w:val="002E180E"/>
    <w:rsid w:val="002E1ED5"/>
    <w:rsid w:val="002E2158"/>
    <w:rsid w:val="002E242D"/>
    <w:rsid w:val="002E2ADE"/>
    <w:rsid w:val="002E3092"/>
    <w:rsid w:val="002E33C1"/>
    <w:rsid w:val="002E364C"/>
    <w:rsid w:val="002E4257"/>
    <w:rsid w:val="002E465F"/>
    <w:rsid w:val="002E4F02"/>
    <w:rsid w:val="002E4FA6"/>
    <w:rsid w:val="002E5DBF"/>
    <w:rsid w:val="002E5E58"/>
    <w:rsid w:val="002E60A5"/>
    <w:rsid w:val="002E6D96"/>
    <w:rsid w:val="002E7645"/>
    <w:rsid w:val="002E7722"/>
    <w:rsid w:val="002E7E92"/>
    <w:rsid w:val="002F04DE"/>
    <w:rsid w:val="002F07BA"/>
    <w:rsid w:val="002F09B3"/>
    <w:rsid w:val="002F0DA9"/>
    <w:rsid w:val="002F1014"/>
    <w:rsid w:val="002F1323"/>
    <w:rsid w:val="002F1406"/>
    <w:rsid w:val="002F15C4"/>
    <w:rsid w:val="002F1E3B"/>
    <w:rsid w:val="002F2085"/>
    <w:rsid w:val="002F25ED"/>
    <w:rsid w:val="002F2B96"/>
    <w:rsid w:val="002F3226"/>
    <w:rsid w:val="002F3449"/>
    <w:rsid w:val="002F3AA8"/>
    <w:rsid w:val="002F43A8"/>
    <w:rsid w:val="002F5913"/>
    <w:rsid w:val="002F5BB2"/>
    <w:rsid w:val="002F610A"/>
    <w:rsid w:val="002F62D1"/>
    <w:rsid w:val="002F643C"/>
    <w:rsid w:val="002F6678"/>
    <w:rsid w:val="002F6D01"/>
    <w:rsid w:val="002F6D81"/>
    <w:rsid w:val="002F6EE1"/>
    <w:rsid w:val="002F70FE"/>
    <w:rsid w:val="002F71C0"/>
    <w:rsid w:val="002F729D"/>
    <w:rsid w:val="002F74F1"/>
    <w:rsid w:val="002F7A5C"/>
    <w:rsid w:val="003000F1"/>
    <w:rsid w:val="003001CA"/>
    <w:rsid w:val="00300F91"/>
    <w:rsid w:val="00301017"/>
    <w:rsid w:val="0030155F"/>
    <w:rsid w:val="003020B2"/>
    <w:rsid w:val="00302802"/>
    <w:rsid w:val="00302A5A"/>
    <w:rsid w:val="00302C10"/>
    <w:rsid w:val="003037B5"/>
    <w:rsid w:val="003047EA"/>
    <w:rsid w:val="00304C59"/>
    <w:rsid w:val="00305132"/>
    <w:rsid w:val="00305578"/>
    <w:rsid w:val="0030562C"/>
    <w:rsid w:val="0030587B"/>
    <w:rsid w:val="0030591B"/>
    <w:rsid w:val="00306745"/>
    <w:rsid w:val="00306853"/>
    <w:rsid w:val="00306B0F"/>
    <w:rsid w:val="00306D98"/>
    <w:rsid w:val="00307466"/>
    <w:rsid w:val="0030786C"/>
    <w:rsid w:val="00307C7A"/>
    <w:rsid w:val="00307D2E"/>
    <w:rsid w:val="00307FF8"/>
    <w:rsid w:val="0031031A"/>
    <w:rsid w:val="003105F7"/>
    <w:rsid w:val="003107E4"/>
    <w:rsid w:val="00310981"/>
    <w:rsid w:val="00310C5B"/>
    <w:rsid w:val="003115BB"/>
    <w:rsid w:val="00311AAF"/>
    <w:rsid w:val="00311D9B"/>
    <w:rsid w:val="003124D9"/>
    <w:rsid w:val="00312594"/>
    <w:rsid w:val="00312EE4"/>
    <w:rsid w:val="00313658"/>
    <w:rsid w:val="00314241"/>
    <w:rsid w:val="00314357"/>
    <w:rsid w:val="003143EA"/>
    <w:rsid w:val="00314AA1"/>
    <w:rsid w:val="00315498"/>
    <w:rsid w:val="0031625B"/>
    <w:rsid w:val="00316474"/>
    <w:rsid w:val="00316DA7"/>
    <w:rsid w:val="003172EB"/>
    <w:rsid w:val="003173C2"/>
    <w:rsid w:val="00320257"/>
    <w:rsid w:val="003205A9"/>
    <w:rsid w:val="003208B6"/>
    <w:rsid w:val="00320BDC"/>
    <w:rsid w:val="00320E91"/>
    <w:rsid w:val="00321011"/>
    <w:rsid w:val="00322107"/>
    <w:rsid w:val="00322355"/>
    <w:rsid w:val="00322454"/>
    <w:rsid w:val="00322846"/>
    <w:rsid w:val="00322DA3"/>
    <w:rsid w:val="003230CB"/>
    <w:rsid w:val="00323131"/>
    <w:rsid w:val="00323B29"/>
    <w:rsid w:val="00323F9E"/>
    <w:rsid w:val="003240AB"/>
    <w:rsid w:val="003244A0"/>
    <w:rsid w:val="003245BA"/>
    <w:rsid w:val="00324962"/>
    <w:rsid w:val="00324E26"/>
    <w:rsid w:val="0032564C"/>
    <w:rsid w:val="0032587F"/>
    <w:rsid w:val="00326DA7"/>
    <w:rsid w:val="003270E4"/>
    <w:rsid w:val="00327FBE"/>
    <w:rsid w:val="00330DAA"/>
    <w:rsid w:val="00330F5C"/>
    <w:rsid w:val="00331C89"/>
    <w:rsid w:val="00332CA0"/>
    <w:rsid w:val="003331A7"/>
    <w:rsid w:val="003335E8"/>
    <w:rsid w:val="003341F3"/>
    <w:rsid w:val="00334B1C"/>
    <w:rsid w:val="00334C4B"/>
    <w:rsid w:val="00334DD1"/>
    <w:rsid w:val="0033506B"/>
    <w:rsid w:val="00335474"/>
    <w:rsid w:val="00335668"/>
    <w:rsid w:val="00336322"/>
    <w:rsid w:val="003364DC"/>
    <w:rsid w:val="0033662B"/>
    <w:rsid w:val="003366C9"/>
    <w:rsid w:val="003371B0"/>
    <w:rsid w:val="00337F44"/>
    <w:rsid w:val="003400A5"/>
    <w:rsid w:val="00340160"/>
    <w:rsid w:val="00340DF1"/>
    <w:rsid w:val="003412B2"/>
    <w:rsid w:val="00341522"/>
    <w:rsid w:val="0034162F"/>
    <w:rsid w:val="00341757"/>
    <w:rsid w:val="003418A1"/>
    <w:rsid w:val="0034238E"/>
    <w:rsid w:val="00343149"/>
    <w:rsid w:val="00343400"/>
    <w:rsid w:val="003434E2"/>
    <w:rsid w:val="00343595"/>
    <w:rsid w:val="003438A3"/>
    <w:rsid w:val="00343D41"/>
    <w:rsid w:val="00344001"/>
    <w:rsid w:val="003445B0"/>
    <w:rsid w:val="00344A96"/>
    <w:rsid w:val="00344BC7"/>
    <w:rsid w:val="00344CBA"/>
    <w:rsid w:val="003454E3"/>
    <w:rsid w:val="0034590F"/>
    <w:rsid w:val="0034605C"/>
    <w:rsid w:val="00346073"/>
    <w:rsid w:val="00346B37"/>
    <w:rsid w:val="00346C5F"/>
    <w:rsid w:val="00347958"/>
    <w:rsid w:val="00347D0F"/>
    <w:rsid w:val="003501B8"/>
    <w:rsid w:val="003512D4"/>
    <w:rsid w:val="003517C9"/>
    <w:rsid w:val="003517F9"/>
    <w:rsid w:val="00351A37"/>
    <w:rsid w:val="00351BA9"/>
    <w:rsid w:val="003520AF"/>
    <w:rsid w:val="0035250D"/>
    <w:rsid w:val="00352781"/>
    <w:rsid w:val="00352E6C"/>
    <w:rsid w:val="00353C5C"/>
    <w:rsid w:val="00353CC8"/>
    <w:rsid w:val="003549F0"/>
    <w:rsid w:val="00354D48"/>
    <w:rsid w:val="00354F64"/>
    <w:rsid w:val="00354F72"/>
    <w:rsid w:val="003554D4"/>
    <w:rsid w:val="003554F6"/>
    <w:rsid w:val="003560D1"/>
    <w:rsid w:val="0035620E"/>
    <w:rsid w:val="00357042"/>
    <w:rsid w:val="003573C4"/>
    <w:rsid w:val="0035744E"/>
    <w:rsid w:val="003575BE"/>
    <w:rsid w:val="003575D0"/>
    <w:rsid w:val="003577BF"/>
    <w:rsid w:val="00357ACE"/>
    <w:rsid w:val="00357B99"/>
    <w:rsid w:val="00360345"/>
    <w:rsid w:val="00360B78"/>
    <w:rsid w:val="00361A05"/>
    <w:rsid w:val="00361A25"/>
    <w:rsid w:val="003620A8"/>
    <w:rsid w:val="003624C4"/>
    <w:rsid w:val="00362563"/>
    <w:rsid w:val="00363194"/>
    <w:rsid w:val="003635A8"/>
    <w:rsid w:val="003636FD"/>
    <w:rsid w:val="00363B00"/>
    <w:rsid w:val="00364566"/>
    <w:rsid w:val="003654AC"/>
    <w:rsid w:val="00365DD7"/>
    <w:rsid w:val="0036606B"/>
    <w:rsid w:val="0036674B"/>
    <w:rsid w:val="003676B2"/>
    <w:rsid w:val="00367CC3"/>
    <w:rsid w:val="00367E0B"/>
    <w:rsid w:val="00370283"/>
    <w:rsid w:val="003704B9"/>
    <w:rsid w:val="00370BDB"/>
    <w:rsid w:val="00370F12"/>
    <w:rsid w:val="003710CF"/>
    <w:rsid w:val="003710E0"/>
    <w:rsid w:val="00371543"/>
    <w:rsid w:val="00371B2A"/>
    <w:rsid w:val="0037219F"/>
    <w:rsid w:val="003725AA"/>
    <w:rsid w:val="00372AD3"/>
    <w:rsid w:val="00372D9B"/>
    <w:rsid w:val="0037358A"/>
    <w:rsid w:val="003738D9"/>
    <w:rsid w:val="00373F7B"/>
    <w:rsid w:val="00374592"/>
    <w:rsid w:val="00374D0C"/>
    <w:rsid w:val="003750F6"/>
    <w:rsid w:val="003750F8"/>
    <w:rsid w:val="003753AF"/>
    <w:rsid w:val="00375E93"/>
    <w:rsid w:val="00375EAD"/>
    <w:rsid w:val="0037605C"/>
    <w:rsid w:val="003760FC"/>
    <w:rsid w:val="00376420"/>
    <w:rsid w:val="00376AC5"/>
    <w:rsid w:val="003773AC"/>
    <w:rsid w:val="00377686"/>
    <w:rsid w:val="00377805"/>
    <w:rsid w:val="003803DE"/>
    <w:rsid w:val="003809AE"/>
    <w:rsid w:val="00381178"/>
    <w:rsid w:val="0038145A"/>
    <w:rsid w:val="00381FE5"/>
    <w:rsid w:val="00382747"/>
    <w:rsid w:val="00382AB9"/>
    <w:rsid w:val="00383444"/>
    <w:rsid w:val="0038365C"/>
    <w:rsid w:val="0038369B"/>
    <w:rsid w:val="00383B78"/>
    <w:rsid w:val="0038507C"/>
    <w:rsid w:val="00385768"/>
    <w:rsid w:val="00385A9D"/>
    <w:rsid w:val="00385AFA"/>
    <w:rsid w:val="00385B6C"/>
    <w:rsid w:val="0038600C"/>
    <w:rsid w:val="003864AF"/>
    <w:rsid w:val="00386C2D"/>
    <w:rsid w:val="00387121"/>
    <w:rsid w:val="00387227"/>
    <w:rsid w:val="00387D38"/>
    <w:rsid w:val="00387D3F"/>
    <w:rsid w:val="003902B1"/>
    <w:rsid w:val="0039179C"/>
    <w:rsid w:val="00391B6A"/>
    <w:rsid w:val="00392923"/>
    <w:rsid w:val="00393AF6"/>
    <w:rsid w:val="00393C0A"/>
    <w:rsid w:val="00393D51"/>
    <w:rsid w:val="0039422D"/>
    <w:rsid w:val="00394779"/>
    <w:rsid w:val="003948EE"/>
    <w:rsid w:val="00394D16"/>
    <w:rsid w:val="00394E4A"/>
    <w:rsid w:val="00394EDB"/>
    <w:rsid w:val="003955F8"/>
    <w:rsid w:val="003958B9"/>
    <w:rsid w:val="00395D13"/>
    <w:rsid w:val="00396896"/>
    <w:rsid w:val="00396A8E"/>
    <w:rsid w:val="00396FD0"/>
    <w:rsid w:val="00397946"/>
    <w:rsid w:val="00397DC1"/>
    <w:rsid w:val="003A06C1"/>
    <w:rsid w:val="003A1A7A"/>
    <w:rsid w:val="003A2392"/>
    <w:rsid w:val="003A2831"/>
    <w:rsid w:val="003A2C8C"/>
    <w:rsid w:val="003A3CB6"/>
    <w:rsid w:val="003A3ED1"/>
    <w:rsid w:val="003A3F02"/>
    <w:rsid w:val="003A44DB"/>
    <w:rsid w:val="003A4C14"/>
    <w:rsid w:val="003A4DB0"/>
    <w:rsid w:val="003A5F8E"/>
    <w:rsid w:val="003A6583"/>
    <w:rsid w:val="003A6AE8"/>
    <w:rsid w:val="003B00BF"/>
    <w:rsid w:val="003B0839"/>
    <w:rsid w:val="003B085A"/>
    <w:rsid w:val="003B0CEC"/>
    <w:rsid w:val="003B2758"/>
    <w:rsid w:val="003B2861"/>
    <w:rsid w:val="003B29DE"/>
    <w:rsid w:val="003B32F5"/>
    <w:rsid w:val="003B3971"/>
    <w:rsid w:val="003B49A9"/>
    <w:rsid w:val="003B50B5"/>
    <w:rsid w:val="003B52AD"/>
    <w:rsid w:val="003B55D1"/>
    <w:rsid w:val="003B5897"/>
    <w:rsid w:val="003B5B12"/>
    <w:rsid w:val="003B5B61"/>
    <w:rsid w:val="003B5EB8"/>
    <w:rsid w:val="003B5EDF"/>
    <w:rsid w:val="003B6242"/>
    <w:rsid w:val="003B72FC"/>
    <w:rsid w:val="003B7647"/>
    <w:rsid w:val="003B78EC"/>
    <w:rsid w:val="003B7AAD"/>
    <w:rsid w:val="003B7E2B"/>
    <w:rsid w:val="003C0268"/>
    <w:rsid w:val="003C0A4D"/>
    <w:rsid w:val="003C0E63"/>
    <w:rsid w:val="003C1266"/>
    <w:rsid w:val="003C145B"/>
    <w:rsid w:val="003C149F"/>
    <w:rsid w:val="003C1654"/>
    <w:rsid w:val="003C2C17"/>
    <w:rsid w:val="003C2FEA"/>
    <w:rsid w:val="003C386F"/>
    <w:rsid w:val="003C38B4"/>
    <w:rsid w:val="003C3E6F"/>
    <w:rsid w:val="003C49DD"/>
    <w:rsid w:val="003C51B9"/>
    <w:rsid w:val="003C5542"/>
    <w:rsid w:val="003C58E1"/>
    <w:rsid w:val="003C6131"/>
    <w:rsid w:val="003C6168"/>
    <w:rsid w:val="003C61A0"/>
    <w:rsid w:val="003C626C"/>
    <w:rsid w:val="003C692D"/>
    <w:rsid w:val="003C6B66"/>
    <w:rsid w:val="003C6EB2"/>
    <w:rsid w:val="003C713A"/>
    <w:rsid w:val="003C7334"/>
    <w:rsid w:val="003C7AE1"/>
    <w:rsid w:val="003C7C15"/>
    <w:rsid w:val="003C7D19"/>
    <w:rsid w:val="003C7D2F"/>
    <w:rsid w:val="003D0C5A"/>
    <w:rsid w:val="003D1828"/>
    <w:rsid w:val="003D1DE4"/>
    <w:rsid w:val="003D1E18"/>
    <w:rsid w:val="003D1E9A"/>
    <w:rsid w:val="003D2422"/>
    <w:rsid w:val="003D27D7"/>
    <w:rsid w:val="003D28D6"/>
    <w:rsid w:val="003D3997"/>
    <w:rsid w:val="003D39A1"/>
    <w:rsid w:val="003D3AD5"/>
    <w:rsid w:val="003D3F00"/>
    <w:rsid w:val="003D3F4B"/>
    <w:rsid w:val="003D3FBF"/>
    <w:rsid w:val="003D4A30"/>
    <w:rsid w:val="003D5251"/>
    <w:rsid w:val="003D5DE7"/>
    <w:rsid w:val="003D7283"/>
    <w:rsid w:val="003D7452"/>
    <w:rsid w:val="003D7672"/>
    <w:rsid w:val="003D79BB"/>
    <w:rsid w:val="003D7C98"/>
    <w:rsid w:val="003D7CC7"/>
    <w:rsid w:val="003D7D9D"/>
    <w:rsid w:val="003D7DC8"/>
    <w:rsid w:val="003E0543"/>
    <w:rsid w:val="003E10C2"/>
    <w:rsid w:val="003E1FFB"/>
    <w:rsid w:val="003E2161"/>
    <w:rsid w:val="003E2672"/>
    <w:rsid w:val="003E278B"/>
    <w:rsid w:val="003E2887"/>
    <w:rsid w:val="003E3E52"/>
    <w:rsid w:val="003E41E6"/>
    <w:rsid w:val="003E4406"/>
    <w:rsid w:val="003E5317"/>
    <w:rsid w:val="003E5603"/>
    <w:rsid w:val="003E6591"/>
    <w:rsid w:val="003E6B1D"/>
    <w:rsid w:val="003E6EA9"/>
    <w:rsid w:val="003E7170"/>
    <w:rsid w:val="003E749E"/>
    <w:rsid w:val="003E74A9"/>
    <w:rsid w:val="003F1C81"/>
    <w:rsid w:val="003F23AD"/>
    <w:rsid w:val="003F23EC"/>
    <w:rsid w:val="003F3920"/>
    <w:rsid w:val="003F3B98"/>
    <w:rsid w:val="003F3BC9"/>
    <w:rsid w:val="003F3C54"/>
    <w:rsid w:val="003F3C7E"/>
    <w:rsid w:val="003F4091"/>
    <w:rsid w:val="003F4156"/>
    <w:rsid w:val="003F48CD"/>
    <w:rsid w:val="003F5308"/>
    <w:rsid w:val="003F534E"/>
    <w:rsid w:val="003F5541"/>
    <w:rsid w:val="003F59C2"/>
    <w:rsid w:val="003F5ADF"/>
    <w:rsid w:val="003F61AE"/>
    <w:rsid w:val="003F6AB7"/>
    <w:rsid w:val="003F6B00"/>
    <w:rsid w:val="003F6C81"/>
    <w:rsid w:val="003F7938"/>
    <w:rsid w:val="00400055"/>
    <w:rsid w:val="0040043E"/>
    <w:rsid w:val="00400611"/>
    <w:rsid w:val="00400B29"/>
    <w:rsid w:val="00400FBC"/>
    <w:rsid w:val="00401292"/>
    <w:rsid w:val="004012C4"/>
    <w:rsid w:val="004016E7"/>
    <w:rsid w:val="00402532"/>
    <w:rsid w:val="00402745"/>
    <w:rsid w:val="00402812"/>
    <w:rsid w:val="00403292"/>
    <w:rsid w:val="004036DC"/>
    <w:rsid w:val="00403A0D"/>
    <w:rsid w:val="00403A1F"/>
    <w:rsid w:val="00404364"/>
    <w:rsid w:val="004043AE"/>
    <w:rsid w:val="00404CFA"/>
    <w:rsid w:val="0040504B"/>
    <w:rsid w:val="004059F4"/>
    <w:rsid w:val="00406AA8"/>
    <w:rsid w:val="00406F8E"/>
    <w:rsid w:val="00407FE5"/>
    <w:rsid w:val="004101B0"/>
    <w:rsid w:val="00410326"/>
    <w:rsid w:val="004104FF"/>
    <w:rsid w:val="00410708"/>
    <w:rsid w:val="0041070B"/>
    <w:rsid w:val="00410DF6"/>
    <w:rsid w:val="00410EC7"/>
    <w:rsid w:val="004112FD"/>
    <w:rsid w:val="00411553"/>
    <w:rsid w:val="00411B39"/>
    <w:rsid w:val="00411F04"/>
    <w:rsid w:val="00412257"/>
    <w:rsid w:val="00412386"/>
    <w:rsid w:val="004123AE"/>
    <w:rsid w:val="004126B9"/>
    <w:rsid w:val="004126EE"/>
    <w:rsid w:val="004127A7"/>
    <w:rsid w:val="004137E0"/>
    <w:rsid w:val="004138C9"/>
    <w:rsid w:val="00413983"/>
    <w:rsid w:val="00413A1E"/>
    <w:rsid w:val="00413BA5"/>
    <w:rsid w:val="00413BFC"/>
    <w:rsid w:val="00413DA0"/>
    <w:rsid w:val="004141B0"/>
    <w:rsid w:val="004141CD"/>
    <w:rsid w:val="00414476"/>
    <w:rsid w:val="00414C2E"/>
    <w:rsid w:val="004151CF"/>
    <w:rsid w:val="00415342"/>
    <w:rsid w:val="00415A7A"/>
    <w:rsid w:val="00415D08"/>
    <w:rsid w:val="00415DDD"/>
    <w:rsid w:val="00416364"/>
    <w:rsid w:val="00416C5F"/>
    <w:rsid w:val="00416CDC"/>
    <w:rsid w:val="00417752"/>
    <w:rsid w:val="00417D53"/>
    <w:rsid w:val="00417E74"/>
    <w:rsid w:val="0042047F"/>
    <w:rsid w:val="0042072E"/>
    <w:rsid w:val="0042076D"/>
    <w:rsid w:val="00420831"/>
    <w:rsid w:val="00420AA6"/>
    <w:rsid w:val="00420B9F"/>
    <w:rsid w:val="00420F37"/>
    <w:rsid w:val="004215BB"/>
    <w:rsid w:val="004215DC"/>
    <w:rsid w:val="0042192C"/>
    <w:rsid w:val="00422260"/>
    <w:rsid w:val="004230FA"/>
    <w:rsid w:val="00423290"/>
    <w:rsid w:val="00423297"/>
    <w:rsid w:val="00423AAF"/>
    <w:rsid w:val="0042413F"/>
    <w:rsid w:val="00424285"/>
    <w:rsid w:val="0042472B"/>
    <w:rsid w:val="0042494D"/>
    <w:rsid w:val="0042495D"/>
    <w:rsid w:val="00424F82"/>
    <w:rsid w:val="00425BDF"/>
    <w:rsid w:val="00425CDE"/>
    <w:rsid w:val="00427DC3"/>
    <w:rsid w:val="00431351"/>
    <w:rsid w:val="00431501"/>
    <w:rsid w:val="004319E1"/>
    <w:rsid w:val="004319F8"/>
    <w:rsid w:val="00431E55"/>
    <w:rsid w:val="004321F6"/>
    <w:rsid w:val="0043237D"/>
    <w:rsid w:val="004325A6"/>
    <w:rsid w:val="00432D38"/>
    <w:rsid w:val="00433044"/>
    <w:rsid w:val="00433764"/>
    <w:rsid w:val="00434088"/>
    <w:rsid w:val="0043413F"/>
    <w:rsid w:val="00434146"/>
    <w:rsid w:val="00435FC5"/>
    <w:rsid w:val="004364ED"/>
    <w:rsid w:val="004364F7"/>
    <w:rsid w:val="004375B9"/>
    <w:rsid w:val="0043779E"/>
    <w:rsid w:val="00440252"/>
    <w:rsid w:val="004403EC"/>
    <w:rsid w:val="00440951"/>
    <w:rsid w:val="00441130"/>
    <w:rsid w:val="004415C2"/>
    <w:rsid w:val="00441788"/>
    <w:rsid w:val="0044182D"/>
    <w:rsid w:val="00441E67"/>
    <w:rsid w:val="0044238E"/>
    <w:rsid w:val="004428D0"/>
    <w:rsid w:val="00443B45"/>
    <w:rsid w:val="00444185"/>
    <w:rsid w:val="004442AF"/>
    <w:rsid w:val="004443A7"/>
    <w:rsid w:val="0044442C"/>
    <w:rsid w:val="004447FA"/>
    <w:rsid w:val="00444B13"/>
    <w:rsid w:val="00445941"/>
    <w:rsid w:val="004464EB"/>
    <w:rsid w:val="00447D26"/>
    <w:rsid w:val="00447DFC"/>
    <w:rsid w:val="004500D1"/>
    <w:rsid w:val="004501EF"/>
    <w:rsid w:val="004504F1"/>
    <w:rsid w:val="0045070E"/>
    <w:rsid w:val="004515F2"/>
    <w:rsid w:val="004519E8"/>
    <w:rsid w:val="00451CF8"/>
    <w:rsid w:val="00451FF4"/>
    <w:rsid w:val="004522C2"/>
    <w:rsid w:val="00452437"/>
    <w:rsid w:val="0045273F"/>
    <w:rsid w:val="00452B04"/>
    <w:rsid w:val="00453487"/>
    <w:rsid w:val="00454518"/>
    <w:rsid w:val="0045476E"/>
    <w:rsid w:val="004548AA"/>
    <w:rsid w:val="00454FBA"/>
    <w:rsid w:val="004552F9"/>
    <w:rsid w:val="0045556F"/>
    <w:rsid w:val="00455B92"/>
    <w:rsid w:val="00455D45"/>
    <w:rsid w:val="00456D24"/>
    <w:rsid w:val="00457678"/>
    <w:rsid w:val="00457F00"/>
    <w:rsid w:val="0046001F"/>
    <w:rsid w:val="0046085D"/>
    <w:rsid w:val="00462D79"/>
    <w:rsid w:val="004633CC"/>
    <w:rsid w:val="00463B05"/>
    <w:rsid w:val="00464035"/>
    <w:rsid w:val="00464595"/>
    <w:rsid w:val="00464737"/>
    <w:rsid w:val="004647AB"/>
    <w:rsid w:val="004647F8"/>
    <w:rsid w:val="00464AB4"/>
    <w:rsid w:val="00464AC9"/>
    <w:rsid w:val="00464C2A"/>
    <w:rsid w:val="004652CD"/>
    <w:rsid w:val="004655F4"/>
    <w:rsid w:val="00465764"/>
    <w:rsid w:val="004658B5"/>
    <w:rsid w:val="00465DB1"/>
    <w:rsid w:val="00466447"/>
    <w:rsid w:val="00466707"/>
    <w:rsid w:val="00466EB9"/>
    <w:rsid w:val="0046727D"/>
    <w:rsid w:val="004677CB"/>
    <w:rsid w:val="0046784C"/>
    <w:rsid w:val="00470259"/>
    <w:rsid w:val="00470296"/>
    <w:rsid w:val="00470485"/>
    <w:rsid w:val="00470A98"/>
    <w:rsid w:val="00471018"/>
    <w:rsid w:val="00471573"/>
    <w:rsid w:val="00471EA5"/>
    <w:rsid w:val="0047205F"/>
    <w:rsid w:val="004720D2"/>
    <w:rsid w:val="00472562"/>
    <w:rsid w:val="00472A79"/>
    <w:rsid w:val="00472A7E"/>
    <w:rsid w:val="00472FC0"/>
    <w:rsid w:val="00473537"/>
    <w:rsid w:val="00473610"/>
    <w:rsid w:val="0047384A"/>
    <w:rsid w:val="00473E43"/>
    <w:rsid w:val="00473F19"/>
    <w:rsid w:val="00473F3C"/>
    <w:rsid w:val="0047415D"/>
    <w:rsid w:val="00475400"/>
    <w:rsid w:val="00475921"/>
    <w:rsid w:val="00475E22"/>
    <w:rsid w:val="00476FB1"/>
    <w:rsid w:val="0047758D"/>
    <w:rsid w:val="004778EB"/>
    <w:rsid w:val="00477978"/>
    <w:rsid w:val="00477AB4"/>
    <w:rsid w:val="0048088E"/>
    <w:rsid w:val="00480EA0"/>
    <w:rsid w:val="00480F2B"/>
    <w:rsid w:val="00481263"/>
    <w:rsid w:val="00481D7F"/>
    <w:rsid w:val="0048232C"/>
    <w:rsid w:val="00482720"/>
    <w:rsid w:val="004835E7"/>
    <w:rsid w:val="00483B3D"/>
    <w:rsid w:val="00483D30"/>
    <w:rsid w:val="00484066"/>
    <w:rsid w:val="004843B9"/>
    <w:rsid w:val="0048479F"/>
    <w:rsid w:val="00484BAF"/>
    <w:rsid w:val="00484C93"/>
    <w:rsid w:val="0048585B"/>
    <w:rsid w:val="004859E1"/>
    <w:rsid w:val="004867E2"/>
    <w:rsid w:val="004879EC"/>
    <w:rsid w:val="00490021"/>
    <w:rsid w:val="00490590"/>
    <w:rsid w:val="00490704"/>
    <w:rsid w:val="00490B17"/>
    <w:rsid w:val="00491B2C"/>
    <w:rsid w:val="00491B3A"/>
    <w:rsid w:val="00491DE8"/>
    <w:rsid w:val="00492CFD"/>
    <w:rsid w:val="00492EEE"/>
    <w:rsid w:val="004940E2"/>
    <w:rsid w:val="00494184"/>
    <w:rsid w:val="00494207"/>
    <w:rsid w:val="0049423C"/>
    <w:rsid w:val="0049444D"/>
    <w:rsid w:val="004946DB"/>
    <w:rsid w:val="00494DD5"/>
    <w:rsid w:val="0049507D"/>
    <w:rsid w:val="004962D2"/>
    <w:rsid w:val="004965BC"/>
    <w:rsid w:val="004969A4"/>
    <w:rsid w:val="004972EE"/>
    <w:rsid w:val="004975DD"/>
    <w:rsid w:val="004976E9"/>
    <w:rsid w:val="004977E9"/>
    <w:rsid w:val="004A06CF"/>
    <w:rsid w:val="004A0B69"/>
    <w:rsid w:val="004A0DA1"/>
    <w:rsid w:val="004A13D6"/>
    <w:rsid w:val="004A18BC"/>
    <w:rsid w:val="004A1EE7"/>
    <w:rsid w:val="004A2284"/>
    <w:rsid w:val="004A26B8"/>
    <w:rsid w:val="004A296F"/>
    <w:rsid w:val="004A2EB4"/>
    <w:rsid w:val="004A383A"/>
    <w:rsid w:val="004A3B57"/>
    <w:rsid w:val="004A4860"/>
    <w:rsid w:val="004A51E0"/>
    <w:rsid w:val="004A52E9"/>
    <w:rsid w:val="004A54BC"/>
    <w:rsid w:val="004A6040"/>
    <w:rsid w:val="004A6349"/>
    <w:rsid w:val="004A6597"/>
    <w:rsid w:val="004A6814"/>
    <w:rsid w:val="004A76BE"/>
    <w:rsid w:val="004A7848"/>
    <w:rsid w:val="004A793B"/>
    <w:rsid w:val="004A7E49"/>
    <w:rsid w:val="004A7EA8"/>
    <w:rsid w:val="004B0B31"/>
    <w:rsid w:val="004B1961"/>
    <w:rsid w:val="004B1ABF"/>
    <w:rsid w:val="004B1AEE"/>
    <w:rsid w:val="004B1CB4"/>
    <w:rsid w:val="004B2C08"/>
    <w:rsid w:val="004B2F18"/>
    <w:rsid w:val="004B3838"/>
    <w:rsid w:val="004B3BBE"/>
    <w:rsid w:val="004B3DDB"/>
    <w:rsid w:val="004B4339"/>
    <w:rsid w:val="004B44FD"/>
    <w:rsid w:val="004B49CF"/>
    <w:rsid w:val="004B5082"/>
    <w:rsid w:val="004B516F"/>
    <w:rsid w:val="004B5539"/>
    <w:rsid w:val="004B5A3C"/>
    <w:rsid w:val="004B5B21"/>
    <w:rsid w:val="004B5CFC"/>
    <w:rsid w:val="004B67CD"/>
    <w:rsid w:val="004B6F79"/>
    <w:rsid w:val="004B72FB"/>
    <w:rsid w:val="004B74FF"/>
    <w:rsid w:val="004B774D"/>
    <w:rsid w:val="004B7979"/>
    <w:rsid w:val="004C0969"/>
    <w:rsid w:val="004C09C5"/>
    <w:rsid w:val="004C130F"/>
    <w:rsid w:val="004C17DA"/>
    <w:rsid w:val="004C1A6E"/>
    <w:rsid w:val="004C1B36"/>
    <w:rsid w:val="004C2569"/>
    <w:rsid w:val="004C2685"/>
    <w:rsid w:val="004C2AC2"/>
    <w:rsid w:val="004C3370"/>
    <w:rsid w:val="004C3769"/>
    <w:rsid w:val="004C38E7"/>
    <w:rsid w:val="004C3B02"/>
    <w:rsid w:val="004C3FE9"/>
    <w:rsid w:val="004C4AED"/>
    <w:rsid w:val="004C4CDF"/>
    <w:rsid w:val="004C4D33"/>
    <w:rsid w:val="004C504A"/>
    <w:rsid w:val="004C7092"/>
    <w:rsid w:val="004C7363"/>
    <w:rsid w:val="004C7607"/>
    <w:rsid w:val="004C7629"/>
    <w:rsid w:val="004C7C45"/>
    <w:rsid w:val="004D007C"/>
    <w:rsid w:val="004D0669"/>
    <w:rsid w:val="004D0C3C"/>
    <w:rsid w:val="004D1450"/>
    <w:rsid w:val="004D29B6"/>
    <w:rsid w:val="004D2C03"/>
    <w:rsid w:val="004D2C2D"/>
    <w:rsid w:val="004D2FD2"/>
    <w:rsid w:val="004D308A"/>
    <w:rsid w:val="004D36BA"/>
    <w:rsid w:val="004D404A"/>
    <w:rsid w:val="004D4323"/>
    <w:rsid w:val="004D4330"/>
    <w:rsid w:val="004D4379"/>
    <w:rsid w:val="004D43CA"/>
    <w:rsid w:val="004D4D21"/>
    <w:rsid w:val="004D5032"/>
    <w:rsid w:val="004D542C"/>
    <w:rsid w:val="004D68F6"/>
    <w:rsid w:val="004D69B5"/>
    <w:rsid w:val="004D7227"/>
    <w:rsid w:val="004D7B5E"/>
    <w:rsid w:val="004D7D5B"/>
    <w:rsid w:val="004E0137"/>
    <w:rsid w:val="004E0E7F"/>
    <w:rsid w:val="004E0EB8"/>
    <w:rsid w:val="004E1064"/>
    <w:rsid w:val="004E1801"/>
    <w:rsid w:val="004E18E9"/>
    <w:rsid w:val="004E2846"/>
    <w:rsid w:val="004E2ADC"/>
    <w:rsid w:val="004E2F62"/>
    <w:rsid w:val="004E32A1"/>
    <w:rsid w:val="004E32D0"/>
    <w:rsid w:val="004E3619"/>
    <w:rsid w:val="004E38DF"/>
    <w:rsid w:val="004E4358"/>
    <w:rsid w:val="004E43B2"/>
    <w:rsid w:val="004E4C83"/>
    <w:rsid w:val="004E544D"/>
    <w:rsid w:val="004E58FB"/>
    <w:rsid w:val="004E6A6C"/>
    <w:rsid w:val="004E6D1A"/>
    <w:rsid w:val="004E6F0A"/>
    <w:rsid w:val="004E7311"/>
    <w:rsid w:val="004E746B"/>
    <w:rsid w:val="004E7A1F"/>
    <w:rsid w:val="004F04E3"/>
    <w:rsid w:val="004F07BB"/>
    <w:rsid w:val="004F08B7"/>
    <w:rsid w:val="004F0DEF"/>
    <w:rsid w:val="004F116B"/>
    <w:rsid w:val="004F13ED"/>
    <w:rsid w:val="004F18E9"/>
    <w:rsid w:val="004F1D02"/>
    <w:rsid w:val="004F1D4B"/>
    <w:rsid w:val="004F24AF"/>
    <w:rsid w:val="004F2679"/>
    <w:rsid w:val="004F27C4"/>
    <w:rsid w:val="004F2B47"/>
    <w:rsid w:val="004F2F21"/>
    <w:rsid w:val="004F3481"/>
    <w:rsid w:val="004F3700"/>
    <w:rsid w:val="004F3DE5"/>
    <w:rsid w:val="004F4140"/>
    <w:rsid w:val="004F4352"/>
    <w:rsid w:val="004F4655"/>
    <w:rsid w:val="004F465B"/>
    <w:rsid w:val="004F4847"/>
    <w:rsid w:val="004F5610"/>
    <w:rsid w:val="004F5C28"/>
    <w:rsid w:val="004F6397"/>
    <w:rsid w:val="004F6913"/>
    <w:rsid w:val="004F6989"/>
    <w:rsid w:val="004F77EA"/>
    <w:rsid w:val="004F7865"/>
    <w:rsid w:val="004F7A12"/>
    <w:rsid w:val="00500541"/>
    <w:rsid w:val="00500A18"/>
    <w:rsid w:val="00500C0A"/>
    <w:rsid w:val="0050152B"/>
    <w:rsid w:val="0050174E"/>
    <w:rsid w:val="00501854"/>
    <w:rsid w:val="0050219B"/>
    <w:rsid w:val="0050219C"/>
    <w:rsid w:val="0050245A"/>
    <w:rsid w:val="005027D4"/>
    <w:rsid w:val="00502D0A"/>
    <w:rsid w:val="00503BDC"/>
    <w:rsid w:val="00503C06"/>
    <w:rsid w:val="00503F17"/>
    <w:rsid w:val="00503F3A"/>
    <w:rsid w:val="005040A6"/>
    <w:rsid w:val="00504541"/>
    <w:rsid w:val="0050561F"/>
    <w:rsid w:val="00505F7D"/>
    <w:rsid w:val="005067C6"/>
    <w:rsid w:val="00506928"/>
    <w:rsid w:val="005077EF"/>
    <w:rsid w:val="00507976"/>
    <w:rsid w:val="0051028D"/>
    <w:rsid w:val="005106BC"/>
    <w:rsid w:val="00510715"/>
    <w:rsid w:val="00510848"/>
    <w:rsid w:val="00510A63"/>
    <w:rsid w:val="00510B9D"/>
    <w:rsid w:val="00511AD5"/>
    <w:rsid w:val="00511B00"/>
    <w:rsid w:val="00511DC7"/>
    <w:rsid w:val="00512043"/>
    <w:rsid w:val="005121EE"/>
    <w:rsid w:val="00512D67"/>
    <w:rsid w:val="00512F52"/>
    <w:rsid w:val="00513207"/>
    <w:rsid w:val="005139A5"/>
    <w:rsid w:val="00513FFA"/>
    <w:rsid w:val="005142C5"/>
    <w:rsid w:val="00514691"/>
    <w:rsid w:val="00514722"/>
    <w:rsid w:val="0051501B"/>
    <w:rsid w:val="005152B5"/>
    <w:rsid w:val="005153F5"/>
    <w:rsid w:val="00515727"/>
    <w:rsid w:val="00515729"/>
    <w:rsid w:val="00515886"/>
    <w:rsid w:val="00516328"/>
    <w:rsid w:val="0051676F"/>
    <w:rsid w:val="005175BC"/>
    <w:rsid w:val="0051792C"/>
    <w:rsid w:val="00517A9A"/>
    <w:rsid w:val="00520338"/>
    <w:rsid w:val="0052123C"/>
    <w:rsid w:val="00521319"/>
    <w:rsid w:val="0052133B"/>
    <w:rsid w:val="005213B8"/>
    <w:rsid w:val="00521587"/>
    <w:rsid w:val="005217D3"/>
    <w:rsid w:val="00521942"/>
    <w:rsid w:val="00522100"/>
    <w:rsid w:val="005226D9"/>
    <w:rsid w:val="00522BC8"/>
    <w:rsid w:val="0052322D"/>
    <w:rsid w:val="005232EC"/>
    <w:rsid w:val="00523C28"/>
    <w:rsid w:val="00524922"/>
    <w:rsid w:val="0052510E"/>
    <w:rsid w:val="00525531"/>
    <w:rsid w:val="005256FF"/>
    <w:rsid w:val="0052591F"/>
    <w:rsid w:val="005259B3"/>
    <w:rsid w:val="00525A3F"/>
    <w:rsid w:val="00526057"/>
    <w:rsid w:val="00526741"/>
    <w:rsid w:val="00526A9F"/>
    <w:rsid w:val="00527B6A"/>
    <w:rsid w:val="00527E83"/>
    <w:rsid w:val="00530439"/>
    <w:rsid w:val="00530457"/>
    <w:rsid w:val="00530BCB"/>
    <w:rsid w:val="00530C6D"/>
    <w:rsid w:val="0053139E"/>
    <w:rsid w:val="005313AE"/>
    <w:rsid w:val="005316BD"/>
    <w:rsid w:val="0053176B"/>
    <w:rsid w:val="00531A13"/>
    <w:rsid w:val="00531A3E"/>
    <w:rsid w:val="00531C0D"/>
    <w:rsid w:val="00531DD6"/>
    <w:rsid w:val="00531EDD"/>
    <w:rsid w:val="00532C21"/>
    <w:rsid w:val="00532F08"/>
    <w:rsid w:val="00532F31"/>
    <w:rsid w:val="005332EA"/>
    <w:rsid w:val="00533FBB"/>
    <w:rsid w:val="005341B3"/>
    <w:rsid w:val="0053441F"/>
    <w:rsid w:val="00534EE7"/>
    <w:rsid w:val="00534F02"/>
    <w:rsid w:val="005353FB"/>
    <w:rsid w:val="005360BC"/>
    <w:rsid w:val="00536523"/>
    <w:rsid w:val="00536DF6"/>
    <w:rsid w:val="00536F42"/>
    <w:rsid w:val="00537182"/>
    <w:rsid w:val="0053774A"/>
    <w:rsid w:val="00537BAB"/>
    <w:rsid w:val="005401BF"/>
    <w:rsid w:val="005419C4"/>
    <w:rsid w:val="00541EDD"/>
    <w:rsid w:val="0054238C"/>
    <w:rsid w:val="00542743"/>
    <w:rsid w:val="005429FD"/>
    <w:rsid w:val="00542B85"/>
    <w:rsid w:val="00542C2D"/>
    <w:rsid w:val="00543962"/>
    <w:rsid w:val="00544E4C"/>
    <w:rsid w:val="0054542B"/>
    <w:rsid w:val="00545711"/>
    <w:rsid w:val="00545B4C"/>
    <w:rsid w:val="00545ED5"/>
    <w:rsid w:val="0054607E"/>
    <w:rsid w:val="00547677"/>
    <w:rsid w:val="005478BD"/>
    <w:rsid w:val="005479B0"/>
    <w:rsid w:val="005479E3"/>
    <w:rsid w:val="00547C5B"/>
    <w:rsid w:val="00550530"/>
    <w:rsid w:val="005508A2"/>
    <w:rsid w:val="00551985"/>
    <w:rsid w:val="00551C61"/>
    <w:rsid w:val="00552242"/>
    <w:rsid w:val="00552A85"/>
    <w:rsid w:val="00552BD3"/>
    <w:rsid w:val="005532A0"/>
    <w:rsid w:val="005534F8"/>
    <w:rsid w:val="00553AF8"/>
    <w:rsid w:val="00553F62"/>
    <w:rsid w:val="00554361"/>
    <w:rsid w:val="00554DFE"/>
    <w:rsid w:val="00555109"/>
    <w:rsid w:val="0055589F"/>
    <w:rsid w:val="005558B5"/>
    <w:rsid w:val="00556B35"/>
    <w:rsid w:val="00557403"/>
    <w:rsid w:val="0055741A"/>
    <w:rsid w:val="00557BFB"/>
    <w:rsid w:val="00557C12"/>
    <w:rsid w:val="00557E49"/>
    <w:rsid w:val="00560101"/>
    <w:rsid w:val="005611B7"/>
    <w:rsid w:val="0056178A"/>
    <w:rsid w:val="005618D4"/>
    <w:rsid w:val="00561DAE"/>
    <w:rsid w:val="0056253D"/>
    <w:rsid w:val="0056281C"/>
    <w:rsid w:val="00563805"/>
    <w:rsid w:val="00563813"/>
    <w:rsid w:val="00563F5A"/>
    <w:rsid w:val="00564626"/>
    <w:rsid w:val="00564867"/>
    <w:rsid w:val="00565143"/>
    <w:rsid w:val="00565336"/>
    <w:rsid w:val="0056546B"/>
    <w:rsid w:val="00565C6A"/>
    <w:rsid w:val="00565C79"/>
    <w:rsid w:val="00565D92"/>
    <w:rsid w:val="00565DF0"/>
    <w:rsid w:val="005660A9"/>
    <w:rsid w:val="00566276"/>
    <w:rsid w:val="00566451"/>
    <w:rsid w:val="0056696F"/>
    <w:rsid w:val="00566B44"/>
    <w:rsid w:val="00567987"/>
    <w:rsid w:val="0057025C"/>
    <w:rsid w:val="005707FA"/>
    <w:rsid w:val="0057082A"/>
    <w:rsid w:val="0057141A"/>
    <w:rsid w:val="00571450"/>
    <w:rsid w:val="00571899"/>
    <w:rsid w:val="00572269"/>
    <w:rsid w:val="0057244A"/>
    <w:rsid w:val="00572F26"/>
    <w:rsid w:val="00572F46"/>
    <w:rsid w:val="0057432D"/>
    <w:rsid w:val="00574541"/>
    <w:rsid w:val="00574A97"/>
    <w:rsid w:val="00574C58"/>
    <w:rsid w:val="005750C5"/>
    <w:rsid w:val="005752DE"/>
    <w:rsid w:val="005752E5"/>
    <w:rsid w:val="005755D0"/>
    <w:rsid w:val="00575B36"/>
    <w:rsid w:val="00575D60"/>
    <w:rsid w:val="00575D8D"/>
    <w:rsid w:val="0057629F"/>
    <w:rsid w:val="00576436"/>
    <w:rsid w:val="00576692"/>
    <w:rsid w:val="005768B2"/>
    <w:rsid w:val="00576972"/>
    <w:rsid w:val="00576ACA"/>
    <w:rsid w:val="00577248"/>
    <w:rsid w:val="00577769"/>
    <w:rsid w:val="0057778F"/>
    <w:rsid w:val="00577D22"/>
    <w:rsid w:val="00577D5E"/>
    <w:rsid w:val="00577E90"/>
    <w:rsid w:val="005807C8"/>
    <w:rsid w:val="005809DF"/>
    <w:rsid w:val="00581488"/>
    <w:rsid w:val="0058184E"/>
    <w:rsid w:val="00582C18"/>
    <w:rsid w:val="00583699"/>
    <w:rsid w:val="00583B3D"/>
    <w:rsid w:val="00584518"/>
    <w:rsid w:val="00584DCC"/>
    <w:rsid w:val="00585793"/>
    <w:rsid w:val="00585BA6"/>
    <w:rsid w:val="00585BD1"/>
    <w:rsid w:val="00585CDD"/>
    <w:rsid w:val="00586000"/>
    <w:rsid w:val="005860B4"/>
    <w:rsid w:val="005864B8"/>
    <w:rsid w:val="005864BC"/>
    <w:rsid w:val="00586641"/>
    <w:rsid w:val="00586755"/>
    <w:rsid w:val="00586FBF"/>
    <w:rsid w:val="00587058"/>
    <w:rsid w:val="0059068D"/>
    <w:rsid w:val="0059085E"/>
    <w:rsid w:val="005917D4"/>
    <w:rsid w:val="00591957"/>
    <w:rsid w:val="00591ACD"/>
    <w:rsid w:val="00592337"/>
    <w:rsid w:val="005929E6"/>
    <w:rsid w:val="0059342D"/>
    <w:rsid w:val="00593632"/>
    <w:rsid w:val="00593C46"/>
    <w:rsid w:val="00593E53"/>
    <w:rsid w:val="00594A7B"/>
    <w:rsid w:val="00595E7D"/>
    <w:rsid w:val="005964B9"/>
    <w:rsid w:val="00596723"/>
    <w:rsid w:val="005967FA"/>
    <w:rsid w:val="00597BF9"/>
    <w:rsid w:val="00597F96"/>
    <w:rsid w:val="005A0508"/>
    <w:rsid w:val="005A0C11"/>
    <w:rsid w:val="005A0C18"/>
    <w:rsid w:val="005A0C40"/>
    <w:rsid w:val="005A0CEE"/>
    <w:rsid w:val="005A0DF7"/>
    <w:rsid w:val="005A2869"/>
    <w:rsid w:val="005A2A8B"/>
    <w:rsid w:val="005A309A"/>
    <w:rsid w:val="005A309C"/>
    <w:rsid w:val="005A3161"/>
    <w:rsid w:val="005A373D"/>
    <w:rsid w:val="005A44A0"/>
    <w:rsid w:val="005A4D7B"/>
    <w:rsid w:val="005A541C"/>
    <w:rsid w:val="005A5918"/>
    <w:rsid w:val="005A5A62"/>
    <w:rsid w:val="005A5B26"/>
    <w:rsid w:val="005A5C4F"/>
    <w:rsid w:val="005A63D6"/>
    <w:rsid w:val="005A64AA"/>
    <w:rsid w:val="005A6D67"/>
    <w:rsid w:val="005A7303"/>
    <w:rsid w:val="005A75ED"/>
    <w:rsid w:val="005A7A18"/>
    <w:rsid w:val="005B00A7"/>
    <w:rsid w:val="005B0B58"/>
    <w:rsid w:val="005B0CE0"/>
    <w:rsid w:val="005B0E8B"/>
    <w:rsid w:val="005B0FD0"/>
    <w:rsid w:val="005B1807"/>
    <w:rsid w:val="005B1AD6"/>
    <w:rsid w:val="005B26E6"/>
    <w:rsid w:val="005B2F36"/>
    <w:rsid w:val="005B3756"/>
    <w:rsid w:val="005B3A9E"/>
    <w:rsid w:val="005B3D23"/>
    <w:rsid w:val="005B4E53"/>
    <w:rsid w:val="005B4F6F"/>
    <w:rsid w:val="005B4F97"/>
    <w:rsid w:val="005B5477"/>
    <w:rsid w:val="005B5857"/>
    <w:rsid w:val="005B69F4"/>
    <w:rsid w:val="005B7A05"/>
    <w:rsid w:val="005B7AB8"/>
    <w:rsid w:val="005B7C9A"/>
    <w:rsid w:val="005C06FA"/>
    <w:rsid w:val="005C077A"/>
    <w:rsid w:val="005C1275"/>
    <w:rsid w:val="005C17AA"/>
    <w:rsid w:val="005C19C4"/>
    <w:rsid w:val="005C1B83"/>
    <w:rsid w:val="005C222B"/>
    <w:rsid w:val="005C22AC"/>
    <w:rsid w:val="005C231C"/>
    <w:rsid w:val="005C25FF"/>
    <w:rsid w:val="005C2D55"/>
    <w:rsid w:val="005C3411"/>
    <w:rsid w:val="005C346B"/>
    <w:rsid w:val="005C40D9"/>
    <w:rsid w:val="005C4819"/>
    <w:rsid w:val="005C4981"/>
    <w:rsid w:val="005C4B68"/>
    <w:rsid w:val="005C4E09"/>
    <w:rsid w:val="005C58CC"/>
    <w:rsid w:val="005C5ABC"/>
    <w:rsid w:val="005C5AE1"/>
    <w:rsid w:val="005C5CBF"/>
    <w:rsid w:val="005C5D04"/>
    <w:rsid w:val="005C669F"/>
    <w:rsid w:val="005C7642"/>
    <w:rsid w:val="005C7D88"/>
    <w:rsid w:val="005D044D"/>
    <w:rsid w:val="005D0629"/>
    <w:rsid w:val="005D0ABD"/>
    <w:rsid w:val="005D1131"/>
    <w:rsid w:val="005D18AD"/>
    <w:rsid w:val="005D26B4"/>
    <w:rsid w:val="005D2E08"/>
    <w:rsid w:val="005D2EA3"/>
    <w:rsid w:val="005D3D44"/>
    <w:rsid w:val="005D4327"/>
    <w:rsid w:val="005D48E0"/>
    <w:rsid w:val="005D4A80"/>
    <w:rsid w:val="005D4D11"/>
    <w:rsid w:val="005D4FFF"/>
    <w:rsid w:val="005D5F93"/>
    <w:rsid w:val="005D6109"/>
    <w:rsid w:val="005D6A00"/>
    <w:rsid w:val="005D6AD5"/>
    <w:rsid w:val="005D73F0"/>
    <w:rsid w:val="005D7516"/>
    <w:rsid w:val="005D76D1"/>
    <w:rsid w:val="005D7C7F"/>
    <w:rsid w:val="005E0107"/>
    <w:rsid w:val="005E0B61"/>
    <w:rsid w:val="005E1995"/>
    <w:rsid w:val="005E2403"/>
    <w:rsid w:val="005E2865"/>
    <w:rsid w:val="005E36F8"/>
    <w:rsid w:val="005E3BC0"/>
    <w:rsid w:val="005E3EAA"/>
    <w:rsid w:val="005E4B15"/>
    <w:rsid w:val="005E4ECA"/>
    <w:rsid w:val="005E4EDC"/>
    <w:rsid w:val="005E5038"/>
    <w:rsid w:val="005E5DC7"/>
    <w:rsid w:val="005E6CBC"/>
    <w:rsid w:val="005E6F41"/>
    <w:rsid w:val="005E6F56"/>
    <w:rsid w:val="005E706D"/>
    <w:rsid w:val="005E72FF"/>
    <w:rsid w:val="005E73C0"/>
    <w:rsid w:val="005E742D"/>
    <w:rsid w:val="005E7699"/>
    <w:rsid w:val="005F0309"/>
    <w:rsid w:val="005F0620"/>
    <w:rsid w:val="005F07ED"/>
    <w:rsid w:val="005F0E25"/>
    <w:rsid w:val="005F207C"/>
    <w:rsid w:val="005F210A"/>
    <w:rsid w:val="005F226B"/>
    <w:rsid w:val="005F2706"/>
    <w:rsid w:val="005F38CB"/>
    <w:rsid w:val="005F3997"/>
    <w:rsid w:val="005F3AD8"/>
    <w:rsid w:val="005F459F"/>
    <w:rsid w:val="005F5456"/>
    <w:rsid w:val="005F6153"/>
    <w:rsid w:val="005F6A8F"/>
    <w:rsid w:val="005F6BB7"/>
    <w:rsid w:val="005F7588"/>
    <w:rsid w:val="005F7B75"/>
    <w:rsid w:val="005F7CF2"/>
    <w:rsid w:val="00600957"/>
    <w:rsid w:val="006010F4"/>
    <w:rsid w:val="00601540"/>
    <w:rsid w:val="00601818"/>
    <w:rsid w:val="00601A77"/>
    <w:rsid w:val="0060268B"/>
    <w:rsid w:val="006028D3"/>
    <w:rsid w:val="00602C03"/>
    <w:rsid w:val="0060319C"/>
    <w:rsid w:val="006039FF"/>
    <w:rsid w:val="00603C6E"/>
    <w:rsid w:val="00603DB9"/>
    <w:rsid w:val="00603E0E"/>
    <w:rsid w:val="00603E56"/>
    <w:rsid w:val="00605292"/>
    <w:rsid w:val="0060551F"/>
    <w:rsid w:val="00605A62"/>
    <w:rsid w:val="00606FBA"/>
    <w:rsid w:val="00607669"/>
    <w:rsid w:val="006076F4"/>
    <w:rsid w:val="00607881"/>
    <w:rsid w:val="00607AFD"/>
    <w:rsid w:val="0061118B"/>
    <w:rsid w:val="00611502"/>
    <w:rsid w:val="006117B7"/>
    <w:rsid w:val="00611B12"/>
    <w:rsid w:val="00611CF9"/>
    <w:rsid w:val="00612F97"/>
    <w:rsid w:val="006131A7"/>
    <w:rsid w:val="0061331C"/>
    <w:rsid w:val="0061345D"/>
    <w:rsid w:val="006134E0"/>
    <w:rsid w:val="00613ACA"/>
    <w:rsid w:val="00613BAC"/>
    <w:rsid w:val="006140A6"/>
    <w:rsid w:val="0061420D"/>
    <w:rsid w:val="00614454"/>
    <w:rsid w:val="00614921"/>
    <w:rsid w:val="0061549B"/>
    <w:rsid w:val="00615B3E"/>
    <w:rsid w:val="00615F5D"/>
    <w:rsid w:val="00616459"/>
    <w:rsid w:val="00616802"/>
    <w:rsid w:val="00616DEA"/>
    <w:rsid w:val="00617092"/>
    <w:rsid w:val="006171EF"/>
    <w:rsid w:val="00617361"/>
    <w:rsid w:val="006173C7"/>
    <w:rsid w:val="006176B3"/>
    <w:rsid w:val="00617E00"/>
    <w:rsid w:val="00617E12"/>
    <w:rsid w:val="00620325"/>
    <w:rsid w:val="00620C25"/>
    <w:rsid w:val="00621101"/>
    <w:rsid w:val="00621477"/>
    <w:rsid w:val="006214EE"/>
    <w:rsid w:val="006214F3"/>
    <w:rsid w:val="00621ADA"/>
    <w:rsid w:val="00621B9E"/>
    <w:rsid w:val="00621D5D"/>
    <w:rsid w:val="00621DD0"/>
    <w:rsid w:val="00622594"/>
    <w:rsid w:val="00622B0D"/>
    <w:rsid w:val="006233B0"/>
    <w:rsid w:val="0062395E"/>
    <w:rsid w:val="00623F7B"/>
    <w:rsid w:val="00624BD4"/>
    <w:rsid w:val="0062509A"/>
    <w:rsid w:val="0062537F"/>
    <w:rsid w:val="00625637"/>
    <w:rsid w:val="0062582F"/>
    <w:rsid w:val="00625AB2"/>
    <w:rsid w:val="00626200"/>
    <w:rsid w:val="00626DFC"/>
    <w:rsid w:val="00626E80"/>
    <w:rsid w:val="00627D93"/>
    <w:rsid w:val="00630FCB"/>
    <w:rsid w:val="006312CE"/>
    <w:rsid w:val="0063158F"/>
    <w:rsid w:val="0063191B"/>
    <w:rsid w:val="00631A2D"/>
    <w:rsid w:val="00631CE1"/>
    <w:rsid w:val="00631D6B"/>
    <w:rsid w:val="00632183"/>
    <w:rsid w:val="00632535"/>
    <w:rsid w:val="0063267A"/>
    <w:rsid w:val="006330A1"/>
    <w:rsid w:val="00633686"/>
    <w:rsid w:val="00634016"/>
    <w:rsid w:val="00634427"/>
    <w:rsid w:val="0063479F"/>
    <w:rsid w:val="00634A84"/>
    <w:rsid w:val="0063521A"/>
    <w:rsid w:val="006353F0"/>
    <w:rsid w:val="006354B9"/>
    <w:rsid w:val="0063557B"/>
    <w:rsid w:val="006357B5"/>
    <w:rsid w:val="006357E8"/>
    <w:rsid w:val="00635C28"/>
    <w:rsid w:val="00636210"/>
    <w:rsid w:val="00636224"/>
    <w:rsid w:val="006363FF"/>
    <w:rsid w:val="006364A1"/>
    <w:rsid w:val="0063678E"/>
    <w:rsid w:val="00636D7D"/>
    <w:rsid w:val="006377FC"/>
    <w:rsid w:val="00637BFA"/>
    <w:rsid w:val="00637BFD"/>
    <w:rsid w:val="00637C5C"/>
    <w:rsid w:val="0064085B"/>
    <w:rsid w:val="00640997"/>
    <w:rsid w:val="00640D13"/>
    <w:rsid w:val="00640DAB"/>
    <w:rsid w:val="006412CE"/>
    <w:rsid w:val="0064159B"/>
    <w:rsid w:val="00641C4E"/>
    <w:rsid w:val="00641FB3"/>
    <w:rsid w:val="00642790"/>
    <w:rsid w:val="00642EB0"/>
    <w:rsid w:val="00642F2B"/>
    <w:rsid w:val="006434D8"/>
    <w:rsid w:val="00643778"/>
    <w:rsid w:val="0064434C"/>
    <w:rsid w:val="00644976"/>
    <w:rsid w:val="00645307"/>
    <w:rsid w:val="00645C89"/>
    <w:rsid w:val="00646A91"/>
    <w:rsid w:val="00646A98"/>
    <w:rsid w:val="006471CC"/>
    <w:rsid w:val="006471DA"/>
    <w:rsid w:val="006472FE"/>
    <w:rsid w:val="00647A29"/>
    <w:rsid w:val="0065034A"/>
    <w:rsid w:val="0065056B"/>
    <w:rsid w:val="0065079F"/>
    <w:rsid w:val="00650C83"/>
    <w:rsid w:val="00650CF4"/>
    <w:rsid w:val="0065164F"/>
    <w:rsid w:val="0065176F"/>
    <w:rsid w:val="00651E56"/>
    <w:rsid w:val="00651EE1"/>
    <w:rsid w:val="0065254F"/>
    <w:rsid w:val="00652A28"/>
    <w:rsid w:val="00653261"/>
    <w:rsid w:val="006535B1"/>
    <w:rsid w:val="0065379F"/>
    <w:rsid w:val="00653B53"/>
    <w:rsid w:val="00654FAF"/>
    <w:rsid w:val="00656188"/>
    <w:rsid w:val="00656EA6"/>
    <w:rsid w:val="0065715A"/>
    <w:rsid w:val="006572D8"/>
    <w:rsid w:val="00657580"/>
    <w:rsid w:val="006578C7"/>
    <w:rsid w:val="006578F9"/>
    <w:rsid w:val="006610F1"/>
    <w:rsid w:val="00661BDD"/>
    <w:rsid w:val="00661C0C"/>
    <w:rsid w:val="00661C6B"/>
    <w:rsid w:val="00661EF6"/>
    <w:rsid w:val="00662554"/>
    <w:rsid w:val="006625B3"/>
    <w:rsid w:val="00662D3E"/>
    <w:rsid w:val="0066323F"/>
    <w:rsid w:val="006636A1"/>
    <w:rsid w:val="00663C5C"/>
    <w:rsid w:val="0066402E"/>
    <w:rsid w:val="00664163"/>
    <w:rsid w:val="006649CB"/>
    <w:rsid w:val="006650EE"/>
    <w:rsid w:val="00665788"/>
    <w:rsid w:val="00665ED7"/>
    <w:rsid w:val="006671DD"/>
    <w:rsid w:val="00667800"/>
    <w:rsid w:val="00667898"/>
    <w:rsid w:val="00667BB7"/>
    <w:rsid w:val="00667BE3"/>
    <w:rsid w:val="00670EC7"/>
    <w:rsid w:val="00670F62"/>
    <w:rsid w:val="00671004"/>
    <w:rsid w:val="00671470"/>
    <w:rsid w:val="0067236F"/>
    <w:rsid w:val="00672646"/>
    <w:rsid w:val="00672C14"/>
    <w:rsid w:val="00673F5A"/>
    <w:rsid w:val="00673FDC"/>
    <w:rsid w:val="0067448B"/>
    <w:rsid w:val="00674E42"/>
    <w:rsid w:val="00675929"/>
    <w:rsid w:val="00675B65"/>
    <w:rsid w:val="00675DC5"/>
    <w:rsid w:val="00676563"/>
    <w:rsid w:val="00676977"/>
    <w:rsid w:val="0067720D"/>
    <w:rsid w:val="006773FA"/>
    <w:rsid w:val="00680354"/>
    <w:rsid w:val="006807D0"/>
    <w:rsid w:val="006813F8"/>
    <w:rsid w:val="00681668"/>
    <w:rsid w:val="006817ED"/>
    <w:rsid w:val="00681EA9"/>
    <w:rsid w:val="00682112"/>
    <w:rsid w:val="00682A0A"/>
    <w:rsid w:val="00682A6D"/>
    <w:rsid w:val="00682BA6"/>
    <w:rsid w:val="0068321A"/>
    <w:rsid w:val="00683F0A"/>
    <w:rsid w:val="006847EE"/>
    <w:rsid w:val="00685F94"/>
    <w:rsid w:val="0068645B"/>
    <w:rsid w:val="00686957"/>
    <w:rsid w:val="00686F20"/>
    <w:rsid w:val="00687165"/>
    <w:rsid w:val="006872BA"/>
    <w:rsid w:val="006874A0"/>
    <w:rsid w:val="00687A24"/>
    <w:rsid w:val="00690058"/>
    <w:rsid w:val="006906EC"/>
    <w:rsid w:val="00690795"/>
    <w:rsid w:val="006909A2"/>
    <w:rsid w:val="0069152D"/>
    <w:rsid w:val="00691617"/>
    <w:rsid w:val="00691648"/>
    <w:rsid w:val="006917D7"/>
    <w:rsid w:val="00691834"/>
    <w:rsid w:val="00691ACA"/>
    <w:rsid w:val="00692AF6"/>
    <w:rsid w:val="00693BD1"/>
    <w:rsid w:val="00693D3B"/>
    <w:rsid w:val="00693EAF"/>
    <w:rsid w:val="0069434C"/>
    <w:rsid w:val="006948D5"/>
    <w:rsid w:val="00694F44"/>
    <w:rsid w:val="00695309"/>
    <w:rsid w:val="00696446"/>
    <w:rsid w:val="00696EF9"/>
    <w:rsid w:val="00696F51"/>
    <w:rsid w:val="0069768A"/>
    <w:rsid w:val="006979A5"/>
    <w:rsid w:val="006A00CC"/>
    <w:rsid w:val="006A016F"/>
    <w:rsid w:val="006A021F"/>
    <w:rsid w:val="006A0B38"/>
    <w:rsid w:val="006A0DF7"/>
    <w:rsid w:val="006A1013"/>
    <w:rsid w:val="006A15E4"/>
    <w:rsid w:val="006A16D8"/>
    <w:rsid w:val="006A1786"/>
    <w:rsid w:val="006A1A82"/>
    <w:rsid w:val="006A21C6"/>
    <w:rsid w:val="006A2308"/>
    <w:rsid w:val="006A23E0"/>
    <w:rsid w:val="006A2970"/>
    <w:rsid w:val="006A29FC"/>
    <w:rsid w:val="006A322A"/>
    <w:rsid w:val="006A3A7E"/>
    <w:rsid w:val="006A4321"/>
    <w:rsid w:val="006A43D9"/>
    <w:rsid w:val="006A45B8"/>
    <w:rsid w:val="006A46EB"/>
    <w:rsid w:val="006A4D7F"/>
    <w:rsid w:val="006A670D"/>
    <w:rsid w:val="006A6B99"/>
    <w:rsid w:val="006A7490"/>
    <w:rsid w:val="006A751F"/>
    <w:rsid w:val="006A76C7"/>
    <w:rsid w:val="006A7A4F"/>
    <w:rsid w:val="006A7E5F"/>
    <w:rsid w:val="006B0699"/>
    <w:rsid w:val="006B07AC"/>
    <w:rsid w:val="006B088E"/>
    <w:rsid w:val="006B1224"/>
    <w:rsid w:val="006B2287"/>
    <w:rsid w:val="006B24BD"/>
    <w:rsid w:val="006B261B"/>
    <w:rsid w:val="006B2747"/>
    <w:rsid w:val="006B2C90"/>
    <w:rsid w:val="006B324B"/>
    <w:rsid w:val="006B35E6"/>
    <w:rsid w:val="006B37FD"/>
    <w:rsid w:val="006B4041"/>
    <w:rsid w:val="006B465A"/>
    <w:rsid w:val="006B5045"/>
    <w:rsid w:val="006B57FB"/>
    <w:rsid w:val="006B5DAB"/>
    <w:rsid w:val="006B6926"/>
    <w:rsid w:val="006B6B12"/>
    <w:rsid w:val="006B6DD0"/>
    <w:rsid w:val="006B7886"/>
    <w:rsid w:val="006C0399"/>
    <w:rsid w:val="006C164E"/>
    <w:rsid w:val="006C196F"/>
    <w:rsid w:val="006C1C3C"/>
    <w:rsid w:val="006C2A8E"/>
    <w:rsid w:val="006C2E28"/>
    <w:rsid w:val="006C3255"/>
    <w:rsid w:val="006C3F26"/>
    <w:rsid w:val="006C470D"/>
    <w:rsid w:val="006C4844"/>
    <w:rsid w:val="006C6950"/>
    <w:rsid w:val="006C6A78"/>
    <w:rsid w:val="006C6B05"/>
    <w:rsid w:val="006C6F64"/>
    <w:rsid w:val="006C7A32"/>
    <w:rsid w:val="006C7E45"/>
    <w:rsid w:val="006D0D17"/>
    <w:rsid w:val="006D2C57"/>
    <w:rsid w:val="006D2D81"/>
    <w:rsid w:val="006D310D"/>
    <w:rsid w:val="006D3C7D"/>
    <w:rsid w:val="006D4659"/>
    <w:rsid w:val="006D497F"/>
    <w:rsid w:val="006D508C"/>
    <w:rsid w:val="006D50C8"/>
    <w:rsid w:val="006D54C3"/>
    <w:rsid w:val="006D54CA"/>
    <w:rsid w:val="006D5569"/>
    <w:rsid w:val="006D5D5F"/>
    <w:rsid w:val="006D5F67"/>
    <w:rsid w:val="006D6048"/>
    <w:rsid w:val="006D677E"/>
    <w:rsid w:val="006D68FB"/>
    <w:rsid w:val="006E00A7"/>
    <w:rsid w:val="006E09AC"/>
    <w:rsid w:val="006E0C27"/>
    <w:rsid w:val="006E1876"/>
    <w:rsid w:val="006E1978"/>
    <w:rsid w:val="006E1EF5"/>
    <w:rsid w:val="006E25C8"/>
    <w:rsid w:val="006E272D"/>
    <w:rsid w:val="006E2868"/>
    <w:rsid w:val="006E2D92"/>
    <w:rsid w:val="006E310A"/>
    <w:rsid w:val="006E3278"/>
    <w:rsid w:val="006E348B"/>
    <w:rsid w:val="006E352A"/>
    <w:rsid w:val="006E3FBC"/>
    <w:rsid w:val="006E4CB8"/>
    <w:rsid w:val="006E4FC6"/>
    <w:rsid w:val="006E5404"/>
    <w:rsid w:val="006E5BEB"/>
    <w:rsid w:val="006E6039"/>
    <w:rsid w:val="006E63E7"/>
    <w:rsid w:val="006E6A0F"/>
    <w:rsid w:val="006E7209"/>
    <w:rsid w:val="006E736F"/>
    <w:rsid w:val="006E784F"/>
    <w:rsid w:val="006E7AA1"/>
    <w:rsid w:val="006F0269"/>
    <w:rsid w:val="006F02D1"/>
    <w:rsid w:val="006F08A4"/>
    <w:rsid w:val="006F15CD"/>
    <w:rsid w:val="006F1650"/>
    <w:rsid w:val="006F1661"/>
    <w:rsid w:val="006F25AB"/>
    <w:rsid w:val="006F2729"/>
    <w:rsid w:val="006F2A5C"/>
    <w:rsid w:val="006F306C"/>
    <w:rsid w:val="006F3414"/>
    <w:rsid w:val="006F349B"/>
    <w:rsid w:val="006F35C3"/>
    <w:rsid w:val="006F4816"/>
    <w:rsid w:val="006F4F2D"/>
    <w:rsid w:val="006F4F9C"/>
    <w:rsid w:val="006F52BD"/>
    <w:rsid w:val="006F558F"/>
    <w:rsid w:val="006F5D14"/>
    <w:rsid w:val="006F63A5"/>
    <w:rsid w:val="006F73C2"/>
    <w:rsid w:val="006F7963"/>
    <w:rsid w:val="006F7A03"/>
    <w:rsid w:val="0070142B"/>
    <w:rsid w:val="007019A4"/>
    <w:rsid w:val="0070276E"/>
    <w:rsid w:val="00702F8F"/>
    <w:rsid w:val="007032AB"/>
    <w:rsid w:val="007040FA"/>
    <w:rsid w:val="007045CE"/>
    <w:rsid w:val="007045CF"/>
    <w:rsid w:val="007050B0"/>
    <w:rsid w:val="0070540A"/>
    <w:rsid w:val="00705603"/>
    <w:rsid w:val="00705E38"/>
    <w:rsid w:val="007068B2"/>
    <w:rsid w:val="00706A38"/>
    <w:rsid w:val="00707889"/>
    <w:rsid w:val="00707981"/>
    <w:rsid w:val="007079FC"/>
    <w:rsid w:val="00710360"/>
    <w:rsid w:val="007103D3"/>
    <w:rsid w:val="007107D1"/>
    <w:rsid w:val="007108E0"/>
    <w:rsid w:val="00710A5B"/>
    <w:rsid w:val="007113C0"/>
    <w:rsid w:val="00711A36"/>
    <w:rsid w:val="00711C32"/>
    <w:rsid w:val="00711FAF"/>
    <w:rsid w:val="007120B0"/>
    <w:rsid w:val="007125D3"/>
    <w:rsid w:val="00712C16"/>
    <w:rsid w:val="00712CF1"/>
    <w:rsid w:val="00713103"/>
    <w:rsid w:val="007131DE"/>
    <w:rsid w:val="00713271"/>
    <w:rsid w:val="0071368B"/>
    <w:rsid w:val="00713B8D"/>
    <w:rsid w:val="00714C26"/>
    <w:rsid w:val="0071529C"/>
    <w:rsid w:val="00715AF0"/>
    <w:rsid w:val="00715EFF"/>
    <w:rsid w:val="00715F3A"/>
    <w:rsid w:val="00716067"/>
    <w:rsid w:val="007162DF"/>
    <w:rsid w:val="007167D9"/>
    <w:rsid w:val="00716A4F"/>
    <w:rsid w:val="007170DA"/>
    <w:rsid w:val="007172AD"/>
    <w:rsid w:val="00717546"/>
    <w:rsid w:val="00717B83"/>
    <w:rsid w:val="00720801"/>
    <w:rsid w:val="007213B7"/>
    <w:rsid w:val="00721669"/>
    <w:rsid w:val="00721978"/>
    <w:rsid w:val="007223A1"/>
    <w:rsid w:val="0072283F"/>
    <w:rsid w:val="00722B1B"/>
    <w:rsid w:val="007237F8"/>
    <w:rsid w:val="00723B6D"/>
    <w:rsid w:val="00723CDD"/>
    <w:rsid w:val="0072416F"/>
    <w:rsid w:val="00724730"/>
    <w:rsid w:val="00724809"/>
    <w:rsid w:val="007249C6"/>
    <w:rsid w:val="00724F82"/>
    <w:rsid w:val="007256E4"/>
    <w:rsid w:val="00725EB9"/>
    <w:rsid w:val="0072693D"/>
    <w:rsid w:val="00727255"/>
    <w:rsid w:val="00727298"/>
    <w:rsid w:val="007275F4"/>
    <w:rsid w:val="007279D7"/>
    <w:rsid w:val="00727C94"/>
    <w:rsid w:val="00727E44"/>
    <w:rsid w:val="00730130"/>
    <w:rsid w:val="0073018B"/>
    <w:rsid w:val="007304A4"/>
    <w:rsid w:val="00730E6C"/>
    <w:rsid w:val="0073116B"/>
    <w:rsid w:val="00731B0A"/>
    <w:rsid w:val="00731CD3"/>
    <w:rsid w:val="00731EAE"/>
    <w:rsid w:val="00732A7D"/>
    <w:rsid w:val="00732B27"/>
    <w:rsid w:val="00733073"/>
    <w:rsid w:val="007330CC"/>
    <w:rsid w:val="0073315F"/>
    <w:rsid w:val="007335AE"/>
    <w:rsid w:val="007337EC"/>
    <w:rsid w:val="00733F68"/>
    <w:rsid w:val="00733F97"/>
    <w:rsid w:val="007348F0"/>
    <w:rsid w:val="00735033"/>
    <w:rsid w:val="00735328"/>
    <w:rsid w:val="00735A35"/>
    <w:rsid w:val="00735CA7"/>
    <w:rsid w:val="007366FB"/>
    <w:rsid w:val="0073685B"/>
    <w:rsid w:val="00736B60"/>
    <w:rsid w:val="0074022E"/>
    <w:rsid w:val="00740545"/>
    <w:rsid w:val="00740CCA"/>
    <w:rsid w:val="007415BB"/>
    <w:rsid w:val="00741C06"/>
    <w:rsid w:val="00741D3D"/>
    <w:rsid w:val="007424D6"/>
    <w:rsid w:val="00742C31"/>
    <w:rsid w:val="00743E63"/>
    <w:rsid w:val="0074420A"/>
    <w:rsid w:val="0074446E"/>
    <w:rsid w:val="007449BF"/>
    <w:rsid w:val="00745707"/>
    <w:rsid w:val="0074572A"/>
    <w:rsid w:val="00745DF7"/>
    <w:rsid w:val="007463FE"/>
    <w:rsid w:val="00746519"/>
    <w:rsid w:val="00746656"/>
    <w:rsid w:val="00746AD4"/>
    <w:rsid w:val="00746BC0"/>
    <w:rsid w:val="00746C6B"/>
    <w:rsid w:val="00746FC7"/>
    <w:rsid w:val="007478EF"/>
    <w:rsid w:val="00750211"/>
    <w:rsid w:val="007503F1"/>
    <w:rsid w:val="00750E4C"/>
    <w:rsid w:val="007510B4"/>
    <w:rsid w:val="00752024"/>
    <w:rsid w:val="00752142"/>
    <w:rsid w:val="007523F9"/>
    <w:rsid w:val="0075299C"/>
    <w:rsid w:val="00752B82"/>
    <w:rsid w:val="00752EC7"/>
    <w:rsid w:val="00752FF2"/>
    <w:rsid w:val="0075357E"/>
    <w:rsid w:val="007536D7"/>
    <w:rsid w:val="00753A16"/>
    <w:rsid w:val="00753B29"/>
    <w:rsid w:val="0075440F"/>
    <w:rsid w:val="0075450D"/>
    <w:rsid w:val="00754DB5"/>
    <w:rsid w:val="0075517C"/>
    <w:rsid w:val="007552BC"/>
    <w:rsid w:val="00757112"/>
    <w:rsid w:val="007573B5"/>
    <w:rsid w:val="007573E8"/>
    <w:rsid w:val="0075782F"/>
    <w:rsid w:val="00760824"/>
    <w:rsid w:val="00760C4E"/>
    <w:rsid w:val="00760F9E"/>
    <w:rsid w:val="007616E6"/>
    <w:rsid w:val="00761A6D"/>
    <w:rsid w:val="0076221C"/>
    <w:rsid w:val="00762321"/>
    <w:rsid w:val="00762402"/>
    <w:rsid w:val="0076278B"/>
    <w:rsid w:val="007627BE"/>
    <w:rsid w:val="007637FE"/>
    <w:rsid w:val="007644B7"/>
    <w:rsid w:val="00764F03"/>
    <w:rsid w:val="00765B1A"/>
    <w:rsid w:val="00765B7A"/>
    <w:rsid w:val="00765BD6"/>
    <w:rsid w:val="00765DC1"/>
    <w:rsid w:val="007669C2"/>
    <w:rsid w:val="00766C90"/>
    <w:rsid w:val="00766E8C"/>
    <w:rsid w:val="00767C8D"/>
    <w:rsid w:val="0077065E"/>
    <w:rsid w:val="00770A25"/>
    <w:rsid w:val="007711EF"/>
    <w:rsid w:val="0077161D"/>
    <w:rsid w:val="00771651"/>
    <w:rsid w:val="00771802"/>
    <w:rsid w:val="0077220F"/>
    <w:rsid w:val="007729C8"/>
    <w:rsid w:val="007735DC"/>
    <w:rsid w:val="00774180"/>
    <w:rsid w:val="00774FA3"/>
    <w:rsid w:val="00775D9A"/>
    <w:rsid w:val="00775EE4"/>
    <w:rsid w:val="007763EB"/>
    <w:rsid w:val="00776A29"/>
    <w:rsid w:val="00777335"/>
    <w:rsid w:val="00777EEB"/>
    <w:rsid w:val="00780D4E"/>
    <w:rsid w:val="007811B3"/>
    <w:rsid w:val="007813A3"/>
    <w:rsid w:val="00781703"/>
    <w:rsid w:val="007817C0"/>
    <w:rsid w:val="00781FA6"/>
    <w:rsid w:val="00782034"/>
    <w:rsid w:val="007821EB"/>
    <w:rsid w:val="007835A8"/>
    <w:rsid w:val="007843F2"/>
    <w:rsid w:val="007846FA"/>
    <w:rsid w:val="00784733"/>
    <w:rsid w:val="00784974"/>
    <w:rsid w:val="00784EB5"/>
    <w:rsid w:val="00784EC4"/>
    <w:rsid w:val="00785302"/>
    <w:rsid w:val="00785A9F"/>
    <w:rsid w:val="007862E9"/>
    <w:rsid w:val="00786312"/>
    <w:rsid w:val="007865E3"/>
    <w:rsid w:val="007867D6"/>
    <w:rsid w:val="007867FD"/>
    <w:rsid w:val="0078711D"/>
    <w:rsid w:val="0078764B"/>
    <w:rsid w:val="00787A5E"/>
    <w:rsid w:val="00787E79"/>
    <w:rsid w:val="00790431"/>
    <w:rsid w:val="007909B8"/>
    <w:rsid w:val="00790C13"/>
    <w:rsid w:val="00790E12"/>
    <w:rsid w:val="00790F35"/>
    <w:rsid w:val="0079148E"/>
    <w:rsid w:val="00791548"/>
    <w:rsid w:val="007915E9"/>
    <w:rsid w:val="0079172B"/>
    <w:rsid w:val="00791B8C"/>
    <w:rsid w:val="00791B90"/>
    <w:rsid w:val="00792048"/>
    <w:rsid w:val="0079234F"/>
    <w:rsid w:val="007925DF"/>
    <w:rsid w:val="00792C20"/>
    <w:rsid w:val="00792F21"/>
    <w:rsid w:val="0079339B"/>
    <w:rsid w:val="0079377F"/>
    <w:rsid w:val="007944ED"/>
    <w:rsid w:val="00795022"/>
    <w:rsid w:val="00795102"/>
    <w:rsid w:val="00795648"/>
    <w:rsid w:val="00795766"/>
    <w:rsid w:val="007963A5"/>
    <w:rsid w:val="00796763"/>
    <w:rsid w:val="007A08AA"/>
    <w:rsid w:val="007A0A12"/>
    <w:rsid w:val="007A0AB8"/>
    <w:rsid w:val="007A132D"/>
    <w:rsid w:val="007A1345"/>
    <w:rsid w:val="007A1D2E"/>
    <w:rsid w:val="007A22BC"/>
    <w:rsid w:val="007A24B8"/>
    <w:rsid w:val="007A2DDB"/>
    <w:rsid w:val="007A32D6"/>
    <w:rsid w:val="007A3FCF"/>
    <w:rsid w:val="007A40A3"/>
    <w:rsid w:val="007A50C0"/>
    <w:rsid w:val="007A5892"/>
    <w:rsid w:val="007A5ABE"/>
    <w:rsid w:val="007A5DFD"/>
    <w:rsid w:val="007A6501"/>
    <w:rsid w:val="007A6775"/>
    <w:rsid w:val="007A682E"/>
    <w:rsid w:val="007A6A28"/>
    <w:rsid w:val="007A6A63"/>
    <w:rsid w:val="007A6E82"/>
    <w:rsid w:val="007A6FBC"/>
    <w:rsid w:val="007A70BA"/>
    <w:rsid w:val="007A7E52"/>
    <w:rsid w:val="007B00FC"/>
    <w:rsid w:val="007B0D68"/>
    <w:rsid w:val="007B0D87"/>
    <w:rsid w:val="007B0DF9"/>
    <w:rsid w:val="007B0FF6"/>
    <w:rsid w:val="007B15F4"/>
    <w:rsid w:val="007B1AD8"/>
    <w:rsid w:val="007B1FE9"/>
    <w:rsid w:val="007B251D"/>
    <w:rsid w:val="007B2618"/>
    <w:rsid w:val="007B2937"/>
    <w:rsid w:val="007B3108"/>
    <w:rsid w:val="007B3533"/>
    <w:rsid w:val="007B35EA"/>
    <w:rsid w:val="007B382F"/>
    <w:rsid w:val="007B392E"/>
    <w:rsid w:val="007B42D8"/>
    <w:rsid w:val="007B4480"/>
    <w:rsid w:val="007B452D"/>
    <w:rsid w:val="007B4992"/>
    <w:rsid w:val="007B4F58"/>
    <w:rsid w:val="007B528D"/>
    <w:rsid w:val="007B53D4"/>
    <w:rsid w:val="007B5E22"/>
    <w:rsid w:val="007B614A"/>
    <w:rsid w:val="007B63CA"/>
    <w:rsid w:val="007B676D"/>
    <w:rsid w:val="007B69ED"/>
    <w:rsid w:val="007B777F"/>
    <w:rsid w:val="007B77D1"/>
    <w:rsid w:val="007B7A0C"/>
    <w:rsid w:val="007B7BDB"/>
    <w:rsid w:val="007C07C7"/>
    <w:rsid w:val="007C0E2D"/>
    <w:rsid w:val="007C1021"/>
    <w:rsid w:val="007C1B18"/>
    <w:rsid w:val="007C1C2B"/>
    <w:rsid w:val="007C1CD9"/>
    <w:rsid w:val="007C2105"/>
    <w:rsid w:val="007C2939"/>
    <w:rsid w:val="007C32EF"/>
    <w:rsid w:val="007C35B4"/>
    <w:rsid w:val="007C361D"/>
    <w:rsid w:val="007C3BB7"/>
    <w:rsid w:val="007C3D16"/>
    <w:rsid w:val="007C4B84"/>
    <w:rsid w:val="007C53ED"/>
    <w:rsid w:val="007C5760"/>
    <w:rsid w:val="007C61C3"/>
    <w:rsid w:val="007C631E"/>
    <w:rsid w:val="007C6504"/>
    <w:rsid w:val="007C6773"/>
    <w:rsid w:val="007C6891"/>
    <w:rsid w:val="007C69A1"/>
    <w:rsid w:val="007C6BB4"/>
    <w:rsid w:val="007C70FF"/>
    <w:rsid w:val="007C7B1C"/>
    <w:rsid w:val="007C7C25"/>
    <w:rsid w:val="007D004F"/>
    <w:rsid w:val="007D00DB"/>
    <w:rsid w:val="007D0201"/>
    <w:rsid w:val="007D035F"/>
    <w:rsid w:val="007D040C"/>
    <w:rsid w:val="007D06B2"/>
    <w:rsid w:val="007D0B38"/>
    <w:rsid w:val="007D100C"/>
    <w:rsid w:val="007D2120"/>
    <w:rsid w:val="007D22C0"/>
    <w:rsid w:val="007D28CF"/>
    <w:rsid w:val="007D3232"/>
    <w:rsid w:val="007D369E"/>
    <w:rsid w:val="007D3DA4"/>
    <w:rsid w:val="007D439A"/>
    <w:rsid w:val="007D4909"/>
    <w:rsid w:val="007D4BF2"/>
    <w:rsid w:val="007D4FE8"/>
    <w:rsid w:val="007D5440"/>
    <w:rsid w:val="007D5BE4"/>
    <w:rsid w:val="007D5E6A"/>
    <w:rsid w:val="007D6423"/>
    <w:rsid w:val="007D649B"/>
    <w:rsid w:val="007D69EB"/>
    <w:rsid w:val="007D6E6F"/>
    <w:rsid w:val="007D6E73"/>
    <w:rsid w:val="007D6F4D"/>
    <w:rsid w:val="007E0287"/>
    <w:rsid w:val="007E0557"/>
    <w:rsid w:val="007E128F"/>
    <w:rsid w:val="007E178A"/>
    <w:rsid w:val="007E1D86"/>
    <w:rsid w:val="007E2BD2"/>
    <w:rsid w:val="007E4999"/>
    <w:rsid w:val="007E4E5D"/>
    <w:rsid w:val="007E51D5"/>
    <w:rsid w:val="007E526A"/>
    <w:rsid w:val="007E5B85"/>
    <w:rsid w:val="007E6243"/>
    <w:rsid w:val="007E64ED"/>
    <w:rsid w:val="007E6593"/>
    <w:rsid w:val="007E788C"/>
    <w:rsid w:val="007E7BA8"/>
    <w:rsid w:val="007F03F1"/>
    <w:rsid w:val="007F05EC"/>
    <w:rsid w:val="007F0787"/>
    <w:rsid w:val="007F082A"/>
    <w:rsid w:val="007F08B3"/>
    <w:rsid w:val="007F0E5D"/>
    <w:rsid w:val="007F0E5F"/>
    <w:rsid w:val="007F0FCD"/>
    <w:rsid w:val="007F1017"/>
    <w:rsid w:val="007F1B60"/>
    <w:rsid w:val="007F21D9"/>
    <w:rsid w:val="007F2B26"/>
    <w:rsid w:val="007F2BE2"/>
    <w:rsid w:val="007F3E2A"/>
    <w:rsid w:val="007F4950"/>
    <w:rsid w:val="007F4A3F"/>
    <w:rsid w:val="007F4A61"/>
    <w:rsid w:val="007F4F5B"/>
    <w:rsid w:val="007F5255"/>
    <w:rsid w:val="007F56CC"/>
    <w:rsid w:val="007F6111"/>
    <w:rsid w:val="007F61C2"/>
    <w:rsid w:val="007F6397"/>
    <w:rsid w:val="007F6F1C"/>
    <w:rsid w:val="007F6F5D"/>
    <w:rsid w:val="007F7E23"/>
    <w:rsid w:val="007F7EEB"/>
    <w:rsid w:val="008013FE"/>
    <w:rsid w:val="0080252B"/>
    <w:rsid w:val="0080269E"/>
    <w:rsid w:val="00802B7F"/>
    <w:rsid w:val="00802BB0"/>
    <w:rsid w:val="00802E13"/>
    <w:rsid w:val="0080320F"/>
    <w:rsid w:val="00803B69"/>
    <w:rsid w:val="00803EED"/>
    <w:rsid w:val="00804103"/>
    <w:rsid w:val="00804996"/>
    <w:rsid w:val="00805142"/>
    <w:rsid w:val="00805646"/>
    <w:rsid w:val="0080566B"/>
    <w:rsid w:val="008059E5"/>
    <w:rsid w:val="00805FCE"/>
    <w:rsid w:val="00806341"/>
    <w:rsid w:val="008069DF"/>
    <w:rsid w:val="00806B2E"/>
    <w:rsid w:val="0080704A"/>
    <w:rsid w:val="0080797D"/>
    <w:rsid w:val="00807A8B"/>
    <w:rsid w:val="00810C4B"/>
    <w:rsid w:val="00811383"/>
    <w:rsid w:val="0081144C"/>
    <w:rsid w:val="00811460"/>
    <w:rsid w:val="00811BC0"/>
    <w:rsid w:val="00812149"/>
    <w:rsid w:val="0081233B"/>
    <w:rsid w:val="008124EC"/>
    <w:rsid w:val="0081293B"/>
    <w:rsid w:val="00812B39"/>
    <w:rsid w:val="00812CAC"/>
    <w:rsid w:val="00813287"/>
    <w:rsid w:val="008135C8"/>
    <w:rsid w:val="00813D03"/>
    <w:rsid w:val="0081428C"/>
    <w:rsid w:val="00815361"/>
    <w:rsid w:val="0081543B"/>
    <w:rsid w:val="0081557B"/>
    <w:rsid w:val="00815B86"/>
    <w:rsid w:val="00815EF5"/>
    <w:rsid w:val="0081608C"/>
    <w:rsid w:val="008162D2"/>
    <w:rsid w:val="00816353"/>
    <w:rsid w:val="00816361"/>
    <w:rsid w:val="008166EF"/>
    <w:rsid w:val="00816C4C"/>
    <w:rsid w:val="00816CCD"/>
    <w:rsid w:val="00816FEF"/>
    <w:rsid w:val="0081718E"/>
    <w:rsid w:val="008208FA"/>
    <w:rsid w:val="00820A8C"/>
    <w:rsid w:val="00820C3D"/>
    <w:rsid w:val="00821022"/>
    <w:rsid w:val="008211E1"/>
    <w:rsid w:val="008215FB"/>
    <w:rsid w:val="008220CC"/>
    <w:rsid w:val="00822179"/>
    <w:rsid w:val="0082296E"/>
    <w:rsid w:val="00822AED"/>
    <w:rsid w:val="00823174"/>
    <w:rsid w:val="0082351D"/>
    <w:rsid w:val="00823735"/>
    <w:rsid w:val="008237CF"/>
    <w:rsid w:val="00823AEA"/>
    <w:rsid w:val="00824398"/>
    <w:rsid w:val="0082537D"/>
    <w:rsid w:val="00825665"/>
    <w:rsid w:val="00825751"/>
    <w:rsid w:val="00825AD5"/>
    <w:rsid w:val="00825BAA"/>
    <w:rsid w:val="00825EA4"/>
    <w:rsid w:val="0082627D"/>
    <w:rsid w:val="008264EB"/>
    <w:rsid w:val="008267D7"/>
    <w:rsid w:val="008268CE"/>
    <w:rsid w:val="00826F52"/>
    <w:rsid w:val="008275E2"/>
    <w:rsid w:val="00827BB7"/>
    <w:rsid w:val="00827C23"/>
    <w:rsid w:val="00827D92"/>
    <w:rsid w:val="00827FB3"/>
    <w:rsid w:val="0083071F"/>
    <w:rsid w:val="00832654"/>
    <w:rsid w:val="00832809"/>
    <w:rsid w:val="00832D8B"/>
    <w:rsid w:val="00832D8D"/>
    <w:rsid w:val="008333C0"/>
    <w:rsid w:val="00833B05"/>
    <w:rsid w:val="0083476B"/>
    <w:rsid w:val="00835287"/>
    <w:rsid w:val="00835F9E"/>
    <w:rsid w:val="008362B4"/>
    <w:rsid w:val="00836722"/>
    <w:rsid w:val="00836DBB"/>
    <w:rsid w:val="00836EB2"/>
    <w:rsid w:val="00837018"/>
    <w:rsid w:val="00840802"/>
    <w:rsid w:val="00840CA2"/>
    <w:rsid w:val="00841496"/>
    <w:rsid w:val="008419CF"/>
    <w:rsid w:val="00841E55"/>
    <w:rsid w:val="00842199"/>
    <w:rsid w:val="00842BA4"/>
    <w:rsid w:val="0084374F"/>
    <w:rsid w:val="00844094"/>
    <w:rsid w:val="0084468B"/>
    <w:rsid w:val="008448DD"/>
    <w:rsid w:val="00844A22"/>
    <w:rsid w:val="00844C6A"/>
    <w:rsid w:val="00844EB7"/>
    <w:rsid w:val="00845038"/>
    <w:rsid w:val="008457FE"/>
    <w:rsid w:val="008459CF"/>
    <w:rsid w:val="008459DC"/>
    <w:rsid w:val="00845A6A"/>
    <w:rsid w:val="00845FF4"/>
    <w:rsid w:val="00846660"/>
    <w:rsid w:val="00846B02"/>
    <w:rsid w:val="00846B1F"/>
    <w:rsid w:val="00847703"/>
    <w:rsid w:val="00847C0C"/>
    <w:rsid w:val="00847DDD"/>
    <w:rsid w:val="00847DF5"/>
    <w:rsid w:val="00850773"/>
    <w:rsid w:val="00851E13"/>
    <w:rsid w:val="00852499"/>
    <w:rsid w:val="00852942"/>
    <w:rsid w:val="00852C60"/>
    <w:rsid w:val="00852CC8"/>
    <w:rsid w:val="0085309D"/>
    <w:rsid w:val="0085333E"/>
    <w:rsid w:val="00853A4E"/>
    <w:rsid w:val="0085419A"/>
    <w:rsid w:val="00854D4F"/>
    <w:rsid w:val="00856124"/>
    <w:rsid w:val="00856406"/>
    <w:rsid w:val="0085665B"/>
    <w:rsid w:val="00856897"/>
    <w:rsid w:val="00856E9A"/>
    <w:rsid w:val="0085707B"/>
    <w:rsid w:val="008576C4"/>
    <w:rsid w:val="00857D2E"/>
    <w:rsid w:val="0086008A"/>
    <w:rsid w:val="0086075D"/>
    <w:rsid w:val="008608D1"/>
    <w:rsid w:val="008615A8"/>
    <w:rsid w:val="0086218E"/>
    <w:rsid w:val="00862502"/>
    <w:rsid w:val="008629FB"/>
    <w:rsid w:val="00862AFE"/>
    <w:rsid w:val="00862CC1"/>
    <w:rsid w:val="0086407A"/>
    <w:rsid w:val="008642A7"/>
    <w:rsid w:val="00865145"/>
    <w:rsid w:val="00865518"/>
    <w:rsid w:val="008660D4"/>
    <w:rsid w:val="00867A82"/>
    <w:rsid w:val="00867DD9"/>
    <w:rsid w:val="0087072D"/>
    <w:rsid w:val="00870B47"/>
    <w:rsid w:val="00870D5F"/>
    <w:rsid w:val="00870E15"/>
    <w:rsid w:val="00871474"/>
    <w:rsid w:val="00871625"/>
    <w:rsid w:val="00871FA9"/>
    <w:rsid w:val="008720A9"/>
    <w:rsid w:val="008720ED"/>
    <w:rsid w:val="008728E9"/>
    <w:rsid w:val="00872F31"/>
    <w:rsid w:val="008733CC"/>
    <w:rsid w:val="008734EA"/>
    <w:rsid w:val="00873514"/>
    <w:rsid w:val="008737CC"/>
    <w:rsid w:val="00873BE4"/>
    <w:rsid w:val="00874DD8"/>
    <w:rsid w:val="00874EC4"/>
    <w:rsid w:val="0087527B"/>
    <w:rsid w:val="008752EF"/>
    <w:rsid w:val="00875351"/>
    <w:rsid w:val="008754EC"/>
    <w:rsid w:val="00876CF8"/>
    <w:rsid w:val="00876D12"/>
    <w:rsid w:val="00877438"/>
    <w:rsid w:val="00877AD2"/>
    <w:rsid w:val="00877F87"/>
    <w:rsid w:val="008802DE"/>
    <w:rsid w:val="00880E69"/>
    <w:rsid w:val="00880F0C"/>
    <w:rsid w:val="00881A6F"/>
    <w:rsid w:val="0088219A"/>
    <w:rsid w:val="00882298"/>
    <w:rsid w:val="008824A9"/>
    <w:rsid w:val="00882874"/>
    <w:rsid w:val="00882E3C"/>
    <w:rsid w:val="0088308A"/>
    <w:rsid w:val="008834B7"/>
    <w:rsid w:val="00883787"/>
    <w:rsid w:val="00884302"/>
    <w:rsid w:val="00884498"/>
    <w:rsid w:val="00884859"/>
    <w:rsid w:val="00885494"/>
    <w:rsid w:val="0088551D"/>
    <w:rsid w:val="0088556A"/>
    <w:rsid w:val="008855E4"/>
    <w:rsid w:val="00885BAA"/>
    <w:rsid w:val="00885F20"/>
    <w:rsid w:val="00886072"/>
    <w:rsid w:val="00886A5F"/>
    <w:rsid w:val="00886CD2"/>
    <w:rsid w:val="00890B48"/>
    <w:rsid w:val="00891864"/>
    <w:rsid w:val="00891E6F"/>
    <w:rsid w:val="0089275D"/>
    <w:rsid w:val="00892A36"/>
    <w:rsid w:val="00892F5D"/>
    <w:rsid w:val="00893239"/>
    <w:rsid w:val="00893883"/>
    <w:rsid w:val="0089391B"/>
    <w:rsid w:val="00893B06"/>
    <w:rsid w:val="0089413F"/>
    <w:rsid w:val="0089420E"/>
    <w:rsid w:val="008942E6"/>
    <w:rsid w:val="00894489"/>
    <w:rsid w:val="00894ABB"/>
    <w:rsid w:val="00894CD6"/>
    <w:rsid w:val="00894DFD"/>
    <w:rsid w:val="008954BC"/>
    <w:rsid w:val="008955B4"/>
    <w:rsid w:val="00896118"/>
    <w:rsid w:val="008963A5"/>
    <w:rsid w:val="00896C66"/>
    <w:rsid w:val="00896D5D"/>
    <w:rsid w:val="00896FCE"/>
    <w:rsid w:val="0089742D"/>
    <w:rsid w:val="00897955"/>
    <w:rsid w:val="008A050B"/>
    <w:rsid w:val="008A053B"/>
    <w:rsid w:val="008A08AE"/>
    <w:rsid w:val="008A099A"/>
    <w:rsid w:val="008A12D6"/>
    <w:rsid w:val="008A193D"/>
    <w:rsid w:val="008A2FDD"/>
    <w:rsid w:val="008A3158"/>
    <w:rsid w:val="008A3363"/>
    <w:rsid w:val="008A3371"/>
    <w:rsid w:val="008A3C3E"/>
    <w:rsid w:val="008A3DB7"/>
    <w:rsid w:val="008A434B"/>
    <w:rsid w:val="008A46EA"/>
    <w:rsid w:val="008A47CE"/>
    <w:rsid w:val="008A5363"/>
    <w:rsid w:val="008A630D"/>
    <w:rsid w:val="008A6385"/>
    <w:rsid w:val="008A71C0"/>
    <w:rsid w:val="008A7223"/>
    <w:rsid w:val="008A79DE"/>
    <w:rsid w:val="008A7C38"/>
    <w:rsid w:val="008B00F9"/>
    <w:rsid w:val="008B12F4"/>
    <w:rsid w:val="008B1757"/>
    <w:rsid w:val="008B1AAC"/>
    <w:rsid w:val="008B1BB6"/>
    <w:rsid w:val="008B1C33"/>
    <w:rsid w:val="008B2564"/>
    <w:rsid w:val="008B292D"/>
    <w:rsid w:val="008B2CB0"/>
    <w:rsid w:val="008B2D40"/>
    <w:rsid w:val="008B3216"/>
    <w:rsid w:val="008B3D59"/>
    <w:rsid w:val="008B49AA"/>
    <w:rsid w:val="008B4B6F"/>
    <w:rsid w:val="008B5D1A"/>
    <w:rsid w:val="008B5D2E"/>
    <w:rsid w:val="008B699A"/>
    <w:rsid w:val="008B6C0E"/>
    <w:rsid w:val="008B733A"/>
    <w:rsid w:val="008B7992"/>
    <w:rsid w:val="008B79AE"/>
    <w:rsid w:val="008B7D7E"/>
    <w:rsid w:val="008C0414"/>
    <w:rsid w:val="008C0D52"/>
    <w:rsid w:val="008C15EB"/>
    <w:rsid w:val="008C1678"/>
    <w:rsid w:val="008C20FA"/>
    <w:rsid w:val="008C2529"/>
    <w:rsid w:val="008C2E99"/>
    <w:rsid w:val="008C2FF0"/>
    <w:rsid w:val="008C3BC0"/>
    <w:rsid w:val="008C3E74"/>
    <w:rsid w:val="008C3F0A"/>
    <w:rsid w:val="008C4C78"/>
    <w:rsid w:val="008C4F3F"/>
    <w:rsid w:val="008C4FA6"/>
    <w:rsid w:val="008C5610"/>
    <w:rsid w:val="008C5739"/>
    <w:rsid w:val="008C5885"/>
    <w:rsid w:val="008C5C3C"/>
    <w:rsid w:val="008C5D92"/>
    <w:rsid w:val="008C6F94"/>
    <w:rsid w:val="008C6FF6"/>
    <w:rsid w:val="008C7282"/>
    <w:rsid w:val="008C7ECB"/>
    <w:rsid w:val="008D084D"/>
    <w:rsid w:val="008D13E9"/>
    <w:rsid w:val="008D1449"/>
    <w:rsid w:val="008D21DF"/>
    <w:rsid w:val="008D22FD"/>
    <w:rsid w:val="008D274C"/>
    <w:rsid w:val="008D2D3F"/>
    <w:rsid w:val="008D3B86"/>
    <w:rsid w:val="008D43FD"/>
    <w:rsid w:val="008D4755"/>
    <w:rsid w:val="008D478C"/>
    <w:rsid w:val="008D4C3D"/>
    <w:rsid w:val="008D4C7F"/>
    <w:rsid w:val="008D55F6"/>
    <w:rsid w:val="008D5CA2"/>
    <w:rsid w:val="008D62D3"/>
    <w:rsid w:val="008D6B07"/>
    <w:rsid w:val="008D6FF7"/>
    <w:rsid w:val="008D73F2"/>
    <w:rsid w:val="008D743C"/>
    <w:rsid w:val="008D7F80"/>
    <w:rsid w:val="008E0D3C"/>
    <w:rsid w:val="008E0D60"/>
    <w:rsid w:val="008E1B9E"/>
    <w:rsid w:val="008E22BA"/>
    <w:rsid w:val="008E25FA"/>
    <w:rsid w:val="008E2703"/>
    <w:rsid w:val="008E2F98"/>
    <w:rsid w:val="008E3A06"/>
    <w:rsid w:val="008E4BEA"/>
    <w:rsid w:val="008E4F9F"/>
    <w:rsid w:val="008E5476"/>
    <w:rsid w:val="008E55AB"/>
    <w:rsid w:val="008E5A6A"/>
    <w:rsid w:val="008E60A6"/>
    <w:rsid w:val="008E6175"/>
    <w:rsid w:val="008F0114"/>
    <w:rsid w:val="008F08DD"/>
    <w:rsid w:val="008F120A"/>
    <w:rsid w:val="008F1ED8"/>
    <w:rsid w:val="008F2574"/>
    <w:rsid w:val="008F27E0"/>
    <w:rsid w:val="008F2F7F"/>
    <w:rsid w:val="008F37F9"/>
    <w:rsid w:val="008F3A9A"/>
    <w:rsid w:val="008F3F26"/>
    <w:rsid w:val="008F4323"/>
    <w:rsid w:val="008F474C"/>
    <w:rsid w:val="008F48EB"/>
    <w:rsid w:val="008F4F0B"/>
    <w:rsid w:val="008F50B6"/>
    <w:rsid w:val="008F518D"/>
    <w:rsid w:val="008F532D"/>
    <w:rsid w:val="008F5AAF"/>
    <w:rsid w:val="008F5BB8"/>
    <w:rsid w:val="008F5FEA"/>
    <w:rsid w:val="008F651E"/>
    <w:rsid w:val="008F6596"/>
    <w:rsid w:val="008F65B4"/>
    <w:rsid w:val="008F74C6"/>
    <w:rsid w:val="008F7550"/>
    <w:rsid w:val="008F7591"/>
    <w:rsid w:val="008F7E00"/>
    <w:rsid w:val="00900057"/>
    <w:rsid w:val="009001D0"/>
    <w:rsid w:val="00900CC9"/>
    <w:rsid w:val="009010FE"/>
    <w:rsid w:val="00901D7A"/>
    <w:rsid w:val="00902454"/>
    <w:rsid w:val="00903901"/>
    <w:rsid w:val="009046C4"/>
    <w:rsid w:val="00904CE3"/>
    <w:rsid w:val="009050F7"/>
    <w:rsid w:val="00905C5F"/>
    <w:rsid w:val="009062A5"/>
    <w:rsid w:val="009068BB"/>
    <w:rsid w:val="00907699"/>
    <w:rsid w:val="00907C5F"/>
    <w:rsid w:val="00907FC7"/>
    <w:rsid w:val="0091029B"/>
    <w:rsid w:val="00910FA7"/>
    <w:rsid w:val="00911272"/>
    <w:rsid w:val="00911287"/>
    <w:rsid w:val="00911339"/>
    <w:rsid w:val="009118D8"/>
    <w:rsid w:val="00911F4D"/>
    <w:rsid w:val="009121AC"/>
    <w:rsid w:val="00912351"/>
    <w:rsid w:val="0091258B"/>
    <w:rsid w:val="00912877"/>
    <w:rsid w:val="00912C94"/>
    <w:rsid w:val="009135D6"/>
    <w:rsid w:val="009138F7"/>
    <w:rsid w:val="00913EB2"/>
    <w:rsid w:val="009147A7"/>
    <w:rsid w:val="00914C77"/>
    <w:rsid w:val="00914F9A"/>
    <w:rsid w:val="00916422"/>
    <w:rsid w:val="00916919"/>
    <w:rsid w:val="00916A4C"/>
    <w:rsid w:val="00916C05"/>
    <w:rsid w:val="00916FD6"/>
    <w:rsid w:val="00920181"/>
    <w:rsid w:val="0092083F"/>
    <w:rsid w:val="00920A35"/>
    <w:rsid w:val="00921ACB"/>
    <w:rsid w:val="00921AE8"/>
    <w:rsid w:val="0092290C"/>
    <w:rsid w:val="009229EE"/>
    <w:rsid w:val="00922BED"/>
    <w:rsid w:val="0092369B"/>
    <w:rsid w:val="00924824"/>
    <w:rsid w:val="00924A6C"/>
    <w:rsid w:val="009252D8"/>
    <w:rsid w:val="009257B2"/>
    <w:rsid w:val="00925B0F"/>
    <w:rsid w:val="00927737"/>
    <w:rsid w:val="00931702"/>
    <w:rsid w:val="0093185E"/>
    <w:rsid w:val="00932313"/>
    <w:rsid w:val="00932F1B"/>
    <w:rsid w:val="00933A42"/>
    <w:rsid w:val="009341C8"/>
    <w:rsid w:val="00934439"/>
    <w:rsid w:val="0093477E"/>
    <w:rsid w:val="00934988"/>
    <w:rsid w:val="00934A3A"/>
    <w:rsid w:val="00934C60"/>
    <w:rsid w:val="009350F8"/>
    <w:rsid w:val="00935D64"/>
    <w:rsid w:val="0093661D"/>
    <w:rsid w:val="00936997"/>
    <w:rsid w:val="00937089"/>
    <w:rsid w:val="00940937"/>
    <w:rsid w:val="00940E69"/>
    <w:rsid w:val="0094114A"/>
    <w:rsid w:val="00941AF1"/>
    <w:rsid w:val="00942559"/>
    <w:rsid w:val="00942826"/>
    <w:rsid w:val="00942932"/>
    <w:rsid w:val="00942A5E"/>
    <w:rsid w:val="0094322B"/>
    <w:rsid w:val="00943676"/>
    <w:rsid w:val="00943ABF"/>
    <w:rsid w:val="00943AD9"/>
    <w:rsid w:val="00944F8A"/>
    <w:rsid w:val="00945F2A"/>
    <w:rsid w:val="0094617D"/>
    <w:rsid w:val="00946865"/>
    <w:rsid w:val="00946BCC"/>
    <w:rsid w:val="00946F7B"/>
    <w:rsid w:val="009472F6"/>
    <w:rsid w:val="00947552"/>
    <w:rsid w:val="0094770A"/>
    <w:rsid w:val="009478CA"/>
    <w:rsid w:val="00947A5C"/>
    <w:rsid w:val="009502B6"/>
    <w:rsid w:val="009508E6"/>
    <w:rsid w:val="00950C31"/>
    <w:rsid w:val="009510A2"/>
    <w:rsid w:val="00951435"/>
    <w:rsid w:val="0095171C"/>
    <w:rsid w:val="0095191B"/>
    <w:rsid w:val="00952002"/>
    <w:rsid w:val="0095205F"/>
    <w:rsid w:val="0095224A"/>
    <w:rsid w:val="009522C5"/>
    <w:rsid w:val="009524C2"/>
    <w:rsid w:val="00952B8D"/>
    <w:rsid w:val="009530D8"/>
    <w:rsid w:val="00953257"/>
    <w:rsid w:val="009543C7"/>
    <w:rsid w:val="0095455C"/>
    <w:rsid w:val="0095474C"/>
    <w:rsid w:val="0095479F"/>
    <w:rsid w:val="00954930"/>
    <w:rsid w:val="00954C03"/>
    <w:rsid w:val="00955031"/>
    <w:rsid w:val="009552D7"/>
    <w:rsid w:val="009554C7"/>
    <w:rsid w:val="00955F48"/>
    <w:rsid w:val="00957B55"/>
    <w:rsid w:val="00957D92"/>
    <w:rsid w:val="00957EE7"/>
    <w:rsid w:val="009602A3"/>
    <w:rsid w:val="009603B7"/>
    <w:rsid w:val="00960EDF"/>
    <w:rsid w:val="00961464"/>
    <w:rsid w:val="0096236B"/>
    <w:rsid w:val="009627B7"/>
    <w:rsid w:val="00962CB9"/>
    <w:rsid w:val="00963216"/>
    <w:rsid w:val="00963685"/>
    <w:rsid w:val="009637BA"/>
    <w:rsid w:val="0096387A"/>
    <w:rsid w:val="00964312"/>
    <w:rsid w:val="00964A61"/>
    <w:rsid w:val="00964A84"/>
    <w:rsid w:val="0096579E"/>
    <w:rsid w:val="009659B8"/>
    <w:rsid w:val="00965B8A"/>
    <w:rsid w:val="0096623C"/>
    <w:rsid w:val="00966AA3"/>
    <w:rsid w:val="00966D2A"/>
    <w:rsid w:val="00967157"/>
    <w:rsid w:val="0096718F"/>
    <w:rsid w:val="00967704"/>
    <w:rsid w:val="00967714"/>
    <w:rsid w:val="009677DB"/>
    <w:rsid w:val="00967832"/>
    <w:rsid w:val="00967AFF"/>
    <w:rsid w:val="0097071F"/>
    <w:rsid w:val="00970EEA"/>
    <w:rsid w:val="00971007"/>
    <w:rsid w:val="00971276"/>
    <w:rsid w:val="00971409"/>
    <w:rsid w:val="009717AC"/>
    <w:rsid w:val="0097200E"/>
    <w:rsid w:val="009720B2"/>
    <w:rsid w:val="009721A1"/>
    <w:rsid w:val="00973156"/>
    <w:rsid w:val="00974086"/>
    <w:rsid w:val="00974B8E"/>
    <w:rsid w:val="00974E4F"/>
    <w:rsid w:val="00975031"/>
    <w:rsid w:val="009751C1"/>
    <w:rsid w:val="009755C5"/>
    <w:rsid w:val="00975AC2"/>
    <w:rsid w:val="0097603A"/>
    <w:rsid w:val="00976183"/>
    <w:rsid w:val="0097643B"/>
    <w:rsid w:val="009767A5"/>
    <w:rsid w:val="00977118"/>
    <w:rsid w:val="009779EF"/>
    <w:rsid w:val="00980D72"/>
    <w:rsid w:val="009811F1"/>
    <w:rsid w:val="00981E3C"/>
    <w:rsid w:val="00982030"/>
    <w:rsid w:val="0098262F"/>
    <w:rsid w:val="00982F36"/>
    <w:rsid w:val="00983230"/>
    <w:rsid w:val="009833BD"/>
    <w:rsid w:val="00983911"/>
    <w:rsid w:val="00983E57"/>
    <w:rsid w:val="00984375"/>
    <w:rsid w:val="009849BE"/>
    <w:rsid w:val="0098567F"/>
    <w:rsid w:val="00985760"/>
    <w:rsid w:val="00985DE2"/>
    <w:rsid w:val="00986400"/>
    <w:rsid w:val="0098675D"/>
    <w:rsid w:val="00986C6F"/>
    <w:rsid w:val="00986C72"/>
    <w:rsid w:val="00987156"/>
    <w:rsid w:val="009874DA"/>
    <w:rsid w:val="00987507"/>
    <w:rsid w:val="00987A34"/>
    <w:rsid w:val="00987BA4"/>
    <w:rsid w:val="009900CF"/>
    <w:rsid w:val="00990E3C"/>
    <w:rsid w:val="0099103E"/>
    <w:rsid w:val="00991379"/>
    <w:rsid w:val="00991556"/>
    <w:rsid w:val="00991A30"/>
    <w:rsid w:val="00992166"/>
    <w:rsid w:val="009926E0"/>
    <w:rsid w:val="009929B5"/>
    <w:rsid w:val="009932E3"/>
    <w:rsid w:val="009941F1"/>
    <w:rsid w:val="0099421B"/>
    <w:rsid w:val="00994415"/>
    <w:rsid w:val="0099451E"/>
    <w:rsid w:val="00995410"/>
    <w:rsid w:val="00995989"/>
    <w:rsid w:val="00995A46"/>
    <w:rsid w:val="00995CF9"/>
    <w:rsid w:val="009962F1"/>
    <w:rsid w:val="0099654D"/>
    <w:rsid w:val="00996B1A"/>
    <w:rsid w:val="009A0102"/>
    <w:rsid w:val="009A0B70"/>
    <w:rsid w:val="009A153F"/>
    <w:rsid w:val="009A15EC"/>
    <w:rsid w:val="009A16E8"/>
    <w:rsid w:val="009A18F6"/>
    <w:rsid w:val="009A1D46"/>
    <w:rsid w:val="009A2438"/>
    <w:rsid w:val="009A2943"/>
    <w:rsid w:val="009A2CBA"/>
    <w:rsid w:val="009A2DCC"/>
    <w:rsid w:val="009A31F6"/>
    <w:rsid w:val="009A3BD2"/>
    <w:rsid w:val="009A5140"/>
    <w:rsid w:val="009A556E"/>
    <w:rsid w:val="009A5ABC"/>
    <w:rsid w:val="009A5B30"/>
    <w:rsid w:val="009A5E26"/>
    <w:rsid w:val="009A5EEE"/>
    <w:rsid w:val="009A6986"/>
    <w:rsid w:val="009A6A28"/>
    <w:rsid w:val="009A6C20"/>
    <w:rsid w:val="009A75E4"/>
    <w:rsid w:val="009A7F10"/>
    <w:rsid w:val="009B01E7"/>
    <w:rsid w:val="009B0E41"/>
    <w:rsid w:val="009B1087"/>
    <w:rsid w:val="009B157E"/>
    <w:rsid w:val="009B1B52"/>
    <w:rsid w:val="009B2646"/>
    <w:rsid w:val="009B3E26"/>
    <w:rsid w:val="009B409E"/>
    <w:rsid w:val="009B4134"/>
    <w:rsid w:val="009B43FE"/>
    <w:rsid w:val="009B47A1"/>
    <w:rsid w:val="009B4B24"/>
    <w:rsid w:val="009B54AE"/>
    <w:rsid w:val="009B5748"/>
    <w:rsid w:val="009B5940"/>
    <w:rsid w:val="009B5DCC"/>
    <w:rsid w:val="009B6774"/>
    <w:rsid w:val="009B69B6"/>
    <w:rsid w:val="009B6AFB"/>
    <w:rsid w:val="009B6ECE"/>
    <w:rsid w:val="009B74BB"/>
    <w:rsid w:val="009B7556"/>
    <w:rsid w:val="009B7B16"/>
    <w:rsid w:val="009B7D83"/>
    <w:rsid w:val="009C0072"/>
    <w:rsid w:val="009C0CB5"/>
    <w:rsid w:val="009C1263"/>
    <w:rsid w:val="009C1271"/>
    <w:rsid w:val="009C19AD"/>
    <w:rsid w:val="009C2EC0"/>
    <w:rsid w:val="009C314C"/>
    <w:rsid w:val="009C3706"/>
    <w:rsid w:val="009C386D"/>
    <w:rsid w:val="009C3A3A"/>
    <w:rsid w:val="009C426B"/>
    <w:rsid w:val="009C472D"/>
    <w:rsid w:val="009C4FBB"/>
    <w:rsid w:val="009C56DB"/>
    <w:rsid w:val="009C5B20"/>
    <w:rsid w:val="009C622A"/>
    <w:rsid w:val="009C6822"/>
    <w:rsid w:val="009C69CD"/>
    <w:rsid w:val="009C6BCE"/>
    <w:rsid w:val="009C6CEA"/>
    <w:rsid w:val="009C6F0A"/>
    <w:rsid w:val="009C7346"/>
    <w:rsid w:val="009C7B85"/>
    <w:rsid w:val="009C7BFE"/>
    <w:rsid w:val="009D0254"/>
    <w:rsid w:val="009D05DE"/>
    <w:rsid w:val="009D0BAD"/>
    <w:rsid w:val="009D0F3C"/>
    <w:rsid w:val="009D165A"/>
    <w:rsid w:val="009D1A64"/>
    <w:rsid w:val="009D203B"/>
    <w:rsid w:val="009D2F79"/>
    <w:rsid w:val="009D32B1"/>
    <w:rsid w:val="009D3B52"/>
    <w:rsid w:val="009D4599"/>
    <w:rsid w:val="009D4AD6"/>
    <w:rsid w:val="009D4F9D"/>
    <w:rsid w:val="009D5B91"/>
    <w:rsid w:val="009D6C5D"/>
    <w:rsid w:val="009D70FF"/>
    <w:rsid w:val="009D75BF"/>
    <w:rsid w:val="009D792E"/>
    <w:rsid w:val="009D7D2A"/>
    <w:rsid w:val="009E0754"/>
    <w:rsid w:val="009E0A84"/>
    <w:rsid w:val="009E0DFE"/>
    <w:rsid w:val="009E1BA7"/>
    <w:rsid w:val="009E1ED4"/>
    <w:rsid w:val="009E30C8"/>
    <w:rsid w:val="009E31F6"/>
    <w:rsid w:val="009E3E27"/>
    <w:rsid w:val="009E4C07"/>
    <w:rsid w:val="009E50F6"/>
    <w:rsid w:val="009E555B"/>
    <w:rsid w:val="009E6E1B"/>
    <w:rsid w:val="009E70FB"/>
    <w:rsid w:val="009E745E"/>
    <w:rsid w:val="009E777F"/>
    <w:rsid w:val="009E780E"/>
    <w:rsid w:val="009E7966"/>
    <w:rsid w:val="009E7F78"/>
    <w:rsid w:val="009F01BC"/>
    <w:rsid w:val="009F01C1"/>
    <w:rsid w:val="009F0265"/>
    <w:rsid w:val="009F10F3"/>
    <w:rsid w:val="009F14E5"/>
    <w:rsid w:val="009F17BC"/>
    <w:rsid w:val="009F2112"/>
    <w:rsid w:val="009F24FF"/>
    <w:rsid w:val="009F2A68"/>
    <w:rsid w:val="009F36D0"/>
    <w:rsid w:val="009F3AD3"/>
    <w:rsid w:val="009F3EC1"/>
    <w:rsid w:val="009F40EA"/>
    <w:rsid w:val="009F432B"/>
    <w:rsid w:val="009F4CEB"/>
    <w:rsid w:val="009F4D6C"/>
    <w:rsid w:val="009F5205"/>
    <w:rsid w:val="009F57DB"/>
    <w:rsid w:val="009F5B8F"/>
    <w:rsid w:val="009F6120"/>
    <w:rsid w:val="009F6178"/>
    <w:rsid w:val="009F661C"/>
    <w:rsid w:val="009F6CC4"/>
    <w:rsid w:val="009F79E3"/>
    <w:rsid w:val="009F7A71"/>
    <w:rsid w:val="009F7E6D"/>
    <w:rsid w:val="00A000F5"/>
    <w:rsid w:val="00A00647"/>
    <w:rsid w:val="00A0092F"/>
    <w:rsid w:val="00A00BF2"/>
    <w:rsid w:val="00A00D76"/>
    <w:rsid w:val="00A01184"/>
    <w:rsid w:val="00A012F6"/>
    <w:rsid w:val="00A01449"/>
    <w:rsid w:val="00A01A38"/>
    <w:rsid w:val="00A01D04"/>
    <w:rsid w:val="00A01E58"/>
    <w:rsid w:val="00A01EC9"/>
    <w:rsid w:val="00A0204E"/>
    <w:rsid w:val="00A023A0"/>
    <w:rsid w:val="00A029CB"/>
    <w:rsid w:val="00A02CF8"/>
    <w:rsid w:val="00A037A2"/>
    <w:rsid w:val="00A037C2"/>
    <w:rsid w:val="00A03D43"/>
    <w:rsid w:val="00A0427F"/>
    <w:rsid w:val="00A04380"/>
    <w:rsid w:val="00A045BE"/>
    <w:rsid w:val="00A04786"/>
    <w:rsid w:val="00A04D15"/>
    <w:rsid w:val="00A052BC"/>
    <w:rsid w:val="00A05472"/>
    <w:rsid w:val="00A05C32"/>
    <w:rsid w:val="00A0625D"/>
    <w:rsid w:val="00A0653F"/>
    <w:rsid w:val="00A06766"/>
    <w:rsid w:val="00A06A28"/>
    <w:rsid w:val="00A070BB"/>
    <w:rsid w:val="00A07315"/>
    <w:rsid w:val="00A07736"/>
    <w:rsid w:val="00A10235"/>
    <w:rsid w:val="00A11037"/>
    <w:rsid w:val="00A11356"/>
    <w:rsid w:val="00A11CD0"/>
    <w:rsid w:val="00A11CFC"/>
    <w:rsid w:val="00A12377"/>
    <w:rsid w:val="00A1263F"/>
    <w:rsid w:val="00A130CB"/>
    <w:rsid w:val="00A1319A"/>
    <w:rsid w:val="00A13514"/>
    <w:rsid w:val="00A13948"/>
    <w:rsid w:val="00A14193"/>
    <w:rsid w:val="00A142ED"/>
    <w:rsid w:val="00A14F49"/>
    <w:rsid w:val="00A1555B"/>
    <w:rsid w:val="00A155C5"/>
    <w:rsid w:val="00A15642"/>
    <w:rsid w:val="00A1579F"/>
    <w:rsid w:val="00A15E0D"/>
    <w:rsid w:val="00A16889"/>
    <w:rsid w:val="00A16AD8"/>
    <w:rsid w:val="00A16B7E"/>
    <w:rsid w:val="00A179A5"/>
    <w:rsid w:val="00A200AA"/>
    <w:rsid w:val="00A20125"/>
    <w:rsid w:val="00A2021E"/>
    <w:rsid w:val="00A2120B"/>
    <w:rsid w:val="00A21C95"/>
    <w:rsid w:val="00A21CEC"/>
    <w:rsid w:val="00A21CF3"/>
    <w:rsid w:val="00A21D24"/>
    <w:rsid w:val="00A227FB"/>
    <w:rsid w:val="00A23192"/>
    <w:rsid w:val="00A235DD"/>
    <w:rsid w:val="00A2391A"/>
    <w:rsid w:val="00A23AA9"/>
    <w:rsid w:val="00A24196"/>
    <w:rsid w:val="00A24813"/>
    <w:rsid w:val="00A24A83"/>
    <w:rsid w:val="00A24DFF"/>
    <w:rsid w:val="00A24E19"/>
    <w:rsid w:val="00A2532E"/>
    <w:rsid w:val="00A2646C"/>
    <w:rsid w:val="00A26C16"/>
    <w:rsid w:val="00A279C1"/>
    <w:rsid w:val="00A27AEC"/>
    <w:rsid w:val="00A27E19"/>
    <w:rsid w:val="00A27F3F"/>
    <w:rsid w:val="00A307F0"/>
    <w:rsid w:val="00A30AD5"/>
    <w:rsid w:val="00A310EE"/>
    <w:rsid w:val="00A315A6"/>
    <w:rsid w:val="00A319DC"/>
    <w:rsid w:val="00A31CCF"/>
    <w:rsid w:val="00A320DB"/>
    <w:rsid w:val="00A33324"/>
    <w:rsid w:val="00A33B7E"/>
    <w:rsid w:val="00A34E66"/>
    <w:rsid w:val="00A351DA"/>
    <w:rsid w:val="00A3568E"/>
    <w:rsid w:val="00A35D16"/>
    <w:rsid w:val="00A361B3"/>
    <w:rsid w:val="00A37180"/>
    <w:rsid w:val="00A3733E"/>
    <w:rsid w:val="00A37BCD"/>
    <w:rsid w:val="00A4088E"/>
    <w:rsid w:val="00A41689"/>
    <w:rsid w:val="00A41C85"/>
    <w:rsid w:val="00A41ED1"/>
    <w:rsid w:val="00A42592"/>
    <w:rsid w:val="00A4261B"/>
    <w:rsid w:val="00A430BA"/>
    <w:rsid w:val="00A439E8"/>
    <w:rsid w:val="00A43BC1"/>
    <w:rsid w:val="00A43C59"/>
    <w:rsid w:val="00A43DAC"/>
    <w:rsid w:val="00A44D12"/>
    <w:rsid w:val="00A44F64"/>
    <w:rsid w:val="00A4546C"/>
    <w:rsid w:val="00A454F3"/>
    <w:rsid w:val="00A456E7"/>
    <w:rsid w:val="00A45B68"/>
    <w:rsid w:val="00A46423"/>
    <w:rsid w:val="00A46C8E"/>
    <w:rsid w:val="00A46D20"/>
    <w:rsid w:val="00A472A0"/>
    <w:rsid w:val="00A47714"/>
    <w:rsid w:val="00A47CBA"/>
    <w:rsid w:val="00A50437"/>
    <w:rsid w:val="00A50CF0"/>
    <w:rsid w:val="00A50ECD"/>
    <w:rsid w:val="00A518F3"/>
    <w:rsid w:val="00A51C91"/>
    <w:rsid w:val="00A523C1"/>
    <w:rsid w:val="00A52729"/>
    <w:rsid w:val="00A532F3"/>
    <w:rsid w:val="00A534E6"/>
    <w:rsid w:val="00A53626"/>
    <w:rsid w:val="00A53675"/>
    <w:rsid w:val="00A53C5B"/>
    <w:rsid w:val="00A544A0"/>
    <w:rsid w:val="00A5461C"/>
    <w:rsid w:val="00A546F3"/>
    <w:rsid w:val="00A54B33"/>
    <w:rsid w:val="00A55227"/>
    <w:rsid w:val="00A55C06"/>
    <w:rsid w:val="00A5612B"/>
    <w:rsid w:val="00A5621D"/>
    <w:rsid w:val="00A5646E"/>
    <w:rsid w:val="00A564D7"/>
    <w:rsid w:val="00A567D8"/>
    <w:rsid w:val="00A56B6A"/>
    <w:rsid w:val="00A56FDD"/>
    <w:rsid w:val="00A571F5"/>
    <w:rsid w:val="00A578DC"/>
    <w:rsid w:val="00A57C38"/>
    <w:rsid w:val="00A606AE"/>
    <w:rsid w:val="00A60DA9"/>
    <w:rsid w:val="00A60DE5"/>
    <w:rsid w:val="00A61A9C"/>
    <w:rsid w:val="00A61B3D"/>
    <w:rsid w:val="00A61BDD"/>
    <w:rsid w:val="00A62D18"/>
    <w:rsid w:val="00A62E4D"/>
    <w:rsid w:val="00A62F5C"/>
    <w:rsid w:val="00A63149"/>
    <w:rsid w:val="00A6358A"/>
    <w:rsid w:val="00A63973"/>
    <w:rsid w:val="00A63E69"/>
    <w:rsid w:val="00A640E2"/>
    <w:rsid w:val="00A64D53"/>
    <w:rsid w:val="00A64D65"/>
    <w:rsid w:val="00A65890"/>
    <w:rsid w:val="00A6589B"/>
    <w:rsid w:val="00A65BF5"/>
    <w:rsid w:val="00A660F8"/>
    <w:rsid w:val="00A667C7"/>
    <w:rsid w:val="00A6709F"/>
    <w:rsid w:val="00A6725B"/>
    <w:rsid w:val="00A67931"/>
    <w:rsid w:val="00A67FE7"/>
    <w:rsid w:val="00A70246"/>
    <w:rsid w:val="00A70519"/>
    <w:rsid w:val="00A70605"/>
    <w:rsid w:val="00A7094E"/>
    <w:rsid w:val="00A70B82"/>
    <w:rsid w:val="00A71717"/>
    <w:rsid w:val="00A72371"/>
    <w:rsid w:val="00A725B3"/>
    <w:rsid w:val="00A7260E"/>
    <w:rsid w:val="00A72D9E"/>
    <w:rsid w:val="00A73134"/>
    <w:rsid w:val="00A7334B"/>
    <w:rsid w:val="00A7365A"/>
    <w:rsid w:val="00A74097"/>
    <w:rsid w:val="00A74679"/>
    <w:rsid w:val="00A74E70"/>
    <w:rsid w:val="00A75D5A"/>
    <w:rsid w:val="00A76001"/>
    <w:rsid w:val="00A76363"/>
    <w:rsid w:val="00A76684"/>
    <w:rsid w:val="00A76FBC"/>
    <w:rsid w:val="00A777B2"/>
    <w:rsid w:val="00A77B3D"/>
    <w:rsid w:val="00A80AEB"/>
    <w:rsid w:val="00A80EED"/>
    <w:rsid w:val="00A810E1"/>
    <w:rsid w:val="00A8183F"/>
    <w:rsid w:val="00A8190C"/>
    <w:rsid w:val="00A8191F"/>
    <w:rsid w:val="00A81989"/>
    <w:rsid w:val="00A81EBB"/>
    <w:rsid w:val="00A824E4"/>
    <w:rsid w:val="00A82554"/>
    <w:rsid w:val="00A825D4"/>
    <w:rsid w:val="00A828F6"/>
    <w:rsid w:val="00A82A52"/>
    <w:rsid w:val="00A82B73"/>
    <w:rsid w:val="00A82C6D"/>
    <w:rsid w:val="00A82E59"/>
    <w:rsid w:val="00A83429"/>
    <w:rsid w:val="00A83BAE"/>
    <w:rsid w:val="00A83F68"/>
    <w:rsid w:val="00A840D4"/>
    <w:rsid w:val="00A84E40"/>
    <w:rsid w:val="00A853FA"/>
    <w:rsid w:val="00A86278"/>
    <w:rsid w:val="00A86553"/>
    <w:rsid w:val="00A86620"/>
    <w:rsid w:val="00A8681C"/>
    <w:rsid w:val="00A869C4"/>
    <w:rsid w:val="00A86D01"/>
    <w:rsid w:val="00A86E8B"/>
    <w:rsid w:val="00A8702A"/>
    <w:rsid w:val="00A87164"/>
    <w:rsid w:val="00A871A9"/>
    <w:rsid w:val="00A8747D"/>
    <w:rsid w:val="00A87A94"/>
    <w:rsid w:val="00A87FD1"/>
    <w:rsid w:val="00A9042B"/>
    <w:rsid w:val="00A9070C"/>
    <w:rsid w:val="00A90DCA"/>
    <w:rsid w:val="00A921E4"/>
    <w:rsid w:val="00A92396"/>
    <w:rsid w:val="00A92874"/>
    <w:rsid w:val="00A92D0F"/>
    <w:rsid w:val="00A93072"/>
    <w:rsid w:val="00A930BB"/>
    <w:rsid w:val="00A935C9"/>
    <w:rsid w:val="00A938BD"/>
    <w:rsid w:val="00A93953"/>
    <w:rsid w:val="00A93D40"/>
    <w:rsid w:val="00A9484C"/>
    <w:rsid w:val="00A94D53"/>
    <w:rsid w:val="00A94DF4"/>
    <w:rsid w:val="00A957C1"/>
    <w:rsid w:val="00A959B9"/>
    <w:rsid w:val="00A959D8"/>
    <w:rsid w:val="00A95B66"/>
    <w:rsid w:val="00A95BE9"/>
    <w:rsid w:val="00A95DE2"/>
    <w:rsid w:val="00A95DE4"/>
    <w:rsid w:val="00A964EE"/>
    <w:rsid w:val="00A96BE1"/>
    <w:rsid w:val="00A96D06"/>
    <w:rsid w:val="00A972A1"/>
    <w:rsid w:val="00A97992"/>
    <w:rsid w:val="00AA0182"/>
    <w:rsid w:val="00AA03DA"/>
    <w:rsid w:val="00AA0F1B"/>
    <w:rsid w:val="00AA0FFE"/>
    <w:rsid w:val="00AA1001"/>
    <w:rsid w:val="00AA113D"/>
    <w:rsid w:val="00AA2874"/>
    <w:rsid w:val="00AA2927"/>
    <w:rsid w:val="00AA3ED9"/>
    <w:rsid w:val="00AA4116"/>
    <w:rsid w:val="00AA42A2"/>
    <w:rsid w:val="00AA4D87"/>
    <w:rsid w:val="00AA4F1B"/>
    <w:rsid w:val="00AA4FDF"/>
    <w:rsid w:val="00AA5152"/>
    <w:rsid w:val="00AA6071"/>
    <w:rsid w:val="00AA60B4"/>
    <w:rsid w:val="00AA6BD5"/>
    <w:rsid w:val="00AA6BD8"/>
    <w:rsid w:val="00AA6C7D"/>
    <w:rsid w:val="00AA7FD6"/>
    <w:rsid w:val="00AB042A"/>
    <w:rsid w:val="00AB04FD"/>
    <w:rsid w:val="00AB092D"/>
    <w:rsid w:val="00AB0C28"/>
    <w:rsid w:val="00AB10C1"/>
    <w:rsid w:val="00AB11AD"/>
    <w:rsid w:val="00AB170A"/>
    <w:rsid w:val="00AB19EF"/>
    <w:rsid w:val="00AB1DF6"/>
    <w:rsid w:val="00AB20BA"/>
    <w:rsid w:val="00AB2495"/>
    <w:rsid w:val="00AB29FB"/>
    <w:rsid w:val="00AB2BB9"/>
    <w:rsid w:val="00AB2D34"/>
    <w:rsid w:val="00AB2F60"/>
    <w:rsid w:val="00AB3430"/>
    <w:rsid w:val="00AB36DF"/>
    <w:rsid w:val="00AB37B9"/>
    <w:rsid w:val="00AB4AD1"/>
    <w:rsid w:val="00AB4B33"/>
    <w:rsid w:val="00AB4DC8"/>
    <w:rsid w:val="00AB515B"/>
    <w:rsid w:val="00AB5410"/>
    <w:rsid w:val="00AB5E07"/>
    <w:rsid w:val="00AB64C3"/>
    <w:rsid w:val="00AB6BE9"/>
    <w:rsid w:val="00AB70BA"/>
    <w:rsid w:val="00AB70C9"/>
    <w:rsid w:val="00AB72A0"/>
    <w:rsid w:val="00AB7CFA"/>
    <w:rsid w:val="00AC04E2"/>
    <w:rsid w:val="00AC0784"/>
    <w:rsid w:val="00AC1335"/>
    <w:rsid w:val="00AC15C2"/>
    <w:rsid w:val="00AC165A"/>
    <w:rsid w:val="00AC2041"/>
    <w:rsid w:val="00AC20FF"/>
    <w:rsid w:val="00AC3187"/>
    <w:rsid w:val="00AC33F9"/>
    <w:rsid w:val="00AC349D"/>
    <w:rsid w:val="00AC44B1"/>
    <w:rsid w:val="00AC49AA"/>
    <w:rsid w:val="00AC4A0D"/>
    <w:rsid w:val="00AC5B42"/>
    <w:rsid w:val="00AC5B48"/>
    <w:rsid w:val="00AC5D78"/>
    <w:rsid w:val="00AC731C"/>
    <w:rsid w:val="00AC792C"/>
    <w:rsid w:val="00AC7978"/>
    <w:rsid w:val="00AD03C1"/>
    <w:rsid w:val="00AD0835"/>
    <w:rsid w:val="00AD09B8"/>
    <w:rsid w:val="00AD1450"/>
    <w:rsid w:val="00AD15E8"/>
    <w:rsid w:val="00AD20E5"/>
    <w:rsid w:val="00AD2BF3"/>
    <w:rsid w:val="00AD2CE7"/>
    <w:rsid w:val="00AD32BD"/>
    <w:rsid w:val="00AD3316"/>
    <w:rsid w:val="00AD356D"/>
    <w:rsid w:val="00AD39E1"/>
    <w:rsid w:val="00AD45E0"/>
    <w:rsid w:val="00AD6281"/>
    <w:rsid w:val="00AD6502"/>
    <w:rsid w:val="00AD6562"/>
    <w:rsid w:val="00AD69CB"/>
    <w:rsid w:val="00AD6C68"/>
    <w:rsid w:val="00AD7341"/>
    <w:rsid w:val="00AE02A0"/>
    <w:rsid w:val="00AE0695"/>
    <w:rsid w:val="00AE0A4A"/>
    <w:rsid w:val="00AE1569"/>
    <w:rsid w:val="00AE1591"/>
    <w:rsid w:val="00AE19AE"/>
    <w:rsid w:val="00AE3893"/>
    <w:rsid w:val="00AE3E7E"/>
    <w:rsid w:val="00AE3F1A"/>
    <w:rsid w:val="00AE3F1C"/>
    <w:rsid w:val="00AE3F46"/>
    <w:rsid w:val="00AE4962"/>
    <w:rsid w:val="00AE4DF7"/>
    <w:rsid w:val="00AE531E"/>
    <w:rsid w:val="00AE56D7"/>
    <w:rsid w:val="00AE5888"/>
    <w:rsid w:val="00AE59E1"/>
    <w:rsid w:val="00AE63DE"/>
    <w:rsid w:val="00AE7E53"/>
    <w:rsid w:val="00AF069F"/>
    <w:rsid w:val="00AF11A5"/>
    <w:rsid w:val="00AF11E4"/>
    <w:rsid w:val="00AF12F1"/>
    <w:rsid w:val="00AF1315"/>
    <w:rsid w:val="00AF19BD"/>
    <w:rsid w:val="00AF19BF"/>
    <w:rsid w:val="00AF1EC9"/>
    <w:rsid w:val="00AF23E5"/>
    <w:rsid w:val="00AF2775"/>
    <w:rsid w:val="00AF2B59"/>
    <w:rsid w:val="00AF2C72"/>
    <w:rsid w:val="00AF2D8C"/>
    <w:rsid w:val="00AF2DC3"/>
    <w:rsid w:val="00AF3B73"/>
    <w:rsid w:val="00AF49A8"/>
    <w:rsid w:val="00AF5179"/>
    <w:rsid w:val="00AF5B69"/>
    <w:rsid w:val="00AF5C0D"/>
    <w:rsid w:val="00AF5CD9"/>
    <w:rsid w:val="00AF66B3"/>
    <w:rsid w:val="00AF740A"/>
    <w:rsid w:val="00AF755E"/>
    <w:rsid w:val="00AF7823"/>
    <w:rsid w:val="00AF79DA"/>
    <w:rsid w:val="00B011BC"/>
    <w:rsid w:val="00B012AC"/>
    <w:rsid w:val="00B0261D"/>
    <w:rsid w:val="00B028FF"/>
    <w:rsid w:val="00B02E80"/>
    <w:rsid w:val="00B033E5"/>
    <w:rsid w:val="00B0369A"/>
    <w:rsid w:val="00B036DE"/>
    <w:rsid w:val="00B0385E"/>
    <w:rsid w:val="00B03A63"/>
    <w:rsid w:val="00B03AF0"/>
    <w:rsid w:val="00B0409C"/>
    <w:rsid w:val="00B04171"/>
    <w:rsid w:val="00B044F1"/>
    <w:rsid w:val="00B0520D"/>
    <w:rsid w:val="00B05625"/>
    <w:rsid w:val="00B05AF3"/>
    <w:rsid w:val="00B05C67"/>
    <w:rsid w:val="00B05E27"/>
    <w:rsid w:val="00B0672E"/>
    <w:rsid w:val="00B06DF0"/>
    <w:rsid w:val="00B07433"/>
    <w:rsid w:val="00B07736"/>
    <w:rsid w:val="00B07D13"/>
    <w:rsid w:val="00B10D6D"/>
    <w:rsid w:val="00B10F78"/>
    <w:rsid w:val="00B110D7"/>
    <w:rsid w:val="00B119DF"/>
    <w:rsid w:val="00B12494"/>
    <w:rsid w:val="00B125EC"/>
    <w:rsid w:val="00B129A4"/>
    <w:rsid w:val="00B131BA"/>
    <w:rsid w:val="00B13422"/>
    <w:rsid w:val="00B13B67"/>
    <w:rsid w:val="00B141F2"/>
    <w:rsid w:val="00B14338"/>
    <w:rsid w:val="00B14BF2"/>
    <w:rsid w:val="00B14D36"/>
    <w:rsid w:val="00B150EB"/>
    <w:rsid w:val="00B15185"/>
    <w:rsid w:val="00B154D9"/>
    <w:rsid w:val="00B1571C"/>
    <w:rsid w:val="00B1639A"/>
    <w:rsid w:val="00B16B44"/>
    <w:rsid w:val="00B16C0A"/>
    <w:rsid w:val="00B16D82"/>
    <w:rsid w:val="00B1709F"/>
    <w:rsid w:val="00B17234"/>
    <w:rsid w:val="00B17758"/>
    <w:rsid w:val="00B17904"/>
    <w:rsid w:val="00B201A4"/>
    <w:rsid w:val="00B201D1"/>
    <w:rsid w:val="00B20394"/>
    <w:rsid w:val="00B203D6"/>
    <w:rsid w:val="00B20A32"/>
    <w:rsid w:val="00B20E2D"/>
    <w:rsid w:val="00B20F45"/>
    <w:rsid w:val="00B213A6"/>
    <w:rsid w:val="00B219BF"/>
    <w:rsid w:val="00B21D7A"/>
    <w:rsid w:val="00B2235E"/>
    <w:rsid w:val="00B2239A"/>
    <w:rsid w:val="00B230B9"/>
    <w:rsid w:val="00B235B0"/>
    <w:rsid w:val="00B235EB"/>
    <w:rsid w:val="00B23B11"/>
    <w:rsid w:val="00B24446"/>
    <w:rsid w:val="00B24DF6"/>
    <w:rsid w:val="00B25D0D"/>
    <w:rsid w:val="00B26229"/>
    <w:rsid w:val="00B2637E"/>
    <w:rsid w:val="00B2709F"/>
    <w:rsid w:val="00B279D7"/>
    <w:rsid w:val="00B27A61"/>
    <w:rsid w:val="00B30CBD"/>
    <w:rsid w:val="00B332FD"/>
    <w:rsid w:val="00B33621"/>
    <w:rsid w:val="00B3443B"/>
    <w:rsid w:val="00B344DB"/>
    <w:rsid w:val="00B34D34"/>
    <w:rsid w:val="00B34F4D"/>
    <w:rsid w:val="00B34FE2"/>
    <w:rsid w:val="00B35166"/>
    <w:rsid w:val="00B354D6"/>
    <w:rsid w:val="00B357D8"/>
    <w:rsid w:val="00B35B11"/>
    <w:rsid w:val="00B3606D"/>
    <w:rsid w:val="00B360F4"/>
    <w:rsid w:val="00B36832"/>
    <w:rsid w:val="00B3686F"/>
    <w:rsid w:val="00B36A00"/>
    <w:rsid w:val="00B36D4A"/>
    <w:rsid w:val="00B3792B"/>
    <w:rsid w:val="00B37BFC"/>
    <w:rsid w:val="00B40358"/>
    <w:rsid w:val="00B403F9"/>
    <w:rsid w:val="00B40446"/>
    <w:rsid w:val="00B40542"/>
    <w:rsid w:val="00B40704"/>
    <w:rsid w:val="00B41614"/>
    <w:rsid w:val="00B42851"/>
    <w:rsid w:val="00B42B95"/>
    <w:rsid w:val="00B42F80"/>
    <w:rsid w:val="00B43422"/>
    <w:rsid w:val="00B435CB"/>
    <w:rsid w:val="00B43A9E"/>
    <w:rsid w:val="00B43D01"/>
    <w:rsid w:val="00B43DCB"/>
    <w:rsid w:val="00B43EA6"/>
    <w:rsid w:val="00B450A9"/>
    <w:rsid w:val="00B4511F"/>
    <w:rsid w:val="00B457D2"/>
    <w:rsid w:val="00B45CCC"/>
    <w:rsid w:val="00B45E59"/>
    <w:rsid w:val="00B46171"/>
    <w:rsid w:val="00B463B5"/>
    <w:rsid w:val="00B465EC"/>
    <w:rsid w:val="00B47B29"/>
    <w:rsid w:val="00B47EC5"/>
    <w:rsid w:val="00B47FC7"/>
    <w:rsid w:val="00B505C8"/>
    <w:rsid w:val="00B50DB8"/>
    <w:rsid w:val="00B50F7F"/>
    <w:rsid w:val="00B51342"/>
    <w:rsid w:val="00B5160B"/>
    <w:rsid w:val="00B51A83"/>
    <w:rsid w:val="00B52027"/>
    <w:rsid w:val="00B52612"/>
    <w:rsid w:val="00B52FD7"/>
    <w:rsid w:val="00B53654"/>
    <w:rsid w:val="00B53905"/>
    <w:rsid w:val="00B53AFE"/>
    <w:rsid w:val="00B5432C"/>
    <w:rsid w:val="00B54645"/>
    <w:rsid w:val="00B54666"/>
    <w:rsid w:val="00B546DB"/>
    <w:rsid w:val="00B54B5B"/>
    <w:rsid w:val="00B55289"/>
    <w:rsid w:val="00B552A6"/>
    <w:rsid w:val="00B5562E"/>
    <w:rsid w:val="00B55862"/>
    <w:rsid w:val="00B55976"/>
    <w:rsid w:val="00B55D65"/>
    <w:rsid w:val="00B56305"/>
    <w:rsid w:val="00B56625"/>
    <w:rsid w:val="00B56895"/>
    <w:rsid w:val="00B56B8E"/>
    <w:rsid w:val="00B56F4B"/>
    <w:rsid w:val="00B57000"/>
    <w:rsid w:val="00B57666"/>
    <w:rsid w:val="00B579E7"/>
    <w:rsid w:val="00B57B57"/>
    <w:rsid w:val="00B60939"/>
    <w:rsid w:val="00B60AFD"/>
    <w:rsid w:val="00B60CD4"/>
    <w:rsid w:val="00B60ED5"/>
    <w:rsid w:val="00B611AC"/>
    <w:rsid w:val="00B615CF"/>
    <w:rsid w:val="00B61C09"/>
    <w:rsid w:val="00B626C7"/>
    <w:rsid w:val="00B62715"/>
    <w:rsid w:val="00B62870"/>
    <w:rsid w:val="00B62998"/>
    <w:rsid w:val="00B6309C"/>
    <w:rsid w:val="00B630F5"/>
    <w:rsid w:val="00B64FC5"/>
    <w:rsid w:val="00B65611"/>
    <w:rsid w:val="00B657FD"/>
    <w:rsid w:val="00B65A35"/>
    <w:rsid w:val="00B665CC"/>
    <w:rsid w:val="00B6692D"/>
    <w:rsid w:val="00B66952"/>
    <w:rsid w:val="00B67413"/>
    <w:rsid w:val="00B678C0"/>
    <w:rsid w:val="00B7062A"/>
    <w:rsid w:val="00B70DC1"/>
    <w:rsid w:val="00B70E8E"/>
    <w:rsid w:val="00B713C9"/>
    <w:rsid w:val="00B717A8"/>
    <w:rsid w:val="00B71A4A"/>
    <w:rsid w:val="00B71F25"/>
    <w:rsid w:val="00B72072"/>
    <w:rsid w:val="00B723EB"/>
    <w:rsid w:val="00B726A1"/>
    <w:rsid w:val="00B7282D"/>
    <w:rsid w:val="00B72B31"/>
    <w:rsid w:val="00B72B89"/>
    <w:rsid w:val="00B72F04"/>
    <w:rsid w:val="00B73288"/>
    <w:rsid w:val="00B7378E"/>
    <w:rsid w:val="00B73B4B"/>
    <w:rsid w:val="00B7583E"/>
    <w:rsid w:val="00B7593F"/>
    <w:rsid w:val="00B75E84"/>
    <w:rsid w:val="00B75F2E"/>
    <w:rsid w:val="00B7641F"/>
    <w:rsid w:val="00B76A67"/>
    <w:rsid w:val="00B76C92"/>
    <w:rsid w:val="00B76CA8"/>
    <w:rsid w:val="00B777A6"/>
    <w:rsid w:val="00B77A1C"/>
    <w:rsid w:val="00B8022E"/>
    <w:rsid w:val="00B803F8"/>
    <w:rsid w:val="00B80416"/>
    <w:rsid w:val="00B8090D"/>
    <w:rsid w:val="00B8095A"/>
    <w:rsid w:val="00B80B07"/>
    <w:rsid w:val="00B80EFD"/>
    <w:rsid w:val="00B80F94"/>
    <w:rsid w:val="00B818A4"/>
    <w:rsid w:val="00B81979"/>
    <w:rsid w:val="00B82178"/>
    <w:rsid w:val="00B8299B"/>
    <w:rsid w:val="00B83739"/>
    <w:rsid w:val="00B83EC8"/>
    <w:rsid w:val="00B84117"/>
    <w:rsid w:val="00B84B1C"/>
    <w:rsid w:val="00B84DFE"/>
    <w:rsid w:val="00B858F0"/>
    <w:rsid w:val="00B85AA2"/>
    <w:rsid w:val="00B8610C"/>
    <w:rsid w:val="00B8649C"/>
    <w:rsid w:val="00B8695D"/>
    <w:rsid w:val="00B86CB8"/>
    <w:rsid w:val="00B86D6A"/>
    <w:rsid w:val="00B877C4"/>
    <w:rsid w:val="00B87F0A"/>
    <w:rsid w:val="00B904DD"/>
    <w:rsid w:val="00B90834"/>
    <w:rsid w:val="00B90F14"/>
    <w:rsid w:val="00B90F23"/>
    <w:rsid w:val="00B91F25"/>
    <w:rsid w:val="00B92270"/>
    <w:rsid w:val="00B923B8"/>
    <w:rsid w:val="00B92758"/>
    <w:rsid w:val="00B92D0B"/>
    <w:rsid w:val="00B936D4"/>
    <w:rsid w:val="00B93B13"/>
    <w:rsid w:val="00B93C88"/>
    <w:rsid w:val="00B944CE"/>
    <w:rsid w:val="00B94945"/>
    <w:rsid w:val="00B94A14"/>
    <w:rsid w:val="00B94DD6"/>
    <w:rsid w:val="00B94FA0"/>
    <w:rsid w:val="00B95506"/>
    <w:rsid w:val="00B95B84"/>
    <w:rsid w:val="00B95C85"/>
    <w:rsid w:val="00B9630C"/>
    <w:rsid w:val="00B9637F"/>
    <w:rsid w:val="00B963AA"/>
    <w:rsid w:val="00B9670F"/>
    <w:rsid w:val="00B969F2"/>
    <w:rsid w:val="00B979D1"/>
    <w:rsid w:val="00B97D48"/>
    <w:rsid w:val="00BA0073"/>
    <w:rsid w:val="00BA01F6"/>
    <w:rsid w:val="00BA03FB"/>
    <w:rsid w:val="00BA0826"/>
    <w:rsid w:val="00BA25B4"/>
    <w:rsid w:val="00BA25F2"/>
    <w:rsid w:val="00BA2CB3"/>
    <w:rsid w:val="00BA2DA0"/>
    <w:rsid w:val="00BA2E9C"/>
    <w:rsid w:val="00BA322D"/>
    <w:rsid w:val="00BA36BB"/>
    <w:rsid w:val="00BA3B46"/>
    <w:rsid w:val="00BA3BC1"/>
    <w:rsid w:val="00BA4081"/>
    <w:rsid w:val="00BA44DB"/>
    <w:rsid w:val="00BA4DE3"/>
    <w:rsid w:val="00BA5FA7"/>
    <w:rsid w:val="00BA637B"/>
    <w:rsid w:val="00BA63FA"/>
    <w:rsid w:val="00BA6EFB"/>
    <w:rsid w:val="00BA74DE"/>
    <w:rsid w:val="00BA76CF"/>
    <w:rsid w:val="00BA76E5"/>
    <w:rsid w:val="00BA7B77"/>
    <w:rsid w:val="00BB004D"/>
    <w:rsid w:val="00BB0080"/>
    <w:rsid w:val="00BB00B3"/>
    <w:rsid w:val="00BB0BDD"/>
    <w:rsid w:val="00BB176C"/>
    <w:rsid w:val="00BB1CBD"/>
    <w:rsid w:val="00BB2A73"/>
    <w:rsid w:val="00BB3048"/>
    <w:rsid w:val="00BB3A45"/>
    <w:rsid w:val="00BB46A6"/>
    <w:rsid w:val="00BB49F7"/>
    <w:rsid w:val="00BB4ACC"/>
    <w:rsid w:val="00BB4F0B"/>
    <w:rsid w:val="00BB5849"/>
    <w:rsid w:val="00BB678F"/>
    <w:rsid w:val="00BB703E"/>
    <w:rsid w:val="00BB7243"/>
    <w:rsid w:val="00BB732D"/>
    <w:rsid w:val="00BB7405"/>
    <w:rsid w:val="00BC0F76"/>
    <w:rsid w:val="00BC1603"/>
    <w:rsid w:val="00BC16EE"/>
    <w:rsid w:val="00BC1BB1"/>
    <w:rsid w:val="00BC1FB9"/>
    <w:rsid w:val="00BC2048"/>
    <w:rsid w:val="00BC226E"/>
    <w:rsid w:val="00BC25C4"/>
    <w:rsid w:val="00BC297A"/>
    <w:rsid w:val="00BC2A51"/>
    <w:rsid w:val="00BC2B25"/>
    <w:rsid w:val="00BC2F47"/>
    <w:rsid w:val="00BC3631"/>
    <w:rsid w:val="00BC3ED6"/>
    <w:rsid w:val="00BC4010"/>
    <w:rsid w:val="00BC446F"/>
    <w:rsid w:val="00BC47BE"/>
    <w:rsid w:val="00BC4905"/>
    <w:rsid w:val="00BC4C2C"/>
    <w:rsid w:val="00BC4D6E"/>
    <w:rsid w:val="00BC4FF9"/>
    <w:rsid w:val="00BC5033"/>
    <w:rsid w:val="00BC591F"/>
    <w:rsid w:val="00BC5ADA"/>
    <w:rsid w:val="00BC5CD0"/>
    <w:rsid w:val="00BC62B8"/>
    <w:rsid w:val="00BC641B"/>
    <w:rsid w:val="00BC65DB"/>
    <w:rsid w:val="00BC6E01"/>
    <w:rsid w:val="00BC7194"/>
    <w:rsid w:val="00BC724A"/>
    <w:rsid w:val="00BC74BC"/>
    <w:rsid w:val="00BC75B2"/>
    <w:rsid w:val="00BC7820"/>
    <w:rsid w:val="00BC7C1C"/>
    <w:rsid w:val="00BC7D6D"/>
    <w:rsid w:val="00BD09A5"/>
    <w:rsid w:val="00BD09B1"/>
    <w:rsid w:val="00BD2108"/>
    <w:rsid w:val="00BD259C"/>
    <w:rsid w:val="00BD2F86"/>
    <w:rsid w:val="00BD305A"/>
    <w:rsid w:val="00BD341E"/>
    <w:rsid w:val="00BD435A"/>
    <w:rsid w:val="00BD4F18"/>
    <w:rsid w:val="00BD51D8"/>
    <w:rsid w:val="00BD562B"/>
    <w:rsid w:val="00BD566D"/>
    <w:rsid w:val="00BD576A"/>
    <w:rsid w:val="00BD5DEB"/>
    <w:rsid w:val="00BD63A3"/>
    <w:rsid w:val="00BD68A3"/>
    <w:rsid w:val="00BD6938"/>
    <w:rsid w:val="00BD6CF3"/>
    <w:rsid w:val="00BD778D"/>
    <w:rsid w:val="00BD7F72"/>
    <w:rsid w:val="00BE0A21"/>
    <w:rsid w:val="00BE0ECA"/>
    <w:rsid w:val="00BE16CF"/>
    <w:rsid w:val="00BE188D"/>
    <w:rsid w:val="00BE18EE"/>
    <w:rsid w:val="00BE2180"/>
    <w:rsid w:val="00BE21F2"/>
    <w:rsid w:val="00BE2FE9"/>
    <w:rsid w:val="00BE3033"/>
    <w:rsid w:val="00BE3BFF"/>
    <w:rsid w:val="00BE4275"/>
    <w:rsid w:val="00BE4DAE"/>
    <w:rsid w:val="00BE4EAF"/>
    <w:rsid w:val="00BE6469"/>
    <w:rsid w:val="00BE68AC"/>
    <w:rsid w:val="00BE7030"/>
    <w:rsid w:val="00BE7311"/>
    <w:rsid w:val="00BE7598"/>
    <w:rsid w:val="00BF000F"/>
    <w:rsid w:val="00BF026A"/>
    <w:rsid w:val="00BF06AE"/>
    <w:rsid w:val="00BF0F95"/>
    <w:rsid w:val="00BF1310"/>
    <w:rsid w:val="00BF164C"/>
    <w:rsid w:val="00BF1EE9"/>
    <w:rsid w:val="00BF2433"/>
    <w:rsid w:val="00BF2E68"/>
    <w:rsid w:val="00BF2E6E"/>
    <w:rsid w:val="00BF2FA6"/>
    <w:rsid w:val="00BF3084"/>
    <w:rsid w:val="00BF368E"/>
    <w:rsid w:val="00BF36DB"/>
    <w:rsid w:val="00BF378F"/>
    <w:rsid w:val="00BF3DF4"/>
    <w:rsid w:val="00BF3F12"/>
    <w:rsid w:val="00BF3F36"/>
    <w:rsid w:val="00BF507A"/>
    <w:rsid w:val="00BF50DB"/>
    <w:rsid w:val="00BF5149"/>
    <w:rsid w:val="00BF51DB"/>
    <w:rsid w:val="00BF5D37"/>
    <w:rsid w:val="00BF61C9"/>
    <w:rsid w:val="00BF6515"/>
    <w:rsid w:val="00BF6C94"/>
    <w:rsid w:val="00BF6D28"/>
    <w:rsid w:val="00BF72DF"/>
    <w:rsid w:val="00BF76E3"/>
    <w:rsid w:val="00C00424"/>
    <w:rsid w:val="00C00BB0"/>
    <w:rsid w:val="00C0122D"/>
    <w:rsid w:val="00C0124C"/>
    <w:rsid w:val="00C013D9"/>
    <w:rsid w:val="00C02A0E"/>
    <w:rsid w:val="00C02B99"/>
    <w:rsid w:val="00C02DA2"/>
    <w:rsid w:val="00C031B6"/>
    <w:rsid w:val="00C03DE7"/>
    <w:rsid w:val="00C041A5"/>
    <w:rsid w:val="00C04C2B"/>
    <w:rsid w:val="00C04DBF"/>
    <w:rsid w:val="00C052AE"/>
    <w:rsid w:val="00C05C2B"/>
    <w:rsid w:val="00C05EEB"/>
    <w:rsid w:val="00C0762B"/>
    <w:rsid w:val="00C07744"/>
    <w:rsid w:val="00C07818"/>
    <w:rsid w:val="00C0792A"/>
    <w:rsid w:val="00C1021D"/>
    <w:rsid w:val="00C10561"/>
    <w:rsid w:val="00C10911"/>
    <w:rsid w:val="00C1179F"/>
    <w:rsid w:val="00C11BE5"/>
    <w:rsid w:val="00C127B9"/>
    <w:rsid w:val="00C128FA"/>
    <w:rsid w:val="00C12C14"/>
    <w:rsid w:val="00C12DD0"/>
    <w:rsid w:val="00C12F3F"/>
    <w:rsid w:val="00C135CF"/>
    <w:rsid w:val="00C13670"/>
    <w:rsid w:val="00C14090"/>
    <w:rsid w:val="00C14659"/>
    <w:rsid w:val="00C15E94"/>
    <w:rsid w:val="00C15EE6"/>
    <w:rsid w:val="00C15F04"/>
    <w:rsid w:val="00C16140"/>
    <w:rsid w:val="00C163C4"/>
    <w:rsid w:val="00C16611"/>
    <w:rsid w:val="00C1670C"/>
    <w:rsid w:val="00C16AFF"/>
    <w:rsid w:val="00C16C7D"/>
    <w:rsid w:val="00C16C8D"/>
    <w:rsid w:val="00C179B3"/>
    <w:rsid w:val="00C17E3F"/>
    <w:rsid w:val="00C200AA"/>
    <w:rsid w:val="00C20585"/>
    <w:rsid w:val="00C20604"/>
    <w:rsid w:val="00C210DE"/>
    <w:rsid w:val="00C2124B"/>
    <w:rsid w:val="00C215A7"/>
    <w:rsid w:val="00C219D3"/>
    <w:rsid w:val="00C22131"/>
    <w:rsid w:val="00C222B5"/>
    <w:rsid w:val="00C237ED"/>
    <w:rsid w:val="00C24632"/>
    <w:rsid w:val="00C24A50"/>
    <w:rsid w:val="00C24B74"/>
    <w:rsid w:val="00C25418"/>
    <w:rsid w:val="00C25D9C"/>
    <w:rsid w:val="00C266A8"/>
    <w:rsid w:val="00C2754C"/>
    <w:rsid w:val="00C2778B"/>
    <w:rsid w:val="00C27ABC"/>
    <w:rsid w:val="00C30027"/>
    <w:rsid w:val="00C30CFD"/>
    <w:rsid w:val="00C30EC6"/>
    <w:rsid w:val="00C30F1F"/>
    <w:rsid w:val="00C31505"/>
    <w:rsid w:val="00C31649"/>
    <w:rsid w:val="00C3203F"/>
    <w:rsid w:val="00C3213E"/>
    <w:rsid w:val="00C32280"/>
    <w:rsid w:val="00C33129"/>
    <w:rsid w:val="00C333D1"/>
    <w:rsid w:val="00C334D4"/>
    <w:rsid w:val="00C33B85"/>
    <w:rsid w:val="00C34064"/>
    <w:rsid w:val="00C3434C"/>
    <w:rsid w:val="00C34CA0"/>
    <w:rsid w:val="00C34F04"/>
    <w:rsid w:val="00C35646"/>
    <w:rsid w:val="00C35885"/>
    <w:rsid w:val="00C35B46"/>
    <w:rsid w:val="00C36792"/>
    <w:rsid w:val="00C367C4"/>
    <w:rsid w:val="00C3701E"/>
    <w:rsid w:val="00C37C30"/>
    <w:rsid w:val="00C40385"/>
    <w:rsid w:val="00C40578"/>
    <w:rsid w:val="00C405F7"/>
    <w:rsid w:val="00C41409"/>
    <w:rsid w:val="00C41581"/>
    <w:rsid w:val="00C41768"/>
    <w:rsid w:val="00C426EC"/>
    <w:rsid w:val="00C42C08"/>
    <w:rsid w:val="00C42E44"/>
    <w:rsid w:val="00C4351D"/>
    <w:rsid w:val="00C444A7"/>
    <w:rsid w:val="00C46B3E"/>
    <w:rsid w:val="00C46F10"/>
    <w:rsid w:val="00C474F6"/>
    <w:rsid w:val="00C475AA"/>
    <w:rsid w:val="00C51638"/>
    <w:rsid w:val="00C51AF5"/>
    <w:rsid w:val="00C5272C"/>
    <w:rsid w:val="00C527C7"/>
    <w:rsid w:val="00C52A92"/>
    <w:rsid w:val="00C52BE5"/>
    <w:rsid w:val="00C52D23"/>
    <w:rsid w:val="00C52EEE"/>
    <w:rsid w:val="00C52FCF"/>
    <w:rsid w:val="00C53135"/>
    <w:rsid w:val="00C53C98"/>
    <w:rsid w:val="00C5438E"/>
    <w:rsid w:val="00C55067"/>
    <w:rsid w:val="00C551D5"/>
    <w:rsid w:val="00C5555E"/>
    <w:rsid w:val="00C569B6"/>
    <w:rsid w:val="00C56A4D"/>
    <w:rsid w:val="00C56A88"/>
    <w:rsid w:val="00C56FCF"/>
    <w:rsid w:val="00C572F6"/>
    <w:rsid w:val="00C57B6C"/>
    <w:rsid w:val="00C60143"/>
    <w:rsid w:val="00C60C21"/>
    <w:rsid w:val="00C60DD2"/>
    <w:rsid w:val="00C60F2B"/>
    <w:rsid w:val="00C61195"/>
    <w:rsid w:val="00C61A59"/>
    <w:rsid w:val="00C61E81"/>
    <w:rsid w:val="00C628A6"/>
    <w:rsid w:val="00C629ED"/>
    <w:rsid w:val="00C632DD"/>
    <w:rsid w:val="00C6348A"/>
    <w:rsid w:val="00C636D7"/>
    <w:rsid w:val="00C63A24"/>
    <w:rsid w:val="00C63B08"/>
    <w:rsid w:val="00C63C84"/>
    <w:rsid w:val="00C64344"/>
    <w:rsid w:val="00C64368"/>
    <w:rsid w:val="00C6465B"/>
    <w:rsid w:val="00C64AD8"/>
    <w:rsid w:val="00C64E8C"/>
    <w:rsid w:val="00C65108"/>
    <w:rsid w:val="00C65445"/>
    <w:rsid w:val="00C65576"/>
    <w:rsid w:val="00C657D7"/>
    <w:rsid w:val="00C6580A"/>
    <w:rsid w:val="00C66165"/>
    <w:rsid w:val="00C67102"/>
    <w:rsid w:val="00C677EF"/>
    <w:rsid w:val="00C70029"/>
    <w:rsid w:val="00C70099"/>
    <w:rsid w:val="00C705DA"/>
    <w:rsid w:val="00C7060A"/>
    <w:rsid w:val="00C70618"/>
    <w:rsid w:val="00C7151A"/>
    <w:rsid w:val="00C717E3"/>
    <w:rsid w:val="00C71F60"/>
    <w:rsid w:val="00C72241"/>
    <w:rsid w:val="00C7248A"/>
    <w:rsid w:val="00C72595"/>
    <w:rsid w:val="00C72C76"/>
    <w:rsid w:val="00C732A1"/>
    <w:rsid w:val="00C73913"/>
    <w:rsid w:val="00C73E70"/>
    <w:rsid w:val="00C7409E"/>
    <w:rsid w:val="00C74C19"/>
    <w:rsid w:val="00C750C8"/>
    <w:rsid w:val="00C75570"/>
    <w:rsid w:val="00C7560F"/>
    <w:rsid w:val="00C75745"/>
    <w:rsid w:val="00C763CA"/>
    <w:rsid w:val="00C76B89"/>
    <w:rsid w:val="00C77AC1"/>
    <w:rsid w:val="00C801B6"/>
    <w:rsid w:val="00C80A0E"/>
    <w:rsid w:val="00C80A43"/>
    <w:rsid w:val="00C818FA"/>
    <w:rsid w:val="00C81CA0"/>
    <w:rsid w:val="00C81FD9"/>
    <w:rsid w:val="00C8213F"/>
    <w:rsid w:val="00C82305"/>
    <w:rsid w:val="00C82F9D"/>
    <w:rsid w:val="00C8303F"/>
    <w:rsid w:val="00C83154"/>
    <w:rsid w:val="00C833CB"/>
    <w:rsid w:val="00C8351A"/>
    <w:rsid w:val="00C8382E"/>
    <w:rsid w:val="00C83B24"/>
    <w:rsid w:val="00C83F0D"/>
    <w:rsid w:val="00C8478C"/>
    <w:rsid w:val="00C85154"/>
    <w:rsid w:val="00C8519D"/>
    <w:rsid w:val="00C85745"/>
    <w:rsid w:val="00C85A70"/>
    <w:rsid w:val="00C861B0"/>
    <w:rsid w:val="00C875F6"/>
    <w:rsid w:val="00C8775A"/>
    <w:rsid w:val="00C8797A"/>
    <w:rsid w:val="00C900B8"/>
    <w:rsid w:val="00C90197"/>
    <w:rsid w:val="00C90C71"/>
    <w:rsid w:val="00C910E7"/>
    <w:rsid w:val="00C91C4E"/>
    <w:rsid w:val="00C91FD1"/>
    <w:rsid w:val="00C91FD4"/>
    <w:rsid w:val="00C92157"/>
    <w:rsid w:val="00C9240F"/>
    <w:rsid w:val="00C927DD"/>
    <w:rsid w:val="00C92882"/>
    <w:rsid w:val="00C931CF"/>
    <w:rsid w:val="00C9381E"/>
    <w:rsid w:val="00C938AA"/>
    <w:rsid w:val="00C938CF"/>
    <w:rsid w:val="00C93BBB"/>
    <w:rsid w:val="00C94053"/>
    <w:rsid w:val="00C94609"/>
    <w:rsid w:val="00C94CB0"/>
    <w:rsid w:val="00C95AF0"/>
    <w:rsid w:val="00C95D6D"/>
    <w:rsid w:val="00C96105"/>
    <w:rsid w:val="00C9624D"/>
    <w:rsid w:val="00C969DA"/>
    <w:rsid w:val="00C96DF8"/>
    <w:rsid w:val="00C97B15"/>
    <w:rsid w:val="00CA003A"/>
    <w:rsid w:val="00CA066F"/>
    <w:rsid w:val="00CA162E"/>
    <w:rsid w:val="00CA17EC"/>
    <w:rsid w:val="00CA1954"/>
    <w:rsid w:val="00CA1C6A"/>
    <w:rsid w:val="00CA1CAB"/>
    <w:rsid w:val="00CA298E"/>
    <w:rsid w:val="00CA2C77"/>
    <w:rsid w:val="00CA3F77"/>
    <w:rsid w:val="00CA444F"/>
    <w:rsid w:val="00CA4674"/>
    <w:rsid w:val="00CA4697"/>
    <w:rsid w:val="00CA5245"/>
    <w:rsid w:val="00CA58BA"/>
    <w:rsid w:val="00CA64C5"/>
    <w:rsid w:val="00CA6713"/>
    <w:rsid w:val="00CA71F4"/>
    <w:rsid w:val="00CA7B09"/>
    <w:rsid w:val="00CA7C6D"/>
    <w:rsid w:val="00CA7E45"/>
    <w:rsid w:val="00CB0570"/>
    <w:rsid w:val="00CB0A8A"/>
    <w:rsid w:val="00CB106A"/>
    <w:rsid w:val="00CB109D"/>
    <w:rsid w:val="00CB11BF"/>
    <w:rsid w:val="00CB12A5"/>
    <w:rsid w:val="00CB1CAC"/>
    <w:rsid w:val="00CB2685"/>
    <w:rsid w:val="00CB2B33"/>
    <w:rsid w:val="00CB2F2A"/>
    <w:rsid w:val="00CB3B9C"/>
    <w:rsid w:val="00CB3ECE"/>
    <w:rsid w:val="00CB4268"/>
    <w:rsid w:val="00CB44EA"/>
    <w:rsid w:val="00CB4746"/>
    <w:rsid w:val="00CB4788"/>
    <w:rsid w:val="00CB4C52"/>
    <w:rsid w:val="00CB5137"/>
    <w:rsid w:val="00CB549F"/>
    <w:rsid w:val="00CB5B1A"/>
    <w:rsid w:val="00CB61FD"/>
    <w:rsid w:val="00CB661F"/>
    <w:rsid w:val="00CB6B22"/>
    <w:rsid w:val="00CB7103"/>
    <w:rsid w:val="00CB751D"/>
    <w:rsid w:val="00CB7F5F"/>
    <w:rsid w:val="00CC09C3"/>
    <w:rsid w:val="00CC0AB0"/>
    <w:rsid w:val="00CC1157"/>
    <w:rsid w:val="00CC1549"/>
    <w:rsid w:val="00CC1B39"/>
    <w:rsid w:val="00CC1BFA"/>
    <w:rsid w:val="00CC2DC0"/>
    <w:rsid w:val="00CC2E9F"/>
    <w:rsid w:val="00CC33E7"/>
    <w:rsid w:val="00CC35EA"/>
    <w:rsid w:val="00CC3848"/>
    <w:rsid w:val="00CC4E9C"/>
    <w:rsid w:val="00CC506B"/>
    <w:rsid w:val="00CC50C3"/>
    <w:rsid w:val="00CC51B5"/>
    <w:rsid w:val="00CC549D"/>
    <w:rsid w:val="00CC6B48"/>
    <w:rsid w:val="00CC6D24"/>
    <w:rsid w:val="00CC6D5E"/>
    <w:rsid w:val="00CC77E9"/>
    <w:rsid w:val="00CC7C3A"/>
    <w:rsid w:val="00CD0200"/>
    <w:rsid w:val="00CD08C5"/>
    <w:rsid w:val="00CD0A27"/>
    <w:rsid w:val="00CD1450"/>
    <w:rsid w:val="00CD2079"/>
    <w:rsid w:val="00CD3AC4"/>
    <w:rsid w:val="00CD3E49"/>
    <w:rsid w:val="00CD3F77"/>
    <w:rsid w:val="00CD4436"/>
    <w:rsid w:val="00CD4689"/>
    <w:rsid w:val="00CD4BD7"/>
    <w:rsid w:val="00CD5468"/>
    <w:rsid w:val="00CD5569"/>
    <w:rsid w:val="00CD577F"/>
    <w:rsid w:val="00CD5A93"/>
    <w:rsid w:val="00CD5EF6"/>
    <w:rsid w:val="00CD695E"/>
    <w:rsid w:val="00CD6ADC"/>
    <w:rsid w:val="00CD6B28"/>
    <w:rsid w:val="00CD6D8B"/>
    <w:rsid w:val="00CD7193"/>
    <w:rsid w:val="00CD7CFE"/>
    <w:rsid w:val="00CE02D5"/>
    <w:rsid w:val="00CE045F"/>
    <w:rsid w:val="00CE0572"/>
    <w:rsid w:val="00CE079E"/>
    <w:rsid w:val="00CE0DB0"/>
    <w:rsid w:val="00CE1A8E"/>
    <w:rsid w:val="00CE2816"/>
    <w:rsid w:val="00CE2F47"/>
    <w:rsid w:val="00CE32EF"/>
    <w:rsid w:val="00CE38C8"/>
    <w:rsid w:val="00CE3D0A"/>
    <w:rsid w:val="00CE3FA6"/>
    <w:rsid w:val="00CE4029"/>
    <w:rsid w:val="00CE4D72"/>
    <w:rsid w:val="00CE4F21"/>
    <w:rsid w:val="00CE524F"/>
    <w:rsid w:val="00CE556A"/>
    <w:rsid w:val="00CE58CC"/>
    <w:rsid w:val="00CE6274"/>
    <w:rsid w:val="00CE7304"/>
    <w:rsid w:val="00CE7349"/>
    <w:rsid w:val="00CE77B6"/>
    <w:rsid w:val="00CE7C36"/>
    <w:rsid w:val="00CF031A"/>
    <w:rsid w:val="00CF056A"/>
    <w:rsid w:val="00CF2251"/>
    <w:rsid w:val="00CF2B8D"/>
    <w:rsid w:val="00CF2CBA"/>
    <w:rsid w:val="00CF2E8A"/>
    <w:rsid w:val="00CF2EDB"/>
    <w:rsid w:val="00CF2FDF"/>
    <w:rsid w:val="00CF3A1B"/>
    <w:rsid w:val="00CF4147"/>
    <w:rsid w:val="00CF43CE"/>
    <w:rsid w:val="00CF456B"/>
    <w:rsid w:val="00CF45A9"/>
    <w:rsid w:val="00CF5A22"/>
    <w:rsid w:val="00CF71DE"/>
    <w:rsid w:val="00D008F1"/>
    <w:rsid w:val="00D00FF2"/>
    <w:rsid w:val="00D0117E"/>
    <w:rsid w:val="00D0191B"/>
    <w:rsid w:val="00D0198E"/>
    <w:rsid w:val="00D01B52"/>
    <w:rsid w:val="00D02606"/>
    <w:rsid w:val="00D0262E"/>
    <w:rsid w:val="00D026F4"/>
    <w:rsid w:val="00D027C7"/>
    <w:rsid w:val="00D02E25"/>
    <w:rsid w:val="00D02F8A"/>
    <w:rsid w:val="00D0329B"/>
    <w:rsid w:val="00D03679"/>
    <w:rsid w:val="00D03C69"/>
    <w:rsid w:val="00D05160"/>
    <w:rsid w:val="00D05E3D"/>
    <w:rsid w:val="00D05FA2"/>
    <w:rsid w:val="00D05FC3"/>
    <w:rsid w:val="00D06139"/>
    <w:rsid w:val="00D06392"/>
    <w:rsid w:val="00D10EFB"/>
    <w:rsid w:val="00D110BD"/>
    <w:rsid w:val="00D11C55"/>
    <w:rsid w:val="00D12979"/>
    <w:rsid w:val="00D13675"/>
    <w:rsid w:val="00D141E1"/>
    <w:rsid w:val="00D14FD9"/>
    <w:rsid w:val="00D15314"/>
    <w:rsid w:val="00D157D1"/>
    <w:rsid w:val="00D15B48"/>
    <w:rsid w:val="00D15F95"/>
    <w:rsid w:val="00D165C9"/>
    <w:rsid w:val="00D16DE2"/>
    <w:rsid w:val="00D1767A"/>
    <w:rsid w:val="00D17C7E"/>
    <w:rsid w:val="00D17D1D"/>
    <w:rsid w:val="00D17D6C"/>
    <w:rsid w:val="00D200E0"/>
    <w:rsid w:val="00D2045D"/>
    <w:rsid w:val="00D20938"/>
    <w:rsid w:val="00D210CB"/>
    <w:rsid w:val="00D210EA"/>
    <w:rsid w:val="00D2134C"/>
    <w:rsid w:val="00D2155B"/>
    <w:rsid w:val="00D22048"/>
    <w:rsid w:val="00D2217A"/>
    <w:rsid w:val="00D221BC"/>
    <w:rsid w:val="00D22644"/>
    <w:rsid w:val="00D22983"/>
    <w:rsid w:val="00D232DF"/>
    <w:rsid w:val="00D23412"/>
    <w:rsid w:val="00D23D11"/>
    <w:rsid w:val="00D23DC3"/>
    <w:rsid w:val="00D2448F"/>
    <w:rsid w:val="00D244B6"/>
    <w:rsid w:val="00D24859"/>
    <w:rsid w:val="00D24EBF"/>
    <w:rsid w:val="00D258F3"/>
    <w:rsid w:val="00D26094"/>
    <w:rsid w:val="00D2687F"/>
    <w:rsid w:val="00D26A95"/>
    <w:rsid w:val="00D26B9B"/>
    <w:rsid w:val="00D26F00"/>
    <w:rsid w:val="00D2754D"/>
    <w:rsid w:val="00D275B3"/>
    <w:rsid w:val="00D27B27"/>
    <w:rsid w:val="00D3093C"/>
    <w:rsid w:val="00D30D40"/>
    <w:rsid w:val="00D30D5B"/>
    <w:rsid w:val="00D31959"/>
    <w:rsid w:val="00D31B83"/>
    <w:rsid w:val="00D32078"/>
    <w:rsid w:val="00D3223F"/>
    <w:rsid w:val="00D33BE9"/>
    <w:rsid w:val="00D33F93"/>
    <w:rsid w:val="00D3459A"/>
    <w:rsid w:val="00D34942"/>
    <w:rsid w:val="00D34ACB"/>
    <w:rsid w:val="00D34BB3"/>
    <w:rsid w:val="00D357FF"/>
    <w:rsid w:val="00D365E5"/>
    <w:rsid w:val="00D37027"/>
    <w:rsid w:val="00D3717F"/>
    <w:rsid w:val="00D37C93"/>
    <w:rsid w:val="00D37E6F"/>
    <w:rsid w:val="00D40ADB"/>
    <w:rsid w:val="00D40B95"/>
    <w:rsid w:val="00D40C62"/>
    <w:rsid w:val="00D40DC1"/>
    <w:rsid w:val="00D4128F"/>
    <w:rsid w:val="00D41FB4"/>
    <w:rsid w:val="00D420C6"/>
    <w:rsid w:val="00D423B2"/>
    <w:rsid w:val="00D424C7"/>
    <w:rsid w:val="00D428FC"/>
    <w:rsid w:val="00D42AD7"/>
    <w:rsid w:val="00D42ED5"/>
    <w:rsid w:val="00D431B9"/>
    <w:rsid w:val="00D43B2A"/>
    <w:rsid w:val="00D43CF1"/>
    <w:rsid w:val="00D43D83"/>
    <w:rsid w:val="00D4574B"/>
    <w:rsid w:val="00D457AB"/>
    <w:rsid w:val="00D45BCF"/>
    <w:rsid w:val="00D46299"/>
    <w:rsid w:val="00D464FE"/>
    <w:rsid w:val="00D4668E"/>
    <w:rsid w:val="00D46AB4"/>
    <w:rsid w:val="00D47160"/>
    <w:rsid w:val="00D47575"/>
    <w:rsid w:val="00D47657"/>
    <w:rsid w:val="00D47A0C"/>
    <w:rsid w:val="00D5049A"/>
    <w:rsid w:val="00D51C33"/>
    <w:rsid w:val="00D51D41"/>
    <w:rsid w:val="00D5243B"/>
    <w:rsid w:val="00D527A2"/>
    <w:rsid w:val="00D533EC"/>
    <w:rsid w:val="00D53E80"/>
    <w:rsid w:val="00D543FE"/>
    <w:rsid w:val="00D54680"/>
    <w:rsid w:val="00D55CDD"/>
    <w:rsid w:val="00D56658"/>
    <w:rsid w:val="00D56A95"/>
    <w:rsid w:val="00D575D8"/>
    <w:rsid w:val="00D576B4"/>
    <w:rsid w:val="00D6076E"/>
    <w:rsid w:val="00D611BC"/>
    <w:rsid w:val="00D6213B"/>
    <w:rsid w:val="00D62B8D"/>
    <w:rsid w:val="00D63016"/>
    <w:rsid w:val="00D6334A"/>
    <w:rsid w:val="00D63E7D"/>
    <w:rsid w:val="00D63E9B"/>
    <w:rsid w:val="00D63F96"/>
    <w:rsid w:val="00D64109"/>
    <w:rsid w:val="00D6445D"/>
    <w:rsid w:val="00D6559A"/>
    <w:rsid w:val="00D655B1"/>
    <w:rsid w:val="00D6574C"/>
    <w:rsid w:val="00D65C7F"/>
    <w:rsid w:val="00D65D51"/>
    <w:rsid w:val="00D664F5"/>
    <w:rsid w:val="00D666A4"/>
    <w:rsid w:val="00D67148"/>
    <w:rsid w:val="00D6780F"/>
    <w:rsid w:val="00D67F2E"/>
    <w:rsid w:val="00D70467"/>
    <w:rsid w:val="00D706BB"/>
    <w:rsid w:val="00D70F16"/>
    <w:rsid w:val="00D7127B"/>
    <w:rsid w:val="00D712F0"/>
    <w:rsid w:val="00D71748"/>
    <w:rsid w:val="00D71E11"/>
    <w:rsid w:val="00D72617"/>
    <w:rsid w:val="00D72B9A"/>
    <w:rsid w:val="00D72F57"/>
    <w:rsid w:val="00D72FA1"/>
    <w:rsid w:val="00D73345"/>
    <w:rsid w:val="00D73FE6"/>
    <w:rsid w:val="00D744F6"/>
    <w:rsid w:val="00D745D0"/>
    <w:rsid w:val="00D746B3"/>
    <w:rsid w:val="00D751BA"/>
    <w:rsid w:val="00D75A2D"/>
    <w:rsid w:val="00D75C23"/>
    <w:rsid w:val="00D76169"/>
    <w:rsid w:val="00D76599"/>
    <w:rsid w:val="00D76A44"/>
    <w:rsid w:val="00D76AD9"/>
    <w:rsid w:val="00D76F2C"/>
    <w:rsid w:val="00D7704D"/>
    <w:rsid w:val="00D81566"/>
    <w:rsid w:val="00D815EF"/>
    <w:rsid w:val="00D81860"/>
    <w:rsid w:val="00D81949"/>
    <w:rsid w:val="00D819BB"/>
    <w:rsid w:val="00D81F26"/>
    <w:rsid w:val="00D8205A"/>
    <w:rsid w:val="00D821B4"/>
    <w:rsid w:val="00D82200"/>
    <w:rsid w:val="00D822E2"/>
    <w:rsid w:val="00D82E4D"/>
    <w:rsid w:val="00D832CA"/>
    <w:rsid w:val="00D83D32"/>
    <w:rsid w:val="00D843F2"/>
    <w:rsid w:val="00D84407"/>
    <w:rsid w:val="00D85102"/>
    <w:rsid w:val="00D85D73"/>
    <w:rsid w:val="00D86231"/>
    <w:rsid w:val="00D87310"/>
    <w:rsid w:val="00D87498"/>
    <w:rsid w:val="00D87678"/>
    <w:rsid w:val="00D87E10"/>
    <w:rsid w:val="00D90473"/>
    <w:rsid w:val="00D90487"/>
    <w:rsid w:val="00D904ED"/>
    <w:rsid w:val="00D90595"/>
    <w:rsid w:val="00D906F5"/>
    <w:rsid w:val="00D907FE"/>
    <w:rsid w:val="00D90863"/>
    <w:rsid w:val="00D90E6A"/>
    <w:rsid w:val="00D912AB"/>
    <w:rsid w:val="00D91627"/>
    <w:rsid w:val="00D91649"/>
    <w:rsid w:val="00D9180E"/>
    <w:rsid w:val="00D91923"/>
    <w:rsid w:val="00D91ED5"/>
    <w:rsid w:val="00D92114"/>
    <w:rsid w:val="00D92444"/>
    <w:rsid w:val="00D92B15"/>
    <w:rsid w:val="00D92BE4"/>
    <w:rsid w:val="00D92C1A"/>
    <w:rsid w:val="00D92CCD"/>
    <w:rsid w:val="00D92D9D"/>
    <w:rsid w:val="00D9323C"/>
    <w:rsid w:val="00D93753"/>
    <w:rsid w:val="00D94120"/>
    <w:rsid w:val="00D94455"/>
    <w:rsid w:val="00D95221"/>
    <w:rsid w:val="00D957A6"/>
    <w:rsid w:val="00D9591E"/>
    <w:rsid w:val="00D95920"/>
    <w:rsid w:val="00D95934"/>
    <w:rsid w:val="00D9688D"/>
    <w:rsid w:val="00D969F1"/>
    <w:rsid w:val="00D973C6"/>
    <w:rsid w:val="00D97427"/>
    <w:rsid w:val="00D97B15"/>
    <w:rsid w:val="00D97D29"/>
    <w:rsid w:val="00D97F4F"/>
    <w:rsid w:val="00DA001A"/>
    <w:rsid w:val="00DA0C0D"/>
    <w:rsid w:val="00DA17E9"/>
    <w:rsid w:val="00DA2085"/>
    <w:rsid w:val="00DA20F1"/>
    <w:rsid w:val="00DA21D2"/>
    <w:rsid w:val="00DA3167"/>
    <w:rsid w:val="00DA3303"/>
    <w:rsid w:val="00DA3598"/>
    <w:rsid w:val="00DA3645"/>
    <w:rsid w:val="00DA382E"/>
    <w:rsid w:val="00DA3D16"/>
    <w:rsid w:val="00DA3EB9"/>
    <w:rsid w:val="00DA4A4F"/>
    <w:rsid w:val="00DA4CF8"/>
    <w:rsid w:val="00DA4DC3"/>
    <w:rsid w:val="00DA4E51"/>
    <w:rsid w:val="00DA53A7"/>
    <w:rsid w:val="00DA578A"/>
    <w:rsid w:val="00DA5D16"/>
    <w:rsid w:val="00DA6C03"/>
    <w:rsid w:val="00DA6E49"/>
    <w:rsid w:val="00DA6F1C"/>
    <w:rsid w:val="00DA6F9B"/>
    <w:rsid w:val="00DA77A5"/>
    <w:rsid w:val="00DA7BCF"/>
    <w:rsid w:val="00DB0D94"/>
    <w:rsid w:val="00DB0E36"/>
    <w:rsid w:val="00DB0ECC"/>
    <w:rsid w:val="00DB0F4D"/>
    <w:rsid w:val="00DB2394"/>
    <w:rsid w:val="00DB2723"/>
    <w:rsid w:val="00DB2CA9"/>
    <w:rsid w:val="00DB2DDE"/>
    <w:rsid w:val="00DB2F01"/>
    <w:rsid w:val="00DB2F1C"/>
    <w:rsid w:val="00DB32E7"/>
    <w:rsid w:val="00DB382B"/>
    <w:rsid w:val="00DB3AC8"/>
    <w:rsid w:val="00DB3CA2"/>
    <w:rsid w:val="00DB3DBF"/>
    <w:rsid w:val="00DB484F"/>
    <w:rsid w:val="00DB4890"/>
    <w:rsid w:val="00DB4EE4"/>
    <w:rsid w:val="00DB5A47"/>
    <w:rsid w:val="00DB5E0B"/>
    <w:rsid w:val="00DB683D"/>
    <w:rsid w:val="00DB6933"/>
    <w:rsid w:val="00DB6D05"/>
    <w:rsid w:val="00DB6D9E"/>
    <w:rsid w:val="00DB6E9D"/>
    <w:rsid w:val="00DB6F07"/>
    <w:rsid w:val="00DB735E"/>
    <w:rsid w:val="00DB77CE"/>
    <w:rsid w:val="00DC03D9"/>
    <w:rsid w:val="00DC04F6"/>
    <w:rsid w:val="00DC0690"/>
    <w:rsid w:val="00DC1057"/>
    <w:rsid w:val="00DC120C"/>
    <w:rsid w:val="00DC1888"/>
    <w:rsid w:val="00DC1D65"/>
    <w:rsid w:val="00DC245A"/>
    <w:rsid w:val="00DC2A31"/>
    <w:rsid w:val="00DC3053"/>
    <w:rsid w:val="00DC3061"/>
    <w:rsid w:val="00DC30DE"/>
    <w:rsid w:val="00DC31BD"/>
    <w:rsid w:val="00DC3C57"/>
    <w:rsid w:val="00DC4738"/>
    <w:rsid w:val="00DC5501"/>
    <w:rsid w:val="00DC55D5"/>
    <w:rsid w:val="00DC55EB"/>
    <w:rsid w:val="00DC580B"/>
    <w:rsid w:val="00DC5924"/>
    <w:rsid w:val="00DC5A45"/>
    <w:rsid w:val="00DC5DE4"/>
    <w:rsid w:val="00DC61C5"/>
    <w:rsid w:val="00DC6297"/>
    <w:rsid w:val="00DC6324"/>
    <w:rsid w:val="00DC6B74"/>
    <w:rsid w:val="00DC6F95"/>
    <w:rsid w:val="00DC7154"/>
    <w:rsid w:val="00DC79F6"/>
    <w:rsid w:val="00DC7DE2"/>
    <w:rsid w:val="00DC7E8A"/>
    <w:rsid w:val="00DD0161"/>
    <w:rsid w:val="00DD0DCB"/>
    <w:rsid w:val="00DD0EB3"/>
    <w:rsid w:val="00DD0F78"/>
    <w:rsid w:val="00DD1290"/>
    <w:rsid w:val="00DD19B6"/>
    <w:rsid w:val="00DD22E8"/>
    <w:rsid w:val="00DD273C"/>
    <w:rsid w:val="00DD2F27"/>
    <w:rsid w:val="00DD39C4"/>
    <w:rsid w:val="00DD3F28"/>
    <w:rsid w:val="00DD4446"/>
    <w:rsid w:val="00DD4537"/>
    <w:rsid w:val="00DD4E15"/>
    <w:rsid w:val="00DD52D4"/>
    <w:rsid w:val="00DD5686"/>
    <w:rsid w:val="00DD5837"/>
    <w:rsid w:val="00DD5B09"/>
    <w:rsid w:val="00DD5CA2"/>
    <w:rsid w:val="00DD64C6"/>
    <w:rsid w:val="00DD66DE"/>
    <w:rsid w:val="00DD67EA"/>
    <w:rsid w:val="00DD764D"/>
    <w:rsid w:val="00DD78DB"/>
    <w:rsid w:val="00DD7F0E"/>
    <w:rsid w:val="00DE0265"/>
    <w:rsid w:val="00DE060C"/>
    <w:rsid w:val="00DE07D1"/>
    <w:rsid w:val="00DE103A"/>
    <w:rsid w:val="00DE1CFA"/>
    <w:rsid w:val="00DE21BB"/>
    <w:rsid w:val="00DE2304"/>
    <w:rsid w:val="00DE239D"/>
    <w:rsid w:val="00DE28BD"/>
    <w:rsid w:val="00DE2D39"/>
    <w:rsid w:val="00DE30CE"/>
    <w:rsid w:val="00DE3138"/>
    <w:rsid w:val="00DE37F8"/>
    <w:rsid w:val="00DE38B6"/>
    <w:rsid w:val="00DE3BD4"/>
    <w:rsid w:val="00DE3C2A"/>
    <w:rsid w:val="00DE40B8"/>
    <w:rsid w:val="00DE4273"/>
    <w:rsid w:val="00DE46D0"/>
    <w:rsid w:val="00DE4A39"/>
    <w:rsid w:val="00DE4FCB"/>
    <w:rsid w:val="00DE50C9"/>
    <w:rsid w:val="00DE575D"/>
    <w:rsid w:val="00DE5C8C"/>
    <w:rsid w:val="00DE5D07"/>
    <w:rsid w:val="00DE5D8E"/>
    <w:rsid w:val="00DE6035"/>
    <w:rsid w:val="00DE72A7"/>
    <w:rsid w:val="00DE7832"/>
    <w:rsid w:val="00DE7C67"/>
    <w:rsid w:val="00DF00A8"/>
    <w:rsid w:val="00DF011F"/>
    <w:rsid w:val="00DF0B39"/>
    <w:rsid w:val="00DF1753"/>
    <w:rsid w:val="00DF18FC"/>
    <w:rsid w:val="00DF25B5"/>
    <w:rsid w:val="00DF260B"/>
    <w:rsid w:val="00DF2DE5"/>
    <w:rsid w:val="00DF3F44"/>
    <w:rsid w:val="00DF4519"/>
    <w:rsid w:val="00DF508B"/>
    <w:rsid w:val="00DF587C"/>
    <w:rsid w:val="00DF58ED"/>
    <w:rsid w:val="00DF5C52"/>
    <w:rsid w:val="00DF5CB0"/>
    <w:rsid w:val="00DF5D2B"/>
    <w:rsid w:val="00DF5D34"/>
    <w:rsid w:val="00DF6341"/>
    <w:rsid w:val="00DF6E55"/>
    <w:rsid w:val="00DF7D47"/>
    <w:rsid w:val="00E00836"/>
    <w:rsid w:val="00E00E8E"/>
    <w:rsid w:val="00E01584"/>
    <w:rsid w:val="00E018FE"/>
    <w:rsid w:val="00E01FA6"/>
    <w:rsid w:val="00E022B9"/>
    <w:rsid w:val="00E0274C"/>
    <w:rsid w:val="00E028B1"/>
    <w:rsid w:val="00E02A99"/>
    <w:rsid w:val="00E02D7F"/>
    <w:rsid w:val="00E02FF2"/>
    <w:rsid w:val="00E038E9"/>
    <w:rsid w:val="00E03D22"/>
    <w:rsid w:val="00E045C7"/>
    <w:rsid w:val="00E050A0"/>
    <w:rsid w:val="00E05361"/>
    <w:rsid w:val="00E05630"/>
    <w:rsid w:val="00E05A42"/>
    <w:rsid w:val="00E05B80"/>
    <w:rsid w:val="00E06A42"/>
    <w:rsid w:val="00E06D44"/>
    <w:rsid w:val="00E06DBB"/>
    <w:rsid w:val="00E1013B"/>
    <w:rsid w:val="00E10149"/>
    <w:rsid w:val="00E10275"/>
    <w:rsid w:val="00E102B4"/>
    <w:rsid w:val="00E1077B"/>
    <w:rsid w:val="00E11340"/>
    <w:rsid w:val="00E12138"/>
    <w:rsid w:val="00E122A1"/>
    <w:rsid w:val="00E1234F"/>
    <w:rsid w:val="00E12EAA"/>
    <w:rsid w:val="00E12F3D"/>
    <w:rsid w:val="00E13A69"/>
    <w:rsid w:val="00E13D9F"/>
    <w:rsid w:val="00E144A0"/>
    <w:rsid w:val="00E14538"/>
    <w:rsid w:val="00E149F5"/>
    <w:rsid w:val="00E150EC"/>
    <w:rsid w:val="00E16372"/>
    <w:rsid w:val="00E16A01"/>
    <w:rsid w:val="00E16AD8"/>
    <w:rsid w:val="00E16B5A"/>
    <w:rsid w:val="00E16DAA"/>
    <w:rsid w:val="00E17578"/>
    <w:rsid w:val="00E17FFA"/>
    <w:rsid w:val="00E20158"/>
    <w:rsid w:val="00E20E4D"/>
    <w:rsid w:val="00E20ED6"/>
    <w:rsid w:val="00E21358"/>
    <w:rsid w:val="00E21557"/>
    <w:rsid w:val="00E21D44"/>
    <w:rsid w:val="00E21D5F"/>
    <w:rsid w:val="00E2249B"/>
    <w:rsid w:val="00E22A0D"/>
    <w:rsid w:val="00E22CFA"/>
    <w:rsid w:val="00E2322E"/>
    <w:rsid w:val="00E23770"/>
    <w:rsid w:val="00E23AB9"/>
    <w:rsid w:val="00E24241"/>
    <w:rsid w:val="00E242C2"/>
    <w:rsid w:val="00E244F6"/>
    <w:rsid w:val="00E24C5A"/>
    <w:rsid w:val="00E258DB"/>
    <w:rsid w:val="00E2669B"/>
    <w:rsid w:val="00E26822"/>
    <w:rsid w:val="00E2697C"/>
    <w:rsid w:val="00E26B4E"/>
    <w:rsid w:val="00E27522"/>
    <w:rsid w:val="00E2771E"/>
    <w:rsid w:val="00E277C0"/>
    <w:rsid w:val="00E311EF"/>
    <w:rsid w:val="00E31439"/>
    <w:rsid w:val="00E316ED"/>
    <w:rsid w:val="00E317CC"/>
    <w:rsid w:val="00E31B51"/>
    <w:rsid w:val="00E32177"/>
    <w:rsid w:val="00E32180"/>
    <w:rsid w:val="00E32586"/>
    <w:rsid w:val="00E32B27"/>
    <w:rsid w:val="00E34769"/>
    <w:rsid w:val="00E347C2"/>
    <w:rsid w:val="00E34948"/>
    <w:rsid w:val="00E35426"/>
    <w:rsid w:val="00E35DF1"/>
    <w:rsid w:val="00E35E79"/>
    <w:rsid w:val="00E362CE"/>
    <w:rsid w:val="00E36928"/>
    <w:rsid w:val="00E36A97"/>
    <w:rsid w:val="00E36AE1"/>
    <w:rsid w:val="00E36D6A"/>
    <w:rsid w:val="00E370AB"/>
    <w:rsid w:val="00E37569"/>
    <w:rsid w:val="00E37914"/>
    <w:rsid w:val="00E37BA0"/>
    <w:rsid w:val="00E37C90"/>
    <w:rsid w:val="00E401B2"/>
    <w:rsid w:val="00E40BD7"/>
    <w:rsid w:val="00E41106"/>
    <w:rsid w:val="00E41CA1"/>
    <w:rsid w:val="00E41E30"/>
    <w:rsid w:val="00E4219E"/>
    <w:rsid w:val="00E42F03"/>
    <w:rsid w:val="00E42F73"/>
    <w:rsid w:val="00E431A2"/>
    <w:rsid w:val="00E4335B"/>
    <w:rsid w:val="00E43661"/>
    <w:rsid w:val="00E439DF"/>
    <w:rsid w:val="00E43D70"/>
    <w:rsid w:val="00E44193"/>
    <w:rsid w:val="00E4497B"/>
    <w:rsid w:val="00E44A0F"/>
    <w:rsid w:val="00E44DC3"/>
    <w:rsid w:val="00E45279"/>
    <w:rsid w:val="00E45789"/>
    <w:rsid w:val="00E45B70"/>
    <w:rsid w:val="00E45CAA"/>
    <w:rsid w:val="00E4611A"/>
    <w:rsid w:val="00E46206"/>
    <w:rsid w:val="00E466F3"/>
    <w:rsid w:val="00E468A0"/>
    <w:rsid w:val="00E469B3"/>
    <w:rsid w:val="00E46C06"/>
    <w:rsid w:val="00E46EF5"/>
    <w:rsid w:val="00E470EF"/>
    <w:rsid w:val="00E47637"/>
    <w:rsid w:val="00E47B27"/>
    <w:rsid w:val="00E47B2C"/>
    <w:rsid w:val="00E50759"/>
    <w:rsid w:val="00E50824"/>
    <w:rsid w:val="00E50CC4"/>
    <w:rsid w:val="00E50D04"/>
    <w:rsid w:val="00E51560"/>
    <w:rsid w:val="00E51821"/>
    <w:rsid w:val="00E518A4"/>
    <w:rsid w:val="00E519AD"/>
    <w:rsid w:val="00E51F4B"/>
    <w:rsid w:val="00E5206B"/>
    <w:rsid w:val="00E524A4"/>
    <w:rsid w:val="00E52B4B"/>
    <w:rsid w:val="00E53084"/>
    <w:rsid w:val="00E53FC8"/>
    <w:rsid w:val="00E540E5"/>
    <w:rsid w:val="00E54347"/>
    <w:rsid w:val="00E54C04"/>
    <w:rsid w:val="00E54F0A"/>
    <w:rsid w:val="00E55424"/>
    <w:rsid w:val="00E5543E"/>
    <w:rsid w:val="00E55915"/>
    <w:rsid w:val="00E55BB5"/>
    <w:rsid w:val="00E55D0A"/>
    <w:rsid w:val="00E56440"/>
    <w:rsid w:val="00E56CAE"/>
    <w:rsid w:val="00E57124"/>
    <w:rsid w:val="00E57860"/>
    <w:rsid w:val="00E579CE"/>
    <w:rsid w:val="00E60603"/>
    <w:rsid w:val="00E6068D"/>
    <w:rsid w:val="00E611DF"/>
    <w:rsid w:val="00E614C1"/>
    <w:rsid w:val="00E6189F"/>
    <w:rsid w:val="00E61B1C"/>
    <w:rsid w:val="00E61BF4"/>
    <w:rsid w:val="00E62131"/>
    <w:rsid w:val="00E62C45"/>
    <w:rsid w:val="00E63D45"/>
    <w:rsid w:val="00E647AD"/>
    <w:rsid w:val="00E64956"/>
    <w:rsid w:val="00E65E79"/>
    <w:rsid w:val="00E66372"/>
    <w:rsid w:val="00E66BA2"/>
    <w:rsid w:val="00E671C8"/>
    <w:rsid w:val="00E67416"/>
    <w:rsid w:val="00E675DA"/>
    <w:rsid w:val="00E67864"/>
    <w:rsid w:val="00E67BA5"/>
    <w:rsid w:val="00E67BBE"/>
    <w:rsid w:val="00E67CC3"/>
    <w:rsid w:val="00E67F7F"/>
    <w:rsid w:val="00E7038D"/>
    <w:rsid w:val="00E70587"/>
    <w:rsid w:val="00E7104F"/>
    <w:rsid w:val="00E718B6"/>
    <w:rsid w:val="00E71A12"/>
    <w:rsid w:val="00E71B3C"/>
    <w:rsid w:val="00E71D75"/>
    <w:rsid w:val="00E72266"/>
    <w:rsid w:val="00E7233C"/>
    <w:rsid w:val="00E723BA"/>
    <w:rsid w:val="00E72B91"/>
    <w:rsid w:val="00E72DAA"/>
    <w:rsid w:val="00E73581"/>
    <w:rsid w:val="00E73982"/>
    <w:rsid w:val="00E741D2"/>
    <w:rsid w:val="00E74370"/>
    <w:rsid w:val="00E7456A"/>
    <w:rsid w:val="00E74694"/>
    <w:rsid w:val="00E74F6E"/>
    <w:rsid w:val="00E75104"/>
    <w:rsid w:val="00E75796"/>
    <w:rsid w:val="00E75DDC"/>
    <w:rsid w:val="00E77A92"/>
    <w:rsid w:val="00E804D3"/>
    <w:rsid w:val="00E80C19"/>
    <w:rsid w:val="00E8107F"/>
    <w:rsid w:val="00E81DBB"/>
    <w:rsid w:val="00E81E71"/>
    <w:rsid w:val="00E8228D"/>
    <w:rsid w:val="00E83228"/>
    <w:rsid w:val="00E833F7"/>
    <w:rsid w:val="00E83774"/>
    <w:rsid w:val="00E83BDF"/>
    <w:rsid w:val="00E83ECC"/>
    <w:rsid w:val="00E8426E"/>
    <w:rsid w:val="00E842F6"/>
    <w:rsid w:val="00E85434"/>
    <w:rsid w:val="00E85F39"/>
    <w:rsid w:val="00E86FCC"/>
    <w:rsid w:val="00E873F1"/>
    <w:rsid w:val="00E87504"/>
    <w:rsid w:val="00E8795F"/>
    <w:rsid w:val="00E87A1D"/>
    <w:rsid w:val="00E87B2D"/>
    <w:rsid w:val="00E90190"/>
    <w:rsid w:val="00E902C2"/>
    <w:rsid w:val="00E90549"/>
    <w:rsid w:val="00E90882"/>
    <w:rsid w:val="00E90932"/>
    <w:rsid w:val="00E9094A"/>
    <w:rsid w:val="00E91B61"/>
    <w:rsid w:val="00E91D35"/>
    <w:rsid w:val="00E91F2A"/>
    <w:rsid w:val="00E92144"/>
    <w:rsid w:val="00E92596"/>
    <w:rsid w:val="00E92699"/>
    <w:rsid w:val="00E926A5"/>
    <w:rsid w:val="00E92A54"/>
    <w:rsid w:val="00E92DBB"/>
    <w:rsid w:val="00E92E4B"/>
    <w:rsid w:val="00E9317C"/>
    <w:rsid w:val="00E93449"/>
    <w:rsid w:val="00E93660"/>
    <w:rsid w:val="00E94094"/>
    <w:rsid w:val="00E94D39"/>
    <w:rsid w:val="00E9522A"/>
    <w:rsid w:val="00E9525E"/>
    <w:rsid w:val="00E95BE1"/>
    <w:rsid w:val="00E962CC"/>
    <w:rsid w:val="00E97D6F"/>
    <w:rsid w:val="00E97F2F"/>
    <w:rsid w:val="00EA01D1"/>
    <w:rsid w:val="00EA07B8"/>
    <w:rsid w:val="00EA0EE1"/>
    <w:rsid w:val="00EA1057"/>
    <w:rsid w:val="00EA16FD"/>
    <w:rsid w:val="00EA17C3"/>
    <w:rsid w:val="00EA2359"/>
    <w:rsid w:val="00EA29C4"/>
    <w:rsid w:val="00EA2A9C"/>
    <w:rsid w:val="00EA2CAA"/>
    <w:rsid w:val="00EA2CF8"/>
    <w:rsid w:val="00EA3063"/>
    <w:rsid w:val="00EA3864"/>
    <w:rsid w:val="00EA4F9E"/>
    <w:rsid w:val="00EA5249"/>
    <w:rsid w:val="00EA59EC"/>
    <w:rsid w:val="00EA6B40"/>
    <w:rsid w:val="00EA7701"/>
    <w:rsid w:val="00EA7996"/>
    <w:rsid w:val="00EA7DA2"/>
    <w:rsid w:val="00EA7F1C"/>
    <w:rsid w:val="00EB02A5"/>
    <w:rsid w:val="00EB059A"/>
    <w:rsid w:val="00EB0C44"/>
    <w:rsid w:val="00EB122F"/>
    <w:rsid w:val="00EB12B8"/>
    <w:rsid w:val="00EB15B6"/>
    <w:rsid w:val="00EB1ACB"/>
    <w:rsid w:val="00EB20DA"/>
    <w:rsid w:val="00EB226C"/>
    <w:rsid w:val="00EB287E"/>
    <w:rsid w:val="00EB2C19"/>
    <w:rsid w:val="00EB2C24"/>
    <w:rsid w:val="00EB2F02"/>
    <w:rsid w:val="00EB325B"/>
    <w:rsid w:val="00EB328F"/>
    <w:rsid w:val="00EB33CD"/>
    <w:rsid w:val="00EB3436"/>
    <w:rsid w:val="00EB39AB"/>
    <w:rsid w:val="00EB3B4F"/>
    <w:rsid w:val="00EB3C69"/>
    <w:rsid w:val="00EB3D06"/>
    <w:rsid w:val="00EB4298"/>
    <w:rsid w:val="00EB429F"/>
    <w:rsid w:val="00EB4916"/>
    <w:rsid w:val="00EB5268"/>
    <w:rsid w:val="00EB5A96"/>
    <w:rsid w:val="00EB5D6D"/>
    <w:rsid w:val="00EB632E"/>
    <w:rsid w:val="00EB740F"/>
    <w:rsid w:val="00EB78E3"/>
    <w:rsid w:val="00EC00C9"/>
    <w:rsid w:val="00EC08B7"/>
    <w:rsid w:val="00EC0DD9"/>
    <w:rsid w:val="00EC23B7"/>
    <w:rsid w:val="00EC25FE"/>
    <w:rsid w:val="00EC2649"/>
    <w:rsid w:val="00EC27ED"/>
    <w:rsid w:val="00EC2CC7"/>
    <w:rsid w:val="00EC31ED"/>
    <w:rsid w:val="00EC452E"/>
    <w:rsid w:val="00EC4693"/>
    <w:rsid w:val="00EC4C47"/>
    <w:rsid w:val="00EC4F88"/>
    <w:rsid w:val="00EC5836"/>
    <w:rsid w:val="00EC6561"/>
    <w:rsid w:val="00EC688C"/>
    <w:rsid w:val="00EC7398"/>
    <w:rsid w:val="00ED04BD"/>
    <w:rsid w:val="00ED0B5B"/>
    <w:rsid w:val="00ED0CBB"/>
    <w:rsid w:val="00ED12E3"/>
    <w:rsid w:val="00ED179D"/>
    <w:rsid w:val="00ED2644"/>
    <w:rsid w:val="00ED45A8"/>
    <w:rsid w:val="00ED4B04"/>
    <w:rsid w:val="00ED4D6E"/>
    <w:rsid w:val="00ED5006"/>
    <w:rsid w:val="00ED5381"/>
    <w:rsid w:val="00ED57EA"/>
    <w:rsid w:val="00ED5BD4"/>
    <w:rsid w:val="00ED6417"/>
    <w:rsid w:val="00ED6FD6"/>
    <w:rsid w:val="00ED7080"/>
    <w:rsid w:val="00ED7235"/>
    <w:rsid w:val="00EE07D3"/>
    <w:rsid w:val="00EE0D12"/>
    <w:rsid w:val="00EE1996"/>
    <w:rsid w:val="00EE1C01"/>
    <w:rsid w:val="00EE1C07"/>
    <w:rsid w:val="00EE22AF"/>
    <w:rsid w:val="00EE265B"/>
    <w:rsid w:val="00EE27D9"/>
    <w:rsid w:val="00EE2A8F"/>
    <w:rsid w:val="00EE3A5F"/>
    <w:rsid w:val="00EE469A"/>
    <w:rsid w:val="00EE4C56"/>
    <w:rsid w:val="00EE5039"/>
    <w:rsid w:val="00EE52EF"/>
    <w:rsid w:val="00EE55AC"/>
    <w:rsid w:val="00EE5B85"/>
    <w:rsid w:val="00EE5C09"/>
    <w:rsid w:val="00EE5FE1"/>
    <w:rsid w:val="00EE6AF9"/>
    <w:rsid w:val="00EE6DE6"/>
    <w:rsid w:val="00EE7673"/>
    <w:rsid w:val="00EE76DC"/>
    <w:rsid w:val="00EE7C65"/>
    <w:rsid w:val="00EE7F02"/>
    <w:rsid w:val="00EF0171"/>
    <w:rsid w:val="00EF053D"/>
    <w:rsid w:val="00EF1031"/>
    <w:rsid w:val="00EF19B9"/>
    <w:rsid w:val="00EF1B25"/>
    <w:rsid w:val="00EF1BAD"/>
    <w:rsid w:val="00EF1DA0"/>
    <w:rsid w:val="00EF20BF"/>
    <w:rsid w:val="00EF2933"/>
    <w:rsid w:val="00EF2AAD"/>
    <w:rsid w:val="00EF2B09"/>
    <w:rsid w:val="00EF33BA"/>
    <w:rsid w:val="00EF3BA3"/>
    <w:rsid w:val="00EF4169"/>
    <w:rsid w:val="00EF42D9"/>
    <w:rsid w:val="00EF4747"/>
    <w:rsid w:val="00EF49C8"/>
    <w:rsid w:val="00EF4BF8"/>
    <w:rsid w:val="00EF524F"/>
    <w:rsid w:val="00EF6065"/>
    <w:rsid w:val="00EF64BC"/>
    <w:rsid w:val="00EF6618"/>
    <w:rsid w:val="00EF66C0"/>
    <w:rsid w:val="00EF71D6"/>
    <w:rsid w:val="00EF7BB9"/>
    <w:rsid w:val="00F00245"/>
    <w:rsid w:val="00F01338"/>
    <w:rsid w:val="00F016D9"/>
    <w:rsid w:val="00F01D24"/>
    <w:rsid w:val="00F02253"/>
    <w:rsid w:val="00F032E4"/>
    <w:rsid w:val="00F033C1"/>
    <w:rsid w:val="00F03569"/>
    <w:rsid w:val="00F036BE"/>
    <w:rsid w:val="00F036D8"/>
    <w:rsid w:val="00F03724"/>
    <w:rsid w:val="00F03C2E"/>
    <w:rsid w:val="00F04A66"/>
    <w:rsid w:val="00F04B4B"/>
    <w:rsid w:val="00F0516C"/>
    <w:rsid w:val="00F05515"/>
    <w:rsid w:val="00F0569B"/>
    <w:rsid w:val="00F065F9"/>
    <w:rsid w:val="00F067A2"/>
    <w:rsid w:val="00F0710A"/>
    <w:rsid w:val="00F07B9E"/>
    <w:rsid w:val="00F100E8"/>
    <w:rsid w:val="00F1116F"/>
    <w:rsid w:val="00F1197C"/>
    <w:rsid w:val="00F119FF"/>
    <w:rsid w:val="00F1239C"/>
    <w:rsid w:val="00F1263A"/>
    <w:rsid w:val="00F12874"/>
    <w:rsid w:val="00F129AF"/>
    <w:rsid w:val="00F12C80"/>
    <w:rsid w:val="00F12CBE"/>
    <w:rsid w:val="00F12FBB"/>
    <w:rsid w:val="00F1306F"/>
    <w:rsid w:val="00F138BE"/>
    <w:rsid w:val="00F139C5"/>
    <w:rsid w:val="00F13D41"/>
    <w:rsid w:val="00F144C9"/>
    <w:rsid w:val="00F1498A"/>
    <w:rsid w:val="00F14E66"/>
    <w:rsid w:val="00F15069"/>
    <w:rsid w:val="00F1549B"/>
    <w:rsid w:val="00F15B77"/>
    <w:rsid w:val="00F15D9D"/>
    <w:rsid w:val="00F15DF5"/>
    <w:rsid w:val="00F15F0C"/>
    <w:rsid w:val="00F160F9"/>
    <w:rsid w:val="00F167CD"/>
    <w:rsid w:val="00F16C89"/>
    <w:rsid w:val="00F17B7D"/>
    <w:rsid w:val="00F20C9C"/>
    <w:rsid w:val="00F20EFB"/>
    <w:rsid w:val="00F21062"/>
    <w:rsid w:val="00F21236"/>
    <w:rsid w:val="00F21D32"/>
    <w:rsid w:val="00F21DBD"/>
    <w:rsid w:val="00F22498"/>
    <w:rsid w:val="00F22551"/>
    <w:rsid w:val="00F23041"/>
    <w:rsid w:val="00F2310B"/>
    <w:rsid w:val="00F233C7"/>
    <w:rsid w:val="00F23481"/>
    <w:rsid w:val="00F239DF"/>
    <w:rsid w:val="00F2429C"/>
    <w:rsid w:val="00F24837"/>
    <w:rsid w:val="00F24B88"/>
    <w:rsid w:val="00F24D45"/>
    <w:rsid w:val="00F25418"/>
    <w:rsid w:val="00F25535"/>
    <w:rsid w:val="00F2575F"/>
    <w:rsid w:val="00F259C5"/>
    <w:rsid w:val="00F25C0C"/>
    <w:rsid w:val="00F2633C"/>
    <w:rsid w:val="00F26386"/>
    <w:rsid w:val="00F26966"/>
    <w:rsid w:val="00F27565"/>
    <w:rsid w:val="00F276B7"/>
    <w:rsid w:val="00F27C54"/>
    <w:rsid w:val="00F27C61"/>
    <w:rsid w:val="00F30192"/>
    <w:rsid w:val="00F309F8"/>
    <w:rsid w:val="00F310D4"/>
    <w:rsid w:val="00F31CC4"/>
    <w:rsid w:val="00F31D5A"/>
    <w:rsid w:val="00F31ED9"/>
    <w:rsid w:val="00F31FAB"/>
    <w:rsid w:val="00F325D6"/>
    <w:rsid w:val="00F32EC3"/>
    <w:rsid w:val="00F33085"/>
    <w:rsid w:val="00F3316B"/>
    <w:rsid w:val="00F33230"/>
    <w:rsid w:val="00F33410"/>
    <w:rsid w:val="00F33878"/>
    <w:rsid w:val="00F33975"/>
    <w:rsid w:val="00F33DE9"/>
    <w:rsid w:val="00F3424F"/>
    <w:rsid w:val="00F343F5"/>
    <w:rsid w:val="00F35325"/>
    <w:rsid w:val="00F35E28"/>
    <w:rsid w:val="00F35E6D"/>
    <w:rsid w:val="00F3619A"/>
    <w:rsid w:val="00F400D3"/>
    <w:rsid w:val="00F40686"/>
    <w:rsid w:val="00F40AAA"/>
    <w:rsid w:val="00F40AE2"/>
    <w:rsid w:val="00F40BA7"/>
    <w:rsid w:val="00F40D4E"/>
    <w:rsid w:val="00F40F9D"/>
    <w:rsid w:val="00F419D7"/>
    <w:rsid w:val="00F41ACD"/>
    <w:rsid w:val="00F41BB1"/>
    <w:rsid w:val="00F41FD0"/>
    <w:rsid w:val="00F42CD4"/>
    <w:rsid w:val="00F4348D"/>
    <w:rsid w:val="00F44519"/>
    <w:rsid w:val="00F45272"/>
    <w:rsid w:val="00F45DBA"/>
    <w:rsid w:val="00F466A1"/>
    <w:rsid w:val="00F46CB6"/>
    <w:rsid w:val="00F4743B"/>
    <w:rsid w:val="00F4756D"/>
    <w:rsid w:val="00F47DE8"/>
    <w:rsid w:val="00F50599"/>
    <w:rsid w:val="00F50858"/>
    <w:rsid w:val="00F50CAB"/>
    <w:rsid w:val="00F511DA"/>
    <w:rsid w:val="00F51381"/>
    <w:rsid w:val="00F5172E"/>
    <w:rsid w:val="00F519CB"/>
    <w:rsid w:val="00F51BF4"/>
    <w:rsid w:val="00F51CB7"/>
    <w:rsid w:val="00F51F85"/>
    <w:rsid w:val="00F5246F"/>
    <w:rsid w:val="00F5249E"/>
    <w:rsid w:val="00F524D9"/>
    <w:rsid w:val="00F5294B"/>
    <w:rsid w:val="00F52BCE"/>
    <w:rsid w:val="00F535BE"/>
    <w:rsid w:val="00F53876"/>
    <w:rsid w:val="00F53CCC"/>
    <w:rsid w:val="00F53FD7"/>
    <w:rsid w:val="00F54142"/>
    <w:rsid w:val="00F5429B"/>
    <w:rsid w:val="00F542C1"/>
    <w:rsid w:val="00F548C6"/>
    <w:rsid w:val="00F550E3"/>
    <w:rsid w:val="00F55E73"/>
    <w:rsid w:val="00F55EDA"/>
    <w:rsid w:val="00F569FA"/>
    <w:rsid w:val="00F56C7A"/>
    <w:rsid w:val="00F56C80"/>
    <w:rsid w:val="00F56D8E"/>
    <w:rsid w:val="00F56E0D"/>
    <w:rsid w:val="00F57E07"/>
    <w:rsid w:val="00F60092"/>
    <w:rsid w:val="00F600B0"/>
    <w:rsid w:val="00F60844"/>
    <w:rsid w:val="00F60BAE"/>
    <w:rsid w:val="00F618BB"/>
    <w:rsid w:val="00F61C0A"/>
    <w:rsid w:val="00F61C18"/>
    <w:rsid w:val="00F62365"/>
    <w:rsid w:val="00F63065"/>
    <w:rsid w:val="00F639D1"/>
    <w:rsid w:val="00F65650"/>
    <w:rsid w:val="00F6586B"/>
    <w:rsid w:val="00F65EFC"/>
    <w:rsid w:val="00F65F4B"/>
    <w:rsid w:val="00F65FF4"/>
    <w:rsid w:val="00F67346"/>
    <w:rsid w:val="00F67A69"/>
    <w:rsid w:val="00F70114"/>
    <w:rsid w:val="00F70BFF"/>
    <w:rsid w:val="00F70C9D"/>
    <w:rsid w:val="00F70D7D"/>
    <w:rsid w:val="00F71077"/>
    <w:rsid w:val="00F71224"/>
    <w:rsid w:val="00F714A8"/>
    <w:rsid w:val="00F7150F"/>
    <w:rsid w:val="00F71964"/>
    <w:rsid w:val="00F71A43"/>
    <w:rsid w:val="00F71C0E"/>
    <w:rsid w:val="00F71DF5"/>
    <w:rsid w:val="00F7292E"/>
    <w:rsid w:val="00F72FE4"/>
    <w:rsid w:val="00F7332B"/>
    <w:rsid w:val="00F737BC"/>
    <w:rsid w:val="00F73BB3"/>
    <w:rsid w:val="00F73E08"/>
    <w:rsid w:val="00F74231"/>
    <w:rsid w:val="00F742AD"/>
    <w:rsid w:val="00F744BB"/>
    <w:rsid w:val="00F748EE"/>
    <w:rsid w:val="00F74B38"/>
    <w:rsid w:val="00F74CD9"/>
    <w:rsid w:val="00F76F5A"/>
    <w:rsid w:val="00F773D1"/>
    <w:rsid w:val="00F77743"/>
    <w:rsid w:val="00F77AF0"/>
    <w:rsid w:val="00F8045F"/>
    <w:rsid w:val="00F806FE"/>
    <w:rsid w:val="00F80A7B"/>
    <w:rsid w:val="00F80E5D"/>
    <w:rsid w:val="00F80E6B"/>
    <w:rsid w:val="00F81395"/>
    <w:rsid w:val="00F817C1"/>
    <w:rsid w:val="00F81E78"/>
    <w:rsid w:val="00F821A0"/>
    <w:rsid w:val="00F828C0"/>
    <w:rsid w:val="00F83257"/>
    <w:rsid w:val="00F833CE"/>
    <w:rsid w:val="00F83754"/>
    <w:rsid w:val="00F837B9"/>
    <w:rsid w:val="00F83916"/>
    <w:rsid w:val="00F83FF9"/>
    <w:rsid w:val="00F84B63"/>
    <w:rsid w:val="00F851CE"/>
    <w:rsid w:val="00F85607"/>
    <w:rsid w:val="00F85F8A"/>
    <w:rsid w:val="00F86A86"/>
    <w:rsid w:val="00F86E52"/>
    <w:rsid w:val="00F8718E"/>
    <w:rsid w:val="00F87770"/>
    <w:rsid w:val="00F87873"/>
    <w:rsid w:val="00F87AFF"/>
    <w:rsid w:val="00F87D82"/>
    <w:rsid w:val="00F87F01"/>
    <w:rsid w:val="00F87FDA"/>
    <w:rsid w:val="00F91219"/>
    <w:rsid w:val="00F912D2"/>
    <w:rsid w:val="00F91F61"/>
    <w:rsid w:val="00F92444"/>
    <w:rsid w:val="00F92BB6"/>
    <w:rsid w:val="00F932D3"/>
    <w:rsid w:val="00F933E9"/>
    <w:rsid w:val="00F9393E"/>
    <w:rsid w:val="00F93988"/>
    <w:rsid w:val="00F93EE0"/>
    <w:rsid w:val="00F94667"/>
    <w:rsid w:val="00F94AFC"/>
    <w:rsid w:val="00F959C9"/>
    <w:rsid w:val="00F960D4"/>
    <w:rsid w:val="00F9659A"/>
    <w:rsid w:val="00F96996"/>
    <w:rsid w:val="00F96DF8"/>
    <w:rsid w:val="00F96FD0"/>
    <w:rsid w:val="00F97108"/>
    <w:rsid w:val="00F97193"/>
    <w:rsid w:val="00F978AA"/>
    <w:rsid w:val="00F97A66"/>
    <w:rsid w:val="00F97A78"/>
    <w:rsid w:val="00F97CD8"/>
    <w:rsid w:val="00FA073C"/>
    <w:rsid w:val="00FA087C"/>
    <w:rsid w:val="00FA08CC"/>
    <w:rsid w:val="00FA0AC4"/>
    <w:rsid w:val="00FA0B20"/>
    <w:rsid w:val="00FA0EAC"/>
    <w:rsid w:val="00FA173D"/>
    <w:rsid w:val="00FA1CDE"/>
    <w:rsid w:val="00FA24E7"/>
    <w:rsid w:val="00FA2609"/>
    <w:rsid w:val="00FA296A"/>
    <w:rsid w:val="00FA30CF"/>
    <w:rsid w:val="00FA44F2"/>
    <w:rsid w:val="00FA52E6"/>
    <w:rsid w:val="00FA55E8"/>
    <w:rsid w:val="00FA59C2"/>
    <w:rsid w:val="00FA5EE6"/>
    <w:rsid w:val="00FA6660"/>
    <w:rsid w:val="00FA6EA1"/>
    <w:rsid w:val="00FA6ED4"/>
    <w:rsid w:val="00FA6F95"/>
    <w:rsid w:val="00FA7227"/>
    <w:rsid w:val="00FA7810"/>
    <w:rsid w:val="00FA7956"/>
    <w:rsid w:val="00FB015B"/>
    <w:rsid w:val="00FB0353"/>
    <w:rsid w:val="00FB070F"/>
    <w:rsid w:val="00FB0824"/>
    <w:rsid w:val="00FB0A19"/>
    <w:rsid w:val="00FB0F25"/>
    <w:rsid w:val="00FB14A9"/>
    <w:rsid w:val="00FB1979"/>
    <w:rsid w:val="00FB2020"/>
    <w:rsid w:val="00FB284F"/>
    <w:rsid w:val="00FB2904"/>
    <w:rsid w:val="00FB2986"/>
    <w:rsid w:val="00FB2FCB"/>
    <w:rsid w:val="00FB40AF"/>
    <w:rsid w:val="00FB48F7"/>
    <w:rsid w:val="00FB4C9C"/>
    <w:rsid w:val="00FB4D74"/>
    <w:rsid w:val="00FB64AF"/>
    <w:rsid w:val="00FB6E64"/>
    <w:rsid w:val="00FB7226"/>
    <w:rsid w:val="00FB7694"/>
    <w:rsid w:val="00FB7C55"/>
    <w:rsid w:val="00FC08C3"/>
    <w:rsid w:val="00FC1074"/>
    <w:rsid w:val="00FC1140"/>
    <w:rsid w:val="00FC1884"/>
    <w:rsid w:val="00FC18E7"/>
    <w:rsid w:val="00FC1C44"/>
    <w:rsid w:val="00FC1FA3"/>
    <w:rsid w:val="00FC286D"/>
    <w:rsid w:val="00FC2FDF"/>
    <w:rsid w:val="00FC3334"/>
    <w:rsid w:val="00FC371D"/>
    <w:rsid w:val="00FC4325"/>
    <w:rsid w:val="00FC4570"/>
    <w:rsid w:val="00FC4926"/>
    <w:rsid w:val="00FC4D82"/>
    <w:rsid w:val="00FC4E1B"/>
    <w:rsid w:val="00FC5533"/>
    <w:rsid w:val="00FC5F0B"/>
    <w:rsid w:val="00FC67DE"/>
    <w:rsid w:val="00FC6B13"/>
    <w:rsid w:val="00FC7169"/>
    <w:rsid w:val="00FC721F"/>
    <w:rsid w:val="00FC7575"/>
    <w:rsid w:val="00FC7B4A"/>
    <w:rsid w:val="00FC7BBB"/>
    <w:rsid w:val="00FC7D64"/>
    <w:rsid w:val="00FC7ED6"/>
    <w:rsid w:val="00FD01C5"/>
    <w:rsid w:val="00FD09C3"/>
    <w:rsid w:val="00FD0FF9"/>
    <w:rsid w:val="00FD1336"/>
    <w:rsid w:val="00FD1464"/>
    <w:rsid w:val="00FD14C8"/>
    <w:rsid w:val="00FD1C3D"/>
    <w:rsid w:val="00FD2100"/>
    <w:rsid w:val="00FD21F7"/>
    <w:rsid w:val="00FD2DE8"/>
    <w:rsid w:val="00FD2ED6"/>
    <w:rsid w:val="00FD35AB"/>
    <w:rsid w:val="00FD3786"/>
    <w:rsid w:val="00FD3EF3"/>
    <w:rsid w:val="00FD4316"/>
    <w:rsid w:val="00FD436C"/>
    <w:rsid w:val="00FD446D"/>
    <w:rsid w:val="00FD4F2C"/>
    <w:rsid w:val="00FD5856"/>
    <w:rsid w:val="00FD58DA"/>
    <w:rsid w:val="00FD5B8D"/>
    <w:rsid w:val="00FD6394"/>
    <w:rsid w:val="00FD68E9"/>
    <w:rsid w:val="00FD69A5"/>
    <w:rsid w:val="00FD6A95"/>
    <w:rsid w:val="00FD6AC1"/>
    <w:rsid w:val="00FE0CA4"/>
    <w:rsid w:val="00FE0E6C"/>
    <w:rsid w:val="00FE1CDC"/>
    <w:rsid w:val="00FE1E1C"/>
    <w:rsid w:val="00FE2188"/>
    <w:rsid w:val="00FE25B4"/>
    <w:rsid w:val="00FE2905"/>
    <w:rsid w:val="00FE2FBC"/>
    <w:rsid w:val="00FE318A"/>
    <w:rsid w:val="00FE3300"/>
    <w:rsid w:val="00FE4161"/>
    <w:rsid w:val="00FE440B"/>
    <w:rsid w:val="00FE4A80"/>
    <w:rsid w:val="00FE4BB3"/>
    <w:rsid w:val="00FE515F"/>
    <w:rsid w:val="00FE5716"/>
    <w:rsid w:val="00FE635C"/>
    <w:rsid w:val="00FE64D7"/>
    <w:rsid w:val="00FE64E7"/>
    <w:rsid w:val="00FE70C3"/>
    <w:rsid w:val="00FE715B"/>
    <w:rsid w:val="00FE7558"/>
    <w:rsid w:val="00FE7A70"/>
    <w:rsid w:val="00FF00F3"/>
    <w:rsid w:val="00FF066B"/>
    <w:rsid w:val="00FF0974"/>
    <w:rsid w:val="00FF0DF1"/>
    <w:rsid w:val="00FF10CF"/>
    <w:rsid w:val="00FF1A8B"/>
    <w:rsid w:val="00FF2559"/>
    <w:rsid w:val="00FF2AD9"/>
    <w:rsid w:val="00FF359F"/>
    <w:rsid w:val="00FF375A"/>
    <w:rsid w:val="00FF3DCF"/>
    <w:rsid w:val="00FF3E8B"/>
    <w:rsid w:val="00FF3ECD"/>
    <w:rsid w:val="00FF4912"/>
    <w:rsid w:val="00FF492C"/>
    <w:rsid w:val="00FF4968"/>
    <w:rsid w:val="00FF4A21"/>
    <w:rsid w:val="00FF4D34"/>
    <w:rsid w:val="00FF5786"/>
    <w:rsid w:val="00FF57EF"/>
    <w:rsid w:val="00FF5AA3"/>
    <w:rsid w:val="00FF5AD8"/>
    <w:rsid w:val="00FF5BD0"/>
    <w:rsid w:val="00FF6D9B"/>
    <w:rsid w:val="00FF729B"/>
    <w:rsid w:val="00FF7624"/>
    <w:rsid w:val="00FF7BAB"/>
    <w:rsid w:val="019EC0C2"/>
    <w:rsid w:val="01D298E2"/>
    <w:rsid w:val="04803961"/>
    <w:rsid w:val="05D5BF34"/>
    <w:rsid w:val="0614D01F"/>
    <w:rsid w:val="084F0C0E"/>
    <w:rsid w:val="0EA041C1"/>
    <w:rsid w:val="11392E6B"/>
    <w:rsid w:val="13BDC15C"/>
    <w:rsid w:val="1E1824FC"/>
    <w:rsid w:val="2419F9E7"/>
    <w:rsid w:val="267EF068"/>
    <w:rsid w:val="3272FEFA"/>
    <w:rsid w:val="330523BC"/>
    <w:rsid w:val="34734F96"/>
    <w:rsid w:val="35DC9BE3"/>
    <w:rsid w:val="3ADB19BF"/>
    <w:rsid w:val="3E66830E"/>
    <w:rsid w:val="4715206F"/>
    <w:rsid w:val="49780DD7"/>
    <w:rsid w:val="52A36594"/>
    <w:rsid w:val="5350F538"/>
    <w:rsid w:val="545343AA"/>
    <w:rsid w:val="548D09B3"/>
    <w:rsid w:val="588F3CE2"/>
    <w:rsid w:val="60D8873E"/>
    <w:rsid w:val="6EFF273F"/>
    <w:rsid w:val="730AE6BA"/>
    <w:rsid w:val="7682E45C"/>
    <w:rsid w:val="7A3D11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27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 Char,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 Char Char,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HealthConsult,Source table_,NICE instructions,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DE21BB"/>
    <w:pPr>
      <w:keepNext/>
      <w:keepLines/>
      <w:widowControl w:val="0"/>
      <w:ind w:left="-75" w:right="-47"/>
      <w:jc w:val="center"/>
    </w:pPr>
    <w:rPr>
      <w:rFonts w:ascii="Arial Narrow" w:eastAsiaTheme="majorEastAsia" w:hAnsi="Arial Narrow" w:cstheme="majorBidi"/>
      <w:b/>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DF5D34"/>
    <w:pPr>
      <w:numPr>
        <w:ilvl w:val="1"/>
        <w:numId w:val="3"/>
      </w:numPr>
      <w:spacing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DF5D34"/>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DE21BB"/>
    <w:rPr>
      <w:rFonts w:ascii="Arial Narrow" w:eastAsiaTheme="majorEastAsia" w:hAnsi="Arial Narrow" w:cstheme="majorBidi"/>
      <w:b/>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4"/>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5"/>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3C58E1"/>
    <w:pPr>
      <w:tabs>
        <w:tab w:val="center" w:pos="4513"/>
        <w:tab w:val="right" w:pos="9026"/>
      </w:tabs>
    </w:pPr>
  </w:style>
  <w:style w:type="character" w:customStyle="1" w:styleId="FooterChar">
    <w:name w:val="Footer Char"/>
    <w:basedOn w:val="DefaultParagraphFont"/>
    <w:link w:val="Footer"/>
    <w:uiPriority w:val="99"/>
    <w:rsid w:val="003C58E1"/>
    <w:rPr>
      <w:rFonts w:ascii="Calibri" w:hAnsi="Calibri" w:cs="Arial"/>
      <w:sz w:val="24"/>
      <w:szCs w:val="24"/>
    </w:rPr>
  </w:style>
  <w:style w:type="paragraph" w:styleId="ListBullet">
    <w:name w:val="List Bullet"/>
    <w:aliases w:val="zz List Bullet"/>
    <w:basedOn w:val="Normal"/>
    <w:unhideWhenUsed/>
    <w:rsid w:val="00673F5A"/>
    <w:pPr>
      <w:tabs>
        <w:tab w:val="num" w:pos="360"/>
      </w:tabs>
      <w:ind w:left="360" w:hanging="360"/>
      <w:contextualSpacing/>
    </w:pPr>
  </w:style>
  <w:style w:type="paragraph" w:customStyle="1" w:styleId="Footnote">
    <w:name w:val="Footnote"/>
    <w:basedOn w:val="BodyText"/>
    <w:next w:val="BodyText"/>
    <w:uiPriority w:val="69"/>
    <w:qFormat/>
    <w:rsid w:val="00244A9E"/>
    <w:pPr>
      <w:spacing w:after="240"/>
      <w:contextualSpacing/>
      <w:jc w:val="left"/>
    </w:pPr>
    <w:rPr>
      <w:rFonts w:asciiTheme="minorHAnsi" w:eastAsiaTheme="minorHAnsi" w:hAnsiTheme="minorHAnsi" w:cstheme="minorBidi"/>
      <w:sz w:val="17"/>
      <w:szCs w:val="22"/>
      <w:lang w:val="en-US" w:eastAsia="en-US"/>
    </w:rPr>
  </w:style>
  <w:style w:type="paragraph" w:styleId="BodyText">
    <w:name w:val="Body Text"/>
    <w:basedOn w:val="Normal"/>
    <w:link w:val="BodyTextChar"/>
    <w:semiHidden/>
    <w:unhideWhenUsed/>
    <w:rsid w:val="00244A9E"/>
    <w:pPr>
      <w:spacing w:after="120"/>
    </w:pPr>
  </w:style>
  <w:style w:type="character" w:customStyle="1" w:styleId="BodyTextChar">
    <w:name w:val="Body Text Char"/>
    <w:basedOn w:val="DefaultParagraphFont"/>
    <w:link w:val="BodyText"/>
    <w:semiHidden/>
    <w:rsid w:val="00244A9E"/>
    <w:rPr>
      <w:rFonts w:ascii="Calibri" w:hAnsi="Calibri" w:cs="Arial"/>
      <w:sz w:val="24"/>
      <w:szCs w:val="24"/>
    </w:rPr>
  </w:style>
  <w:style w:type="character" w:customStyle="1" w:styleId="Small">
    <w:name w:val="Small"/>
    <w:basedOn w:val="DefaultParagraphFont"/>
    <w:uiPriority w:val="4"/>
    <w:rsid w:val="001249F0"/>
    <w:rPr>
      <w:rFonts w:ascii="Calibri" w:hAnsi="Calibri"/>
      <w:sz w:val="20"/>
    </w:rPr>
  </w:style>
  <w:style w:type="character" w:customStyle="1" w:styleId="SmallBold">
    <w:name w:val="Small Bold"/>
    <w:basedOn w:val="Small"/>
    <w:uiPriority w:val="4"/>
    <w:rsid w:val="006578F9"/>
    <w:rPr>
      <w:rFonts w:ascii="Calibri" w:hAnsi="Calibri"/>
      <w:b/>
      <w:sz w:val="20"/>
      <w:lang w:val="en-AU"/>
    </w:rPr>
  </w:style>
  <w:style w:type="paragraph" w:customStyle="1" w:styleId="FrontPage3">
    <w:name w:val="Front Page 3"/>
    <w:basedOn w:val="Normal"/>
    <w:link w:val="FrontPage3Char"/>
    <w:uiPriority w:val="10"/>
    <w:qFormat/>
    <w:rsid w:val="000D1184"/>
    <w:pPr>
      <w:spacing w:after="60" w:line="276" w:lineRule="auto"/>
      <w:jc w:val="center"/>
    </w:pPr>
    <w:rPr>
      <w:rFonts w:eastAsiaTheme="majorEastAsia" w:cstheme="majorBidi"/>
      <w:b/>
      <w:sz w:val="32"/>
      <w:szCs w:val="22"/>
      <w:lang w:eastAsia="en-US" w:bidi="en-US"/>
    </w:rPr>
  </w:style>
  <w:style w:type="character" w:customStyle="1" w:styleId="FrontPage3Char">
    <w:name w:val="Front Page 3 Char"/>
    <w:basedOn w:val="DefaultParagraphFont"/>
    <w:link w:val="FrontPage3"/>
    <w:uiPriority w:val="10"/>
    <w:rsid w:val="000D1184"/>
    <w:rPr>
      <w:rFonts w:ascii="Calibri" w:eastAsiaTheme="majorEastAsia" w:hAnsi="Calibri" w:cstheme="majorBidi"/>
      <w:b/>
      <w:sz w:val="32"/>
      <w:szCs w:val="22"/>
      <w:lang w:eastAsia="en-US" w:bidi="en-US"/>
    </w:rPr>
  </w:style>
  <w:style w:type="paragraph" w:customStyle="1" w:styleId="TableLeft">
    <w:name w:val="Table Left"/>
    <w:basedOn w:val="Normal"/>
    <w:link w:val="TableLeftChar"/>
    <w:uiPriority w:val="99"/>
    <w:rsid w:val="00792C2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92C20"/>
    <w:rPr>
      <w:rFonts w:ascii="Calibri" w:eastAsiaTheme="majorEastAsia" w:hAnsi="Calibri" w:cstheme="majorBidi"/>
      <w:sz w:val="18"/>
      <w:szCs w:val="22"/>
      <w:lang w:eastAsia="en-US" w:bidi="en-US"/>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ED7080"/>
    <w:pPr>
      <w:spacing w:after="60" w:line="276" w:lineRule="auto"/>
      <w:ind w:left="720"/>
      <w:contextualSpacing/>
    </w:pPr>
    <w:rPr>
      <w:rFonts w:eastAsiaTheme="majorEastAsia" w:cstheme="majorBidi"/>
      <w:sz w:val="22"/>
      <w:szCs w:val="22"/>
      <w:lang w:eastAsia="en-US" w:bidi="en-US"/>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ED7080"/>
    <w:rPr>
      <w:rFonts w:ascii="Calibri" w:eastAsiaTheme="majorEastAsia" w:hAnsi="Calibri" w:cstheme="majorBidi"/>
      <w:sz w:val="22"/>
      <w:szCs w:val="22"/>
      <w:lang w:eastAsia="en-US" w:bidi="en-US"/>
    </w:rPr>
  </w:style>
  <w:style w:type="paragraph" w:styleId="BodyTextIndent">
    <w:name w:val="Body Text Indent"/>
    <w:basedOn w:val="Normal"/>
    <w:link w:val="BodyTextIndentChar"/>
    <w:rsid w:val="00D365E5"/>
    <w:pPr>
      <w:spacing w:after="120"/>
      <w:ind w:left="283"/>
    </w:pPr>
  </w:style>
  <w:style w:type="character" w:customStyle="1" w:styleId="BodyTextIndentChar">
    <w:name w:val="Body Text Indent Char"/>
    <w:basedOn w:val="DefaultParagraphFont"/>
    <w:link w:val="BodyTextIndent"/>
    <w:rsid w:val="00D365E5"/>
    <w:rPr>
      <w:rFonts w:ascii="Calibri" w:hAnsi="Calibri" w:cs="Arial"/>
      <w:sz w:val="24"/>
      <w:szCs w:val="24"/>
    </w:rPr>
  </w:style>
  <w:style w:type="paragraph" w:styleId="TOC6">
    <w:name w:val="toc 6"/>
    <w:basedOn w:val="Normal"/>
    <w:next w:val="Normal"/>
    <w:autoRedefine/>
    <w:uiPriority w:val="39"/>
    <w:unhideWhenUsed/>
    <w:rsid w:val="0059342D"/>
    <w:pPr>
      <w:spacing w:after="100" w:line="259" w:lineRule="auto"/>
      <w:ind w:left="1100"/>
      <w:jc w:val="left"/>
    </w:pPr>
    <w:rPr>
      <w:rFonts w:asciiTheme="minorHAnsi" w:eastAsiaTheme="minorEastAsia" w:hAnsiTheme="minorHAnsi" w:cstheme="minorBidi"/>
      <w:sz w:val="22"/>
      <w:szCs w:val="22"/>
    </w:rPr>
  </w:style>
  <w:style w:type="character" w:styleId="CommentReference">
    <w:name w:val="annotation reference"/>
    <w:aliases w:val="Table Title"/>
    <w:basedOn w:val="DefaultParagraphFont"/>
    <w:uiPriority w:val="99"/>
    <w:unhideWhenUsed/>
    <w:qFormat/>
    <w:rsid w:val="0042472B"/>
    <w:rPr>
      <w:sz w:val="16"/>
      <w:szCs w:val="16"/>
    </w:rPr>
  </w:style>
  <w:style w:type="paragraph" w:styleId="CommentText">
    <w:name w:val="annotation text"/>
    <w:basedOn w:val="Normal"/>
    <w:link w:val="CommentTextChar"/>
    <w:unhideWhenUsed/>
    <w:rsid w:val="0042472B"/>
    <w:rPr>
      <w:sz w:val="20"/>
      <w:szCs w:val="20"/>
    </w:rPr>
  </w:style>
  <w:style w:type="character" w:customStyle="1" w:styleId="CommentTextChar">
    <w:name w:val="Comment Text Char"/>
    <w:basedOn w:val="DefaultParagraphFont"/>
    <w:link w:val="CommentText"/>
    <w:rsid w:val="0042472B"/>
    <w:rPr>
      <w:rFonts w:ascii="Calibri" w:hAnsi="Calibri" w:cs="Arial"/>
    </w:rPr>
  </w:style>
  <w:style w:type="paragraph" w:styleId="CommentSubject">
    <w:name w:val="annotation subject"/>
    <w:basedOn w:val="CommentText"/>
    <w:next w:val="CommentText"/>
    <w:link w:val="CommentSubjectChar"/>
    <w:semiHidden/>
    <w:unhideWhenUsed/>
    <w:rsid w:val="0042472B"/>
    <w:rPr>
      <w:b/>
      <w:bCs/>
    </w:rPr>
  </w:style>
  <w:style w:type="character" w:customStyle="1" w:styleId="CommentSubjectChar">
    <w:name w:val="Comment Subject Char"/>
    <w:basedOn w:val="CommentTextChar"/>
    <w:link w:val="CommentSubject"/>
    <w:semiHidden/>
    <w:rsid w:val="0042472B"/>
    <w:rPr>
      <w:rFonts w:ascii="Calibri" w:hAnsi="Calibri" w:cs="Arial"/>
      <w:b/>
      <w:bCs/>
    </w:rPr>
  </w:style>
  <w:style w:type="paragraph" w:customStyle="1" w:styleId="TableFigureHeading">
    <w:name w:val="Table/Figure Heading"/>
    <w:link w:val="TableFigureHeadingChar"/>
    <w:qFormat/>
    <w:rsid w:val="004C4CD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4CDF"/>
    <w:rPr>
      <w:rFonts w:ascii="Arial Narrow" w:eastAsiaTheme="majorEastAsia" w:hAnsi="Arial Narrow" w:cstheme="majorBidi"/>
      <w:b/>
      <w:bCs/>
      <w:szCs w:val="24"/>
    </w:rPr>
  </w:style>
  <w:style w:type="paragraph" w:customStyle="1" w:styleId="Default">
    <w:name w:val="Default"/>
    <w:rsid w:val="004843B9"/>
    <w:pPr>
      <w:autoSpaceDE w:val="0"/>
      <w:autoSpaceDN w:val="0"/>
      <w:adjustRightInd w:val="0"/>
    </w:pPr>
    <w:rPr>
      <w:rFonts w:ascii="Calibri" w:hAnsi="Calibri" w:cs="Calibri"/>
      <w:color w:val="000000"/>
      <w:sz w:val="24"/>
      <w:szCs w:val="24"/>
    </w:rPr>
  </w:style>
  <w:style w:type="character" w:customStyle="1" w:styleId="Font">
    <w:name w:val="Font"/>
    <w:basedOn w:val="DefaultParagraphFont"/>
    <w:uiPriority w:val="1"/>
    <w:rsid w:val="00394D16"/>
    <w:rPr>
      <w:rFonts w:ascii="Sabon" w:hAnsi="Sabon"/>
      <w:sz w:val="22"/>
    </w:rPr>
  </w:style>
  <w:style w:type="paragraph" w:customStyle="1" w:styleId="TableFigureFooter">
    <w:name w:val="Table/Figure Footer"/>
    <w:basedOn w:val="Normal"/>
    <w:next w:val="Normal"/>
    <w:link w:val="TableFigureFooterChar"/>
    <w:autoRedefine/>
    <w:qFormat/>
    <w:rsid w:val="00A571F5"/>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A571F5"/>
    <w:rPr>
      <w:rFonts w:ascii="Arial Narrow" w:hAnsi="Arial Narrow" w:cs="Arial"/>
      <w:snapToGrid w:val="0"/>
      <w:sz w:val="18"/>
      <w:szCs w:val="22"/>
    </w:rPr>
  </w:style>
  <w:style w:type="paragraph" w:styleId="Caption">
    <w:name w:val="caption"/>
    <w:basedOn w:val="COMtablefigcaption"/>
    <w:next w:val="Normal"/>
    <w:unhideWhenUsed/>
    <w:rsid w:val="00536DF6"/>
  </w:style>
  <w:style w:type="paragraph" w:customStyle="1" w:styleId="PBACHeading1">
    <w:name w:val="PBAC Heading 1"/>
    <w:qFormat/>
    <w:rsid w:val="00EF19B9"/>
    <w:pPr>
      <w:ind w:left="720" w:hanging="720"/>
      <w:outlineLvl w:val="0"/>
    </w:pPr>
    <w:rPr>
      <w:rFonts w:ascii="Calibri" w:hAnsi="Calibri" w:cs="Calibri"/>
      <w:b/>
      <w:snapToGrid w:val="0"/>
      <w:sz w:val="32"/>
      <w:szCs w:val="32"/>
      <w:lang w:eastAsia="en-US"/>
    </w:rPr>
  </w:style>
  <w:style w:type="character" w:styleId="UnresolvedMention">
    <w:name w:val="Unresolved Mention"/>
    <w:basedOn w:val="DefaultParagraphFont"/>
    <w:uiPriority w:val="99"/>
    <w:semiHidden/>
    <w:unhideWhenUsed/>
    <w:rsid w:val="0002134A"/>
    <w:rPr>
      <w:color w:val="605E5C"/>
      <w:shd w:val="clear" w:color="auto" w:fill="E1DFDD"/>
    </w:rPr>
  </w:style>
  <w:style w:type="paragraph" w:customStyle="1" w:styleId="COMH1numbered">
    <w:name w:val="COM H1 numbered"/>
    <w:next w:val="Normal"/>
    <w:qFormat/>
    <w:rsid w:val="00C8478C"/>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C8478C"/>
    <w:pPr>
      <w:spacing w:after="120" w:line="240" w:lineRule="auto"/>
      <w:ind w:hanging="720"/>
      <w:contextualSpacing w:val="0"/>
    </w:pPr>
    <w:rPr>
      <w:rFonts w:asciiTheme="minorHAnsi" w:hAnsiTheme="minorHAnsi" w:cs="Arial"/>
      <w:snapToGrid w:val="0"/>
      <w:sz w:val="24"/>
      <w:szCs w:val="24"/>
    </w:rPr>
  </w:style>
  <w:style w:type="character" w:customStyle="1" w:styleId="COMexecsumnumberedparaChar">
    <w:name w:val="COM exec sum numbered para Char"/>
    <w:basedOn w:val="ListParagraphChar"/>
    <w:link w:val="COMexecsumnumberedpara"/>
    <w:rsid w:val="00C8478C"/>
    <w:rPr>
      <w:rFonts w:asciiTheme="minorHAnsi" w:eastAsiaTheme="majorEastAsia" w:hAnsiTheme="minorHAnsi" w:cs="Arial"/>
      <w:snapToGrid w:val="0"/>
      <w:sz w:val="24"/>
      <w:szCs w:val="24"/>
      <w:lang w:eastAsia="en-US" w:bidi="en-US"/>
    </w:rPr>
  </w:style>
  <w:style w:type="paragraph" w:customStyle="1" w:styleId="3-SubsectionHeading">
    <w:name w:val="3-Subsection Heading"/>
    <w:basedOn w:val="Heading2"/>
    <w:next w:val="Normal"/>
    <w:link w:val="3-SubsectionHeadingChar"/>
    <w:qFormat/>
    <w:rsid w:val="006434D8"/>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434D8"/>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6434D8"/>
    <w:pPr>
      <w:keepNext/>
      <w:spacing w:before="240" w:after="120"/>
      <w:outlineLvl w:val="1"/>
    </w:pPr>
    <w:rPr>
      <w:rFonts w:asciiTheme="minorHAnsi" w:hAnsiTheme="minorHAnsi" w:cs="Arial"/>
      <w:b/>
      <w:snapToGrid w:val="0"/>
      <w:sz w:val="32"/>
      <w:szCs w:val="32"/>
    </w:rPr>
  </w:style>
  <w:style w:type="paragraph" w:styleId="FootnoteText">
    <w:name w:val="footnote text"/>
    <w:basedOn w:val="Normal"/>
    <w:link w:val="FootnoteTextChar"/>
    <w:semiHidden/>
    <w:unhideWhenUsed/>
    <w:rsid w:val="00E85F39"/>
    <w:rPr>
      <w:sz w:val="20"/>
      <w:szCs w:val="20"/>
    </w:rPr>
  </w:style>
  <w:style w:type="character" w:customStyle="1" w:styleId="FootnoteTextChar">
    <w:name w:val="Footnote Text Char"/>
    <w:basedOn w:val="DefaultParagraphFont"/>
    <w:link w:val="FootnoteText"/>
    <w:semiHidden/>
    <w:rsid w:val="00E85F39"/>
    <w:rPr>
      <w:rFonts w:ascii="Calibri" w:hAnsi="Calibri" w:cs="Arial"/>
    </w:rPr>
  </w:style>
  <w:style w:type="character" w:styleId="FootnoteReference">
    <w:name w:val="footnote reference"/>
    <w:basedOn w:val="DefaultParagraphFont"/>
    <w:semiHidden/>
    <w:unhideWhenUsed/>
    <w:rsid w:val="00E85F39"/>
    <w:rPr>
      <w:vertAlign w:val="superscript"/>
    </w:rPr>
  </w:style>
  <w:style w:type="paragraph" w:customStyle="1" w:styleId="3-BodyText">
    <w:name w:val="3-Body Text"/>
    <w:autoRedefine/>
    <w:qFormat/>
    <w:rsid w:val="00F5249E"/>
    <w:pPr>
      <w:spacing w:after="12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7398">
      <w:bodyDiv w:val="1"/>
      <w:marLeft w:val="0"/>
      <w:marRight w:val="0"/>
      <w:marTop w:val="0"/>
      <w:marBottom w:val="0"/>
      <w:divBdr>
        <w:top w:val="none" w:sz="0" w:space="0" w:color="auto"/>
        <w:left w:val="none" w:sz="0" w:space="0" w:color="auto"/>
        <w:bottom w:val="none" w:sz="0" w:space="0" w:color="auto"/>
        <w:right w:val="none" w:sz="0" w:space="0" w:color="auto"/>
      </w:divBdr>
    </w:div>
    <w:div w:id="78408619">
      <w:bodyDiv w:val="1"/>
      <w:marLeft w:val="0"/>
      <w:marRight w:val="0"/>
      <w:marTop w:val="0"/>
      <w:marBottom w:val="0"/>
      <w:divBdr>
        <w:top w:val="none" w:sz="0" w:space="0" w:color="auto"/>
        <w:left w:val="none" w:sz="0" w:space="0" w:color="auto"/>
        <w:bottom w:val="none" w:sz="0" w:space="0" w:color="auto"/>
        <w:right w:val="none" w:sz="0" w:space="0" w:color="auto"/>
      </w:divBdr>
    </w:div>
    <w:div w:id="95372812">
      <w:bodyDiv w:val="1"/>
      <w:marLeft w:val="0"/>
      <w:marRight w:val="0"/>
      <w:marTop w:val="0"/>
      <w:marBottom w:val="0"/>
      <w:divBdr>
        <w:top w:val="none" w:sz="0" w:space="0" w:color="auto"/>
        <w:left w:val="none" w:sz="0" w:space="0" w:color="auto"/>
        <w:bottom w:val="none" w:sz="0" w:space="0" w:color="auto"/>
        <w:right w:val="none" w:sz="0" w:space="0" w:color="auto"/>
      </w:divBdr>
    </w:div>
    <w:div w:id="9988329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5122995">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858197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9472263">
      <w:bodyDiv w:val="1"/>
      <w:marLeft w:val="0"/>
      <w:marRight w:val="0"/>
      <w:marTop w:val="0"/>
      <w:marBottom w:val="0"/>
      <w:divBdr>
        <w:top w:val="none" w:sz="0" w:space="0" w:color="auto"/>
        <w:left w:val="none" w:sz="0" w:space="0" w:color="auto"/>
        <w:bottom w:val="none" w:sz="0" w:space="0" w:color="auto"/>
        <w:right w:val="none" w:sz="0" w:space="0" w:color="auto"/>
      </w:divBdr>
    </w:div>
    <w:div w:id="512573791">
      <w:bodyDiv w:val="1"/>
      <w:marLeft w:val="0"/>
      <w:marRight w:val="0"/>
      <w:marTop w:val="0"/>
      <w:marBottom w:val="0"/>
      <w:divBdr>
        <w:top w:val="none" w:sz="0" w:space="0" w:color="auto"/>
        <w:left w:val="none" w:sz="0" w:space="0" w:color="auto"/>
        <w:bottom w:val="none" w:sz="0" w:space="0" w:color="auto"/>
        <w:right w:val="none" w:sz="0" w:space="0" w:color="auto"/>
      </w:divBdr>
    </w:div>
    <w:div w:id="722604172">
      <w:bodyDiv w:val="1"/>
      <w:marLeft w:val="0"/>
      <w:marRight w:val="0"/>
      <w:marTop w:val="0"/>
      <w:marBottom w:val="0"/>
      <w:divBdr>
        <w:top w:val="none" w:sz="0" w:space="0" w:color="auto"/>
        <w:left w:val="none" w:sz="0" w:space="0" w:color="auto"/>
        <w:bottom w:val="none" w:sz="0" w:space="0" w:color="auto"/>
        <w:right w:val="none" w:sz="0" w:space="0" w:color="auto"/>
      </w:divBdr>
    </w:div>
    <w:div w:id="79121798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042733">
      <w:bodyDiv w:val="1"/>
      <w:marLeft w:val="0"/>
      <w:marRight w:val="0"/>
      <w:marTop w:val="0"/>
      <w:marBottom w:val="0"/>
      <w:divBdr>
        <w:top w:val="none" w:sz="0" w:space="0" w:color="auto"/>
        <w:left w:val="none" w:sz="0" w:space="0" w:color="auto"/>
        <w:bottom w:val="none" w:sz="0" w:space="0" w:color="auto"/>
        <w:right w:val="none" w:sz="0" w:space="0" w:color="auto"/>
      </w:divBdr>
    </w:div>
    <w:div w:id="977953760">
      <w:bodyDiv w:val="1"/>
      <w:marLeft w:val="0"/>
      <w:marRight w:val="0"/>
      <w:marTop w:val="0"/>
      <w:marBottom w:val="0"/>
      <w:divBdr>
        <w:top w:val="none" w:sz="0" w:space="0" w:color="auto"/>
        <w:left w:val="none" w:sz="0" w:space="0" w:color="auto"/>
        <w:bottom w:val="none" w:sz="0" w:space="0" w:color="auto"/>
        <w:right w:val="none" w:sz="0" w:space="0" w:color="auto"/>
      </w:divBdr>
    </w:div>
    <w:div w:id="987440198">
      <w:bodyDiv w:val="1"/>
      <w:marLeft w:val="0"/>
      <w:marRight w:val="0"/>
      <w:marTop w:val="0"/>
      <w:marBottom w:val="0"/>
      <w:divBdr>
        <w:top w:val="none" w:sz="0" w:space="0" w:color="auto"/>
        <w:left w:val="none" w:sz="0" w:space="0" w:color="auto"/>
        <w:bottom w:val="none" w:sz="0" w:space="0" w:color="auto"/>
        <w:right w:val="none" w:sz="0" w:space="0" w:color="auto"/>
      </w:divBdr>
    </w:div>
    <w:div w:id="10735503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983778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8173275">
      <w:bodyDiv w:val="1"/>
      <w:marLeft w:val="0"/>
      <w:marRight w:val="0"/>
      <w:marTop w:val="0"/>
      <w:marBottom w:val="0"/>
      <w:divBdr>
        <w:top w:val="none" w:sz="0" w:space="0" w:color="auto"/>
        <w:left w:val="none" w:sz="0" w:space="0" w:color="auto"/>
        <w:bottom w:val="none" w:sz="0" w:space="0" w:color="auto"/>
        <w:right w:val="none" w:sz="0" w:space="0" w:color="auto"/>
      </w:divBdr>
    </w:div>
    <w:div w:id="1290821442">
      <w:bodyDiv w:val="1"/>
      <w:marLeft w:val="0"/>
      <w:marRight w:val="0"/>
      <w:marTop w:val="0"/>
      <w:marBottom w:val="0"/>
      <w:divBdr>
        <w:top w:val="none" w:sz="0" w:space="0" w:color="auto"/>
        <w:left w:val="none" w:sz="0" w:space="0" w:color="auto"/>
        <w:bottom w:val="none" w:sz="0" w:space="0" w:color="auto"/>
        <w:right w:val="none" w:sz="0" w:space="0" w:color="auto"/>
      </w:divBdr>
    </w:div>
    <w:div w:id="1302425694">
      <w:bodyDiv w:val="1"/>
      <w:marLeft w:val="0"/>
      <w:marRight w:val="0"/>
      <w:marTop w:val="0"/>
      <w:marBottom w:val="0"/>
      <w:divBdr>
        <w:top w:val="none" w:sz="0" w:space="0" w:color="auto"/>
        <w:left w:val="none" w:sz="0" w:space="0" w:color="auto"/>
        <w:bottom w:val="none" w:sz="0" w:space="0" w:color="auto"/>
        <w:right w:val="none" w:sz="0" w:space="0" w:color="auto"/>
      </w:divBdr>
    </w:div>
    <w:div w:id="1302534291">
      <w:bodyDiv w:val="1"/>
      <w:marLeft w:val="0"/>
      <w:marRight w:val="0"/>
      <w:marTop w:val="0"/>
      <w:marBottom w:val="0"/>
      <w:divBdr>
        <w:top w:val="none" w:sz="0" w:space="0" w:color="auto"/>
        <w:left w:val="none" w:sz="0" w:space="0" w:color="auto"/>
        <w:bottom w:val="none" w:sz="0" w:space="0" w:color="auto"/>
        <w:right w:val="none" w:sz="0" w:space="0" w:color="auto"/>
      </w:divBdr>
    </w:div>
    <w:div w:id="1501310413">
      <w:bodyDiv w:val="1"/>
      <w:marLeft w:val="0"/>
      <w:marRight w:val="0"/>
      <w:marTop w:val="0"/>
      <w:marBottom w:val="0"/>
      <w:divBdr>
        <w:top w:val="none" w:sz="0" w:space="0" w:color="auto"/>
        <w:left w:val="none" w:sz="0" w:space="0" w:color="auto"/>
        <w:bottom w:val="none" w:sz="0" w:space="0" w:color="auto"/>
        <w:right w:val="none" w:sz="0" w:space="0" w:color="auto"/>
      </w:divBdr>
    </w:div>
    <w:div w:id="1567640714">
      <w:bodyDiv w:val="1"/>
      <w:marLeft w:val="0"/>
      <w:marRight w:val="0"/>
      <w:marTop w:val="0"/>
      <w:marBottom w:val="0"/>
      <w:divBdr>
        <w:top w:val="none" w:sz="0" w:space="0" w:color="auto"/>
        <w:left w:val="none" w:sz="0" w:space="0" w:color="auto"/>
        <w:bottom w:val="none" w:sz="0" w:space="0" w:color="auto"/>
        <w:right w:val="none" w:sz="0" w:space="0" w:color="auto"/>
      </w:divBdr>
    </w:div>
    <w:div w:id="1728069018">
      <w:bodyDiv w:val="1"/>
      <w:marLeft w:val="0"/>
      <w:marRight w:val="0"/>
      <w:marTop w:val="0"/>
      <w:marBottom w:val="0"/>
      <w:divBdr>
        <w:top w:val="none" w:sz="0" w:space="0" w:color="auto"/>
        <w:left w:val="none" w:sz="0" w:space="0" w:color="auto"/>
        <w:bottom w:val="none" w:sz="0" w:space="0" w:color="auto"/>
        <w:right w:val="none" w:sz="0" w:space="0" w:color="auto"/>
      </w:divBdr>
    </w:div>
    <w:div w:id="1764497624">
      <w:bodyDiv w:val="1"/>
      <w:marLeft w:val="0"/>
      <w:marRight w:val="0"/>
      <w:marTop w:val="0"/>
      <w:marBottom w:val="0"/>
      <w:divBdr>
        <w:top w:val="none" w:sz="0" w:space="0" w:color="auto"/>
        <w:left w:val="none" w:sz="0" w:space="0" w:color="auto"/>
        <w:bottom w:val="none" w:sz="0" w:space="0" w:color="auto"/>
        <w:right w:val="none" w:sz="0" w:space="0" w:color="auto"/>
      </w:divBdr>
    </w:div>
    <w:div w:id="1828940552">
      <w:bodyDiv w:val="1"/>
      <w:marLeft w:val="0"/>
      <w:marRight w:val="0"/>
      <w:marTop w:val="0"/>
      <w:marBottom w:val="0"/>
      <w:divBdr>
        <w:top w:val="none" w:sz="0" w:space="0" w:color="auto"/>
        <w:left w:val="none" w:sz="0" w:space="0" w:color="auto"/>
        <w:bottom w:val="none" w:sz="0" w:space="0" w:color="auto"/>
        <w:right w:val="none" w:sz="0" w:space="0" w:color="auto"/>
      </w:divBdr>
    </w:div>
    <w:div w:id="1847742430">
      <w:bodyDiv w:val="1"/>
      <w:marLeft w:val="0"/>
      <w:marRight w:val="0"/>
      <w:marTop w:val="0"/>
      <w:marBottom w:val="0"/>
      <w:divBdr>
        <w:top w:val="none" w:sz="0" w:space="0" w:color="auto"/>
        <w:left w:val="none" w:sz="0" w:space="0" w:color="auto"/>
        <w:bottom w:val="none" w:sz="0" w:space="0" w:color="auto"/>
        <w:right w:val="none" w:sz="0" w:space="0" w:color="auto"/>
      </w:divBdr>
    </w:div>
    <w:div w:id="1861888688">
      <w:bodyDiv w:val="1"/>
      <w:marLeft w:val="0"/>
      <w:marRight w:val="0"/>
      <w:marTop w:val="0"/>
      <w:marBottom w:val="0"/>
      <w:divBdr>
        <w:top w:val="none" w:sz="0" w:space="0" w:color="auto"/>
        <w:left w:val="none" w:sz="0" w:space="0" w:color="auto"/>
        <w:bottom w:val="none" w:sz="0" w:space="0" w:color="auto"/>
        <w:right w:val="none" w:sz="0" w:space="0" w:color="auto"/>
      </w:divBdr>
    </w:div>
    <w:div w:id="1876502588">
      <w:bodyDiv w:val="1"/>
      <w:marLeft w:val="0"/>
      <w:marRight w:val="0"/>
      <w:marTop w:val="0"/>
      <w:marBottom w:val="0"/>
      <w:divBdr>
        <w:top w:val="none" w:sz="0" w:space="0" w:color="auto"/>
        <w:left w:val="none" w:sz="0" w:space="0" w:color="auto"/>
        <w:bottom w:val="none" w:sz="0" w:space="0" w:color="auto"/>
        <w:right w:val="none" w:sz="0" w:space="0" w:color="auto"/>
      </w:divBdr>
    </w:div>
    <w:div w:id="190540742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8873224">
      <w:bodyDiv w:val="1"/>
      <w:marLeft w:val="0"/>
      <w:marRight w:val="0"/>
      <w:marTop w:val="0"/>
      <w:marBottom w:val="0"/>
      <w:divBdr>
        <w:top w:val="none" w:sz="0" w:space="0" w:color="auto"/>
        <w:left w:val="none" w:sz="0" w:space="0" w:color="auto"/>
        <w:bottom w:val="none" w:sz="0" w:space="0" w:color="auto"/>
        <w:right w:val="none" w:sz="0" w:space="0" w:color="auto"/>
      </w:divBdr>
    </w:div>
    <w:div w:id="2134708677">
      <w:bodyDiv w:val="1"/>
      <w:marLeft w:val="0"/>
      <w:marRight w:val="0"/>
      <w:marTop w:val="0"/>
      <w:marBottom w:val="0"/>
      <w:divBdr>
        <w:top w:val="none" w:sz="0" w:space="0" w:color="auto"/>
        <w:left w:val="none" w:sz="0" w:space="0" w:color="auto"/>
        <w:bottom w:val="none" w:sz="0" w:space="0" w:color="auto"/>
        <w:right w:val="none" w:sz="0" w:space="0" w:color="auto"/>
      </w:divBdr>
      <w:divsChild>
        <w:div w:id="145563339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linicaltrials.gov/study/NCT03759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2360-611C-44C1-A3FE-6290E60BD4B8}">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6ED0E244-26D6-4C53-905D-37EE09C1400C}">
  <ds:schemaRefs>
    <ds:schemaRef ds:uri="http://schemas.microsoft.com/sharepoint/v3/contenttype/forms"/>
  </ds:schemaRefs>
</ds:datastoreItem>
</file>

<file path=customXml/itemProps3.xml><?xml version="1.0" encoding="utf-8"?>
<ds:datastoreItem xmlns:ds="http://schemas.openxmlformats.org/officeDocument/2006/customXml" ds:itemID="{504B54E1-DE4F-4C49-AF4C-0B54559D7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15462</Words>
  <Characters>88136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103392</CharactersWithSpaces>
  <SharedDoc>false</SharedDoc>
  <HLinks>
    <vt:vector size="390" baseType="variant">
      <vt:variant>
        <vt:i4>1572914</vt:i4>
      </vt:variant>
      <vt:variant>
        <vt:i4>386</vt:i4>
      </vt:variant>
      <vt:variant>
        <vt:i4>0</vt:i4>
      </vt:variant>
      <vt:variant>
        <vt:i4>5</vt:i4>
      </vt:variant>
      <vt:variant>
        <vt:lpwstr/>
      </vt:variant>
      <vt:variant>
        <vt:lpwstr>_Toc174978099</vt:lpwstr>
      </vt:variant>
      <vt:variant>
        <vt:i4>1572914</vt:i4>
      </vt:variant>
      <vt:variant>
        <vt:i4>380</vt:i4>
      </vt:variant>
      <vt:variant>
        <vt:i4>0</vt:i4>
      </vt:variant>
      <vt:variant>
        <vt:i4>5</vt:i4>
      </vt:variant>
      <vt:variant>
        <vt:lpwstr/>
      </vt:variant>
      <vt:variant>
        <vt:lpwstr>_Toc174978098</vt:lpwstr>
      </vt:variant>
      <vt:variant>
        <vt:i4>1572914</vt:i4>
      </vt:variant>
      <vt:variant>
        <vt:i4>374</vt:i4>
      </vt:variant>
      <vt:variant>
        <vt:i4>0</vt:i4>
      </vt:variant>
      <vt:variant>
        <vt:i4>5</vt:i4>
      </vt:variant>
      <vt:variant>
        <vt:lpwstr/>
      </vt:variant>
      <vt:variant>
        <vt:lpwstr>_Toc174978097</vt:lpwstr>
      </vt:variant>
      <vt:variant>
        <vt:i4>1572914</vt:i4>
      </vt:variant>
      <vt:variant>
        <vt:i4>368</vt:i4>
      </vt:variant>
      <vt:variant>
        <vt:i4>0</vt:i4>
      </vt:variant>
      <vt:variant>
        <vt:i4>5</vt:i4>
      </vt:variant>
      <vt:variant>
        <vt:lpwstr/>
      </vt:variant>
      <vt:variant>
        <vt:lpwstr>_Toc174978096</vt:lpwstr>
      </vt:variant>
      <vt:variant>
        <vt:i4>1572914</vt:i4>
      </vt:variant>
      <vt:variant>
        <vt:i4>362</vt:i4>
      </vt:variant>
      <vt:variant>
        <vt:i4>0</vt:i4>
      </vt:variant>
      <vt:variant>
        <vt:i4>5</vt:i4>
      </vt:variant>
      <vt:variant>
        <vt:lpwstr/>
      </vt:variant>
      <vt:variant>
        <vt:lpwstr>_Toc174978095</vt:lpwstr>
      </vt:variant>
      <vt:variant>
        <vt:i4>1572914</vt:i4>
      </vt:variant>
      <vt:variant>
        <vt:i4>356</vt:i4>
      </vt:variant>
      <vt:variant>
        <vt:i4>0</vt:i4>
      </vt:variant>
      <vt:variant>
        <vt:i4>5</vt:i4>
      </vt:variant>
      <vt:variant>
        <vt:lpwstr/>
      </vt:variant>
      <vt:variant>
        <vt:lpwstr>_Toc174978094</vt:lpwstr>
      </vt:variant>
      <vt:variant>
        <vt:i4>1572914</vt:i4>
      </vt:variant>
      <vt:variant>
        <vt:i4>350</vt:i4>
      </vt:variant>
      <vt:variant>
        <vt:i4>0</vt:i4>
      </vt:variant>
      <vt:variant>
        <vt:i4>5</vt:i4>
      </vt:variant>
      <vt:variant>
        <vt:lpwstr/>
      </vt:variant>
      <vt:variant>
        <vt:lpwstr>_Toc174978093</vt:lpwstr>
      </vt:variant>
      <vt:variant>
        <vt:i4>1572914</vt:i4>
      </vt:variant>
      <vt:variant>
        <vt:i4>344</vt:i4>
      </vt:variant>
      <vt:variant>
        <vt:i4>0</vt:i4>
      </vt:variant>
      <vt:variant>
        <vt:i4>5</vt:i4>
      </vt:variant>
      <vt:variant>
        <vt:lpwstr/>
      </vt:variant>
      <vt:variant>
        <vt:lpwstr>_Toc174978092</vt:lpwstr>
      </vt:variant>
      <vt:variant>
        <vt:i4>1572914</vt:i4>
      </vt:variant>
      <vt:variant>
        <vt:i4>338</vt:i4>
      </vt:variant>
      <vt:variant>
        <vt:i4>0</vt:i4>
      </vt:variant>
      <vt:variant>
        <vt:i4>5</vt:i4>
      </vt:variant>
      <vt:variant>
        <vt:lpwstr/>
      </vt:variant>
      <vt:variant>
        <vt:lpwstr>_Toc174978091</vt:lpwstr>
      </vt:variant>
      <vt:variant>
        <vt:i4>1572914</vt:i4>
      </vt:variant>
      <vt:variant>
        <vt:i4>332</vt:i4>
      </vt:variant>
      <vt:variant>
        <vt:i4>0</vt:i4>
      </vt:variant>
      <vt:variant>
        <vt:i4>5</vt:i4>
      </vt:variant>
      <vt:variant>
        <vt:lpwstr/>
      </vt:variant>
      <vt:variant>
        <vt:lpwstr>_Toc174978090</vt:lpwstr>
      </vt:variant>
      <vt:variant>
        <vt:i4>1638450</vt:i4>
      </vt:variant>
      <vt:variant>
        <vt:i4>326</vt:i4>
      </vt:variant>
      <vt:variant>
        <vt:i4>0</vt:i4>
      </vt:variant>
      <vt:variant>
        <vt:i4>5</vt:i4>
      </vt:variant>
      <vt:variant>
        <vt:lpwstr/>
      </vt:variant>
      <vt:variant>
        <vt:lpwstr>_Toc174978089</vt:lpwstr>
      </vt:variant>
      <vt:variant>
        <vt:i4>1638450</vt:i4>
      </vt:variant>
      <vt:variant>
        <vt:i4>320</vt:i4>
      </vt:variant>
      <vt:variant>
        <vt:i4>0</vt:i4>
      </vt:variant>
      <vt:variant>
        <vt:i4>5</vt:i4>
      </vt:variant>
      <vt:variant>
        <vt:lpwstr/>
      </vt:variant>
      <vt:variant>
        <vt:lpwstr>_Toc174978088</vt:lpwstr>
      </vt:variant>
      <vt:variant>
        <vt:i4>1638450</vt:i4>
      </vt:variant>
      <vt:variant>
        <vt:i4>314</vt:i4>
      </vt:variant>
      <vt:variant>
        <vt:i4>0</vt:i4>
      </vt:variant>
      <vt:variant>
        <vt:i4>5</vt:i4>
      </vt:variant>
      <vt:variant>
        <vt:lpwstr/>
      </vt:variant>
      <vt:variant>
        <vt:lpwstr>_Toc174978087</vt:lpwstr>
      </vt:variant>
      <vt:variant>
        <vt:i4>1638450</vt:i4>
      </vt:variant>
      <vt:variant>
        <vt:i4>308</vt:i4>
      </vt:variant>
      <vt:variant>
        <vt:i4>0</vt:i4>
      </vt:variant>
      <vt:variant>
        <vt:i4>5</vt:i4>
      </vt:variant>
      <vt:variant>
        <vt:lpwstr/>
      </vt:variant>
      <vt:variant>
        <vt:lpwstr>_Toc174978086</vt:lpwstr>
      </vt:variant>
      <vt:variant>
        <vt:i4>1638450</vt:i4>
      </vt:variant>
      <vt:variant>
        <vt:i4>302</vt:i4>
      </vt:variant>
      <vt:variant>
        <vt:i4>0</vt:i4>
      </vt:variant>
      <vt:variant>
        <vt:i4>5</vt:i4>
      </vt:variant>
      <vt:variant>
        <vt:lpwstr/>
      </vt:variant>
      <vt:variant>
        <vt:lpwstr>_Toc174978085</vt:lpwstr>
      </vt:variant>
      <vt:variant>
        <vt:i4>1638450</vt:i4>
      </vt:variant>
      <vt:variant>
        <vt:i4>296</vt:i4>
      </vt:variant>
      <vt:variant>
        <vt:i4>0</vt:i4>
      </vt:variant>
      <vt:variant>
        <vt:i4>5</vt:i4>
      </vt:variant>
      <vt:variant>
        <vt:lpwstr/>
      </vt:variant>
      <vt:variant>
        <vt:lpwstr>_Toc174978084</vt:lpwstr>
      </vt:variant>
      <vt:variant>
        <vt:i4>1638450</vt:i4>
      </vt:variant>
      <vt:variant>
        <vt:i4>290</vt:i4>
      </vt:variant>
      <vt:variant>
        <vt:i4>0</vt:i4>
      </vt:variant>
      <vt:variant>
        <vt:i4>5</vt:i4>
      </vt:variant>
      <vt:variant>
        <vt:lpwstr/>
      </vt:variant>
      <vt:variant>
        <vt:lpwstr>_Toc174978083</vt:lpwstr>
      </vt:variant>
      <vt:variant>
        <vt:i4>1638450</vt:i4>
      </vt:variant>
      <vt:variant>
        <vt:i4>284</vt:i4>
      </vt:variant>
      <vt:variant>
        <vt:i4>0</vt:i4>
      </vt:variant>
      <vt:variant>
        <vt:i4>5</vt:i4>
      </vt:variant>
      <vt:variant>
        <vt:lpwstr/>
      </vt:variant>
      <vt:variant>
        <vt:lpwstr>_Toc174978082</vt:lpwstr>
      </vt:variant>
      <vt:variant>
        <vt:i4>1638450</vt:i4>
      </vt:variant>
      <vt:variant>
        <vt:i4>278</vt:i4>
      </vt:variant>
      <vt:variant>
        <vt:i4>0</vt:i4>
      </vt:variant>
      <vt:variant>
        <vt:i4>5</vt:i4>
      </vt:variant>
      <vt:variant>
        <vt:lpwstr/>
      </vt:variant>
      <vt:variant>
        <vt:lpwstr>_Toc174978081</vt:lpwstr>
      </vt:variant>
      <vt:variant>
        <vt:i4>1638450</vt:i4>
      </vt:variant>
      <vt:variant>
        <vt:i4>272</vt:i4>
      </vt:variant>
      <vt:variant>
        <vt:i4>0</vt:i4>
      </vt:variant>
      <vt:variant>
        <vt:i4>5</vt:i4>
      </vt:variant>
      <vt:variant>
        <vt:lpwstr/>
      </vt:variant>
      <vt:variant>
        <vt:lpwstr>_Toc174978080</vt:lpwstr>
      </vt:variant>
      <vt:variant>
        <vt:i4>1441842</vt:i4>
      </vt:variant>
      <vt:variant>
        <vt:i4>266</vt:i4>
      </vt:variant>
      <vt:variant>
        <vt:i4>0</vt:i4>
      </vt:variant>
      <vt:variant>
        <vt:i4>5</vt:i4>
      </vt:variant>
      <vt:variant>
        <vt:lpwstr/>
      </vt:variant>
      <vt:variant>
        <vt:lpwstr>_Toc174978079</vt:lpwstr>
      </vt:variant>
      <vt:variant>
        <vt:i4>1441842</vt:i4>
      </vt:variant>
      <vt:variant>
        <vt:i4>260</vt:i4>
      </vt:variant>
      <vt:variant>
        <vt:i4>0</vt:i4>
      </vt:variant>
      <vt:variant>
        <vt:i4>5</vt:i4>
      </vt:variant>
      <vt:variant>
        <vt:lpwstr/>
      </vt:variant>
      <vt:variant>
        <vt:lpwstr>_Toc174978078</vt:lpwstr>
      </vt:variant>
      <vt:variant>
        <vt:i4>1441842</vt:i4>
      </vt:variant>
      <vt:variant>
        <vt:i4>254</vt:i4>
      </vt:variant>
      <vt:variant>
        <vt:i4>0</vt:i4>
      </vt:variant>
      <vt:variant>
        <vt:i4>5</vt:i4>
      </vt:variant>
      <vt:variant>
        <vt:lpwstr/>
      </vt:variant>
      <vt:variant>
        <vt:lpwstr>_Toc174978077</vt:lpwstr>
      </vt:variant>
      <vt:variant>
        <vt:i4>1441842</vt:i4>
      </vt:variant>
      <vt:variant>
        <vt:i4>248</vt:i4>
      </vt:variant>
      <vt:variant>
        <vt:i4>0</vt:i4>
      </vt:variant>
      <vt:variant>
        <vt:i4>5</vt:i4>
      </vt:variant>
      <vt:variant>
        <vt:lpwstr/>
      </vt:variant>
      <vt:variant>
        <vt:lpwstr>_Toc174978076</vt:lpwstr>
      </vt:variant>
      <vt:variant>
        <vt:i4>1441842</vt:i4>
      </vt:variant>
      <vt:variant>
        <vt:i4>242</vt:i4>
      </vt:variant>
      <vt:variant>
        <vt:i4>0</vt:i4>
      </vt:variant>
      <vt:variant>
        <vt:i4>5</vt:i4>
      </vt:variant>
      <vt:variant>
        <vt:lpwstr/>
      </vt:variant>
      <vt:variant>
        <vt:lpwstr>_Toc174978075</vt:lpwstr>
      </vt:variant>
      <vt:variant>
        <vt:i4>1441842</vt:i4>
      </vt:variant>
      <vt:variant>
        <vt:i4>236</vt:i4>
      </vt:variant>
      <vt:variant>
        <vt:i4>0</vt:i4>
      </vt:variant>
      <vt:variant>
        <vt:i4>5</vt:i4>
      </vt:variant>
      <vt:variant>
        <vt:lpwstr/>
      </vt:variant>
      <vt:variant>
        <vt:lpwstr>_Toc174978074</vt:lpwstr>
      </vt:variant>
      <vt:variant>
        <vt:i4>1441842</vt:i4>
      </vt:variant>
      <vt:variant>
        <vt:i4>230</vt:i4>
      </vt:variant>
      <vt:variant>
        <vt:i4>0</vt:i4>
      </vt:variant>
      <vt:variant>
        <vt:i4>5</vt:i4>
      </vt:variant>
      <vt:variant>
        <vt:lpwstr/>
      </vt:variant>
      <vt:variant>
        <vt:lpwstr>_Toc174978073</vt:lpwstr>
      </vt:variant>
      <vt:variant>
        <vt:i4>1441842</vt:i4>
      </vt:variant>
      <vt:variant>
        <vt:i4>224</vt:i4>
      </vt:variant>
      <vt:variant>
        <vt:i4>0</vt:i4>
      </vt:variant>
      <vt:variant>
        <vt:i4>5</vt:i4>
      </vt:variant>
      <vt:variant>
        <vt:lpwstr/>
      </vt:variant>
      <vt:variant>
        <vt:lpwstr>_Toc174978072</vt:lpwstr>
      </vt:variant>
      <vt:variant>
        <vt:i4>1441842</vt:i4>
      </vt:variant>
      <vt:variant>
        <vt:i4>218</vt:i4>
      </vt:variant>
      <vt:variant>
        <vt:i4>0</vt:i4>
      </vt:variant>
      <vt:variant>
        <vt:i4>5</vt:i4>
      </vt:variant>
      <vt:variant>
        <vt:lpwstr/>
      </vt:variant>
      <vt:variant>
        <vt:lpwstr>_Toc174978071</vt:lpwstr>
      </vt:variant>
      <vt:variant>
        <vt:i4>1441842</vt:i4>
      </vt:variant>
      <vt:variant>
        <vt:i4>212</vt:i4>
      </vt:variant>
      <vt:variant>
        <vt:i4>0</vt:i4>
      </vt:variant>
      <vt:variant>
        <vt:i4>5</vt:i4>
      </vt:variant>
      <vt:variant>
        <vt:lpwstr/>
      </vt:variant>
      <vt:variant>
        <vt:lpwstr>_Toc174978070</vt:lpwstr>
      </vt:variant>
      <vt:variant>
        <vt:i4>1507378</vt:i4>
      </vt:variant>
      <vt:variant>
        <vt:i4>206</vt:i4>
      </vt:variant>
      <vt:variant>
        <vt:i4>0</vt:i4>
      </vt:variant>
      <vt:variant>
        <vt:i4>5</vt:i4>
      </vt:variant>
      <vt:variant>
        <vt:lpwstr/>
      </vt:variant>
      <vt:variant>
        <vt:lpwstr>_Toc174978069</vt:lpwstr>
      </vt:variant>
      <vt:variant>
        <vt:i4>1507378</vt:i4>
      </vt:variant>
      <vt:variant>
        <vt:i4>200</vt:i4>
      </vt:variant>
      <vt:variant>
        <vt:i4>0</vt:i4>
      </vt:variant>
      <vt:variant>
        <vt:i4>5</vt:i4>
      </vt:variant>
      <vt:variant>
        <vt:lpwstr/>
      </vt:variant>
      <vt:variant>
        <vt:lpwstr>_Toc174978068</vt:lpwstr>
      </vt:variant>
      <vt:variant>
        <vt:i4>1507378</vt:i4>
      </vt:variant>
      <vt:variant>
        <vt:i4>194</vt:i4>
      </vt:variant>
      <vt:variant>
        <vt:i4>0</vt:i4>
      </vt:variant>
      <vt:variant>
        <vt:i4>5</vt:i4>
      </vt:variant>
      <vt:variant>
        <vt:lpwstr/>
      </vt:variant>
      <vt:variant>
        <vt:lpwstr>_Toc174978067</vt:lpwstr>
      </vt:variant>
      <vt:variant>
        <vt:i4>1507378</vt:i4>
      </vt:variant>
      <vt:variant>
        <vt:i4>188</vt:i4>
      </vt:variant>
      <vt:variant>
        <vt:i4>0</vt:i4>
      </vt:variant>
      <vt:variant>
        <vt:i4>5</vt:i4>
      </vt:variant>
      <vt:variant>
        <vt:lpwstr/>
      </vt:variant>
      <vt:variant>
        <vt:lpwstr>_Toc174978066</vt:lpwstr>
      </vt:variant>
      <vt:variant>
        <vt:i4>1507378</vt:i4>
      </vt:variant>
      <vt:variant>
        <vt:i4>182</vt:i4>
      </vt:variant>
      <vt:variant>
        <vt:i4>0</vt:i4>
      </vt:variant>
      <vt:variant>
        <vt:i4>5</vt:i4>
      </vt:variant>
      <vt:variant>
        <vt:lpwstr/>
      </vt:variant>
      <vt:variant>
        <vt:lpwstr>_Toc174978065</vt:lpwstr>
      </vt:variant>
      <vt:variant>
        <vt:i4>1507378</vt:i4>
      </vt:variant>
      <vt:variant>
        <vt:i4>176</vt:i4>
      </vt:variant>
      <vt:variant>
        <vt:i4>0</vt:i4>
      </vt:variant>
      <vt:variant>
        <vt:i4>5</vt:i4>
      </vt:variant>
      <vt:variant>
        <vt:lpwstr/>
      </vt:variant>
      <vt:variant>
        <vt:lpwstr>_Toc174978064</vt:lpwstr>
      </vt:variant>
      <vt:variant>
        <vt:i4>1507378</vt:i4>
      </vt:variant>
      <vt:variant>
        <vt:i4>170</vt:i4>
      </vt:variant>
      <vt:variant>
        <vt:i4>0</vt:i4>
      </vt:variant>
      <vt:variant>
        <vt:i4>5</vt:i4>
      </vt:variant>
      <vt:variant>
        <vt:lpwstr/>
      </vt:variant>
      <vt:variant>
        <vt:lpwstr>_Toc174978063</vt:lpwstr>
      </vt:variant>
      <vt:variant>
        <vt:i4>1507378</vt:i4>
      </vt:variant>
      <vt:variant>
        <vt:i4>164</vt:i4>
      </vt:variant>
      <vt:variant>
        <vt:i4>0</vt:i4>
      </vt:variant>
      <vt:variant>
        <vt:i4>5</vt:i4>
      </vt:variant>
      <vt:variant>
        <vt:lpwstr/>
      </vt:variant>
      <vt:variant>
        <vt:lpwstr>_Toc174978062</vt:lpwstr>
      </vt:variant>
      <vt:variant>
        <vt:i4>1507378</vt:i4>
      </vt:variant>
      <vt:variant>
        <vt:i4>158</vt:i4>
      </vt:variant>
      <vt:variant>
        <vt:i4>0</vt:i4>
      </vt:variant>
      <vt:variant>
        <vt:i4>5</vt:i4>
      </vt:variant>
      <vt:variant>
        <vt:lpwstr/>
      </vt:variant>
      <vt:variant>
        <vt:lpwstr>_Toc174978061</vt:lpwstr>
      </vt:variant>
      <vt:variant>
        <vt:i4>1507378</vt:i4>
      </vt:variant>
      <vt:variant>
        <vt:i4>152</vt:i4>
      </vt:variant>
      <vt:variant>
        <vt:i4>0</vt:i4>
      </vt:variant>
      <vt:variant>
        <vt:i4>5</vt:i4>
      </vt:variant>
      <vt:variant>
        <vt:lpwstr/>
      </vt:variant>
      <vt:variant>
        <vt:lpwstr>_Toc174978060</vt:lpwstr>
      </vt:variant>
      <vt:variant>
        <vt:i4>1310770</vt:i4>
      </vt:variant>
      <vt:variant>
        <vt:i4>146</vt:i4>
      </vt:variant>
      <vt:variant>
        <vt:i4>0</vt:i4>
      </vt:variant>
      <vt:variant>
        <vt:i4>5</vt:i4>
      </vt:variant>
      <vt:variant>
        <vt:lpwstr/>
      </vt:variant>
      <vt:variant>
        <vt:lpwstr>_Toc174978059</vt:lpwstr>
      </vt:variant>
      <vt:variant>
        <vt:i4>1310770</vt:i4>
      </vt:variant>
      <vt:variant>
        <vt:i4>140</vt:i4>
      </vt:variant>
      <vt:variant>
        <vt:i4>0</vt:i4>
      </vt:variant>
      <vt:variant>
        <vt:i4>5</vt:i4>
      </vt:variant>
      <vt:variant>
        <vt:lpwstr/>
      </vt:variant>
      <vt:variant>
        <vt:lpwstr>_Toc174978058</vt:lpwstr>
      </vt:variant>
      <vt:variant>
        <vt:i4>1310770</vt:i4>
      </vt:variant>
      <vt:variant>
        <vt:i4>134</vt:i4>
      </vt:variant>
      <vt:variant>
        <vt:i4>0</vt:i4>
      </vt:variant>
      <vt:variant>
        <vt:i4>5</vt:i4>
      </vt:variant>
      <vt:variant>
        <vt:lpwstr/>
      </vt:variant>
      <vt:variant>
        <vt:lpwstr>_Toc174978057</vt:lpwstr>
      </vt:variant>
      <vt:variant>
        <vt:i4>1310770</vt:i4>
      </vt:variant>
      <vt:variant>
        <vt:i4>128</vt:i4>
      </vt:variant>
      <vt:variant>
        <vt:i4>0</vt:i4>
      </vt:variant>
      <vt:variant>
        <vt:i4>5</vt:i4>
      </vt:variant>
      <vt:variant>
        <vt:lpwstr/>
      </vt:variant>
      <vt:variant>
        <vt:lpwstr>_Toc174978056</vt:lpwstr>
      </vt:variant>
      <vt:variant>
        <vt:i4>1310770</vt:i4>
      </vt:variant>
      <vt:variant>
        <vt:i4>122</vt:i4>
      </vt:variant>
      <vt:variant>
        <vt:i4>0</vt:i4>
      </vt:variant>
      <vt:variant>
        <vt:i4>5</vt:i4>
      </vt:variant>
      <vt:variant>
        <vt:lpwstr/>
      </vt:variant>
      <vt:variant>
        <vt:lpwstr>_Toc174978055</vt:lpwstr>
      </vt:variant>
      <vt:variant>
        <vt:i4>1310770</vt:i4>
      </vt:variant>
      <vt:variant>
        <vt:i4>116</vt:i4>
      </vt:variant>
      <vt:variant>
        <vt:i4>0</vt:i4>
      </vt:variant>
      <vt:variant>
        <vt:i4>5</vt:i4>
      </vt:variant>
      <vt:variant>
        <vt:lpwstr/>
      </vt:variant>
      <vt:variant>
        <vt:lpwstr>_Toc174978054</vt:lpwstr>
      </vt:variant>
      <vt:variant>
        <vt:i4>1310770</vt:i4>
      </vt:variant>
      <vt:variant>
        <vt:i4>110</vt:i4>
      </vt:variant>
      <vt:variant>
        <vt:i4>0</vt:i4>
      </vt:variant>
      <vt:variant>
        <vt:i4>5</vt:i4>
      </vt:variant>
      <vt:variant>
        <vt:lpwstr/>
      </vt:variant>
      <vt:variant>
        <vt:lpwstr>_Toc174978053</vt:lpwstr>
      </vt:variant>
      <vt:variant>
        <vt:i4>1310770</vt:i4>
      </vt:variant>
      <vt:variant>
        <vt:i4>104</vt:i4>
      </vt:variant>
      <vt:variant>
        <vt:i4>0</vt:i4>
      </vt:variant>
      <vt:variant>
        <vt:i4>5</vt:i4>
      </vt:variant>
      <vt:variant>
        <vt:lpwstr/>
      </vt:variant>
      <vt:variant>
        <vt:lpwstr>_Toc174978052</vt:lpwstr>
      </vt:variant>
      <vt:variant>
        <vt:i4>1310770</vt:i4>
      </vt:variant>
      <vt:variant>
        <vt:i4>98</vt:i4>
      </vt:variant>
      <vt:variant>
        <vt:i4>0</vt:i4>
      </vt:variant>
      <vt:variant>
        <vt:i4>5</vt:i4>
      </vt:variant>
      <vt:variant>
        <vt:lpwstr/>
      </vt:variant>
      <vt:variant>
        <vt:lpwstr>_Toc174978051</vt:lpwstr>
      </vt:variant>
      <vt:variant>
        <vt:i4>1310770</vt:i4>
      </vt:variant>
      <vt:variant>
        <vt:i4>92</vt:i4>
      </vt:variant>
      <vt:variant>
        <vt:i4>0</vt:i4>
      </vt:variant>
      <vt:variant>
        <vt:i4>5</vt:i4>
      </vt:variant>
      <vt:variant>
        <vt:lpwstr/>
      </vt:variant>
      <vt:variant>
        <vt:lpwstr>_Toc174978050</vt:lpwstr>
      </vt:variant>
      <vt:variant>
        <vt:i4>1376306</vt:i4>
      </vt:variant>
      <vt:variant>
        <vt:i4>86</vt:i4>
      </vt:variant>
      <vt:variant>
        <vt:i4>0</vt:i4>
      </vt:variant>
      <vt:variant>
        <vt:i4>5</vt:i4>
      </vt:variant>
      <vt:variant>
        <vt:lpwstr/>
      </vt:variant>
      <vt:variant>
        <vt:lpwstr>_Toc174978049</vt:lpwstr>
      </vt:variant>
      <vt:variant>
        <vt:i4>1376306</vt:i4>
      </vt:variant>
      <vt:variant>
        <vt:i4>80</vt:i4>
      </vt:variant>
      <vt:variant>
        <vt:i4>0</vt:i4>
      </vt:variant>
      <vt:variant>
        <vt:i4>5</vt:i4>
      </vt:variant>
      <vt:variant>
        <vt:lpwstr/>
      </vt:variant>
      <vt:variant>
        <vt:lpwstr>_Toc174978048</vt:lpwstr>
      </vt:variant>
      <vt:variant>
        <vt:i4>1376306</vt:i4>
      </vt:variant>
      <vt:variant>
        <vt:i4>74</vt:i4>
      </vt:variant>
      <vt:variant>
        <vt:i4>0</vt:i4>
      </vt:variant>
      <vt:variant>
        <vt:i4>5</vt:i4>
      </vt:variant>
      <vt:variant>
        <vt:lpwstr/>
      </vt:variant>
      <vt:variant>
        <vt:lpwstr>_Toc174978047</vt:lpwstr>
      </vt:variant>
      <vt:variant>
        <vt:i4>1376306</vt:i4>
      </vt:variant>
      <vt:variant>
        <vt:i4>68</vt:i4>
      </vt:variant>
      <vt:variant>
        <vt:i4>0</vt:i4>
      </vt:variant>
      <vt:variant>
        <vt:i4>5</vt:i4>
      </vt:variant>
      <vt:variant>
        <vt:lpwstr/>
      </vt:variant>
      <vt:variant>
        <vt:lpwstr>_Toc174978046</vt:lpwstr>
      </vt:variant>
      <vt:variant>
        <vt:i4>1376306</vt:i4>
      </vt:variant>
      <vt:variant>
        <vt:i4>62</vt:i4>
      </vt:variant>
      <vt:variant>
        <vt:i4>0</vt:i4>
      </vt:variant>
      <vt:variant>
        <vt:i4>5</vt:i4>
      </vt:variant>
      <vt:variant>
        <vt:lpwstr/>
      </vt:variant>
      <vt:variant>
        <vt:lpwstr>_Toc174978045</vt:lpwstr>
      </vt:variant>
      <vt:variant>
        <vt:i4>1376306</vt:i4>
      </vt:variant>
      <vt:variant>
        <vt:i4>56</vt:i4>
      </vt:variant>
      <vt:variant>
        <vt:i4>0</vt:i4>
      </vt:variant>
      <vt:variant>
        <vt:i4>5</vt:i4>
      </vt:variant>
      <vt:variant>
        <vt:lpwstr/>
      </vt:variant>
      <vt:variant>
        <vt:lpwstr>_Toc174978044</vt:lpwstr>
      </vt:variant>
      <vt:variant>
        <vt:i4>1376306</vt:i4>
      </vt:variant>
      <vt:variant>
        <vt:i4>50</vt:i4>
      </vt:variant>
      <vt:variant>
        <vt:i4>0</vt:i4>
      </vt:variant>
      <vt:variant>
        <vt:i4>5</vt:i4>
      </vt:variant>
      <vt:variant>
        <vt:lpwstr/>
      </vt:variant>
      <vt:variant>
        <vt:lpwstr>_Toc174978043</vt:lpwstr>
      </vt:variant>
      <vt:variant>
        <vt:i4>1376306</vt:i4>
      </vt:variant>
      <vt:variant>
        <vt:i4>44</vt:i4>
      </vt:variant>
      <vt:variant>
        <vt:i4>0</vt:i4>
      </vt:variant>
      <vt:variant>
        <vt:i4>5</vt:i4>
      </vt:variant>
      <vt:variant>
        <vt:lpwstr/>
      </vt:variant>
      <vt:variant>
        <vt:lpwstr>_Toc174978042</vt:lpwstr>
      </vt:variant>
      <vt:variant>
        <vt:i4>1376306</vt:i4>
      </vt:variant>
      <vt:variant>
        <vt:i4>38</vt:i4>
      </vt:variant>
      <vt:variant>
        <vt:i4>0</vt:i4>
      </vt:variant>
      <vt:variant>
        <vt:i4>5</vt:i4>
      </vt:variant>
      <vt:variant>
        <vt:lpwstr/>
      </vt:variant>
      <vt:variant>
        <vt:lpwstr>_Toc174978041</vt:lpwstr>
      </vt:variant>
      <vt:variant>
        <vt:i4>1376306</vt:i4>
      </vt:variant>
      <vt:variant>
        <vt:i4>32</vt:i4>
      </vt:variant>
      <vt:variant>
        <vt:i4>0</vt:i4>
      </vt:variant>
      <vt:variant>
        <vt:i4>5</vt:i4>
      </vt:variant>
      <vt:variant>
        <vt:lpwstr/>
      </vt:variant>
      <vt:variant>
        <vt:lpwstr>_Toc174978040</vt:lpwstr>
      </vt:variant>
      <vt:variant>
        <vt:i4>1179698</vt:i4>
      </vt:variant>
      <vt:variant>
        <vt:i4>26</vt:i4>
      </vt:variant>
      <vt:variant>
        <vt:i4>0</vt:i4>
      </vt:variant>
      <vt:variant>
        <vt:i4>5</vt:i4>
      </vt:variant>
      <vt:variant>
        <vt:lpwstr/>
      </vt:variant>
      <vt:variant>
        <vt:lpwstr>_Toc174978039</vt:lpwstr>
      </vt:variant>
      <vt:variant>
        <vt:i4>1179698</vt:i4>
      </vt:variant>
      <vt:variant>
        <vt:i4>20</vt:i4>
      </vt:variant>
      <vt:variant>
        <vt:i4>0</vt:i4>
      </vt:variant>
      <vt:variant>
        <vt:i4>5</vt:i4>
      </vt:variant>
      <vt:variant>
        <vt:lpwstr/>
      </vt:variant>
      <vt:variant>
        <vt:lpwstr>_Toc174978038</vt:lpwstr>
      </vt:variant>
      <vt:variant>
        <vt:i4>1179698</vt:i4>
      </vt:variant>
      <vt:variant>
        <vt:i4>14</vt:i4>
      </vt:variant>
      <vt:variant>
        <vt:i4>0</vt:i4>
      </vt:variant>
      <vt:variant>
        <vt:i4>5</vt:i4>
      </vt:variant>
      <vt:variant>
        <vt:lpwstr/>
      </vt:variant>
      <vt:variant>
        <vt:lpwstr>_Toc174978037</vt:lpwstr>
      </vt:variant>
      <vt:variant>
        <vt:i4>1179698</vt:i4>
      </vt:variant>
      <vt:variant>
        <vt:i4>8</vt:i4>
      </vt:variant>
      <vt:variant>
        <vt:i4>0</vt:i4>
      </vt:variant>
      <vt:variant>
        <vt:i4>5</vt:i4>
      </vt:variant>
      <vt:variant>
        <vt:lpwstr/>
      </vt:variant>
      <vt:variant>
        <vt:lpwstr>_Toc174978036</vt:lpwstr>
      </vt:variant>
      <vt:variant>
        <vt:i4>1179698</vt:i4>
      </vt:variant>
      <vt:variant>
        <vt:i4>2</vt:i4>
      </vt:variant>
      <vt:variant>
        <vt:i4>0</vt:i4>
      </vt:variant>
      <vt:variant>
        <vt:i4>5</vt:i4>
      </vt:variant>
      <vt:variant>
        <vt:lpwstr/>
      </vt:variant>
      <vt:variant>
        <vt:lpwstr>_Toc174978035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2025-03-04T01:53:00Z</dcterms:created>
  <dcterms:modified xsi:type="dcterms:W3CDTF">2025-03-07T03:02:00Z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