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18FB14C2" w:rsidR="00872E8F" w:rsidRPr="00A6439B" w:rsidRDefault="007754C6" w:rsidP="007754C6">
      <w:pPr>
        <w:pStyle w:val="1MainTitle"/>
        <w:jc w:val="left"/>
      </w:pPr>
      <w:r>
        <w:t>6</w:t>
      </w:r>
      <w:r w:rsidR="70971A32" w:rsidRPr="00A6439B">
        <w:t>.</w:t>
      </w:r>
      <w:r>
        <w:t>16</w:t>
      </w:r>
      <w:r w:rsidR="00872E8F" w:rsidRPr="00A6439B">
        <w:tab/>
      </w:r>
      <w:r w:rsidRPr="007754C6">
        <w:t>TRIGLYCERIDES, LONG CHAIN WITH GLUCOSE POLYMER</w:t>
      </w:r>
      <w:r w:rsidR="70971A32" w:rsidRPr="00A6439B">
        <w:t>,</w:t>
      </w:r>
      <w:r w:rsidR="00872E8F" w:rsidRPr="00A6439B">
        <w:br/>
      </w:r>
      <w:r w:rsidRPr="007754C6">
        <w:t xml:space="preserve">Oral liquid </w:t>
      </w:r>
      <w:r w:rsidR="00AD320D">
        <w:t>1 L</w:t>
      </w:r>
      <w:r w:rsidR="00D57926">
        <w:t>,</w:t>
      </w:r>
      <w:r w:rsidRPr="007754C6">
        <w:t xml:space="preserve"> 6</w:t>
      </w:r>
      <w:r w:rsidR="00280D62">
        <w:t xml:space="preserve"> (</w:t>
      </w:r>
      <w:r w:rsidR="00280D62" w:rsidRPr="007754C6">
        <w:t>ProZero</w:t>
      </w:r>
      <w:r w:rsidR="00280D62">
        <w:t>)</w:t>
      </w:r>
      <w:r>
        <w:t>,</w:t>
      </w:r>
      <w:r w:rsidR="00872E8F" w:rsidRPr="00A6439B">
        <w:br/>
      </w:r>
      <w:r w:rsidRPr="007754C6">
        <w:t>ProZero</w:t>
      </w:r>
      <w:r w:rsidR="70971A32" w:rsidRPr="00A6439B">
        <w:t>®</w:t>
      </w:r>
      <w:r>
        <w:t>,</w:t>
      </w:r>
      <w:r w:rsidR="00872E8F" w:rsidRPr="00A6439B">
        <w:br/>
      </w:r>
      <w:r w:rsidR="00280D62" w:rsidRPr="007754C6">
        <w:t>VITAFLO AUSTRALIA PTY LIMITED</w:t>
      </w:r>
    </w:p>
    <w:p w14:paraId="5F4D54C1" w14:textId="2F36D449"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069D20A6" w14:textId="73580F32" w:rsidR="00692516" w:rsidRDefault="006C6C10" w:rsidP="00474B4E">
      <w:pPr>
        <w:pStyle w:val="3-BodyText"/>
      </w:pPr>
      <w:bookmarkStart w:id="0" w:name="_Hlk175739695"/>
      <w:r w:rsidRPr="00A6439B">
        <w:t>The Category</w:t>
      </w:r>
      <w:r w:rsidR="00BC5EA8">
        <w:t xml:space="preserve"> 3</w:t>
      </w:r>
      <w:r w:rsidRPr="00A6439B">
        <w:t xml:space="preserve"> submission </w:t>
      </w:r>
      <w:r w:rsidR="00BC5EA8">
        <w:t>r</w:t>
      </w:r>
      <w:r w:rsidR="00244BEC" w:rsidRPr="00A6439B">
        <w:t>equested</w:t>
      </w:r>
      <w:r w:rsidRPr="00A6439B">
        <w:t xml:space="preserve"> </w:t>
      </w:r>
      <w:r w:rsidR="00BC5EA8">
        <w:t xml:space="preserve">an </w:t>
      </w:r>
      <w:bookmarkStart w:id="1" w:name="_Hlk173758296"/>
      <w:r w:rsidR="00076951" w:rsidRPr="00076951">
        <w:t xml:space="preserve">amendment to the restriction level </w:t>
      </w:r>
      <w:r w:rsidR="00B44F22" w:rsidRPr="00B44F22">
        <w:t xml:space="preserve">of </w:t>
      </w:r>
      <w:bookmarkEnd w:id="1"/>
      <w:r w:rsidR="00B44F22" w:rsidRPr="00B44F22">
        <w:t>PBS</w:t>
      </w:r>
      <w:r w:rsidR="00B44F22">
        <w:noBreakHyphen/>
      </w:r>
      <w:r w:rsidR="00B44F22" w:rsidRPr="00B44F22">
        <w:t xml:space="preserve">listed </w:t>
      </w:r>
      <w:r w:rsidR="007E5D76">
        <w:t>t</w:t>
      </w:r>
      <w:r w:rsidR="007E5D76" w:rsidRPr="0080722D">
        <w:t xml:space="preserve">riglycerides, </w:t>
      </w:r>
      <w:r w:rsidR="007E5D76">
        <w:t>l</w:t>
      </w:r>
      <w:r w:rsidR="007E5D76" w:rsidRPr="0080722D">
        <w:t xml:space="preserve">ong </w:t>
      </w:r>
      <w:r w:rsidR="007E5D76">
        <w:t>c</w:t>
      </w:r>
      <w:r w:rsidR="007E5D76" w:rsidRPr="0080722D">
        <w:t xml:space="preserve">hain with </w:t>
      </w:r>
      <w:r w:rsidR="007E5D76">
        <w:t>g</w:t>
      </w:r>
      <w:r w:rsidR="007E5D76" w:rsidRPr="0080722D">
        <w:t xml:space="preserve">lucose </w:t>
      </w:r>
      <w:r w:rsidR="007E5D76">
        <w:t>p</w:t>
      </w:r>
      <w:r w:rsidR="007E5D76" w:rsidRPr="0080722D">
        <w:t>olymer</w:t>
      </w:r>
      <w:r w:rsidR="007E5D76">
        <w:t xml:space="preserve"> </w:t>
      </w:r>
      <w:r w:rsidR="001739FD" w:rsidRPr="001739FD">
        <w:t>6 x 1 L cartons</w:t>
      </w:r>
      <w:r w:rsidR="0080722D">
        <w:t xml:space="preserve"> </w:t>
      </w:r>
      <w:r w:rsidR="001B3C5D">
        <w:t>(</w:t>
      </w:r>
      <w:r w:rsidR="0080722D">
        <w:t xml:space="preserve">ProZero®) </w:t>
      </w:r>
      <w:r w:rsidR="0080722D" w:rsidRPr="0080722D">
        <w:t>(hereafter referred to as</w:t>
      </w:r>
      <w:r w:rsidR="0080722D">
        <w:t xml:space="preserve"> ProZero</w:t>
      </w:r>
      <w:r w:rsidR="00692516">
        <w:t xml:space="preserve"> </w:t>
      </w:r>
      <w:r w:rsidR="00AD320D">
        <w:t>1 L</w:t>
      </w:r>
      <w:r w:rsidR="0080722D">
        <w:t>)</w:t>
      </w:r>
      <w:r w:rsidR="00B44F22" w:rsidRPr="00B44F22">
        <w:t xml:space="preserve"> for </w:t>
      </w:r>
      <w:r w:rsidR="0080722D" w:rsidRPr="00076951">
        <w:t>the treatment of proven inborn errors of protein metabolism</w:t>
      </w:r>
      <w:r w:rsidR="00B44F22" w:rsidRPr="00B44F22">
        <w:t xml:space="preserve"> from </w:t>
      </w:r>
      <w:r w:rsidR="0080722D" w:rsidRPr="00076951">
        <w:t xml:space="preserve">Restricted Benefit </w:t>
      </w:r>
      <w:r w:rsidR="00B44F22" w:rsidRPr="00B44F22">
        <w:t xml:space="preserve">to </w:t>
      </w:r>
      <w:r w:rsidR="0080722D" w:rsidRPr="00076951">
        <w:t>Authority Required (STREAMLINED)</w:t>
      </w:r>
      <w:r w:rsidR="0080722D">
        <w:t>.</w:t>
      </w:r>
      <w:r w:rsidR="00D335CB">
        <w:t xml:space="preserve"> </w:t>
      </w:r>
    </w:p>
    <w:p w14:paraId="7B917D03" w14:textId="144BDE43" w:rsidR="00474B4E" w:rsidRDefault="00D335CB" w:rsidP="00B20865">
      <w:pPr>
        <w:pStyle w:val="3-BodyText"/>
      </w:pPr>
      <w:r w:rsidRPr="00D335CB">
        <w:t>The</w:t>
      </w:r>
      <w:r w:rsidR="00B20865" w:rsidRPr="00B20865">
        <w:t xml:space="preserve"> submission also requested an amendment to the existing clinical criteria of ProZero </w:t>
      </w:r>
      <w:r w:rsidR="00AD320D">
        <w:t>1 L</w:t>
      </w:r>
      <w:r w:rsidR="00B20865" w:rsidRPr="00B20865">
        <w:t xml:space="preserve"> and the inclusion of new population criteria</w:t>
      </w:r>
      <w:r w:rsidR="00AF0E39">
        <w:t xml:space="preserve"> </w:t>
      </w:r>
      <w:r w:rsidR="00AF0E39">
        <w:rPr>
          <w:rFonts w:ascii="Calibri" w:hAnsi="Calibri" w:cs="Calibri"/>
        </w:rPr>
        <w:t>(children aged 1 year or older, pre-conception/pregnant women, elderly ≥65 years)</w:t>
      </w:r>
      <w:r w:rsidR="008A2F4E">
        <w:rPr>
          <w:rFonts w:ascii="Calibri" w:hAnsi="Calibri" w:cs="Calibri"/>
        </w:rPr>
        <w:t>.</w:t>
      </w:r>
    </w:p>
    <w:bookmarkEnd w:id="0"/>
    <w:p w14:paraId="3D1D4320" w14:textId="77777777" w:rsidR="007E490F" w:rsidRPr="00A6439B" w:rsidRDefault="007E490F" w:rsidP="001F2311">
      <w:pPr>
        <w:pStyle w:val="2-SectionHeading"/>
        <w:numPr>
          <w:ilvl w:val="0"/>
          <w:numId w:val="2"/>
        </w:numPr>
      </w:pPr>
      <w:r w:rsidRPr="00A6439B">
        <w:t xml:space="preserve">Background </w:t>
      </w:r>
    </w:p>
    <w:p w14:paraId="31351ADC" w14:textId="3AF2CBE3" w:rsidR="007E5D76" w:rsidRPr="000E5880" w:rsidRDefault="00904552" w:rsidP="007E5D76">
      <w:pPr>
        <w:pStyle w:val="ListParagraph"/>
        <w:numPr>
          <w:ilvl w:val="1"/>
          <w:numId w:val="2"/>
        </w:numPr>
        <w:spacing w:before="0"/>
        <w:rPr>
          <w:rFonts w:eastAsiaTheme="minorHAnsi" w:cstheme="minorBidi"/>
          <w:szCs w:val="22"/>
          <w:lang w:eastAsia="en-US"/>
        </w:rPr>
      </w:pPr>
      <w:r>
        <w:t>ProZero</w:t>
      </w:r>
      <w:r w:rsidR="001B3C5D">
        <w:t xml:space="preserve"> </w:t>
      </w:r>
      <w:r w:rsidR="00AD320D">
        <w:t>1 L</w:t>
      </w:r>
      <w:r w:rsidR="007E5D76">
        <w:t xml:space="preserve"> is currently </w:t>
      </w:r>
      <w:r w:rsidR="0021724C" w:rsidRPr="00B63251">
        <w:rPr>
          <w:color w:val="000000" w:themeColor="text1"/>
        </w:rPr>
        <w:t>listed on the PBS</w:t>
      </w:r>
      <w:r w:rsidR="0021724C">
        <w:t xml:space="preserve"> </w:t>
      </w:r>
      <w:r w:rsidR="007E5D76">
        <w:t xml:space="preserve">as </w:t>
      </w:r>
      <w:r w:rsidR="007E5D76" w:rsidRPr="00562295">
        <w:rPr>
          <w:lang w:eastAsia="en-US"/>
        </w:rPr>
        <w:t xml:space="preserve">a General Schedule </w:t>
      </w:r>
      <w:r w:rsidR="007E5D76">
        <w:rPr>
          <w:lang w:eastAsia="en-US"/>
        </w:rPr>
        <w:t xml:space="preserve">Restricted Benefit </w:t>
      </w:r>
      <w:r w:rsidR="007E5D76" w:rsidRPr="00562295">
        <w:rPr>
          <w:lang w:eastAsia="en-US"/>
        </w:rPr>
        <w:t xml:space="preserve">listing </w:t>
      </w:r>
      <w:r w:rsidR="007E5D76">
        <w:rPr>
          <w:rFonts w:eastAsiaTheme="minorHAnsi" w:cstheme="minorBidi"/>
          <w:szCs w:val="22"/>
          <w:lang w:eastAsia="en-US"/>
        </w:rPr>
        <w:t xml:space="preserve">for proven inborn errors of metabolism </w:t>
      </w:r>
      <w:r w:rsidR="008E4410">
        <w:rPr>
          <w:rFonts w:eastAsiaTheme="minorHAnsi" w:cstheme="minorBidi"/>
          <w:szCs w:val="22"/>
          <w:lang w:eastAsia="en-US"/>
        </w:rPr>
        <w:t>(</w:t>
      </w:r>
      <w:proofErr w:type="spellStart"/>
      <w:r w:rsidR="008E4410">
        <w:rPr>
          <w:rFonts w:eastAsiaTheme="minorHAnsi" w:cstheme="minorBidi"/>
          <w:szCs w:val="22"/>
          <w:lang w:eastAsia="en-US"/>
        </w:rPr>
        <w:t>IEpM</w:t>
      </w:r>
      <w:proofErr w:type="spellEnd"/>
      <w:r w:rsidR="008E4410">
        <w:rPr>
          <w:rFonts w:eastAsiaTheme="minorHAnsi" w:cstheme="minorBidi"/>
          <w:szCs w:val="22"/>
          <w:lang w:eastAsia="en-US"/>
        </w:rPr>
        <w:t xml:space="preserve">) </w:t>
      </w:r>
      <w:r w:rsidR="007E5D76">
        <w:rPr>
          <w:rFonts w:eastAsiaTheme="minorHAnsi" w:cstheme="minorBidi"/>
          <w:szCs w:val="22"/>
          <w:lang w:eastAsia="en-US"/>
        </w:rPr>
        <w:t>for patients who are unable to meet their energy requirements with permitted food and formulae.</w:t>
      </w:r>
    </w:p>
    <w:p w14:paraId="33C2C319" w14:textId="66DF215F" w:rsidR="007E490F" w:rsidRPr="00A6439B" w:rsidRDefault="007E490F" w:rsidP="00691A2C">
      <w:pPr>
        <w:pStyle w:val="4-SubsectionHeading"/>
      </w:pPr>
      <w:r w:rsidRPr="00691A2C">
        <w:t>Registration</w:t>
      </w:r>
      <w:r w:rsidRPr="00A6439B">
        <w:t xml:space="preserve"> status</w:t>
      </w:r>
    </w:p>
    <w:p w14:paraId="65414E34" w14:textId="0943C168" w:rsidR="00D62960" w:rsidRPr="005B2418" w:rsidRDefault="005B2418" w:rsidP="00380995">
      <w:pPr>
        <w:pStyle w:val="3-BodyText"/>
      </w:pPr>
      <w:r w:rsidRPr="005B2418">
        <w:t xml:space="preserve">The submission confirmed that </w:t>
      </w:r>
      <w:r w:rsidR="00D62960" w:rsidRPr="005B2418">
        <w:t xml:space="preserve">ProZero meets the requirements for foods </w:t>
      </w:r>
      <w:r w:rsidRPr="005B2418">
        <w:t>for</w:t>
      </w:r>
      <w:r w:rsidR="00D62960" w:rsidRPr="005B2418">
        <w:t xml:space="preserve"> medical purposes as set out under The Australia New Zealand Food Standards Code — Standard 2.9.5: Food for Special Medical Purposes</w:t>
      </w:r>
      <w:r>
        <w:t>.</w:t>
      </w:r>
    </w:p>
    <w:p w14:paraId="056E0FC8" w14:textId="07B79536" w:rsidR="00FA6ED7" w:rsidRPr="00A6439B" w:rsidRDefault="00FA6ED7" w:rsidP="00380995">
      <w:pPr>
        <w:pStyle w:val="3-BodyText"/>
        <w:rPr>
          <w:color w:val="FF0000"/>
        </w:rPr>
      </w:pPr>
      <w:r w:rsidRPr="00EC2072">
        <w:t xml:space="preserve">As </w:t>
      </w:r>
      <w:r w:rsidR="00EC2072" w:rsidRPr="00EC2072">
        <w:t>ProZero</w:t>
      </w:r>
      <w:r w:rsidRPr="00EC2072">
        <w:t xml:space="preserve"> </w:t>
      </w:r>
      <w:r w:rsidR="00AD320D">
        <w:t>1 L</w:t>
      </w:r>
      <w:r w:rsidR="00692516" w:rsidRPr="00A6439B">
        <w:t xml:space="preserve"> </w:t>
      </w:r>
      <w:r w:rsidRPr="00A6439B">
        <w:t>is marketed as a nutritional product and not a therapeutic good, it is not registered in the Australian Register of Therapeutic Goods</w:t>
      </w:r>
      <w:r w:rsidR="00654725">
        <w: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40E37914" w14:textId="3B8FDBD3" w:rsidR="00AA6FD5" w:rsidRDefault="00AA6FD5" w:rsidP="000067F6">
      <w:pPr>
        <w:pStyle w:val="3-BodyText"/>
      </w:pPr>
      <w:r>
        <w:t xml:space="preserve">At its November 2009 meeting, the PBAC recommended ProZero </w:t>
      </w:r>
      <w:r w:rsidR="00AD320D">
        <w:t>1 L</w:t>
      </w:r>
      <w:r>
        <w:t xml:space="preserve"> </w:t>
      </w:r>
      <w:r w:rsidRPr="00AA6FD5">
        <w:t xml:space="preserve">for patients with proven inborn errors of protein metabolism at the same price per gram of protein (ex-manufacturer) as </w:t>
      </w:r>
      <w:proofErr w:type="spellStart"/>
      <w:r w:rsidRPr="00AA6FD5">
        <w:t>Duocal</w:t>
      </w:r>
      <w:proofErr w:type="spellEnd"/>
      <w:r w:rsidRPr="00AA6FD5">
        <w:t>®</w:t>
      </w:r>
      <w:r>
        <w:t xml:space="preserve"> </w:t>
      </w:r>
      <w:r w:rsidR="001C458B" w:rsidRPr="001905ED">
        <w:rPr>
          <w:lang w:val="en-US"/>
        </w:rPr>
        <w:t xml:space="preserve">(November 2009 PBAC </w:t>
      </w:r>
      <w:r w:rsidR="00BA5610">
        <w:rPr>
          <w:lang w:val="en-US"/>
        </w:rPr>
        <w:t>Outcomes</w:t>
      </w:r>
      <w:r w:rsidR="00072DE0">
        <w:rPr>
          <w:lang w:val="en-US"/>
        </w:rPr>
        <w:t xml:space="preserve"> – Positive Recommendations</w:t>
      </w:r>
      <w:r w:rsidR="001C458B" w:rsidRPr="001905ED">
        <w:rPr>
          <w:lang w:val="en-US"/>
        </w:rPr>
        <w:t>)</w:t>
      </w:r>
      <w:r w:rsidR="005F0AC7">
        <w:rPr>
          <w:lang w:val="en-US"/>
        </w:rPr>
        <w:t xml:space="preserve">. ProZero </w:t>
      </w:r>
      <w:r w:rsidR="00AD320D">
        <w:rPr>
          <w:lang w:val="en-US"/>
        </w:rPr>
        <w:t>1 L</w:t>
      </w:r>
      <w:r w:rsidR="005F0AC7">
        <w:rPr>
          <w:lang w:val="en-US"/>
        </w:rPr>
        <w:t xml:space="preserve"> </w:t>
      </w:r>
      <w:r>
        <w:t>was listed on the PBS on 1 March 2010.</w:t>
      </w:r>
    </w:p>
    <w:p w14:paraId="635CD0E6" w14:textId="61FDA2C9" w:rsidR="00EC2072" w:rsidRDefault="00EC2072" w:rsidP="00416212">
      <w:pPr>
        <w:pStyle w:val="3-BodyText"/>
      </w:pPr>
      <w:r>
        <w:t xml:space="preserve">At its March 2018 meeting, the PBAC noted the </w:t>
      </w:r>
      <w:r w:rsidRPr="00EC2072">
        <w:t xml:space="preserve">change to the formulation of ProZero </w:t>
      </w:r>
      <w:r w:rsidR="000067F6" w:rsidRPr="00EC2072">
        <w:t>products (not affecting the nutritional properties)</w:t>
      </w:r>
      <w:r w:rsidR="000067F6">
        <w:t xml:space="preserve"> </w:t>
      </w:r>
      <w:r w:rsidRPr="00EC2072">
        <w:t>for proven inborn errors of metabolism</w:t>
      </w:r>
      <w:r w:rsidR="000067F6">
        <w:t xml:space="preserve"> and </w:t>
      </w:r>
      <w:r w:rsidR="00A57BFB">
        <w:t xml:space="preserve">that </w:t>
      </w:r>
      <w:r w:rsidRPr="00EC2072">
        <w:t xml:space="preserve">the </w:t>
      </w:r>
      <w:r w:rsidR="00A57BFB" w:rsidRPr="00EC2072">
        <w:t>change</w:t>
      </w:r>
      <w:r w:rsidR="00A57BFB">
        <w:t xml:space="preserve"> would</w:t>
      </w:r>
      <w:r w:rsidR="00A57BFB" w:rsidRPr="00EC2072">
        <w:t xml:space="preserve"> </w:t>
      </w:r>
      <w:r w:rsidRPr="00EC2072">
        <w:t>not alter</w:t>
      </w:r>
      <w:r w:rsidR="00A57BFB">
        <w:t xml:space="preserve"> </w:t>
      </w:r>
      <w:r w:rsidRPr="00EC2072">
        <w:t>th</w:t>
      </w:r>
      <w:r w:rsidR="000067F6">
        <w:t>e</w:t>
      </w:r>
      <w:r w:rsidRPr="00EC2072">
        <w:t xml:space="preserve"> </w:t>
      </w:r>
      <w:r w:rsidR="00A57BFB" w:rsidRPr="00EC2072">
        <w:t>listing of ProZero</w:t>
      </w:r>
      <w:r w:rsidR="00A57BFB">
        <w:t xml:space="preserve"> on the PBS</w:t>
      </w:r>
      <w:r w:rsidR="00416212">
        <w:t xml:space="preserve"> (Paragraph 6.1, </w:t>
      </w:r>
      <w:r w:rsidR="00416212" w:rsidRPr="00416212">
        <w:t xml:space="preserve">Triglycerides long chain (ProZero) </w:t>
      </w:r>
      <w:r w:rsidR="007F47AC">
        <w:t>Public Summary Document [</w:t>
      </w:r>
      <w:r w:rsidR="00416212" w:rsidRPr="00416212">
        <w:t>PSD</w:t>
      </w:r>
      <w:r w:rsidR="007F47AC">
        <w:t>]</w:t>
      </w:r>
      <w:r w:rsidR="00416212" w:rsidRPr="00416212">
        <w:t>, March 2018</w:t>
      </w:r>
      <w:r w:rsidR="00416212">
        <w:t>)</w:t>
      </w:r>
      <w:r w:rsidR="00A57BFB">
        <w:t>.</w:t>
      </w:r>
    </w:p>
    <w:p w14:paraId="592258A0" w14:textId="18F11009" w:rsidR="001B3C5D" w:rsidRPr="00EC2072" w:rsidRDefault="001B3C5D" w:rsidP="00094DA8">
      <w:pPr>
        <w:pStyle w:val="3-BodyText"/>
        <w:rPr>
          <w:lang w:eastAsia="en-US"/>
        </w:rPr>
      </w:pPr>
      <w:r>
        <w:rPr>
          <w:lang w:eastAsia="en-US"/>
        </w:rPr>
        <w:lastRenderedPageBreak/>
        <w:t xml:space="preserve">At its March 2024 meeting, the PBAC considered a request to delist ProZero </w:t>
      </w:r>
      <w:r w:rsidR="00AD320D">
        <w:rPr>
          <w:lang w:eastAsia="en-US"/>
        </w:rPr>
        <w:t>1 L</w:t>
      </w:r>
      <w:r w:rsidR="00094DA8">
        <w:rPr>
          <w:lang w:eastAsia="en-US"/>
        </w:rPr>
        <w:t xml:space="preserve"> and ProZero 250 mL from the PBS. The </w:t>
      </w:r>
      <w:r>
        <w:rPr>
          <w:lang w:eastAsia="en-US"/>
        </w:rPr>
        <w:t xml:space="preserve">submission stated that the </w:t>
      </w:r>
      <w:r w:rsidR="00094DA8">
        <w:rPr>
          <w:lang w:eastAsia="en-US"/>
        </w:rPr>
        <w:t>request</w:t>
      </w:r>
      <w:r>
        <w:rPr>
          <w:lang w:eastAsia="en-US"/>
        </w:rPr>
        <w:t xml:space="preserve"> to delist both forms of ProZero </w:t>
      </w:r>
      <w:r w:rsidR="00094DA8">
        <w:rPr>
          <w:lang w:eastAsia="en-US"/>
        </w:rPr>
        <w:t xml:space="preserve">was </w:t>
      </w:r>
      <w:r>
        <w:rPr>
          <w:lang w:eastAsia="en-US"/>
        </w:rPr>
        <w:t>due to financial unviability</w:t>
      </w:r>
      <w:r w:rsidR="00094DA8">
        <w:rPr>
          <w:lang w:eastAsia="en-US"/>
        </w:rPr>
        <w:t xml:space="preserve">. The PBAC </w:t>
      </w:r>
      <w:r w:rsidR="00094DA8" w:rsidRPr="00103174">
        <w:rPr>
          <w:lang w:eastAsia="en-US"/>
        </w:rPr>
        <w:t>advised that delisting may result in an unmet clinical need</w:t>
      </w:r>
      <w:r w:rsidR="00094DA8">
        <w:rPr>
          <w:lang w:eastAsia="en-US"/>
        </w:rPr>
        <w:t xml:space="preserve"> and th</w:t>
      </w:r>
      <w:r w:rsidR="00094DA8" w:rsidRPr="00103174">
        <w:rPr>
          <w:lang w:eastAsia="en-US"/>
        </w:rPr>
        <w:t>e Department sought to retain this product in line with this advice</w:t>
      </w:r>
      <w:r w:rsidR="00094DA8">
        <w:rPr>
          <w:lang w:eastAsia="en-US"/>
        </w:rPr>
        <w:t>. F</w:t>
      </w:r>
      <w:r>
        <w:rPr>
          <w:lang w:eastAsia="en-US"/>
        </w:rPr>
        <w:t xml:space="preserve">ollowing consultation with key opinion leaders of </w:t>
      </w:r>
      <w:proofErr w:type="spellStart"/>
      <w:r>
        <w:rPr>
          <w:lang w:eastAsia="en-US"/>
        </w:rPr>
        <w:t>IEpM</w:t>
      </w:r>
      <w:proofErr w:type="spellEnd"/>
      <w:r>
        <w:rPr>
          <w:lang w:eastAsia="en-US"/>
        </w:rPr>
        <w:t>, the sponsor wished to only proceed with the delisting of the 250 m</w:t>
      </w:r>
      <w:r w:rsidR="00094DA8">
        <w:rPr>
          <w:lang w:eastAsia="en-US"/>
        </w:rPr>
        <w:t>L</w:t>
      </w:r>
      <w:r>
        <w:rPr>
          <w:lang w:eastAsia="en-US"/>
        </w:rPr>
        <w:t xml:space="preserve"> form of ProZero. </w:t>
      </w:r>
      <w:r w:rsidRPr="00355412">
        <w:rPr>
          <w:lang w:eastAsia="en-US"/>
        </w:rPr>
        <w:t>ProZero 250 m</w:t>
      </w:r>
      <w:r w:rsidR="00DB35B9">
        <w:rPr>
          <w:lang w:eastAsia="en-US"/>
        </w:rPr>
        <w:t>L</w:t>
      </w:r>
      <w:r w:rsidRPr="00355412">
        <w:rPr>
          <w:lang w:eastAsia="en-US"/>
        </w:rPr>
        <w:t xml:space="preserve"> </w:t>
      </w:r>
      <w:r>
        <w:rPr>
          <w:lang w:eastAsia="en-US"/>
        </w:rPr>
        <w:t>was</w:t>
      </w:r>
      <w:r w:rsidRPr="00355412">
        <w:rPr>
          <w:lang w:eastAsia="en-US"/>
        </w:rPr>
        <w:t xml:space="preserve"> delisted from the PBS on 1 September 2024.</w:t>
      </w:r>
      <w:r>
        <w:rPr>
          <w:lang w:eastAsia="en-US"/>
        </w:rPr>
        <w:t xml:space="preserve"> </w:t>
      </w:r>
    </w:p>
    <w:p w14:paraId="1B8790B6" w14:textId="77777777" w:rsidR="00964A9F" w:rsidRPr="00A6439B" w:rsidRDefault="00964A9F" w:rsidP="00964A9F">
      <w:pPr>
        <w:pStyle w:val="2-SectionHeading"/>
      </w:pPr>
      <w:r w:rsidRPr="00A6439B">
        <w:t xml:space="preserve">Requested listing </w:t>
      </w:r>
    </w:p>
    <w:p w14:paraId="38858CD7" w14:textId="7300EFB3" w:rsidR="0030057B" w:rsidRPr="004F1C66" w:rsidRDefault="00964A9F" w:rsidP="0030057B">
      <w:pPr>
        <w:pStyle w:val="3-BodyText"/>
        <w:rPr>
          <w:rFonts w:cstheme="minorHAnsi"/>
          <w:i/>
        </w:rPr>
      </w:pPr>
      <w:r w:rsidRPr="0030057B">
        <w:t xml:space="preserve">The submission requested the following </w:t>
      </w:r>
      <w:r w:rsidR="00FC438E" w:rsidRPr="0030057B">
        <w:rPr>
          <w:rFonts w:cstheme="minorHAnsi"/>
        </w:rPr>
        <w:t>changes to the existing listing</w:t>
      </w:r>
      <w:r w:rsidR="001A1D9C">
        <w:rPr>
          <w:rFonts w:cstheme="minorHAnsi"/>
        </w:rPr>
        <w:t xml:space="preserve"> of ProZero</w:t>
      </w:r>
      <w:r w:rsidR="00692516">
        <w:rPr>
          <w:rFonts w:cstheme="minorHAnsi"/>
        </w:rPr>
        <w:t xml:space="preserve"> </w:t>
      </w:r>
      <w:r w:rsidR="00AD320D">
        <w:rPr>
          <w:rFonts w:cstheme="minorHAnsi"/>
        </w:rPr>
        <w:t>1 L</w:t>
      </w:r>
      <w:r w:rsidR="001A1D9C">
        <w:rPr>
          <w:rFonts w:cstheme="minorHAnsi"/>
        </w:rPr>
        <w:t>.</w:t>
      </w:r>
      <w:r w:rsidR="0030057B" w:rsidRPr="0030057B">
        <w:rPr>
          <w:rFonts w:cstheme="minorHAnsi"/>
        </w:rPr>
        <w:t xml:space="preserve"> </w:t>
      </w:r>
      <w:r w:rsidRPr="0030057B">
        <w:t>Suggested additions are in italics and deletions are in strikethrough</w:t>
      </w:r>
      <w:r w:rsidRPr="00A6439B">
        <w:t>.</w:t>
      </w:r>
      <w:r w:rsidR="00B76765" w:rsidRPr="00A6439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526"/>
        <w:gridCol w:w="811"/>
        <w:gridCol w:w="812"/>
        <w:gridCol w:w="811"/>
        <w:gridCol w:w="812"/>
        <w:gridCol w:w="1831"/>
      </w:tblGrid>
      <w:tr w:rsidR="004F1C66" w:rsidRPr="001428E9" w14:paraId="06FED4EA" w14:textId="77777777" w:rsidTr="003B5598">
        <w:trPr>
          <w:cantSplit/>
          <w:trHeight w:val="20"/>
        </w:trPr>
        <w:tc>
          <w:tcPr>
            <w:tcW w:w="3939" w:type="dxa"/>
            <w:gridSpan w:val="2"/>
            <w:vAlign w:val="center"/>
          </w:tcPr>
          <w:p w14:paraId="6283A4E5" w14:textId="77777777" w:rsidR="004F1C66" w:rsidRPr="001428E9" w:rsidRDefault="004F1C66" w:rsidP="003B5598">
            <w:pPr>
              <w:keepLines/>
              <w:rPr>
                <w:rFonts w:ascii="Arial Narrow" w:hAnsi="Arial Narrow" w:cs="Arial"/>
                <w:b/>
                <w:bCs/>
                <w:sz w:val="20"/>
                <w:szCs w:val="20"/>
              </w:rPr>
            </w:pPr>
            <w:r w:rsidRPr="001428E9">
              <w:rPr>
                <w:rFonts w:ascii="Arial Narrow" w:hAnsi="Arial Narrow" w:cs="Arial"/>
                <w:b/>
                <w:bCs/>
                <w:sz w:val="20"/>
                <w:szCs w:val="20"/>
              </w:rPr>
              <w:t>MEDICINAL PRODUCT</w:t>
            </w:r>
          </w:p>
          <w:p w14:paraId="6F59DC8D" w14:textId="77777777" w:rsidR="004F1C66" w:rsidRPr="001428E9" w:rsidRDefault="004F1C66" w:rsidP="003B5598">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656EF49F" w14:textId="77777777" w:rsidR="004F1C66" w:rsidRPr="001428E9" w:rsidRDefault="004F1C66" w:rsidP="003B5598">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CAB6B13" w14:textId="77777777" w:rsidR="004F1C66" w:rsidRPr="001428E9" w:rsidRDefault="004F1C66" w:rsidP="003B5598">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0737A6A6" w14:textId="77777777" w:rsidR="004F1C66" w:rsidRPr="001428E9" w:rsidRDefault="004F1C66" w:rsidP="003B5598">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D00F3C3" w14:textId="77777777" w:rsidR="004F1C66" w:rsidRPr="001428E9" w:rsidRDefault="004F1C66" w:rsidP="003B5598">
            <w:pPr>
              <w:keepLines/>
              <w:jc w:val="center"/>
              <w:rPr>
                <w:rFonts w:ascii="Arial Narrow" w:hAnsi="Arial Narrow" w:cs="Arial"/>
                <w:b/>
                <w:sz w:val="20"/>
                <w:szCs w:val="20"/>
              </w:rPr>
            </w:pPr>
            <w:r w:rsidRPr="001428E9">
              <w:rPr>
                <w:rFonts w:ascii="Arial Narrow" w:hAnsi="Arial Narrow" w:cs="Arial"/>
                <w:b/>
                <w:sz w:val="20"/>
                <w:szCs w:val="20"/>
              </w:rPr>
              <w:t>№.of</w:t>
            </w:r>
          </w:p>
          <w:p w14:paraId="2894684B" w14:textId="77777777" w:rsidR="004F1C66" w:rsidRPr="001428E9" w:rsidRDefault="004F1C66" w:rsidP="003B5598">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071C0D0" w14:textId="77777777" w:rsidR="004F1C66" w:rsidRPr="001428E9" w:rsidRDefault="004F1C66" w:rsidP="003B5598">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F1C66" w:rsidRPr="001428E9" w14:paraId="6163351C" w14:textId="77777777" w:rsidTr="003B5598">
        <w:trPr>
          <w:cantSplit/>
          <w:trHeight w:val="20"/>
        </w:trPr>
        <w:tc>
          <w:tcPr>
            <w:tcW w:w="9016" w:type="dxa"/>
            <w:gridSpan w:val="7"/>
            <w:vAlign w:val="center"/>
          </w:tcPr>
          <w:p w14:paraId="793AD751" w14:textId="77777777" w:rsidR="004F1C66" w:rsidRPr="001428E9" w:rsidRDefault="004F1C66" w:rsidP="003B5598">
            <w:pPr>
              <w:keepLines/>
              <w:rPr>
                <w:rFonts w:ascii="Arial Narrow" w:hAnsi="Arial Narrow" w:cs="Arial"/>
                <w:sz w:val="20"/>
                <w:szCs w:val="20"/>
              </w:rPr>
            </w:pPr>
            <w:r w:rsidRPr="00764A8F">
              <w:rPr>
                <w:rFonts w:ascii="Arial Narrow" w:hAnsi="Arial Narrow" w:cs="Arial"/>
                <w:sz w:val="20"/>
                <w:szCs w:val="20"/>
              </w:rPr>
              <w:t xml:space="preserve">TRIGLYCERIDES LONG CHAIN WITH GLUCOSE POLYMER </w:t>
            </w:r>
            <w:r>
              <w:rPr>
                <w:rFonts w:ascii="Arial Narrow" w:hAnsi="Arial Narrow" w:cs="Arial"/>
                <w:sz w:val="20"/>
                <w:szCs w:val="20"/>
              </w:rPr>
              <w:t xml:space="preserve"> </w:t>
            </w:r>
          </w:p>
        </w:tc>
      </w:tr>
      <w:tr w:rsidR="004F1C66" w:rsidRPr="001428E9" w14:paraId="1935BF19" w14:textId="77777777" w:rsidTr="003B5598">
        <w:trPr>
          <w:cantSplit/>
          <w:trHeight w:val="20"/>
        </w:trPr>
        <w:tc>
          <w:tcPr>
            <w:tcW w:w="3939" w:type="dxa"/>
            <w:gridSpan w:val="2"/>
            <w:vAlign w:val="center"/>
          </w:tcPr>
          <w:p w14:paraId="35F96896" w14:textId="77777777" w:rsidR="004F1C66" w:rsidRPr="001428E9" w:rsidRDefault="004F1C66" w:rsidP="003B5598">
            <w:pPr>
              <w:keepLines/>
              <w:rPr>
                <w:rFonts w:ascii="Arial Narrow" w:hAnsi="Arial Narrow" w:cs="Arial"/>
                <w:sz w:val="20"/>
                <w:szCs w:val="20"/>
              </w:rPr>
            </w:pPr>
            <w:r w:rsidRPr="00764A8F">
              <w:rPr>
                <w:rFonts w:ascii="Arial Narrow" w:hAnsi="Arial Narrow" w:cs="Arial"/>
                <w:sz w:val="20"/>
                <w:szCs w:val="20"/>
              </w:rPr>
              <w:t>triglycerides long chain with glucose polymer oral liquid, 6 x 1 L cartons</w:t>
            </w:r>
          </w:p>
        </w:tc>
        <w:tc>
          <w:tcPr>
            <w:tcW w:w="811" w:type="dxa"/>
            <w:vAlign w:val="center"/>
          </w:tcPr>
          <w:p w14:paraId="4DE272FE" w14:textId="28B51F1B" w:rsidR="004F1C66" w:rsidRPr="001428E9" w:rsidRDefault="004F1C66" w:rsidP="00094DA8">
            <w:pPr>
              <w:keepLines/>
              <w:jc w:val="center"/>
              <w:rPr>
                <w:rFonts w:ascii="Arial Narrow" w:hAnsi="Arial Narrow" w:cs="Arial"/>
                <w:sz w:val="20"/>
                <w:szCs w:val="20"/>
              </w:rPr>
            </w:pPr>
            <w:r w:rsidRPr="0030057B">
              <w:rPr>
                <w:rFonts w:ascii="Arial Narrow" w:hAnsi="Arial Narrow" w:cs="Arial"/>
                <w:sz w:val="20"/>
                <w:szCs w:val="20"/>
              </w:rPr>
              <w:t>9309Y</w:t>
            </w:r>
          </w:p>
        </w:tc>
        <w:tc>
          <w:tcPr>
            <w:tcW w:w="812" w:type="dxa"/>
            <w:vAlign w:val="center"/>
          </w:tcPr>
          <w:p w14:paraId="03625F48" w14:textId="77777777" w:rsidR="004F1C66" w:rsidRPr="001428E9" w:rsidRDefault="004F1C66" w:rsidP="003B5598">
            <w:pPr>
              <w:keepLines/>
              <w:jc w:val="center"/>
              <w:rPr>
                <w:rFonts w:ascii="Arial Narrow" w:hAnsi="Arial Narrow" w:cs="Arial"/>
                <w:sz w:val="20"/>
                <w:szCs w:val="20"/>
              </w:rPr>
            </w:pPr>
            <w:r w:rsidRPr="00B14DD5">
              <w:rPr>
                <w:rFonts w:ascii="Arial Narrow" w:hAnsi="Arial Narrow" w:cs="Arial"/>
                <w:sz w:val="20"/>
                <w:szCs w:val="20"/>
              </w:rPr>
              <w:t>4</w:t>
            </w:r>
          </w:p>
        </w:tc>
        <w:tc>
          <w:tcPr>
            <w:tcW w:w="811" w:type="dxa"/>
            <w:vAlign w:val="center"/>
          </w:tcPr>
          <w:p w14:paraId="6FEDFAEF" w14:textId="77777777" w:rsidR="004F1C66" w:rsidRPr="001428E9" w:rsidRDefault="004F1C66" w:rsidP="003B5598">
            <w:pPr>
              <w:keepLines/>
              <w:jc w:val="center"/>
              <w:rPr>
                <w:rFonts w:ascii="Arial Narrow" w:hAnsi="Arial Narrow" w:cs="Arial"/>
                <w:sz w:val="20"/>
                <w:szCs w:val="20"/>
              </w:rPr>
            </w:pPr>
            <w:r w:rsidRPr="00B14DD5">
              <w:rPr>
                <w:rFonts w:ascii="Arial Narrow" w:hAnsi="Arial Narrow" w:cs="Arial"/>
                <w:sz w:val="20"/>
                <w:szCs w:val="20"/>
              </w:rPr>
              <w:t>4</w:t>
            </w:r>
          </w:p>
        </w:tc>
        <w:tc>
          <w:tcPr>
            <w:tcW w:w="812" w:type="dxa"/>
            <w:vAlign w:val="center"/>
          </w:tcPr>
          <w:p w14:paraId="17C0A25B" w14:textId="77777777" w:rsidR="004F1C66" w:rsidRPr="001428E9" w:rsidRDefault="004F1C66" w:rsidP="003B5598">
            <w:pPr>
              <w:keepLines/>
              <w:jc w:val="center"/>
              <w:rPr>
                <w:rFonts w:ascii="Arial Narrow" w:hAnsi="Arial Narrow" w:cs="Arial"/>
                <w:sz w:val="20"/>
                <w:szCs w:val="20"/>
              </w:rPr>
            </w:pPr>
            <w:r w:rsidRPr="00B14DD5">
              <w:rPr>
                <w:rFonts w:ascii="Arial Narrow" w:hAnsi="Arial Narrow" w:cs="Arial"/>
                <w:sz w:val="20"/>
                <w:szCs w:val="20"/>
              </w:rPr>
              <w:t>5</w:t>
            </w:r>
          </w:p>
        </w:tc>
        <w:tc>
          <w:tcPr>
            <w:tcW w:w="1831" w:type="dxa"/>
            <w:vAlign w:val="center"/>
          </w:tcPr>
          <w:p w14:paraId="54213687" w14:textId="77777777" w:rsidR="004F1C66" w:rsidRPr="001428E9" w:rsidRDefault="004F1C66" w:rsidP="003B5598">
            <w:pPr>
              <w:keepLines/>
              <w:rPr>
                <w:rFonts w:ascii="Arial Narrow" w:hAnsi="Arial Narrow" w:cs="Arial"/>
                <w:sz w:val="20"/>
                <w:szCs w:val="20"/>
              </w:rPr>
            </w:pPr>
            <w:r w:rsidRPr="0030057B">
              <w:rPr>
                <w:rFonts w:ascii="Arial Narrow" w:hAnsi="Arial Narrow" w:cs="Arial"/>
                <w:sz w:val="20"/>
                <w:szCs w:val="20"/>
              </w:rPr>
              <w:t>ProZero</w:t>
            </w:r>
          </w:p>
        </w:tc>
      </w:tr>
      <w:tr w:rsidR="004F1C66" w:rsidRPr="001428E9" w14:paraId="5D82467F" w14:textId="77777777" w:rsidTr="003B5598">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DF0E4B2" w14:textId="77777777" w:rsidR="004F1C66" w:rsidRPr="001428E9" w:rsidRDefault="004F1C66" w:rsidP="003B5598">
            <w:pPr>
              <w:rPr>
                <w:rFonts w:ascii="Arial Narrow" w:hAnsi="Arial Narrow" w:cs="Arial"/>
                <w:sz w:val="20"/>
                <w:szCs w:val="20"/>
              </w:rPr>
            </w:pPr>
          </w:p>
        </w:tc>
      </w:tr>
      <w:tr w:rsidR="004F1C66" w:rsidRPr="001428E9" w14:paraId="05CD685B" w14:textId="77777777" w:rsidTr="003B5598">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9D75B10" w14:textId="744C25AC" w:rsidR="004F1C66" w:rsidRPr="001428E9" w:rsidRDefault="004F1C66" w:rsidP="003B5598">
            <w:pPr>
              <w:keepLines/>
              <w:rPr>
                <w:rFonts w:ascii="Arial Narrow" w:hAnsi="Arial Narrow" w:cs="Arial"/>
                <w:b/>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[new] </w:t>
            </w:r>
          </w:p>
        </w:tc>
      </w:tr>
      <w:tr w:rsidR="004F1C66" w:rsidRPr="001428E9" w14:paraId="6B86B269" w14:textId="77777777" w:rsidTr="003B5598">
        <w:tblPrEx>
          <w:tblCellMar>
            <w:top w:w="15" w:type="dxa"/>
            <w:bottom w:w="15" w:type="dxa"/>
          </w:tblCellMar>
          <w:tblLook w:val="04A0" w:firstRow="1" w:lastRow="0" w:firstColumn="1" w:lastColumn="0" w:noHBand="0" w:noVBand="1"/>
        </w:tblPrEx>
        <w:trPr>
          <w:trHeight w:val="20"/>
        </w:trPr>
        <w:tc>
          <w:tcPr>
            <w:tcW w:w="1413" w:type="dxa"/>
            <w:vMerge w:val="restart"/>
            <w:tcBorders>
              <w:top w:val="single" w:sz="4" w:space="0" w:color="auto"/>
              <w:left w:val="single" w:sz="4" w:space="0" w:color="auto"/>
              <w:right w:val="single" w:sz="4" w:space="0" w:color="auto"/>
            </w:tcBorders>
          </w:tcPr>
          <w:p w14:paraId="342921FB" w14:textId="6981E680" w:rsidR="004F1C66" w:rsidRPr="001428E9" w:rsidRDefault="004F1C66" w:rsidP="003B5598">
            <w:pPr>
              <w:jc w:val="center"/>
              <w:rPr>
                <w:rFonts w:ascii="Arial Narrow" w:hAnsi="Arial Narrow" w:cs="Arial"/>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909797E" w14:textId="77777777" w:rsidR="004F1C66" w:rsidRPr="001428E9" w:rsidRDefault="004F1C66" w:rsidP="003B5598">
            <w:pPr>
              <w:keepLines/>
              <w:rPr>
                <w:rFonts w:ascii="Arial Narrow" w:hAnsi="Arial Narrow" w:cs="Arial"/>
                <w:sz w:val="20"/>
                <w:szCs w:val="20"/>
              </w:rPr>
            </w:pPr>
            <w:r w:rsidRPr="001428E9">
              <w:rPr>
                <w:rFonts w:ascii="Arial Narrow" w:hAnsi="Arial Narrow" w:cs="Arial"/>
                <w:b/>
                <w:sz w:val="20"/>
                <w:szCs w:val="20"/>
              </w:rPr>
              <w:t>Category / Program:</w:t>
            </w:r>
            <w:r>
              <w:rPr>
                <w:rFonts w:ascii="Arial Narrow" w:eastAsia="Calibri" w:hAnsi="Arial Narrow" w:cs="Arial"/>
                <w:sz w:val="20"/>
                <w:szCs w:val="20"/>
              </w:rPr>
              <w:fldChar w:fldCharType="begin" w:fldLock="1">
                <w:ffData>
                  <w:name w:val="Check1"/>
                  <w:enabled/>
                  <w:calcOnExit w:val="0"/>
                  <w:checkBox>
                    <w:sizeAuto/>
                    <w:default w:val="1"/>
                  </w:checkBox>
                </w:ffData>
              </w:fldChar>
            </w:r>
            <w:bookmarkStart w:id="2"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2"/>
            <w:r>
              <w:rPr>
                <w:rFonts w:ascii="Arial Narrow" w:eastAsia="Calibri" w:hAnsi="Arial Narrow" w:cs="Arial"/>
                <w:sz w:val="20"/>
                <w:szCs w:val="20"/>
              </w:rPr>
              <w:t xml:space="preserve"> GENERAL - General Schedule (Code GE) </w:t>
            </w:r>
          </w:p>
        </w:tc>
      </w:tr>
      <w:tr w:rsidR="004F1C66" w:rsidRPr="001428E9" w14:paraId="665D9B46" w14:textId="77777777" w:rsidTr="003B5598">
        <w:tblPrEx>
          <w:tblCellMar>
            <w:top w:w="15" w:type="dxa"/>
            <w:bottom w:w="15" w:type="dxa"/>
          </w:tblCellMar>
          <w:tblLook w:val="04A0" w:firstRow="1" w:lastRow="0" w:firstColumn="1" w:lastColumn="0" w:noHBand="0" w:noVBand="1"/>
        </w:tblPrEx>
        <w:trPr>
          <w:trHeight w:val="20"/>
        </w:trPr>
        <w:tc>
          <w:tcPr>
            <w:tcW w:w="1413" w:type="dxa"/>
            <w:vMerge/>
            <w:tcBorders>
              <w:left w:val="single" w:sz="4" w:space="0" w:color="auto"/>
              <w:right w:val="single" w:sz="4" w:space="0" w:color="auto"/>
            </w:tcBorders>
          </w:tcPr>
          <w:p w14:paraId="2977459B" w14:textId="77777777" w:rsidR="004F1C66" w:rsidRPr="001428E9" w:rsidRDefault="004F1C66" w:rsidP="003B5598">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FB60EAB" w14:textId="77777777" w:rsidR="004F1C66" w:rsidRPr="001428E9" w:rsidRDefault="004F1C66" w:rsidP="003B5598">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bookmarkStart w:id="3" w:name="Check3"/>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
            <w:r w:rsidRPr="001428E9">
              <w:rPr>
                <w:rFonts w:ascii="Arial Narrow" w:hAnsi="Arial Narrow" w:cs="Arial"/>
                <w:sz w:val="20"/>
                <w:szCs w:val="20"/>
              </w:rPr>
              <w:t xml:space="preserve">Nurse practitioners </w:t>
            </w:r>
          </w:p>
        </w:tc>
      </w:tr>
      <w:tr w:rsidR="004F1C66" w:rsidRPr="001428E9" w14:paraId="103E8A07" w14:textId="77777777" w:rsidTr="003B5598">
        <w:tblPrEx>
          <w:tblCellMar>
            <w:top w:w="15" w:type="dxa"/>
            <w:bottom w:w="15" w:type="dxa"/>
          </w:tblCellMar>
          <w:tblLook w:val="04A0" w:firstRow="1" w:lastRow="0" w:firstColumn="1" w:lastColumn="0" w:noHBand="0" w:noVBand="1"/>
        </w:tblPrEx>
        <w:trPr>
          <w:trHeight w:val="20"/>
        </w:trPr>
        <w:tc>
          <w:tcPr>
            <w:tcW w:w="1413" w:type="dxa"/>
            <w:vMerge/>
            <w:tcBorders>
              <w:left w:val="single" w:sz="4" w:space="0" w:color="auto"/>
              <w:right w:val="single" w:sz="4" w:space="0" w:color="auto"/>
            </w:tcBorders>
          </w:tcPr>
          <w:p w14:paraId="301AAE83" w14:textId="77777777" w:rsidR="004F1C66" w:rsidRPr="001428E9" w:rsidRDefault="004F1C66" w:rsidP="003B5598">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AA5A884" w14:textId="47771E15" w:rsidR="004F1C66" w:rsidRPr="00764A8F" w:rsidRDefault="004F1C66" w:rsidP="004F1C66">
            <w:pPr>
              <w:keepLines/>
              <w:jc w:val="left"/>
              <w:rPr>
                <w:rFonts w:ascii="Arial Narrow" w:eastAsia="Calibri" w:hAnsi="Arial Narrow" w:cs="Arial"/>
                <w:sz w:val="20"/>
                <w:szCs w:val="20"/>
              </w:rPr>
            </w:pPr>
            <w:r w:rsidRPr="001428E9">
              <w:rPr>
                <w:rFonts w:ascii="Arial Narrow" w:hAnsi="Arial Narrow" w:cs="Arial"/>
                <w:b/>
                <w:sz w:val="20"/>
                <w:szCs w:val="20"/>
              </w:rPr>
              <w:t xml:space="preserve">Restriction type: </w:t>
            </w:r>
            <w:r w:rsidRPr="00764A8F">
              <w:rPr>
                <w:rFonts w:ascii="Arial Narrow" w:eastAsia="Calibri" w:hAnsi="Arial Narrow" w:cs="Arial"/>
                <w:strike/>
                <w:sz w:val="20"/>
                <w:szCs w:val="20"/>
              </w:rPr>
              <w:fldChar w:fldCharType="begin" w:fldLock="1">
                <w:ffData>
                  <w:name w:val=""/>
                  <w:enabled/>
                  <w:calcOnExit w:val="0"/>
                  <w:checkBox>
                    <w:sizeAuto/>
                    <w:default w:val="1"/>
                  </w:checkBox>
                </w:ffData>
              </w:fldChar>
            </w:r>
            <w:r w:rsidRPr="00764A8F">
              <w:rPr>
                <w:rFonts w:ascii="Arial Narrow" w:eastAsia="Calibri" w:hAnsi="Arial Narrow" w:cs="Arial"/>
                <w:strike/>
                <w:sz w:val="20"/>
                <w:szCs w:val="20"/>
              </w:rPr>
              <w:instrText xml:space="preserve"> FORMCHECKBOX </w:instrText>
            </w:r>
            <w:r w:rsidRPr="00764A8F">
              <w:rPr>
                <w:rFonts w:ascii="Arial Narrow" w:eastAsia="Calibri" w:hAnsi="Arial Narrow" w:cs="Arial"/>
                <w:strike/>
                <w:sz w:val="20"/>
                <w:szCs w:val="20"/>
              </w:rPr>
            </w:r>
            <w:r w:rsidRPr="00764A8F">
              <w:rPr>
                <w:rFonts w:ascii="Arial Narrow" w:eastAsia="Calibri" w:hAnsi="Arial Narrow" w:cs="Arial"/>
                <w:strike/>
                <w:sz w:val="20"/>
                <w:szCs w:val="20"/>
              </w:rPr>
              <w:fldChar w:fldCharType="separate"/>
            </w:r>
            <w:r w:rsidRPr="00764A8F">
              <w:rPr>
                <w:rFonts w:ascii="Arial Narrow" w:eastAsia="Calibri" w:hAnsi="Arial Narrow" w:cs="Arial"/>
                <w:strike/>
                <w:sz w:val="20"/>
                <w:szCs w:val="20"/>
              </w:rPr>
              <w:fldChar w:fldCharType="end"/>
            </w:r>
            <w:r w:rsidRPr="00764A8F">
              <w:rPr>
                <w:rFonts w:ascii="Arial Narrow" w:eastAsia="Calibri" w:hAnsi="Arial Narrow" w:cs="Arial"/>
                <w:strike/>
                <w:sz w:val="20"/>
                <w:szCs w:val="20"/>
              </w:rPr>
              <w:t>Restricted benefit</w:t>
            </w:r>
            <w:r w:rsidR="00094DA8">
              <w:rPr>
                <w:rFonts w:ascii="Arial Narrow" w:eastAsia="Calibri" w:hAnsi="Arial Narrow" w:cs="Arial"/>
                <w:i/>
                <w:iCs/>
                <w:sz w:val="20"/>
                <w:szCs w:val="20"/>
              </w:rPr>
              <w:t xml:space="preserve"> </w:t>
            </w:r>
            <w:r w:rsidRPr="00EE1CE1">
              <w:rPr>
                <w:rFonts w:ascii="Arial Narrow" w:eastAsia="Calibri" w:hAnsi="Arial Narrow" w:cs="Arial"/>
                <w:sz w:val="20"/>
                <w:szCs w:val="20"/>
              </w:rPr>
              <w:fldChar w:fldCharType="begin" w:fldLock="1">
                <w:ffData>
                  <w:name w:val=""/>
                  <w:enabled/>
                  <w:calcOnExit w:val="0"/>
                  <w:checkBox>
                    <w:sizeAuto/>
                    <w:default w:val="1"/>
                  </w:checkBox>
                </w:ffData>
              </w:fldChar>
            </w:r>
            <w:r w:rsidRPr="00EE1CE1">
              <w:rPr>
                <w:rFonts w:ascii="Arial Narrow" w:eastAsia="Calibri" w:hAnsi="Arial Narrow" w:cs="Arial"/>
                <w:sz w:val="20"/>
                <w:szCs w:val="20"/>
              </w:rPr>
              <w:instrText xml:space="preserve"> FORMCHECKBOX </w:instrText>
            </w:r>
            <w:r w:rsidRPr="00EE1CE1">
              <w:rPr>
                <w:rFonts w:ascii="Arial Narrow" w:eastAsia="Calibri" w:hAnsi="Arial Narrow" w:cs="Arial"/>
                <w:sz w:val="20"/>
                <w:szCs w:val="20"/>
              </w:rPr>
            </w:r>
            <w:r w:rsidRPr="00EE1CE1">
              <w:rPr>
                <w:rFonts w:ascii="Arial Narrow" w:eastAsia="Calibri" w:hAnsi="Arial Narrow" w:cs="Arial"/>
                <w:sz w:val="20"/>
                <w:szCs w:val="20"/>
              </w:rPr>
              <w:fldChar w:fldCharType="separate"/>
            </w:r>
            <w:r w:rsidRPr="00EE1CE1">
              <w:rPr>
                <w:rFonts w:ascii="Arial Narrow" w:eastAsia="Calibri" w:hAnsi="Arial Narrow" w:cs="Arial"/>
                <w:sz w:val="20"/>
                <w:szCs w:val="20"/>
              </w:rPr>
              <w:fldChar w:fldCharType="end"/>
            </w:r>
            <w:r w:rsidRPr="00EE1CE1">
              <w:rPr>
                <w:rFonts w:ascii="Arial Narrow" w:eastAsia="Calibri" w:hAnsi="Arial Narrow" w:cs="Arial"/>
                <w:sz w:val="20"/>
                <w:szCs w:val="20"/>
              </w:rPr>
              <w:t>Authority Required (Streamlined) [new/existing code]</w:t>
            </w:r>
            <w:r w:rsidRPr="001428E9">
              <w:rPr>
                <w:rFonts w:ascii="Arial Narrow" w:eastAsia="Calibri" w:hAnsi="Arial Narrow" w:cs="Arial"/>
                <w:sz w:val="20"/>
                <w:szCs w:val="20"/>
              </w:rPr>
              <w:t xml:space="preserve"> </w:t>
            </w:r>
          </w:p>
        </w:tc>
      </w:tr>
      <w:tr w:rsidR="004F1C66" w:rsidRPr="00764A8F" w14:paraId="1DA782C3" w14:textId="77777777" w:rsidTr="00066932">
        <w:tblPrEx>
          <w:tblCellMar>
            <w:top w:w="15" w:type="dxa"/>
            <w:bottom w:w="15" w:type="dxa"/>
          </w:tblCellMar>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54B85B3" w14:textId="3774A1E1" w:rsidR="004F1C66" w:rsidRPr="00DB35B9" w:rsidRDefault="004F1C66" w:rsidP="00094DA8">
            <w:pPr>
              <w:keepLines/>
              <w:jc w:val="center"/>
              <w:rPr>
                <w:rFonts w:ascii="Arial Narrow" w:hAnsi="Arial Narrow"/>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D54E78A" w14:textId="77777777" w:rsidR="004F1C66" w:rsidRPr="00DB35B9" w:rsidRDefault="004F1C66" w:rsidP="003B5598">
            <w:pPr>
              <w:pStyle w:val="NormalWeb"/>
              <w:spacing w:before="0" w:beforeAutospacing="0" w:after="0" w:afterAutospacing="0"/>
              <w:textAlignment w:val="baseline"/>
              <w:rPr>
                <w:rFonts w:ascii="Arial Narrow" w:hAnsi="Arial Narrow" w:cs="Open Sans"/>
                <w:sz w:val="20"/>
                <w:szCs w:val="20"/>
              </w:rPr>
            </w:pPr>
            <w:r w:rsidRPr="00DB35B9">
              <w:rPr>
                <w:rStyle w:val="Strong"/>
                <w:rFonts w:ascii="Arial Narrow" w:hAnsi="Arial Narrow" w:cs="Open Sans"/>
                <w:sz w:val="20"/>
                <w:szCs w:val="20"/>
                <w:bdr w:val="none" w:sz="0" w:space="0" w:color="auto" w:frame="1"/>
              </w:rPr>
              <w:t>Indication:</w:t>
            </w:r>
          </w:p>
          <w:p w14:paraId="7D4365DB" w14:textId="77777777" w:rsidR="004F1C66" w:rsidRPr="00DB35B9" w:rsidRDefault="004F1C66" w:rsidP="003B5598">
            <w:pPr>
              <w:keepLines/>
              <w:rPr>
                <w:rFonts w:ascii="Arial Narrow" w:hAnsi="Arial Narrow"/>
                <w:sz w:val="20"/>
                <w:szCs w:val="20"/>
              </w:rPr>
            </w:pPr>
            <w:r w:rsidRPr="00DB35B9">
              <w:rPr>
                <w:rFonts w:ascii="Arial Narrow" w:hAnsi="Arial Narrow" w:cs="Open Sans"/>
                <w:sz w:val="20"/>
                <w:szCs w:val="20"/>
              </w:rPr>
              <w:t>Proven inborn errors of protein metabolism</w:t>
            </w:r>
          </w:p>
        </w:tc>
      </w:tr>
      <w:tr w:rsidR="004F1C66" w:rsidRPr="001428E9" w14:paraId="47228032"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DED51A" w14:textId="1073055D" w:rsidR="004F1C66" w:rsidRPr="00DB35B9" w:rsidRDefault="004F1C66" w:rsidP="003B5598">
            <w:pPr>
              <w:jc w:val="center"/>
              <w:rPr>
                <w:rFonts w:ascii="Arial Narrow" w:hAnsi="Arial Narrow" w:cstheme="minorHAnsi"/>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3FA20EE7" w14:textId="77777777" w:rsidR="004F1C66" w:rsidRPr="00DB35B9" w:rsidRDefault="004F1C66" w:rsidP="003B5598">
            <w:pPr>
              <w:rPr>
                <w:rFonts w:ascii="Arial Narrow" w:hAnsi="Arial Narrow" w:cstheme="minorHAnsi"/>
                <w:b/>
                <w:bCs/>
                <w:sz w:val="20"/>
                <w:szCs w:val="20"/>
              </w:rPr>
            </w:pPr>
            <w:r w:rsidRPr="00DB35B9">
              <w:rPr>
                <w:rStyle w:val="Strong"/>
                <w:rFonts w:ascii="Arial Narrow" w:hAnsi="Arial Narrow" w:cstheme="minorHAnsi"/>
                <w:sz w:val="20"/>
                <w:szCs w:val="20"/>
                <w:bdr w:val="none" w:sz="0" w:space="0" w:color="auto" w:frame="1"/>
              </w:rPr>
              <w:t>Clinical criteria:</w:t>
            </w:r>
          </w:p>
        </w:tc>
      </w:tr>
      <w:tr w:rsidR="004F1C66" w:rsidRPr="001428E9" w14:paraId="528ADBB0"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CD48F" w14:textId="27A18559" w:rsidR="004F1C66" w:rsidRPr="00DB35B9" w:rsidRDefault="004F1C66" w:rsidP="003B5598">
            <w:pPr>
              <w:jc w:val="center"/>
              <w:rPr>
                <w:rFonts w:ascii="Arial Narrow" w:hAnsi="Arial Narrow" w:cstheme="minorHAnsi"/>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489335FC" w14:textId="77777777" w:rsidR="004F1C66" w:rsidRPr="00DB35B9" w:rsidRDefault="004F1C66" w:rsidP="003B5598">
            <w:pPr>
              <w:rPr>
                <w:rFonts w:ascii="Arial Narrow" w:hAnsi="Arial Narrow" w:cstheme="minorHAnsi"/>
                <w:b/>
                <w:bCs/>
                <w:sz w:val="20"/>
                <w:szCs w:val="20"/>
              </w:rPr>
            </w:pPr>
            <w:r w:rsidRPr="00DB35B9">
              <w:rPr>
                <w:rFonts w:ascii="Arial Narrow" w:hAnsi="Arial Narrow" w:cstheme="minorHAnsi"/>
                <w:sz w:val="20"/>
                <w:szCs w:val="20"/>
              </w:rPr>
              <w:t>Patient must be unable to meet their energy requirements with permitted food and formulae</w:t>
            </w:r>
          </w:p>
        </w:tc>
      </w:tr>
      <w:tr w:rsidR="004F1C66" w:rsidRPr="001428E9" w14:paraId="697EA43B"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41AD24B" w14:textId="77777777" w:rsidR="004F1C66" w:rsidRPr="00DB35B9" w:rsidRDefault="004F1C66" w:rsidP="003B5598">
            <w:pPr>
              <w:jc w:val="center"/>
              <w:rPr>
                <w:rFonts w:ascii="Arial Narrow" w:hAnsi="Arial Narrow" w:cstheme="minorHAnsi"/>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04025B8B" w14:textId="77777777" w:rsidR="004F1C66" w:rsidRPr="00DB35B9" w:rsidRDefault="004F1C66" w:rsidP="003B5598">
            <w:pPr>
              <w:rPr>
                <w:rFonts w:ascii="Arial Narrow" w:hAnsi="Arial Narrow" w:cstheme="minorHAnsi"/>
                <w:b/>
                <w:bCs/>
                <w:sz w:val="20"/>
                <w:szCs w:val="20"/>
              </w:rPr>
            </w:pPr>
            <w:r w:rsidRPr="00DB35B9">
              <w:rPr>
                <w:rFonts w:ascii="Arial Narrow" w:hAnsi="Arial Narrow" w:cstheme="minorHAnsi"/>
                <w:b/>
                <w:bCs/>
                <w:sz w:val="20"/>
                <w:szCs w:val="20"/>
              </w:rPr>
              <w:t>AND</w:t>
            </w:r>
          </w:p>
        </w:tc>
      </w:tr>
      <w:tr w:rsidR="004F1C66" w:rsidRPr="001428E9" w14:paraId="7840A74B"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A6F693D" w14:textId="7A856286"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2E972A5B" w14:textId="101A1527" w:rsidR="004F1C66" w:rsidRPr="00DB35B9" w:rsidRDefault="00EE1CE1" w:rsidP="003B5598">
            <w:pPr>
              <w:rPr>
                <w:rFonts w:ascii="Arial Narrow" w:hAnsi="Arial Narrow" w:cstheme="minorHAnsi"/>
                <w:b/>
                <w:bCs/>
                <w:i/>
                <w:iCs/>
                <w:sz w:val="20"/>
                <w:szCs w:val="20"/>
              </w:rPr>
            </w:pPr>
            <w:r w:rsidRPr="00EE1CE1">
              <w:rPr>
                <w:rStyle w:val="Strong"/>
                <w:rFonts w:ascii="Arial Narrow" w:hAnsi="Arial Narrow" w:cstheme="minorHAnsi"/>
                <w:strike/>
                <w:sz w:val="20"/>
                <w:szCs w:val="20"/>
                <w:bdr w:val="none" w:sz="0" w:space="0" w:color="auto" w:frame="1"/>
              </w:rPr>
              <w:t>Treatment criteria</w:t>
            </w:r>
            <w:r>
              <w:rPr>
                <w:rStyle w:val="Strong"/>
                <w:rFonts w:ascii="Arial Narrow" w:hAnsi="Arial Narrow" w:cstheme="minorHAnsi"/>
                <w:i/>
                <w:iCs/>
                <w:sz w:val="20"/>
                <w:szCs w:val="20"/>
                <w:bdr w:val="none" w:sz="0" w:space="0" w:color="auto" w:frame="1"/>
              </w:rPr>
              <w:t xml:space="preserve"> </w:t>
            </w:r>
            <w:r w:rsidR="004F1C66" w:rsidRPr="00DB35B9">
              <w:rPr>
                <w:rFonts w:ascii="Arial Narrow" w:hAnsi="Arial Narrow" w:cstheme="minorHAnsi"/>
                <w:b/>
                <w:bCs/>
                <w:i/>
                <w:iCs/>
                <w:sz w:val="20"/>
                <w:szCs w:val="20"/>
              </w:rPr>
              <w:t>Clinical criteria:</w:t>
            </w:r>
          </w:p>
        </w:tc>
      </w:tr>
      <w:tr w:rsidR="004F1C66" w:rsidRPr="001428E9" w14:paraId="5542D617"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35ED7F6" w14:textId="6A219B8C"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488FF1FA" w14:textId="77777777" w:rsidR="004F1C66" w:rsidRPr="00EE1CE1" w:rsidRDefault="004F1C66" w:rsidP="003B5598">
            <w:pPr>
              <w:rPr>
                <w:rFonts w:ascii="Arial Narrow" w:hAnsi="Arial Narrow" w:cstheme="minorHAnsi"/>
                <w:sz w:val="20"/>
                <w:szCs w:val="20"/>
              </w:rPr>
            </w:pPr>
            <w:r w:rsidRPr="00EE1CE1">
              <w:rPr>
                <w:rFonts w:ascii="Arial Narrow" w:hAnsi="Arial Narrow" w:cstheme="minorHAnsi"/>
                <w:sz w:val="20"/>
                <w:szCs w:val="20"/>
              </w:rPr>
              <w:t>Patient must require treatment with a very low protein, increased caloric diet.</w:t>
            </w:r>
          </w:p>
        </w:tc>
      </w:tr>
      <w:tr w:rsidR="004F1C66" w:rsidRPr="001428E9" w14:paraId="0ED6F36D"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1C1B22" w14:textId="77777777"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5149949C" w14:textId="77777777" w:rsidR="004F1C66" w:rsidRPr="00DB35B9" w:rsidRDefault="004F1C66" w:rsidP="003B5598">
            <w:pPr>
              <w:rPr>
                <w:rFonts w:ascii="Arial Narrow" w:hAnsi="Arial Narrow" w:cstheme="minorHAnsi"/>
                <w:b/>
                <w:bCs/>
                <w:i/>
                <w:iCs/>
                <w:sz w:val="20"/>
                <w:szCs w:val="20"/>
              </w:rPr>
            </w:pPr>
            <w:r w:rsidRPr="00DB35B9">
              <w:rPr>
                <w:rFonts w:ascii="Arial Narrow" w:hAnsi="Arial Narrow" w:cstheme="minorHAnsi"/>
                <w:b/>
                <w:bCs/>
                <w:i/>
                <w:iCs/>
                <w:sz w:val="20"/>
                <w:szCs w:val="20"/>
              </w:rPr>
              <w:t>AND</w:t>
            </w:r>
          </w:p>
        </w:tc>
      </w:tr>
      <w:tr w:rsidR="004F1C66" w:rsidRPr="001428E9" w14:paraId="4DE09928"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7455AC9" w14:textId="26594737"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6AB8C814" w14:textId="44522149" w:rsidR="004F1C66" w:rsidRPr="00DB35B9" w:rsidRDefault="00EE1CE1" w:rsidP="003B5598">
            <w:pPr>
              <w:rPr>
                <w:rFonts w:ascii="Arial Narrow" w:hAnsi="Arial Narrow" w:cstheme="minorHAnsi"/>
                <w:i/>
                <w:iCs/>
                <w:sz w:val="20"/>
                <w:szCs w:val="20"/>
              </w:rPr>
            </w:pPr>
            <w:r w:rsidRPr="00EE1CE1">
              <w:rPr>
                <w:rStyle w:val="Strong"/>
                <w:rFonts w:ascii="Arial Narrow" w:hAnsi="Arial Narrow" w:cstheme="minorHAnsi"/>
                <w:strike/>
                <w:sz w:val="20"/>
                <w:szCs w:val="20"/>
                <w:bdr w:val="none" w:sz="0" w:space="0" w:color="auto" w:frame="1"/>
              </w:rPr>
              <w:t>Treatment criteria</w:t>
            </w:r>
            <w:r>
              <w:rPr>
                <w:rStyle w:val="Strong"/>
                <w:rFonts w:ascii="Arial Narrow" w:hAnsi="Arial Narrow" w:cstheme="minorHAnsi"/>
                <w:i/>
                <w:iCs/>
                <w:sz w:val="20"/>
                <w:szCs w:val="20"/>
                <w:bdr w:val="none" w:sz="0" w:space="0" w:color="auto" w:frame="1"/>
              </w:rPr>
              <w:t xml:space="preserve"> </w:t>
            </w:r>
            <w:r w:rsidR="004F1C66" w:rsidRPr="00DB35B9">
              <w:rPr>
                <w:rStyle w:val="Strong"/>
                <w:rFonts w:ascii="Arial Narrow" w:hAnsi="Arial Narrow" w:cstheme="minorHAnsi"/>
                <w:i/>
                <w:iCs/>
                <w:sz w:val="20"/>
                <w:szCs w:val="20"/>
                <w:bdr w:val="none" w:sz="0" w:space="0" w:color="auto" w:frame="1"/>
              </w:rPr>
              <w:t>Clinical</w:t>
            </w:r>
            <w:r w:rsidR="004F1C66" w:rsidRPr="00DB35B9">
              <w:rPr>
                <w:rFonts w:ascii="Arial Narrow" w:hAnsi="Arial Narrow" w:cstheme="minorHAnsi"/>
                <w:b/>
                <w:bCs/>
                <w:i/>
                <w:iCs/>
                <w:sz w:val="20"/>
                <w:szCs w:val="20"/>
              </w:rPr>
              <w:t xml:space="preserve"> criteria:</w:t>
            </w:r>
          </w:p>
        </w:tc>
      </w:tr>
      <w:tr w:rsidR="004F1C66" w:rsidRPr="001428E9" w14:paraId="105E6A38"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C6070F8" w14:textId="4A0DDE66"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5ADAA0F9" w14:textId="77777777" w:rsidR="004F1C66" w:rsidRPr="00DB35B9" w:rsidRDefault="004F1C66" w:rsidP="003B5598">
            <w:pPr>
              <w:rPr>
                <w:rFonts w:ascii="Arial Narrow" w:hAnsi="Arial Narrow" w:cstheme="minorHAnsi"/>
                <w:i/>
                <w:iCs/>
                <w:sz w:val="20"/>
                <w:szCs w:val="20"/>
              </w:rPr>
            </w:pPr>
            <w:r w:rsidRPr="00EE1CE1">
              <w:rPr>
                <w:rFonts w:ascii="Arial Narrow" w:hAnsi="Arial Narrow" w:cstheme="minorHAnsi"/>
                <w:sz w:val="20"/>
                <w:szCs w:val="20"/>
              </w:rPr>
              <w:t>The treatment must be for the purpose of maintaining metabolic control and appropriate growth for at least 6 months:</w:t>
            </w:r>
            <w:r w:rsidRPr="00DB35B9">
              <w:rPr>
                <w:rFonts w:ascii="Arial Narrow" w:hAnsi="Arial Narrow" w:cstheme="minorHAnsi"/>
                <w:i/>
                <w:iCs/>
                <w:sz w:val="20"/>
                <w:szCs w:val="20"/>
              </w:rPr>
              <w:t xml:space="preserve"> or</w:t>
            </w:r>
          </w:p>
        </w:tc>
      </w:tr>
      <w:tr w:rsidR="004F1C66" w:rsidRPr="001428E9" w14:paraId="1BB18577"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1DA031" w14:textId="1119CB98"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389733F8" w14:textId="77777777" w:rsidR="004F1C66" w:rsidRPr="00DB35B9" w:rsidRDefault="004F1C66" w:rsidP="003B5598">
            <w:pPr>
              <w:rPr>
                <w:rFonts w:ascii="Arial Narrow" w:hAnsi="Arial Narrow" w:cstheme="minorHAnsi"/>
                <w:i/>
                <w:iCs/>
                <w:sz w:val="20"/>
                <w:szCs w:val="20"/>
              </w:rPr>
            </w:pPr>
            <w:r w:rsidRPr="00EE1CE1">
              <w:rPr>
                <w:rFonts w:ascii="Arial Narrow" w:hAnsi="Arial Narrow" w:cstheme="minorHAnsi"/>
                <w:sz w:val="20"/>
                <w:szCs w:val="20"/>
              </w:rPr>
              <w:t>The treatment must be for the purpose of achieving metabolic control for at least 3 months:</w:t>
            </w:r>
            <w:r w:rsidRPr="00DB35B9">
              <w:rPr>
                <w:rFonts w:ascii="Arial Narrow" w:hAnsi="Arial Narrow" w:cstheme="minorHAnsi"/>
                <w:i/>
                <w:iCs/>
                <w:sz w:val="20"/>
                <w:szCs w:val="20"/>
              </w:rPr>
              <w:t xml:space="preserve"> or</w:t>
            </w:r>
          </w:p>
        </w:tc>
      </w:tr>
      <w:tr w:rsidR="004F1C66" w:rsidRPr="001428E9" w14:paraId="5B69CB77"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459EDF1" w14:textId="25A44636"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0909E383" w14:textId="77777777" w:rsidR="004F1C66" w:rsidRPr="00EE1CE1" w:rsidRDefault="004F1C66" w:rsidP="003B5598">
            <w:pPr>
              <w:rPr>
                <w:rFonts w:ascii="Arial Narrow" w:hAnsi="Arial Narrow" w:cstheme="minorHAnsi"/>
                <w:sz w:val="20"/>
                <w:szCs w:val="20"/>
              </w:rPr>
            </w:pPr>
            <w:r w:rsidRPr="00EE1CE1">
              <w:rPr>
                <w:rFonts w:ascii="Arial Narrow" w:hAnsi="Arial Narrow" w:cstheme="minorHAnsi"/>
                <w:sz w:val="20"/>
                <w:szCs w:val="20"/>
              </w:rPr>
              <w:t xml:space="preserve">The treatment must be for the purpose of maintaining metabolic control and preventing metabolic decompensation for at least 6 months </w:t>
            </w:r>
          </w:p>
        </w:tc>
      </w:tr>
      <w:tr w:rsidR="004F1C66" w:rsidRPr="001428E9" w14:paraId="2A4BFE50"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4AF7AE3" w14:textId="2A263DBD"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5B0A0418" w14:textId="77777777" w:rsidR="004F1C66" w:rsidRPr="00EE1CE1" w:rsidRDefault="004F1C66" w:rsidP="003B5598">
            <w:pPr>
              <w:rPr>
                <w:rFonts w:ascii="Arial Narrow" w:hAnsi="Arial Narrow" w:cstheme="minorHAnsi"/>
                <w:b/>
                <w:bCs/>
                <w:sz w:val="20"/>
                <w:szCs w:val="20"/>
              </w:rPr>
            </w:pPr>
            <w:r w:rsidRPr="00EE1CE1">
              <w:rPr>
                <w:rFonts w:ascii="Arial Narrow" w:hAnsi="Arial Narrow" w:cstheme="minorHAnsi"/>
                <w:b/>
                <w:bCs/>
                <w:sz w:val="20"/>
                <w:szCs w:val="20"/>
              </w:rPr>
              <w:t>Population criteria:</w:t>
            </w:r>
          </w:p>
        </w:tc>
      </w:tr>
      <w:tr w:rsidR="004F1C66" w:rsidRPr="001428E9" w14:paraId="4724C4AC"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6804A0" w14:textId="181B5760"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7186457D" w14:textId="77777777" w:rsidR="004F1C66" w:rsidRPr="00DB35B9" w:rsidRDefault="004F1C66" w:rsidP="003B5598">
            <w:pPr>
              <w:rPr>
                <w:rFonts w:ascii="Arial Narrow" w:hAnsi="Arial Narrow" w:cstheme="minorHAnsi"/>
                <w:i/>
                <w:iCs/>
                <w:sz w:val="20"/>
                <w:szCs w:val="20"/>
              </w:rPr>
            </w:pPr>
            <w:r w:rsidRPr="00EE1CE1">
              <w:rPr>
                <w:rFonts w:ascii="Arial Narrow" w:hAnsi="Arial Narrow" w:cstheme="minorHAnsi"/>
                <w:sz w:val="20"/>
                <w:szCs w:val="20"/>
              </w:rPr>
              <w:t>Patient must be</w:t>
            </w:r>
            <w:r w:rsidRPr="00DB35B9">
              <w:rPr>
                <w:rFonts w:ascii="Arial Narrow" w:hAnsi="Arial Narrow" w:cstheme="minorHAnsi"/>
                <w:i/>
                <w:iCs/>
                <w:sz w:val="20"/>
                <w:szCs w:val="20"/>
              </w:rPr>
              <w:t xml:space="preserve"> </w:t>
            </w:r>
            <w:r w:rsidRPr="00DB35B9">
              <w:rPr>
                <w:rFonts w:ascii="Arial Narrow" w:hAnsi="Arial Narrow" w:cstheme="minorHAnsi"/>
                <w:i/>
                <w:iCs/>
                <w:strike/>
                <w:sz w:val="20"/>
                <w:szCs w:val="20"/>
              </w:rPr>
              <w:t>a child</w:t>
            </w:r>
            <w:r w:rsidRPr="00DB35B9">
              <w:rPr>
                <w:rFonts w:ascii="Arial Narrow" w:hAnsi="Arial Narrow" w:cstheme="minorHAnsi"/>
                <w:i/>
                <w:iCs/>
                <w:sz w:val="20"/>
                <w:szCs w:val="20"/>
              </w:rPr>
              <w:t xml:space="preserve"> </w:t>
            </w:r>
            <w:r w:rsidRPr="00EE1CE1">
              <w:rPr>
                <w:rFonts w:ascii="Arial Narrow" w:hAnsi="Arial Narrow" w:cstheme="minorHAnsi"/>
                <w:sz w:val="20"/>
                <w:szCs w:val="20"/>
              </w:rPr>
              <w:t>aged 1 year or older:</w:t>
            </w:r>
            <w:r w:rsidRPr="00DB35B9">
              <w:rPr>
                <w:rFonts w:ascii="Arial Narrow" w:hAnsi="Arial Narrow" w:cstheme="minorHAnsi"/>
                <w:i/>
                <w:iCs/>
                <w:sz w:val="20"/>
                <w:szCs w:val="20"/>
              </w:rPr>
              <w:t xml:space="preserve"> or</w:t>
            </w:r>
          </w:p>
        </w:tc>
      </w:tr>
      <w:tr w:rsidR="004F1C66" w:rsidRPr="001428E9" w14:paraId="0BD41711"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899C27D" w14:textId="6BF3BDF0"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6DC7249A" w14:textId="77777777" w:rsidR="004F1C66" w:rsidRPr="00DB35B9" w:rsidRDefault="004F1C66" w:rsidP="003B5598">
            <w:pPr>
              <w:rPr>
                <w:rFonts w:ascii="Arial Narrow" w:hAnsi="Arial Narrow" w:cstheme="minorHAnsi"/>
                <w:i/>
                <w:iCs/>
                <w:sz w:val="20"/>
                <w:szCs w:val="20"/>
              </w:rPr>
            </w:pPr>
            <w:r w:rsidRPr="00EE1CE1">
              <w:rPr>
                <w:rFonts w:ascii="Arial Narrow" w:hAnsi="Arial Narrow" w:cstheme="minorHAnsi"/>
                <w:sz w:val="20"/>
                <w:szCs w:val="20"/>
              </w:rPr>
              <w:t>Patient must be aged</w:t>
            </w:r>
            <w:r w:rsidRPr="00DB35B9">
              <w:rPr>
                <w:rFonts w:ascii="Arial Narrow" w:hAnsi="Arial Narrow" w:cstheme="minorHAnsi"/>
                <w:i/>
                <w:iCs/>
                <w:sz w:val="20"/>
                <w:szCs w:val="20"/>
              </w:rPr>
              <w:t xml:space="preserve"> 65 years or older, or</w:t>
            </w:r>
          </w:p>
        </w:tc>
      </w:tr>
      <w:tr w:rsidR="004F1C66" w:rsidRPr="008F6FB9" w14:paraId="2E50B001" w14:textId="77777777" w:rsidTr="003B5598">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285A909" w14:textId="00CA85A5" w:rsidR="004F1C66" w:rsidRPr="00DB35B9" w:rsidRDefault="004F1C66" w:rsidP="003B5598">
            <w:pPr>
              <w:jc w:val="center"/>
              <w:rPr>
                <w:rFonts w:ascii="Arial Narrow" w:hAnsi="Arial Narrow" w:cstheme="minorHAnsi"/>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3CB2B183" w14:textId="77777777" w:rsidR="004F1C66" w:rsidRPr="00DB35B9" w:rsidRDefault="004F1C66" w:rsidP="003B5598">
            <w:pPr>
              <w:rPr>
                <w:rFonts w:ascii="Arial Narrow" w:hAnsi="Arial Narrow" w:cstheme="minorHAnsi"/>
                <w:i/>
                <w:iCs/>
                <w:sz w:val="20"/>
                <w:szCs w:val="20"/>
              </w:rPr>
            </w:pPr>
            <w:r w:rsidRPr="00DB35B9">
              <w:rPr>
                <w:rFonts w:ascii="Arial Narrow" w:hAnsi="Arial Narrow" w:cstheme="minorHAnsi"/>
                <w:i/>
                <w:iCs/>
                <w:sz w:val="20"/>
                <w:szCs w:val="20"/>
              </w:rPr>
              <w:t>Patient must be one of: (i) planning conception, (ii) pregnant.</w:t>
            </w:r>
          </w:p>
        </w:tc>
      </w:tr>
    </w:tbl>
    <w:p w14:paraId="3B1200BA" w14:textId="2922C076" w:rsidR="0043796F" w:rsidRPr="00B54790" w:rsidRDefault="00C27C1C" w:rsidP="00066932">
      <w:pPr>
        <w:pStyle w:val="Heading1"/>
        <w:keepNext/>
        <w:keepLines/>
        <w:numPr>
          <w:ilvl w:val="0"/>
          <w:numId w:val="2"/>
        </w:numPr>
        <w:spacing w:before="240"/>
        <w:ind w:left="709" w:hanging="709"/>
        <w:rPr>
          <w:sz w:val="32"/>
          <w:szCs w:val="32"/>
        </w:rPr>
      </w:pPr>
      <w:r w:rsidRPr="00A6439B">
        <w:rPr>
          <w:sz w:val="32"/>
          <w:szCs w:val="32"/>
        </w:rPr>
        <w:t>Consideration of the evidence</w:t>
      </w:r>
    </w:p>
    <w:p w14:paraId="3F7B1682" w14:textId="77777777" w:rsidR="003D3A3B" w:rsidRPr="006E1229" w:rsidRDefault="003D3A3B" w:rsidP="003D3A3B">
      <w:pPr>
        <w:pStyle w:val="4-SubsectionHeading"/>
        <w:rPr>
          <w:lang w:eastAsia="en-US"/>
        </w:rPr>
      </w:pPr>
      <w:bookmarkStart w:id="4" w:name="_Hlk76375935"/>
      <w:bookmarkStart w:id="5" w:name="_Hlk181805534"/>
      <w:r w:rsidRPr="006E1229">
        <w:rPr>
          <w:lang w:eastAsia="en-US"/>
        </w:rPr>
        <w:t>Sponsor hearing</w:t>
      </w:r>
    </w:p>
    <w:p w14:paraId="40E3113E" w14:textId="37FA58F3" w:rsidR="003D3A3B" w:rsidRPr="004057C1" w:rsidRDefault="004057C1" w:rsidP="003D3A3B">
      <w:pPr>
        <w:widowControl w:val="0"/>
        <w:numPr>
          <w:ilvl w:val="1"/>
          <w:numId w:val="2"/>
        </w:numPr>
        <w:spacing w:after="120"/>
        <w:rPr>
          <w:rFonts w:cs="Calibri"/>
          <w:bCs/>
          <w:snapToGrid w:val="0"/>
        </w:rPr>
      </w:pPr>
      <w:r>
        <w:rPr>
          <w:rFonts w:cs="Calibri"/>
          <w:bCs/>
          <w:snapToGrid w:val="0"/>
        </w:rPr>
        <w:t xml:space="preserve">There was no hearing for this item. </w:t>
      </w:r>
    </w:p>
    <w:p w14:paraId="62194718" w14:textId="77777777" w:rsidR="003D3A3B" w:rsidRPr="006E1229" w:rsidRDefault="003D3A3B" w:rsidP="003D3A3B">
      <w:pPr>
        <w:pStyle w:val="4-SubsectionHeading"/>
        <w:rPr>
          <w:lang w:eastAsia="en-US"/>
        </w:rPr>
      </w:pPr>
      <w:r w:rsidRPr="006E1229">
        <w:rPr>
          <w:lang w:eastAsia="en-US"/>
        </w:rPr>
        <w:lastRenderedPageBreak/>
        <w:t>Consumer comments</w:t>
      </w:r>
    </w:p>
    <w:p w14:paraId="300C8EA4" w14:textId="7F3B1A33" w:rsidR="003D3A3B" w:rsidRPr="00836F75" w:rsidRDefault="004057C1" w:rsidP="003D3A3B">
      <w:pPr>
        <w:widowControl w:val="0"/>
        <w:numPr>
          <w:ilvl w:val="1"/>
          <w:numId w:val="2"/>
        </w:numPr>
        <w:spacing w:after="120"/>
        <w:rPr>
          <w:rFonts w:asciiTheme="minorHAnsi" w:hAnsiTheme="minorHAnsi" w:cs="Arial"/>
          <w:bCs/>
          <w:snapToGrid w:val="0"/>
        </w:rPr>
      </w:pPr>
      <w:bookmarkStart w:id="6" w:name="_Hlk76382618"/>
      <w:r>
        <w:rPr>
          <w:rFonts w:asciiTheme="minorHAnsi" w:hAnsiTheme="minorHAnsi" w:cs="Arial"/>
          <w:bCs/>
          <w:snapToGrid w:val="0"/>
        </w:rPr>
        <w:t xml:space="preserve">The PBAC noted that no consumer comments were received for this item. </w:t>
      </w:r>
    </w:p>
    <w:bookmarkEnd w:id="4"/>
    <w:bookmarkEnd w:id="5"/>
    <w:bookmarkEnd w:id="6"/>
    <w:p w14:paraId="268A3372" w14:textId="58845404" w:rsidR="008F6357" w:rsidRDefault="008F6357" w:rsidP="00C27C1C">
      <w:pPr>
        <w:pStyle w:val="4-SubsectionHeading"/>
        <w:rPr>
          <w:lang w:eastAsia="en-US"/>
        </w:rPr>
      </w:pPr>
      <w:r>
        <w:rPr>
          <w:lang w:eastAsia="en-US"/>
        </w:rPr>
        <w:t>Justification for request</w:t>
      </w:r>
    </w:p>
    <w:p w14:paraId="12ED897B" w14:textId="179766FD" w:rsidR="00E94DE6" w:rsidRDefault="00E94DE6" w:rsidP="00E94DE6">
      <w:pPr>
        <w:pStyle w:val="3-BodyText"/>
      </w:pPr>
      <w:r w:rsidRPr="005850BD">
        <w:t xml:space="preserve">The submission </w:t>
      </w:r>
      <w:r>
        <w:t>stated</w:t>
      </w:r>
      <w:r w:rsidRPr="005850BD">
        <w:t xml:space="preserve"> that the proposed amendment will ensure continued access to vulnerable patients who require the product as an essential component of their dietary therapy.</w:t>
      </w:r>
      <w:r>
        <w:t xml:space="preserve"> </w:t>
      </w:r>
    </w:p>
    <w:p w14:paraId="64BE3D67" w14:textId="16EBFDAC" w:rsidR="005E6DF4" w:rsidRDefault="00E94DE6" w:rsidP="005E6DF4">
      <w:pPr>
        <w:pStyle w:val="3-BodyText"/>
        <w:rPr>
          <w:lang w:eastAsia="en-US"/>
        </w:rPr>
      </w:pPr>
      <w:r w:rsidRPr="006F7E84">
        <w:t xml:space="preserve">The submission nominated </w:t>
      </w:r>
      <w:r w:rsidRPr="00474B4E">
        <w:rPr>
          <w:lang w:eastAsia="en-US"/>
        </w:rPr>
        <w:t>Sno</w:t>
      </w:r>
      <w:r>
        <w:rPr>
          <w:lang w:eastAsia="en-US"/>
        </w:rPr>
        <w:t>-Pro® (</w:t>
      </w:r>
      <w:r w:rsidRPr="00904552">
        <w:rPr>
          <w:lang w:eastAsia="en-US"/>
        </w:rPr>
        <w:t>triglycerides long chain with glucose polymer oral liquid, 27 x 200 mL cartons</w:t>
      </w:r>
      <w:r w:rsidRPr="00474B4E">
        <w:rPr>
          <w:lang w:eastAsia="en-US"/>
        </w:rPr>
        <w:t>)</w:t>
      </w:r>
      <w:r>
        <w:rPr>
          <w:lang w:eastAsia="en-US"/>
        </w:rPr>
        <w:t xml:space="preserve"> </w:t>
      </w:r>
      <w:r w:rsidRPr="006F7E84">
        <w:t>as the</w:t>
      </w:r>
      <w:r>
        <w:t xml:space="preserve"> main</w:t>
      </w:r>
      <w:r w:rsidRPr="006F7E84">
        <w:t xml:space="preserve"> comparator</w:t>
      </w:r>
      <w:r>
        <w:t xml:space="preserve"> and </w:t>
      </w:r>
      <w:r w:rsidR="005E6DF4">
        <w:rPr>
          <w:lang w:eastAsia="en-US"/>
        </w:rPr>
        <w:t xml:space="preserve">stated that ProZero is </w:t>
      </w:r>
      <w:r>
        <w:rPr>
          <w:lang w:eastAsia="en-US"/>
        </w:rPr>
        <w:t xml:space="preserve">also </w:t>
      </w:r>
      <w:r w:rsidR="005E6DF4">
        <w:rPr>
          <w:lang w:eastAsia="en-US"/>
        </w:rPr>
        <w:t xml:space="preserve">therapeutically equivalent to </w:t>
      </w:r>
      <w:proofErr w:type="spellStart"/>
      <w:r w:rsidR="005E6DF4" w:rsidRPr="008E4410">
        <w:rPr>
          <w:lang w:eastAsia="en-US"/>
        </w:rPr>
        <w:t>Duocal</w:t>
      </w:r>
      <w:proofErr w:type="spellEnd"/>
      <w:r w:rsidR="005E6DF4">
        <w:rPr>
          <w:lang w:eastAsia="en-US"/>
        </w:rPr>
        <w:t xml:space="preserve"> (</w:t>
      </w:r>
      <w:r w:rsidR="005E6DF4" w:rsidRPr="00D12DB1">
        <w:rPr>
          <w:lang w:eastAsia="en-US"/>
        </w:rPr>
        <w:t>triglycerides medium chain and long chain with glucose polymer powder for oral liquid, 400 g</w:t>
      </w:r>
      <w:r w:rsidR="005E6DF4">
        <w:rPr>
          <w:lang w:eastAsia="en-US"/>
        </w:rPr>
        <w:t>)</w:t>
      </w:r>
      <w:r>
        <w:rPr>
          <w:lang w:eastAsia="en-US"/>
        </w:rPr>
        <w:t xml:space="preserve">. Both Sno-Pro and </w:t>
      </w:r>
      <w:proofErr w:type="spellStart"/>
      <w:r>
        <w:rPr>
          <w:lang w:eastAsia="en-US"/>
        </w:rPr>
        <w:t>Duocal</w:t>
      </w:r>
      <w:proofErr w:type="spellEnd"/>
      <w:r w:rsidR="005E6DF4">
        <w:rPr>
          <w:lang w:eastAsia="en-US"/>
        </w:rPr>
        <w:t xml:space="preserve"> are</w:t>
      </w:r>
      <w:r>
        <w:rPr>
          <w:lang w:eastAsia="en-US"/>
        </w:rPr>
        <w:t xml:space="preserve"> </w:t>
      </w:r>
      <w:r w:rsidR="005E6DF4">
        <w:rPr>
          <w:lang w:eastAsia="en-US"/>
        </w:rPr>
        <w:t xml:space="preserve">on the PBS as </w:t>
      </w:r>
      <w:r w:rsidR="005E6DF4" w:rsidRPr="00562295">
        <w:rPr>
          <w:lang w:eastAsia="en-US"/>
        </w:rPr>
        <w:t xml:space="preserve">General Schedule </w:t>
      </w:r>
      <w:r w:rsidR="005E6DF4">
        <w:rPr>
          <w:lang w:eastAsia="en-US"/>
        </w:rPr>
        <w:t xml:space="preserve">Restricted Benefit </w:t>
      </w:r>
      <w:r w:rsidR="005E6DF4" w:rsidRPr="00562295">
        <w:rPr>
          <w:lang w:eastAsia="en-US"/>
        </w:rPr>
        <w:t>listing</w:t>
      </w:r>
      <w:r w:rsidR="005E6DF4">
        <w:rPr>
          <w:lang w:eastAsia="en-US"/>
        </w:rPr>
        <w:t>s</w:t>
      </w:r>
      <w:r w:rsidR="005E6DF4" w:rsidRPr="00562295">
        <w:rPr>
          <w:lang w:eastAsia="en-US"/>
        </w:rPr>
        <w:t xml:space="preserve"> </w:t>
      </w:r>
      <w:r w:rsidR="005E6DF4">
        <w:rPr>
          <w:lang w:eastAsia="en-US"/>
        </w:rPr>
        <w:t xml:space="preserve">for </w:t>
      </w:r>
      <w:proofErr w:type="spellStart"/>
      <w:r w:rsidR="005E6DF4">
        <w:rPr>
          <w:lang w:eastAsia="en-US"/>
        </w:rPr>
        <w:t>IEpM</w:t>
      </w:r>
      <w:proofErr w:type="spellEnd"/>
      <w:r w:rsidR="005E6DF4">
        <w:rPr>
          <w:lang w:eastAsia="en-US"/>
        </w:rPr>
        <w:t xml:space="preserve"> (</w:t>
      </w:r>
      <w:r w:rsidR="005E6DF4" w:rsidRPr="003B6521">
        <w:rPr>
          <w:lang w:eastAsia="en-US"/>
        </w:rPr>
        <w:t>10189G</w:t>
      </w:r>
      <w:r w:rsidR="005E6DF4">
        <w:rPr>
          <w:lang w:eastAsia="en-US"/>
        </w:rPr>
        <w:t xml:space="preserve"> and </w:t>
      </w:r>
      <w:r w:rsidR="005E6DF4" w:rsidRPr="003B6521">
        <w:rPr>
          <w:lang w:eastAsia="en-US"/>
        </w:rPr>
        <w:t>3136C</w:t>
      </w:r>
      <w:r w:rsidR="005E6DF4">
        <w:rPr>
          <w:lang w:eastAsia="en-US"/>
        </w:rPr>
        <w:t xml:space="preserve"> respectively)</w:t>
      </w:r>
      <w:r>
        <w:rPr>
          <w:lang w:eastAsia="en-US"/>
        </w:rPr>
        <w:t>.</w:t>
      </w:r>
    </w:p>
    <w:p w14:paraId="495750D8" w14:textId="37EBB1BC" w:rsidR="008F6357" w:rsidRPr="008F6357" w:rsidRDefault="005E6DF4" w:rsidP="0064226D">
      <w:pPr>
        <w:pStyle w:val="3-BodyText"/>
        <w:rPr>
          <w:lang w:eastAsia="en-US"/>
        </w:rPr>
      </w:pPr>
      <w:r>
        <w:rPr>
          <w:lang w:eastAsia="en-US"/>
        </w:rPr>
        <w:t>The submission stated that, of the therapeutically equivalent products on the PBS, ProZero is the only product that does not contain medium chain triglycerides.</w:t>
      </w:r>
    </w:p>
    <w:p w14:paraId="45D181E4" w14:textId="2561731F" w:rsidR="00C27C1C" w:rsidRPr="00A6439B" w:rsidRDefault="00C27C1C" w:rsidP="00C27C1C">
      <w:pPr>
        <w:pStyle w:val="4-SubsectionHeading"/>
        <w:rPr>
          <w:lang w:eastAsia="en-US"/>
        </w:rPr>
      </w:pPr>
      <w:r w:rsidRPr="00A6439B">
        <w:rPr>
          <w:lang w:eastAsia="en-US"/>
        </w:rPr>
        <w:t xml:space="preserve">Economic analysis </w:t>
      </w:r>
    </w:p>
    <w:p w14:paraId="5C85DA35" w14:textId="34D07219" w:rsidR="00A56658" w:rsidRPr="00DD061E" w:rsidRDefault="004623C1" w:rsidP="0093155D">
      <w:pPr>
        <w:pStyle w:val="3-BodyText"/>
        <w:rPr>
          <w:rFonts w:cstheme="minorHAnsi"/>
          <w:iCs/>
          <w:szCs w:val="24"/>
        </w:rPr>
      </w:pPr>
      <w:r w:rsidRPr="00126AF8">
        <w:t xml:space="preserve">The submission requested </w:t>
      </w:r>
      <w:r w:rsidR="008F6357">
        <w:t xml:space="preserve">no changes to the pricing arrangement for </w:t>
      </w:r>
      <w:r w:rsidR="0093155D">
        <w:t xml:space="preserve">the current listing of ProZero </w:t>
      </w:r>
      <w:bookmarkStart w:id="7" w:name="_Hlk175742708"/>
      <w:r w:rsidR="00AD320D">
        <w:t>1 L</w:t>
      </w:r>
      <w:r w:rsidR="00303A8B">
        <w:rPr>
          <w:iCs/>
        </w:rPr>
        <w:t xml:space="preserve"> </w:t>
      </w:r>
      <w:r w:rsidR="0093155D">
        <w:rPr>
          <w:iCs/>
        </w:rPr>
        <w:t>(</w:t>
      </w:r>
      <w:r w:rsidR="00CA27D6" w:rsidRPr="006E189D">
        <w:rPr>
          <w:rFonts w:cstheme="minorHAnsi"/>
          <w:szCs w:val="24"/>
        </w:rPr>
        <w:t xml:space="preserve">approved ex-manufacturer price </w:t>
      </w:r>
      <w:r w:rsidR="00CA27D6">
        <w:rPr>
          <w:rFonts w:cstheme="minorHAnsi"/>
          <w:szCs w:val="24"/>
        </w:rPr>
        <w:t>(</w:t>
      </w:r>
      <w:r w:rsidR="00354F8A">
        <w:rPr>
          <w:iCs/>
        </w:rPr>
        <w:t>AEMP</w:t>
      </w:r>
      <w:r w:rsidR="00CA27D6">
        <w:rPr>
          <w:iCs/>
        </w:rPr>
        <w:t>)</w:t>
      </w:r>
      <w:r w:rsidR="00354F8A">
        <w:rPr>
          <w:iCs/>
        </w:rPr>
        <w:t xml:space="preserve"> of $55.58</w:t>
      </w:r>
      <w:r w:rsidR="0093155D">
        <w:rPr>
          <w:iCs/>
        </w:rPr>
        <w:t>).</w:t>
      </w:r>
    </w:p>
    <w:p w14:paraId="21427B7D" w14:textId="3A388290" w:rsidR="00DD061E" w:rsidRPr="00DC73E4" w:rsidRDefault="00DD061E" w:rsidP="00DC73E4">
      <w:pPr>
        <w:pStyle w:val="3-BodyText"/>
        <w:rPr>
          <w:rFonts w:cstheme="minorHAnsi"/>
          <w:iCs/>
          <w:szCs w:val="24"/>
        </w:rPr>
      </w:pPr>
      <w:r w:rsidRPr="00DC732A">
        <w:rPr>
          <w:rFonts w:cstheme="minorHAnsi"/>
          <w:szCs w:val="24"/>
        </w:rPr>
        <w:t xml:space="preserve">The </w:t>
      </w:r>
      <w:r>
        <w:rPr>
          <w:rFonts w:cstheme="minorHAnsi"/>
          <w:szCs w:val="24"/>
        </w:rPr>
        <w:t>submission indicated that</w:t>
      </w:r>
      <w:r w:rsidRPr="00DC732A">
        <w:rPr>
          <w:rFonts w:cstheme="minorHAnsi"/>
          <w:szCs w:val="24"/>
        </w:rPr>
        <w:t xml:space="preserve"> </w:t>
      </w:r>
      <w:r>
        <w:rPr>
          <w:rFonts w:cstheme="minorHAnsi"/>
          <w:szCs w:val="24"/>
        </w:rPr>
        <w:t>the sponsor</w:t>
      </w:r>
      <w:r w:rsidRPr="00DC732A">
        <w:rPr>
          <w:rFonts w:cstheme="minorHAnsi"/>
          <w:szCs w:val="24"/>
        </w:rPr>
        <w:t xml:space="preserve"> intends to</w:t>
      </w:r>
      <w:r>
        <w:rPr>
          <w:rFonts w:cstheme="minorHAnsi"/>
          <w:szCs w:val="24"/>
        </w:rPr>
        <w:t xml:space="preserve"> submit a separate application requesting </w:t>
      </w:r>
      <w:r w:rsidR="006B6FFA" w:rsidRPr="00924316">
        <w:rPr>
          <w:rFonts w:cstheme="minorHAnsi"/>
          <w:color w:val="000000"/>
          <w:w w:val="15"/>
          <w:szCs w:val="24"/>
          <w:shd w:val="solid" w:color="000000" w:fill="000000"/>
          <w:fitText w:val="-20" w:id="-762128384"/>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84"/>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83"/>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83"/>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82"/>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82"/>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81"/>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81"/>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80"/>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80"/>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79"/>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79"/>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78"/>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78"/>
          <w14:textFill>
            <w14:solidFill>
              <w14:srgbClr w14:val="000000">
                <w14:alpha w14:val="100000"/>
              </w14:srgbClr>
            </w14:solidFill>
          </w14:textFill>
        </w:rPr>
        <w:t>|</w:t>
      </w:r>
      <w:r>
        <w:rPr>
          <w:rFonts w:cstheme="minorHAnsi"/>
          <w:szCs w:val="24"/>
        </w:rPr>
        <w:t xml:space="preserve"> </w:t>
      </w:r>
      <w:r w:rsidR="006B6FFA" w:rsidRPr="00924316">
        <w:rPr>
          <w:rFonts w:cstheme="minorHAnsi"/>
          <w:color w:val="000000"/>
          <w:w w:val="15"/>
          <w:szCs w:val="24"/>
          <w:shd w:val="solid" w:color="000000" w:fill="000000"/>
          <w:fitText w:val="-20" w:id="-762128377"/>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77"/>
          <w14:textFill>
            <w14:solidFill>
              <w14:srgbClr w14:val="000000">
                <w14:alpha w14:val="100000"/>
              </w14:srgbClr>
            </w14:solidFill>
          </w14:textFill>
        </w:rPr>
        <w:t>|</w:t>
      </w:r>
      <w:r w:rsidR="00AD320D">
        <w:rPr>
          <w:rFonts w:cstheme="minorHAnsi"/>
          <w:szCs w:val="24"/>
        </w:rPr>
        <w:t> </w:t>
      </w:r>
      <w:r w:rsidR="006B6FFA" w:rsidRPr="00924316">
        <w:rPr>
          <w:rFonts w:cstheme="minorHAnsi"/>
          <w:color w:val="000000"/>
          <w:w w:val="15"/>
          <w:szCs w:val="24"/>
          <w:shd w:val="solid" w:color="000000" w:fill="000000"/>
          <w:fitText w:val="-20" w:id="-762128376"/>
          <w14:textFill>
            <w14:solidFill>
              <w14:srgbClr w14:val="000000">
                <w14:alpha w14:val="100000"/>
              </w14:srgbClr>
            </w14:solidFill>
          </w14:textFill>
        </w:rPr>
        <w:t xml:space="preserve">|  </w:t>
      </w:r>
      <w:r w:rsidR="006B6FFA" w:rsidRPr="00924316">
        <w:rPr>
          <w:rFonts w:cstheme="minorHAnsi"/>
          <w:color w:val="000000"/>
          <w:spacing w:val="-69"/>
          <w:w w:val="15"/>
          <w:szCs w:val="24"/>
          <w:shd w:val="solid" w:color="000000" w:fill="000000"/>
          <w:fitText w:val="-20" w:id="-762128376"/>
          <w14:textFill>
            <w14:solidFill>
              <w14:srgbClr w14:val="000000">
                <w14:alpha w14:val="100000"/>
              </w14:srgbClr>
            </w14:solidFill>
          </w14:textFill>
        </w:rPr>
        <w:t>|</w:t>
      </w:r>
      <w:r w:rsidRPr="00DC732A">
        <w:rPr>
          <w:rFonts w:cstheme="minorHAnsi"/>
          <w:szCs w:val="24"/>
        </w:rPr>
        <w:t xml:space="preserve">. </w:t>
      </w:r>
      <w:r>
        <w:rPr>
          <w:rFonts w:cstheme="minorHAnsi"/>
          <w:szCs w:val="24"/>
        </w:rPr>
        <w:t xml:space="preserve">This is not part of the current submission. </w:t>
      </w:r>
    </w:p>
    <w:bookmarkEnd w:id="7"/>
    <w:p w14:paraId="23F77C6C" w14:textId="6D71BAFA" w:rsidR="00F85206" w:rsidRPr="00A6439B" w:rsidRDefault="00F85206" w:rsidP="0079250E">
      <w:pPr>
        <w:pStyle w:val="4-SubsectionHeading"/>
        <w:rPr>
          <w:lang w:eastAsia="en-US"/>
        </w:rPr>
      </w:pPr>
      <w:r w:rsidRPr="00A6439B">
        <w:rPr>
          <w:lang w:eastAsia="en-US"/>
        </w:rPr>
        <w:t>Drug cost/patient/year: $</w:t>
      </w:r>
      <w:r w:rsidR="00227A2B">
        <w:rPr>
          <w:lang w:eastAsia="en-US"/>
        </w:rPr>
        <w:t>3</w:t>
      </w:r>
      <w:r w:rsidR="00905EC8" w:rsidRPr="00905EC8">
        <w:rPr>
          <w:lang w:eastAsia="en-US"/>
        </w:rPr>
        <w:t>,</w:t>
      </w:r>
      <w:r w:rsidR="00227A2B">
        <w:rPr>
          <w:lang w:eastAsia="en-US"/>
        </w:rPr>
        <w:t>1</w:t>
      </w:r>
      <w:r w:rsidR="00905EC8" w:rsidRPr="00905EC8">
        <w:rPr>
          <w:lang w:eastAsia="en-US"/>
        </w:rPr>
        <w:t>0</w:t>
      </w:r>
      <w:r w:rsidR="00227A2B">
        <w:rPr>
          <w:lang w:eastAsia="en-US"/>
        </w:rPr>
        <w:t>7</w:t>
      </w:r>
      <w:r w:rsidR="00905EC8" w:rsidRPr="00905EC8">
        <w:rPr>
          <w:lang w:eastAsia="en-US"/>
        </w:rPr>
        <w:t>.</w:t>
      </w:r>
      <w:r w:rsidR="00227A2B">
        <w:rPr>
          <w:lang w:eastAsia="en-US"/>
        </w:rPr>
        <w:t>64</w:t>
      </w:r>
    </w:p>
    <w:p w14:paraId="0D09ED1B" w14:textId="0D474351" w:rsidR="00363154" w:rsidRPr="00363154" w:rsidRDefault="00755836" w:rsidP="00363154">
      <w:pPr>
        <w:pStyle w:val="3-BodyText"/>
        <w:rPr>
          <w:rFonts w:cs="Calibri"/>
        </w:rPr>
      </w:pPr>
      <w:r w:rsidRPr="00755836">
        <w:t>The</w:t>
      </w:r>
      <w:r>
        <w:t xml:space="preserve"> submission</w:t>
      </w:r>
      <w:r w:rsidRPr="00755836">
        <w:t xml:space="preserve"> estimated</w:t>
      </w:r>
      <w:r>
        <w:t xml:space="preserve"> the net </w:t>
      </w:r>
      <w:r w:rsidRPr="00755836">
        <w:t xml:space="preserve">cost/patient per year </w:t>
      </w:r>
      <w:r>
        <w:t xml:space="preserve">to </w:t>
      </w:r>
      <w:r w:rsidRPr="00755836">
        <w:t>be $</w:t>
      </w:r>
      <w:r w:rsidR="00227A2B">
        <w:t>3</w:t>
      </w:r>
      <w:r w:rsidRPr="00755836">
        <w:t>,</w:t>
      </w:r>
      <w:r w:rsidR="00227A2B">
        <w:t>10</w:t>
      </w:r>
      <w:r w:rsidRPr="00755836">
        <w:t>7.</w:t>
      </w:r>
      <w:r w:rsidR="00227A2B">
        <w:t>64</w:t>
      </w:r>
      <w:r w:rsidRPr="00755836">
        <w:t>, based on 12</w:t>
      </w:r>
      <w:r w:rsidR="00272980">
        <w:t> </w:t>
      </w:r>
      <w:r w:rsidRPr="00755836">
        <w:t>scripts per yea</w:t>
      </w:r>
      <w:r w:rsidR="00491870">
        <w:t>r</w:t>
      </w:r>
      <w:r w:rsidR="0093155D">
        <w:t xml:space="preserve"> </w:t>
      </w:r>
      <w:r w:rsidR="002D4F21">
        <w:t>(</w:t>
      </w:r>
      <w:r w:rsidR="00227A2B">
        <w:t>$258.97</w:t>
      </w:r>
      <w:r w:rsidR="002D4F21">
        <w:t xml:space="preserve"> x 12),</w:t>
      </w:r>
      <w:r w:rsidRPr="00755836">
        <w:t xml:space="preserve"> </w:t>
      </w:r>
      <w:r w:rsidR="00905EC8">
        <w:t>noting that t</w:t>
      </w:r>
      <w:r w:rsidRPr="00755836">
        <w:t xml:space="preserve">he actual cost may vary due to variations in individual patient needs. </w:t>
      </w:r>
    </w:p>
    <w:p w14:paraId="5EB16602" w14:textId="079F804E"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48D34BA9" w14:textId="01EE3F97" w:rsidR="00A16B08" w:rsidRPr="00DB71D4" w:rsidRDefault="00126AF8" w:rsidP="00363154">
      <w:pPr>
        <w:pStyle w:val="3-BodyText"/>
        <w:spacing w:before="0"/>
        <w:rPr>
          <w:rFonts w:cstheme="minorHAnsi"/>
          <w:szCs w:val="24"/>
        </w:rPr>
      </w:pPr>
      <w:r w:rsidRPr="00FE1C2C">
        <w:t xml:space="preserve">The submission </w:t>
      </w:r>
      <w:r w:rsidR="00283EC6">
        <w:t>estimated a 40%</w:t>
      </w:r>
      <w:r w:rsidR="00BA5310" w:rsidRPr="00FE1C2C">
        <w:t xml:space="preserve"> decrease </w:t>
      </w:r>
      <w:r w:rsidR="00BA5310">
        <w:t>in the prescription</w:t>
      </w:r>
      <w:r w:rsidR="00BA5310" w:rsidRPr="00FE1C2C">
        <w:t xml:space="preserve"> of ProZero </w:t>
      </w:r>
      <w:r w:rsidR="00AD320D">
        <w:t>1 L</w:t>
      </w:r>
      <w:r w:rsidR="00692516">
        <w:t xml:space="preserve"> </w:t>
      </w:r>
      <w:r w:rsidR="00BA5310">
        <w:t xml:space="preserve">following </w:t>
      </w:r>
      <w:r w:rsidRPr="00FE1C2C">
        <w:t xml:space="preserve">the proposed </w:t>
      </w:r>
      <w:bookmarkStart w:id="8" w:name="_Hlk173941323"/>
      <w:r w:rsidRPr="00FE1C2C">
        <w:t>change</w:t>
      </w:r>
      <w:r w:rsidR="00A05083">
        <w:t>s</w:t>
      </w:r>
      <w:r w:rsidRPr="00FE1C2C">
        <w:t xml:space="preserve"> </w:t>
      </w:r>
      <w:r w:rsidR="00A05083">
        <w:t>in its PBS listing</w:t>
      </w:r>
      <w:bookmarkEnd w:id="8"/>
      <w:r w:rsidR="008A4C35" w:rsidRPr="00FE1C2C">
        <w:t>.</w:t>
      </w:r>
      <w:r w:rsidR="00B62FFB">
        <w:t xml:space="preserve"> </w:t>
      </w:r>
      <w:r w:rsidR="002E7F21" w:rsidRPr="00DB71D4">
        <w:t xml:space="preserve">The evaluation </w:t>
      </w:r>
      <w:r w:rsidR="00A16B08" w:rsidRPr="00DB71D4">
        <w:t xml:space="preserve">examined the estimated change in utilisation by introducing the new population criteria (Table 1). Data was provided for the supply of PBS items 9309Y and 9308X by patient sex and age. The following patient groups were </w:t>
      </w:r>
      <w:r w:rsidR="001C6DFE" w:rsidRPr="00DB71D4">
        <w:t>in</w:t>
      </w:r>
      <w:r w:rsidR="00A16B08" w:rsidRPr="00DB71D4">
        <w:t>cluded to estimate the size of the new market:</w:t>
      </w:r>
    </w:p>
    <w:p w14:paraId="544A9B1D" w14:textId="680E59BA" w:rsidR="00A16B08" w:rsidRPr="00DB71D4" w:rsidRDefault="00A16B08" w:rsidP="005E0113">
      <w:pPr>
        <w:pStyle w:val="3-BodyText"/>
        <w:numPr>
          <w:ilvl w:val="0"/>
          <w:numId w:val="12"/>
        </w:numPr>
        <w:spacing w:before="0"/>
        <w:rPr>
          <w:rFonts w:cstheme="minorHAnsi"/>
          <w:szCs w:val="24"/>
        </w:rPr>
      </w:pPr>
      <w:r w:rsidRPr="00DB71D4">
        <w:t>Female and male patients aged 1 to 15 years. The ABS Census definition was used</w:t>
      </w:r>
      <w:r w:rsidR="00AE6419" w:rsidRPr="00DB71D4">
        <w:t xml:space="preserve"> to</w:t>
      </w:r>
      <w:r w:rsidRPr="00DB71D4">
        <w:t xml:space="preserve"> define a child as being aged 15 years or under. As per the proposed restriction, patients under one year of age were excluded;</w:t>
      </w:r>
    </w:p>
    <w:p w14:paraId="037D4B37" w14:textId="6E23C65A" w:rsidR="00A16B08" w:rsidRPr="00DB71D4" w:rsidRDefault="00A16B08" w:rsidP="005E0113">
      <w:pPr>
        <w:pStyle w:val="3-BodyText"/>
        <w:numPr>
          <w:ilvl w:val="0"/>
          <w:numId w:val="12"/>
        </w:numPr>
        <w:spacing w:before="0"/>
      </w:pPr>
      <w:r w:rsidRPr="00DB71D4">
        <w:rPr>
          <w:rFonts w:cstheme="minorHAnsi"/>
          <w:szCs w:val="24"/>
        </w:rPr>
        <w:lastRenderedPageBreak/>
        <w:t>Females aged 16 to 44 years.</w:t>
      </w:r>
      <w:r w:rsidRPr="00DB71D4">
        <w:t xml:space="preserve"> Based on the ABS definition of childbearing age</w:t>
      </w:r>
      <w:r w:rsidRPr="00DB71D4">
        <w:rPr>
          <w:rStyle w:val="FootnoteReference"/>
        </w:rPr>
        <w:footnoteReference w:id="2"/>
      </w:r>
      <w:r w:rsidRPr="00DB71D4">
        <w:t xml:space="preserve"> to reflect patients planning conception or who are pregnant</w:t>
      </w:r>
      <w:r w:rsidR="001C6DFE" w:rsidRPr="00DB71D4">
        <w:t>; and</w:t>
      </w:r>
    </w:p>
    <w:p w14:paraId="755296D7" w14:textId="15E80D41" w:rsidR="001C6DFE" w:rsidRPr="00DB71D4" w:rsidRDefault="001C6DFE" w:rsidP="005E0113">
      <w:pPr>
        <w:pStyle w:val="3-BodyText"/>
        <w:numPr>
          <w:ilvl w:val="0"/>
          <w:numId w:val="12"/>
        </w:numPr>
        <w:spacing w:before="0" w:after="0"/>
      </w:pPr>
      <w:r w:rsidRPr="00DB71D4">
        <w:rPr>
          <w:rFonts w:cstheme="minorHAnsi"/>
          <w:szCs w:val="24"/>
        </w:rPr>
        <w:t>Male and female patients who were 65 years or older.</w:t>
      </w:r>
      <w:r w:rsidRPr="00DB71D4">
        <w:t xml:space="preserve"> </w:t>
      </w:r>
    </w:p>
    <w:p w14:paraId="26AD887E" w14:textId="36307A29" w:rsidR="008A4C35" w:rsidRPr="00DB71D4" w:rsidRDefault="00A16B08" w:rsidP="00363154">
      <w:pPr>
        <w:pStyle w:val="3-BodyText"/>
        <w:numPr>
          <w:ilvl w:val="0"/>
          <w:numId w:val="0"/>
        </w:numPr>
        <w:ind w:left="720"/>
        <w:rPr>
          <w:rFonts w:cstheme="minorHAnsi"/>
          <w:szCs w:val="24"/>
        </w:rPr>
      </w:pPr>
      <w:r w:rsidRPr="00DB71D4">
        <w:t xml:space="preserve">Male </w:t>
      </w:r>
      <w:r w:rsidR="001C6DFE" w:rsidRPr="00DB71D4">
        <w:t>patients aged 16 to 64 years were excluded.</w:t>
      </w:r>
      <w:r w:rsidR="00E2180D" w:rsidRPr="00DB71D4">
        <w:t xml:space="preserve"> The evaluation noted that the decrease in the PBS utilisation of ProZero listings (ProZero </w:t>
      </w:r>
      <w:r w:rsidR="00AD320D">
        <w:t>1 L</w:t>
      </w:r>
      <w:r w:rsidR="00E2180D" w:rsidRPr="00DB71D4">
        <w:t xml:space="preserve"> and 250 mL) following the proposed changes was overestimated by the submission (</w:t>
      </w:r>
      <w:r w:rsidR="00E2180D" w:rsidRPr="00DB71D4">
        <w:fldChar w:fldCharType="begin" w:fldLock="1"/>
      </w:r>
      <w:r w:rsidR="00E2180D" w:rsidRPr="00DB71D4">
        <w:instrText xml:space="preserve"> REF _Ref175913961 \h  \* MERGEFORMAT </w:instrText>
      </w:r>
      <w:r w:rsidR="00E2180D" w:rsidRPr="00DB71D4">
        <w:fldChar w:fldCharType="separate"/>
      </w:r>
      <w:r w:rsidR="00E2180D" w:rsidRPr="00DB71D4">
        <w:t xml:space="preserve">Table </w:t>
      </w:r>
      <w:r w:rsidR="00E2180D" w:rsidRPr="00DB71D4">
        <w:rPr>
          <w:noProof/>
        </w:rPr>
        <w:t>1</w:t>
      </w:r>
      <w:r w:rsidR="00E2180D" w:rsidRPr="00DB71D4">
        <w:fldChar w:fldCharType="end"/>
      </w:r>
      <w:r w:rsidR="00E2180D" w:rsidRPr="00DB71D4">
        <w:t>). The 250</w:t>
      </w:r>
      <w:r w:rsidR="007A7E27">
        <w:t> </w:t>
      </w:r>
      <w:r w:rsidR="00E2180D" w:rsidRPr="00DB71D4">
        <w:t xml:space="preserve">mL form was included in the estimates as the </w:t>
      </w:r>
      <w:r w:rsidR="00AD320D">
        <w:t>1 L</w:t>
      </w:r>
      <w:r w:rsidR="00E2180D" w:rsidRPr="00DB71D4">
        <w:t xml:space="preserve"> market has likely assumed the 250</w:t>
      </w:r>
      <w:r w:rsidR="007A7E27">
        <w:t> </w:t>
      </w:r>
      <w:r w:rsidR="00E2180D" w:rsidRPr="00DB71D4">
        <w:t>mL market since it was delisted from the PBS on 1 September 2024.</w:t>
      </w:r>
    </w:p>
    <w:p w14:paraId="03E7F414" w14:textId="53977FB4" w:rsidR="003460DA" w:rsidRPr="00DB71D4" w:rsidRDefault="003460DA" w:rsidP="003460DA">
      <w:pPr>
        <w:pStyle w:val="Caption"/>
        <w:keepNext/>
      </w:pPr>
      <w:bookmarkStart w:id="9" w:name="_Ref175913961"/>
      <w:r w:rsidRPr="00DB71D4">
        <w:t xml:space="preserve">Table </w:t>
      </w:r>
      <w:r w:rsidRPr="00DB71D4">
        <w:fldChar w:fldCharType="begin" w:fldLock="1"/>
      </w:r>
      <w:r w:rsidRPr="00DB71D4">
        <w:instrText xml:space="preserve"> SEQ Table \* ARABIC </w:instrText>
      </w:r>
      <w:r w:rsidRPr="00DB71D4">
        <w:fldChar w:fldCharType="separate"/>
      </w:r>
      <w:r w:rsidRPr="00DB71D4">
        <w:rPr>
          <w:noProof/>
        </w:rPr>
        <w:t>1</w:t>
      </w:r>
      <w:r w:rsidRPr="00DB71D4">
        <w:fldChar w:fldCharType="end"/>
      </w:r>
      <w:bookmarkEnd w:id="9"/>
      <w:r w:rsidRPr="00DB71D4">
        <w:t>: PBS utilisation of ProZero listings</w:t>
      </w:r>
      <w:r w:rsidR="00720F30" w:rsidRPr="00DB71D4">
        <w:t xml:space="preserve"> (items 09309Y and 09308X)</w:t>
      </w:r>
      <w:r w:rsidRPr="00DB71D4">
        <w:t xml:space="preserve"> from 1 July 2023 to 30 June 2024</w:t>
      </w:r>
    </w:p>
    <w:tbl>
      <w:tblPr>
        <w:tblStyle w:val="TableGrid"/>
        <w:tblW w:w="5000" w:type="pct"/>
        <w:tblLook w:val="04A0" w:firstRow="1" w:lastRow="0" w:firstColumn="1" w:lastColumn="0" w:noHBand="0" w:noVBand="1"/>
        <w:tblCaption w:val="Table 1: PBS utilisation of ProZero listings (items 09309Y and 09308X) from 1 July 2023 to 30 June 2024"/>
      </w:tblPr>
      <w:tblGrid>
        <w:gridCol w:w="4390"/>
        <w:gridCol w:w="985"/>
        <w:gridCol w:w="2157"/>
        <w:gridCol w:w="1484"/>
      </w:tblGrid>
      <w:tr w:rsidR="000F736C" w:rsidRPr="00DB71D4" w14:paraId="7E00861D" w14:textId="77777777" w:rsidTr="00363154">
        <w:tc>
          <w:tcPr>
            <w:tcW w:w="2435" w:type="pct"/>
          </w:tcPr>
          <w:p w14:paraId="70475E0B" w14:textId="77777777"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p>
        </w:tc>
        <w:tc>
          <w:tcPr>
            <w:tcW w:w="546" w:type="pct"/>
          </w:tcPr>
          <w:p w14:paraId="7CEFD08A" w14:textId="129A515C"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r w:rsidRPr="00DB71D4">
              <w:rPr>
                <w:rFonts w:ascii="Arial Narrow" w:hAnsi="Arial Narrow"/>
                <w:b/>
                <w:bCs/>
                <w:iCs/>
                <w:sz w:val="20"/>
                <w:szCs w:val="20"/>
              </w:rPr>
              <w:t>Patients</w:t>
            </w:r>
          </w:p>
        </w:tc>
        <w:tc>
          <w:tcPr>
            <w:tcW w:w="1196" w:type="pct"/>
          </w:tcPr>
          <w:p w14:paraId="17204AC7" w14:textId="452FE3E7"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r w:rsidRPr="00DB71D4">
              <w:rPr>
                <w:rFonts w:ascii="Arial Narrow" w:hAnsi="Arial Narrow"/>
                <w:b/>
                <w:bCs/>
                <w:iCs/>
                <w:sz w:val="20"/>
                <w:szCs w:val="20"/>
              </w:rPr>
              <w:t>Prescriptions supplied</w:t>
            </w:r>
          </w:p>
        </w:tc>
        <w:tc>
          <w:tcPr>
            <w:tcW w:w="823" w:type="pct"/>
          </w:tcPr>
          <w:p w14:paraId="4CE16585" w14:textId="5946F892"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r w:rsidRPr="00DB71D4">
              <w:rPr>
                <w:rFonts w:ascii="Arial Narrow" w:hAnsi="Arial Narrow"/>
                <w:b/>
                <w:bCs/>
                <w:iCs/>
                <w:sz w:val="20"/>
                <w:szCs w:val="20"/>
              </w:rPr>
              <w:t>Benefits paid</w:t>
            </w:r>
          </w:p>
        </w:tc>
      </w:tr>
      <w:tr w:rsidR="000F736C" w:rsidRPr="00DB71D4" w14:paraId="3CA36FF2" w14:textId="77777777" w:rsidTr="00363154">
        <w:tc>
          <w:tcPr>
            <w:tcW w:w="2435" w:type="pct"/>
          </w:tcPr>
          <w:p w14:paraId="75260ED4" w14:textId="007AB23E"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r w:rsidRPr="00DB71D4">
              <w:rPr>
                <w:rFonts w:ascii="Arial Narrow" w:hAnsi="Arial Narrow"/>
                <w:iCs/>
                <w:sz w:val="20"/>
                <w:szCs w:val="20"/>
              </w:rPr>
              <w:t>Current market</w:t>
            </w:r>
          </w:p>
        </w:tc>
        <w:tc>
          <w:tcPr>
            <w:tcW w:w="546" w:type="pct"/>
          </w:tcPr>
          <w:p w14:paraId="5013C470" w14:textId="7E14B64F"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iCs/>
                <w:sz w:val="20"/>
                <w:szCs w:val="20"/>
              </w:rPr>
              <w:t>243</w:t>
            </w:r>
          </w:p>
        </w:tc>
        <w:tc>
          <w:tcPr>
            <w:tcW w:w="1196" w:type="pct"/>
          </w:tcPr>
          <w:p w14:paraId="2163EC68" w14:textId="7BA2E0F8"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iCs/>
                <w:sz w:val="20"/>
                <w:szCs w:val="20"/>
              </w:rPr>
              <w:t>909</w:t>
            </w:r>
          </w:p>
        </w:tc>
        <w:tc>
          <w:tcPr>
            <w:tcW w:w="823" w:type="pct"/>
          </w:tcPr>
          <w:p w14:paraId="117124F4" w14:textId="329D819B"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iCs/>
                <w:sz w:val="20"/>
                <w:szCs w:val="20"/>
              </w:rPr>
              <w:t>$239,040</w:t>
            </w:r>
          </w:p>
        </w:tc>
      </w:tr>
      <w:tr w:rsidR="000F736C" w:rsidRPr="00DB71D4" w14:paraId="66B5AD06" w14:textId="77777777" w:rsidTr="00363154">
        <w:tc>
          <w:tcPr>
            <w:tcW w:w="2435" w:type="pct"/>
          </w:tcPr>
          <w:p w14:paraId="650A5F71" w14:textId="19DBCA22"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r w:rsidRPr="00DB71D4">
              <w:rPr>
                <w:rFonts w:ascii="Arial Narrow" w:hAnsi="Arial Narrow"/>
                <w:iCs/>
                <w:sz w:val="20"/>
                <w:szCs w:val="20"/>
              </w:rPr>
              <w:t>*Restricted market - children aged from 1</w:t>
            </w:r>
            <w:r w:rsidR="00592EC8" w:rsidRPr="00DB71D4">
              <w:rPr>
                <w:rFonts w:ascii="Arial Narrow" w:hAnsi="Arial Narrow"/>
                <w:iCs/>
                <w:sz w:val="20"/>
                <w:szCs w:val="20"/>
              </w:rPr>
              <w:t>-15</w:t>
            </w:r>
            <w:r w:rsidRPr="00DB71D4">
              <w:rPr>
                <w:rFonts w:ascii="Arial Narrow" w:hAnsi="Arial Narrow"/>
                <w:iCs/>
                <w:sz w:val="20"/>
                <w:szCs w:val="20"/>
              </w:rPr>
              <w:t xml:space="preserve"> year</w:t>
            </w:r>
            <w:r w:rsidR="00592EC8" w:rsidRPr="00DB71D4">
              <w:rPr>
                <w:rFonts w:ascii="Arial Narrow" w:hAnsi="Arial Narrow"/>
                <w:iCs/>
                <w:sz w:val="20"/>
                <w:szCs w:val="20"/>
              </w:rPr>
              <w:t>s</w:t>
            </w:r>
            <w:r w:rsidRPr="00DB71D4">
              <w:rPr>
                <w:rFonts w:ascii="Arial Narrow" w:hAnsi="Arial Narrow"/>
                <w:iCs/>
                <w:sz w:val="20"/>
                <w:szCs w:val="20"/>
              </w:rPr>
              <w:t xml:space="preserve">, </w:t>
            </w:r>
            <w:r w:rsidR="00592EC8" w:rsidRPr="00DB71D4">
              <w:rPr>
                <w:rFonts w:ascii="Arial Narrow" w:hAnsi="Arial Narrow"/>
                <w:iCs/>
                <w:sz w:val="20"/>
                <w:szCs w:val="20"/>
              </w:rPr>
              <w:t>females aged 16-44 years (</w:t>
            </w:r>
            <w:r w:rsidRPr="00DB71D4">
              <w:rPr>
                <w:rFonts w:ascii="Arial Narrow" w:hAnsi="Arial Narrow"/>
                <w:iCs/>
                <w:sz w:val="20"/>
                <w:szCs w:val="20"/>
              </w:rPr>
              <w:t>pre-conception/pregnant women</w:t>
            </w:r>
            <w:r w:rsidR="00592EC8" w:rsidRPr="00DB71D4">
              <w:rPr>
                <w:rFonts w:ascii="Arial Narrow" w:hAnsi="Arial Narrow"/>
                <w:iCs/>
                <w:sz w:val="20"/>
                <w:szCs w:val="20"/>
              </w:rPr>
              <w:t>)</w:t>
            </w:r>
            <w:r w:rsidRPr="00DB71D4">
              <w:rPr>
                <w:rFonts w:ascii="Arial Narrow" w:hAnsi="Arial Narrow"/>
                <w:iCs/>
                <w:sz w:val="20"/>
                <w:szCs w:val="20"/>
              </w:rPr>
              <w:t xml:space="preserve">, </w:t>
            </w:r>
            <w:r w:rsidR="00592EC8" w:rsidRPr="00DB71D4">
              <w:rPr>
                <w:rFonts w:ascii="Arial Narrow" w:hAnsi="Arial Narrow"/>
                <w:iCs/>
                <w:sz w:val="20"/>
                <w:szCs w:val="20"/>
              </w:rPr>
              <w:t>female and male patients aged</w:t>
            </w:r>
            <w:r w:rsidR="00363154" w:rsidRPr="00DB71D4">
              <w:rPr>
                <w:rFonts w:ascii="Arial Narrow" w:hAnsi="Arial Narrow"/>
                <w:iCs/>
                <w:sz w:val="20"/>
                <w:szCs w:val="20"/>
              </w:rPr>
              <w:t xml:space="preserve"> </w:t>
            </w:r>
            <w:r w:rsidRPr="00DB71D4">
              <w:rPr>
                <w:rFonts w:ascii="Arial Narrow" w:hAnsi="Arial Narrow"/>
                <w:iCs/>
                <w:sz w:val="20"/>
                <w:szCs w:val="20"/>
              </w:rPr>
              <w:t>65 years</w:t>
            </w:r>
            <w:r w:rsidR="00592EC8" w:rsidRPr="00DB71D4">
              <w:rPr>
                <w:rFonts w:ascii="Arial Narrow" w:hAnsi="Arial Narrow"/>
                <w:iCs/>
                <w:sz w:val="20"/>
                <w:szCs w:val="20"/>
              </w:rPr>
              <w:t xml:space="preserve"> or older</w:t>
            </w:r>
          </w:p>
        </w:tc>
        <w:tc>
          <w:tcPr>
            <w:tcW w:w="546" w:type="pct"/>
          </w:tcPr>
          <w:p w14:paraId="59FC6BA8" w14:textId="156F231A"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iCs/>
                <w:sz w:val="20"/>
                <w:szCs w:val="20"/>
              </w:rPr>
              <w:t>188</w:t>
            </w:r>
          </w:p>
        </w:tc>
        <w:tc>
          <w:tcPr>
            <w:tcW w:w="1196" w:type="pct"/>
          </w:tcPr>
          <w:p w14:paraId="43BB04AA" w14:textId="63A26174"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iCs/>
                <w:sz w:val="20"/>
                <w:szCs w:val="20"/>
              </w:rPr>
              <w:t>655</w:t>
            </w:r>
          </w:p>
        </w:tc>
        <w:tc>
          <w:tcPr>
            <w:tcW w:w="823" w:type="pct"/>
          </w:tcPr>
          <w:p w14:paraId="78AED887" w14:textId="67818424"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iCs/>
                <w:sz w:val="20"/>
                <w:szCs w:val="20"/>
              </w:rPr>
              <w:t>$173,910</w:t>
            </w:r>
          </w:p>
        </w:tc>
      </w:tr>
      <w:tr w:rsidR="000F736C" w:rsidRPr="00DB71D4" w14:paraId="3DDF7918" w14:textId="77777777" w:rsidTr="00363154">
        <w:tc>
          <w:tcPr>
            <w:tcW w:w="2435" w:type="pct"/>
          </w:tcPr>
          <w:p w14:paraId="62BBB44A" w14:textId="6EB75395" w:rsidR="000F736C" w:rsidRPr="00DB71D4" w:rsidRDefault="000F736C" w:rsidP="000F736C">
            <w:pPr>
              <w:pStyle w:val="3-BodyText"/>
              <w:numPr>
                <w:ilvl w:val="0"/>
                <w:numId w:val="0"/>
              </w:numPr>
              <w:spacing w:before="0" w:after="0"/>
              <w:rPr>
                <w:rFonts w:ascii="Arial Narrow" w:hAnsi="Arial Narrow" w:cstheme="minorHAnsi"/>
                <w:b/>
                <w:bCs/>
                <w:iCs/>
                <w:sz w:val="20"/>
                <w:szCs w:val="20"/>
              </w:rPr>
            </w:pPr>
            <w:r w:rsidRPr="00DB71D4">
              <w:rPr>
                <w:rFonts w:ascii="Arial Narrow" w:hAnsi="Arial Narrow"/>
                <w:b/>
                <w:bCs/>
                <w:iCs/>
                <w:sz w:val="20"/>
                <w:szCs w:val="20"/>
              </w:rPr>
              <w:t>Difference</w:t>
            </w:r>
          </w:p>
        </w:tc>
        <w:tc>
          <w:tcPr>
            <w:tcW w:w="546" w:type="pct"/>
          </w:tcPr>
          <w:p w14:paraId="5600776A" w14:textId="0A0E7AA9"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b/>
                <w:bCs/>
                <w:iCs/>
                <w:sz w:val="20"/>
                <w:szCs w:val="20"/>
              </w:rPr>
              <w:t>-23%</w:t>
            </w:r>
          </w:p>
        </w:tc>
        <w:tc>
          <w:tcPr>
            <w:tcW w:w="1196" w:type="pct"/>
          </w:tcPr>
          <w:p w14:paraId="6AF1F300" w14:textId="68845EDD"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b/>
                <w:bCs/>
                <w:iCs/>
                <w:sz w:val="20"/>
                <w:szCs w:val="20"/>
              </w:rPr>
              <w:t>-28%</w:t>
            </w:r>
          </w:p>
        </w:tc>
        <w:tc>
          <w:tcPr>
            <w:tcW w:w="823" w:type="pct"/>
          </w:tcPr>
          <w:p w14:paraId="5F042A81" w14:textId="39382A57" w:rsidR="000F736C" w:rsidRPr="00DB71D4" w:rsidRDefault="000F736C" w:rsidP="000F736C">
            <w:pPr>
              <w:pStyle w:val="3-BodyText"/>
              <w:numPr>
                <w:ilvl w:val="0"/>
                <w:numId w:val="0"/>
              </w:numPr>
              <w:spacing w:before="0" w:after="0"/>
              <w:jc w:val="center"/>
              <w:rPr>
                <w:rFonts w:ascii="Arial Narrow" w:hAnsi="Arial Narrow" w:cstheme="minorHAnsi"/>
                <w:b/>
                <w:bCs/>
                <w:iCs/>
                <w:sz w:val="20"/>
                <w:szCs w:val="20"/>
              </w:rPr>
            </w:pPr>
            <w:r w:rsidRPr="00DB71D4">
              <w:rPr>
                <w:rFonts w:ascii="Arial Narrow" w:hAnsi="Arial Narrow"/>
                <w:b/>
                <w:bCs/>
                <w:iCs/>
                <w:sz w:val="20"/>
                <w:szCs w:val="20"/>
              </w:rPr>
              <w:t>-27%</w:t>
            </w:r>
          </w:p>
        </w:tc>
      </w:tr>
    </w:tbl>
    <w:p w14:paraId="075F830E" w14:textId="77777777" w:rsidR="00BD385F" w:rsidRPr="00DB71D4" w:rsidRDefault="006D5EA0" w:rsidP="00BD385F">
      <w:pPr>
        <w:pStyle w:val="3-BodyText"/>
        <w:numPr>
          <w:ilvl w:val="0"/>
          <w:numId w:val="0"/>
        </w:numPr>
        <w:spacing w:before="0" w:after="0"/>
        <w:ind w:left="720" w:hanging="720"/>
        <w:rPr>
          <w:rFonts w:ascii="Arial Narrow" w:hAnsi="Arial Narrow" w:cstheme="minorHAnsi"/>
          <w:iCs/>
          <w:sz w:val="18"/>
          <w:szCs w:val="18"/>
        </w:rPr>
      </w:pPr>
      <w:r w:rsidRPr="00DB71D4">
        <w:rPr>
          <w:rFonts w:ascii="Arial Narrow" w:hAnsi="Arial Narrow" w:cstheme="minorHAnsi"/>
          <w:iCs/>
          <w:sz w:val="18"/>
          <w:szCs w:val="18"/>
        </w:rPr>
        <w:t xml:space="preserve">Source: </w:t>
      </w:r>
      <w:r w:rsidR="00F4316A" w:rsidRPr="00DB71D4">
        <w:rPr>
          <w:rFonts w:ascii="Arial Narrow" w:hAnsi="Arial Narrow" w:cstheme="minorHAnsi"/>
          <w:iCs/>
          <w:sz w:val="18"/>
          <w:szCs w:val="18"/>
        </w:rPr>
        <w:t xml:space="preserve">Table provided </w:t>
      </w:r>
      <w:r w:rsidRPr="00DB71D4">
        <w:rPr>
          <w:rFonts w:ascii="Arial Narrow" w:hAnsi="Arial Narrow" w:cstheme="minorHAnsi"/>
          <w:iCs/>
          <w:sz w:val="18"/>
          <w:szCs w:val="18"/>
        </w:rPr>
        <w:t>by the evaluation</w:t>
      </w:r>
    </w:p>
    <w:p w14:paraId="2C94E201" w14:textId="65E46E12" w:rsidR="006D5EA0" w:rsidRPr="00DB71D4" w:rsidRDefault="00BE2D11" w:rsidP="00BD385F">
      <w:pPr>
        <w:pStyle w:val="3-BodyText"/>
        <w:numPr>
          <w:ilvl w:val="0"/>
          <w:numId w:val="0"/>
        </w:numPr>
        <w:spacing w:before="0" w:after="0"/>
        <w:ind w:left="720" w:hanging="720"/>
        <w:rPr>
          <w:rFonts w:ascii="Arial Narrow" w:hAnsi="Arial Narrow" w:cstheme="minorHAnsi"/>
          <w:iCs/>
          <w:sz w:val="18"/>
          <w:szCs w:val="18"/>
        </w:rPr>
      </w:pPr>
      <w:r w:rsidRPr="00DB71D4">
        <w:rPr>
          <w:rFonts w:ascii="Arial Narrow" w:hAnsi="Arial Narrow" w:cstheme="minorHAnsi"/>
          <w:iCs/>
          <w:sz w:val="18"/>
          <w:szCs w:val="18"/>
        </w:rPr>
        <w:t>*</w:t>
      </w:r>
      <w:r w:rsidR="006D5EA0" w:rsidRPr="00DB71D4">
        <w:rPr>
          <w:rFonts w:ascii="Arial Narrow" w:hAnsi="Arial Narrow" w:cstheme="minorHAnsi"/>
          <w:iCs/>
          <w:sz w:val="18"/>
          <w:szCs w:val="18"/>
        </w:rPr>
        <w:t>Men aged 16 to 64 years, Women aged 45 to 64 years and Children under 1 year were excluded from the restricted market</w:t>
      </w:r>
      <w:r w:rsidR="00B81C14" w:rsidRPr="00DB71D4">
        <w:rPr>
          <w:rFonts w:ascii="Arial Narrow" w:hAnsi="Arial Narrow" w:cstheme="minorHAnsi"/>
          <w:iCs/>
          <w:sz w:val="18"/>
          <w:szCs w:val="18"/>
        </w:rPr>
        <w:t>.</w:t>
      </w:r>
    </w:p>
    <w:p w14:paraId="66FD0F4E" w14:textId="48D4B09C" w:rsidR="00BE2D11" w:rsidRPr="00DB71D4" w:rsidRDefault="00BE2D11">
      <w:pPr>
        <w:pStyle w:val="3-BodyText"/>
        <w:numPr>
          <w:ilvl w:val="0"/>
          <w:numId w:val="0"/>
        </w:numPr>
        <w:spacing w:before="0" w:after="0"/>
        <w:rPr>
          <w:rFonts w:ascii="Arial Narrow" w:hAnsi="Arial Narrow" w:cstheme="minorHAnsi"/>
          <w:iCs/>
          <w:sz w:val="18"/>
          <w:szCs w:val="18"/>
        </w:rPr>
      </w:pPr>
      <w:r w:rsidRPr="00DB71D4">
        <w:rPr>
          <w:rFonts w:ascii="Arial Narrow" w:hAnsi="Arial Narrow" w:cstheme="minorHAnsi"/>
          <w:iCs/>
          <w:sz w:val="18"/>
          <w:szCs w:val="18"/>
        </w:rPr>
        <w:t>Data was extracted from the PBS database maintained by Department of Health and Aged Care, processed by Services Australia based on the date of supply.</w:t>
      </w:r>
    </w:p>
    <w:p w14:paraId="59802C64" w14:textId="6CB0BD4C" w:rsidR="0038593C" w:rsidRPr="00DB71D4" w:rsidRDefault="00BE2D11" w:rsidP="00126AF8">
      <w:pPr>
        <w:pStyle w:val="3-BodyText"/>
        <w:rPr>
          <w:rFonts w:cstheme="minorHAnsi"/>
          <w:szCs w:val="24"/>
        </w:rPr>
      </w:pPr>
      <w:r w:rsidRPr="00DB71D4">
        <w:t>The</w:t>
      </w:r>
      <w:r w:rsidR="00C1178B" w:rsidRPr="00DB71D4">
        <w:t xml:space="preserve"> evaluation further showed that </w:t>
      </w:r>
      <w:r w:rsidR="0062226F" w:rsidRPr="00DB71D4">
        <w:t>since its listing in 2010</w:t>
      </w:r>
      <w:r w:rsidR="00C1178B" w:rsidRPr="00DB71D4">
        <w:t xml:space="preserve">, the </w:t>
      </w:r>
      <w:r w:rsidR="0062226F" w:rsidRPr="00DB71D4">
        <w:t xml:space="preserve">PBS utilisation for </w:t>
      </w:r>
      <w:r w:rsidR="00C1178B" w:rsidRPr="00DB71D4">
        <w:t>ProZero (1</w:t>
      </w:r>
      <w:r w:rsidR="00AD320D">
        <w:t> </w:t>
      </w:r>
      <w:r w:rsidR="00C1178B" w:rsidRPr="00DB71D4">
        <w:t>L and 250 m</w:t>
      </w:r>
      <w:r w:rsidR="00441FFB" w:rsidRPr="00DB71D4">
        <w:t>L</w:t>
      </w:r>
      <w:r w:rsidR="00C1178B" w:rsidRPr="00DB71D4">
        <w:t>)</w:t>
      </w:r>
      <w:r w:rsidR="0062226F" w:rsidRPr="00DB71D4">
        <w:t xml:space="preserve"> has been unstable</w:t>
      </w:r>
      <w:r w:rsidR="004924F4" w:rsidRPr="00DB71D4">
        <w:t>,</w:t>
      </w:r>
      <w:r w:rsidR="0062226F" w:rsidRPr="00DB71D4">
        <w:t xml:space="preserve"> reaching a high of 1</w:t>
      </w:r>
      <w:r w:rsidR="00A37CF4" w:rsidRPr="00DB71D4">
        <w:t>,</w:t>
      </w:r>
      <w:r w:rsidR="0062226F" w:rsidRPr="00DB71D4">
        <w:t>061 prescriptions in 2016</w:t>
      </w:r>
      <w:r w:rsidR="0038593C" w:rsidRPr="00DB71D4">
        <w:t xml:space="preserve"> (</w:t>
      </w:r>
      <w:r w:rsidR="003460DA" w:rsidRPr="00DB71D4">
        <w:fldChar w:fldCharType="begin" w:fldLock="1"/>
      </w:r>
      <w:r w:rsidR="003460DA" w:rsidRPr="00DB71D4">
        <w:instrText xml:space="preserve"> REF _Ref175914114 \h  \* MERGEFORMAT </w:instrText>
      </w:r>
      <w:r w:rsidR="003460DA" w:rsidRPr="00DB71D4">
        <w:fldChar w:fldCharType="separate"/>
      </w:r>
      <w:r w:rsidR="003460DA" w:rsidRPr="00DB71D4">
        <w:t xml:space="preserve">Table </w:t>
      </w:r>
      <w:r w:rsidR="003460DA" w:rsidRPr="00DB71D4">
        <w:rPr>
          <w:noProof/>
        </w:rPr>
        <w:t>2</w:t>
      </w:r>
      <w:r w:rsidR="003460DA" w:rsidRPr="00DB71D4">
        <w:fldChar w:fldCharType="end"/>
      </w:r>
      <w:r w:rsidR="0038593C" w:rsidRPr="00DB71D4">
        <w:t>)</w:t>
      </w:r>
      <w:r w:rsidR="0093155D" w:rsidRPr="00DB71D4">
        <w:t>.</w:t>
      </w:r>
    </w:p>
    <w:p w14:paraId="146F7454" w14:textId="7CCB4544" w:rsidR="003460DA" w:rsidRPr="00DB71D4" w:rsidRDefault="003460DA" w:rsidP="00066932">
      <w:pPr>
        <w:pStyle w:val="Caption"/>
        <w:keepNext/>
        <w:keepLines/>
      </w:pPr>
      <w:bookmarkStart w:id="10" w:name="_Ref175914114"/>
      <w:r w:rsidRPr="00DB71D4">
        <w:t xml:space="preserve">Table </w:t>
      </w:r>
      <w:r w:rsidRPr="00DB71D4">
        <w:fldChar w:fldCharType="begin" w:fldLock="1"/>
      </w:r>
      <w:r w:rsidRPr="00DB71D4">
        <w:instrText xml:space="preserve"> SEQ Table \* ARABIC </w:instrText>
      </w:r>
      <w:r w:rsidRPr="00DB71D4">
        <w:fldChar w:fldCharType="separate"/>
      </w:r>
      <w:r w:rsidRPr="00DB71D4">
        <w:rPr>
          <w:noProof/>
        </w:rPr>
        <w:t>2</w:t>
      </w:r>
      <w:r w:rsidRPr="00DB71D4">
        <w:fldChar w:fldCharType="end"/>
      </w:r>
      <w:bookmarkEnd w:id="10"/>
      <w:r w:rsidRPr="00DB71D4">
        <w:t xml:space="preserve">: Utilisation of PBS items '09309Y' (ProZero </w:t>
      </w:r>
      <w:r w:rsidR="00AD320D">
        <w:t>1 L</w:t>
      </w:r>
      <w:r w:rsidRPr="00DB71D4">
        <w:t>) and'09308X' (ProZero 250 ml) by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Utilisation of PBS items '09309Y' (ProZero 1 L) and'09308X' (ProZero 250 ml) by year"/>
      </w:tblPr>
      <w:tblGrid>
        <w:gridCol w:w="2722"/>
        <w:gridCol w:w="1293"/>
        <w:gridCol w:w="3129"/>
        <w:gridCol w:w="1872"/>
      </w:tblGrid>
      <w:tr w:rsidR="0038593C" w:rsidRPr="00DB71D4" w14:paraId="7F1E1BC3" w14:textId="77777777" w:rsidTr="00066932">
        <w:trPr>
          <w:trHeight w:val="227"/>
        </w:trPr>
        <w:tc>
          <w:tcPr>
            <w:tcW w:w="1510" w:type="pct"/>
            <w:shd w:val="clear" w:color="auto" w:fill="auto"/>
            <w:noWrap/>
            <w:vAlign w:val="bottom"/>
            <w:hideMark/>
          </w:tcPr>
          <w:p w14:paraId="6FB9DFFA" w14:textId="77777777" w:rsidR="0038593C" w:rsidRPr="0037769B" w:rsidRDefault="0038593C" w:rsidP="00066932">
            <w:pPr>
              <w:keepNext/>
              <w:keepLines/>
              <w:jc w:val="center"/>
              <w:rPr>
                <w:rFonts w:ascii="Arial Narrow" w:hAnsi="Arial Narrow" w:cs="Calibri"/>
                <w:b/>
                <w:bCs/>
                <w:iCs/>
                <w:sz w:val="20"/>
                <w:szCs w:val="20"/>
              </w:rPr>
            </w:pPr>
            <w:r w:rsidRPr="0037769B">
              <w:rPr>
                <w:rFonts w:ascii="Arial Narrow" w:hAnsi="Arial Narrow" w:cs="Calibri"/>
                <w:b/>
                <w:bCs/>
                <w:iCs/>
                <w:sz w:val="20"/>
                <w:szCs w:val="20"/>
              </w:rPr>
              <w:t>Year</w:t>
            </w:r>
          </w:p>
        </w:tc>
        <w:tc>
          <w:tcPr>
            <w:tcW w:w="717" w:type="pct"/>
            <w:shd w:val="clear" w:color="auto" w:fill="auto"/>
            <w:noWrap/>
            <w:vAlign w:val="bottom"/>
            <w:hideMark/>
          </w:tcPr>
          <w:p w14:paraId="48D2662B" w14:textId="77777777" w:rsidR="0038593C" w:rsidRPr="0037769B" w:rsidRDefault="0038593C" w:rsidP="00066932">
            <w:pPr>
              <w:keepNext/>
              <w:keepLines/>
              <w:jc w:val="center"/>
              <w:rPr>
                <w:rFonts w:ascii="Arial Narrow" w:hAnsi="Arial Narrow" w:cs="Calibri"/>
                <w:b/>
                <w:bCs/>
                <w:iCs/>
                <w:sz w:val="20"/>
                <w:szCs w:val="20"/>
              </w:rPr>
            </w:pPr>
            <w:r w:rsidRPr="0037769B">
              <w:rPr>
                <w:rFonts w:ascii="Arial Narrow" w:hAnsi="Arial Narrow" w:cs="Calibri"/>
                <w:b/>
                <w:bCs/>
                <w:iCs/>
                <w:sz w:val="20"/>
                <w:szCs w:val="20"/>
              </w:rPr>
              <w:t>Patients</w:t>
            </w:r>
          </w:p>
        </w:tc>
        <w:tc>
          <w:tcPr>
            <w:tcW w:w="1735" w:type="pct"/>
            <w:shd w:val="clear" w:color="auto" w:fill="auto"/>
            <w:noWrap/>
            <w:vAlign w:val="bottom"/>
            <w:hideMark/>
          </w:tcPr>
          <w:p w14:paraId="4AA64C46" w14:textId="77777777" w:rsidR="0038593C" w:rsidRPr="0037769B" w:rsidRDefault="0038593C" w:rsidP="00066932">
            <w:pPr>
              <w:keepNext/>
              <w:keepLines/>
              <w:jc w:val="center"/>
              <w:rPr>
                <w:rFonts w:ascii="Arial Narrow" w:hAnsi="Arial Narrow" w:cs="Calibri"/>
                <w:b/>
                <w:bCs/>
                <w:iCs/>
                <w:sz w:val="20"/>
                <w:szCs w:val="20"/>
              </w:rPr>
            </w:pPr>
            <w:r w:rsidRPr="0037769B">
              <w:rPr>
                <w:rFonts w:ascii="Arial Narrow" w:hAnsi="Arial Narrow" w:cs="Calibri"/>
                <w:b/>
                <w:bCs/>
                <w:iCs/>
                <w:sz w:val="20"/>
                <w:szCs w:val="20"/>
              </w:rPr>
              <w:t>Prescriptions supplied</w:t>
            </w:r>
          </w:p>
        </w:tc>
        <w:tc>
          <w:tcPr>
            <w:tcW w:w="1038" w:type="pct"/>
            <w:shd w:val="clear" w:color="auto" w:fill="auto"/>
            <w:noWrap/>
            <w:vAlign w:val="bottom"/>
            <w:hideMark/>
          </w:tcPr>
          <w:p w14:paraId="68C8EC4C" w14:textId="77777777" w:rsidR="0038593C" w:rsidRPr="0037769B" w:rsidRDefault="0038593C" w:rsidP="00066932">
            <w:pPr>
              <w:keepNext/>
              <w:keepLines/>
              <w:jc w:val="center"/>
              <w:rPr>
                <w:rFonts w:ascii="Arial Narrow" w:hAnsi="Arial Narrow" w:cs="Calibri"/>
                <w:b/>
                <w:bCs/>
                <w:iCs/>
                <w:sz w:val="20"/>
                <w:szCs w:val="20"/>
              </w:rPr>
            </w:pPr>
            <w:r w:rsidRPr="0037769B">
              <w:rPr>
                <w:rFonts w:ascii="Arial Narrow" w:hAnsi="Arial Narrow" w:cs="Calibri"/>
                <w:b/>
                <w:bCs/>
                <w:iCs/>
                <w:sz w:val="20"/>
                <w:szCs w:val="20"/>
              </w:rPr>
              <w:t>Benefits paid</w:t>
            </w:r>
          </w:p>
        </w:tc>
      </w:tr>
      <w:tr w:rsidR="0038593C" w:rsidRPr="00DB71D4" w14:paraId="556FCB5C" w14:textId="77777777" w:rsidTr="00066932">
        <w:trPr>
          <w:trHeight w:val="227"/>
        </w:trPr>
        <w:tc>
          <w:tcPr>
            <w:tcW w:w="1510" w:type="pct"/>
            <w:shd w:val="clear" w:color="auto" w:fill="auto"/>
            <w:noWrap/>
            <w:vAlign w:val="bottom"/>
            <w:hideMark/>
          </w:tcPr>
          <w:p w14:paraId="411C0738"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2010</w:t>
            </w:r>
          </w:p>
        </w:tc>
        <w:tc>
          <w:tcPr>
            <w:tcW w:w="717" w:type="pct"/>
            <w:shd w:val="clear" w:color="auto" w:fill="auto"/>
            <w:noWrap/>
            <w:vAlign w:val="bottom"/>
            <w:hideMark/>
          </w:tcPr>
          <w:p w14:paraId="6B4DC11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209</w:t>
            </w:r>
          </w:p>
        </w:tc>
        <w:tc>
          <w:tcPr>
            <w:tcW w:w="1735" w:type="pct"/>
            <w:shd w:val="clear" w:color="auto" w:fill="auto"/>
            <w:noWrap/>
            <w:vAlign w:val="bottom"/>
            <w:hideMark/>
          </w:tcPr>
          <w:p w14:paraId="20F56FB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409</w:t>
            </w:r>
          </w:p>
        </w:tc>
        <w:tc>
          <w:tcPr>
            <w:tcW w:w="1038" w:type="pct"/>
            <w:shd w:val="clear" w:color="auto" w:fill="auto"/>
            <w:noWrap/>
            <w:vAlign w:val="bottom"/>
            <w:hideMark/>
          </w:tcPr>
          <w:p w14:paraId="02CB89BD"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$131,000</w:t>
            </w:r>
          </w:p>
        </w:tc>
      </w:tr>
      <w:tr w:rsidR="0038593C" w:rsidRPr="00DB71D4" w14:paraId="518F6F31" w14:textId="77777777" w:rsidTr="00066932">
        <w:trPr>
          <w:trHeight w:val="227"/>
        </w:trPr>
        <w:tc>
          <w:tcPr>
            <w:tcW w:w="1510" w:type="pct"/>
            <w:shd w:val="clear" w:color="auto" w:fill="auto"/>
            <w:noWrap/>
            <w:vAlign w:val="bottom"/>
            <w:hideMark/>
          </w:tcPr>
          <w:p w14:paraId="3CD96F00"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2011</w:t>
            </w:r>
          </w:p>
        </w:tc>
        <w:tc>
          <w:tcPr>
            <w:tcW w:w="717" w:type="pct"/>
            <w:shd w:val="clear" w:color="auto" w:fill="auto"/>
            <w:noWrap/>
            <w:vAlign w:val="bottom"/>
            <w:hideMark/>
          </w:tcPr>
          <w:p w14:paraId="7C84370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264</w:t>
            </w:r>
          </w:p>
        </w:tc>
        <w:tc>
          <w:tcPr>
            <w:tcW w:w="1735" w:type="pct"/>
            <w:shd w:val="clear" w:color="auto" w:fill="auto"/>
            <w:noWrap/>
            <w:vAlign w:val="bottom"/>
            <w:hideMark/>
          </w:tcPr>
          <w:p w14:paraId="773FF430"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715</w:t>
            </w:r>
          </w:p>
        </w:tc>
        <w:tc>
          <w:tcPr>
            <w:tcW w:w="1038" w:type="pct"/>
            <w:shd w:val="clear" w:color="auto" w:fill="auto"/>
            <w:noWrap/>
            <w:vAlign w:val="bottom"/>
            <w:hideMark/>
          </w:tcPr>
          <w:p w14:paraId="6B87BDF6"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$225,281</w:t>
            </w:r>
          </w:p>
        </w:tc>
      </w:tr>
      <w:tr w:rsidR="0038593C" w:rsidRPr="00DB71D4" w14:paraId="194A0EBB" w14:textId="77777777" w:rsidTr="00066932">
        <w:trPr>
          <w:trHeight w:val="227"/>
        </w:trPr>
        <w:tc>
          <w:tcPr>
            <w:tcW w:w="1510" w:type="pct"/>
            <w:shd w:val="clear" w:color="auto" w:fill="auto"/>
            <w:noWrap/>
            <w:vAlign w:val="bottom"/>
            <w:hideMark/>
          </w:tcPr>
          <w:p w14:paraId="06A98924"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2012</w:t>
            </w:r>
          </w:p>
        </w:tc>
        <w:tc>
          <w:tcPr>
            <w:tcW w:w="717" w:type="pct"/>
            <w:shd w:val="clear" w:color="auto" w:fill="auto"/>
            <w:noWrap/>
            <w:vAlign w:val="bottom"/>
            <w:hideMark/>
          </w:tcPr>
          <w:p w14:paraId="30FED17E"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284</w:t>
            </w:r>
          </w:p>
        </w:tc>
        <w:tc>
          <w:tcPr>
            <w:tcW w:w="1735" w:type="pct"/>
            <w:shd w:val="clear" w:color="auto" w:fill="auto"/>
            <w:noWrap/>
            <w:vAlign w:val="bottom"/>
            <w:hideMark/>
          </w:tcPr>
          <w:p w14:paraId="3AB79714"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845</w:t>
            </w:r>
          </w:p>
        </w:tc>
        <w:tc>
          <w:tcPr>
            <w:tcW w:w="1038" w:type="pct"/>
            <w:shd w:val="clear" w:color="auto" w:fill="auto"/>
            <w:noWrap/>
            <w:vAlign w:val="bottom"/>
            <w:hideMark/>
          </w:tcPr>
          <w:p w14:paraId="302BBEF8"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$249,705</w:t>
            </w:r>
          </w:p>
        </w:tc>
      </w:tr>
      <w:tr w:rsidR="0038593C" w:rsidRPr="00DB71D4" w14:paraId="2F3573AB" w14:textId="77777777" w:rsidTr="00066932">
        <w:trPr>
          <w:trHeight w:val="227"/>
        </w:trPr>
        <w:tc>
          <w:tcPr>
            <w:tcW w:w="1510" w:type="pct"/>
            <w:shd w:val="clear" w:color="auto" w:fill="auto"/>
            <w:noWrap/>
            <w:vAlign w:val="bottom"/>
            <w:hideMark/>
          </w:tcPr>
          <w:p w14:paraId="4923DF38"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2013</w:t>
            </w:r>
          </w:p>
        </w:tc>
        <w:tc>
          <w:tcPr>
            <w:tcW w:w="717" w:type="pct"/>
            <w:shd w:val="clear" w:color="auto" w:fill="auto"/>
            <w:noWrap/>
            <w:vAlign w:val="bottom"/>
            <w:hideMark/>
          </w:tcPr>
          <w:p w14:paraId="00374588"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316</w:t>
            </w:r>
          </w:p>
        </w:tc>
        <w:tc>
          <w:tcPr>
            <w:tcW w:w="1735" w:type="pct"/>
            <w:shd w:val="clear" w:color="auto" w:fill="auto"/>
            <w:noWrap/>
            <w:vAlign w:val="bottom"/>
            <w:hideMark/>
          </w:tcPr>
          <w:p w14:paraId="6373323E" w14:textId="02713C1C"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w:t>
            </w:r>
            <w:r w:rsidR="00A37CF4" w:rsidRPr="0037769B">
              <w:rPr>
                <w:rFonts w:ascii="Arial Narrow" w:hAnsi="Arial Narrow" w:cs="Calibri"/>
                <w:iCs/>
                <w:sz w:val="20"/>
                <w:szCs w:val="20"/>
              </w:rPr>
              <w:t>,</w:t>
            </w:r>
            <w:r w:rsidRPr="0037769B">
              <w:rPr>
                <w:rFonts w:ascii="Arial Narrow" w:hAnsi="Arial Narrow" w:cs="Calibri"/>
                <w:iCs/>
                <w:sz w:val="20"/>
                <w:szCs w:val="20"/>
              </w:rPr>
              <w:t>012</w:t>
            </w:r>
          </w:p>
        </w:tc>
        <w:tc>
          <w:tcPr>
            <w:tcW w:w="1038" w:type="pct"/>
            <w:shd w:val="clear" w:color="auto" w:fill="auto"/>
            <w:noWrap/>
            <w:vAlign w:val="bottom"/>
            <w:hideMark/>
          </w:tcPr>
          <w:p w14:paraId="555B6B6F"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$303,900</w:t>
            </w:r>
          </w:p>
        </w:tc>
      </w:tr>
      <w:tr w:rsidR="0038593C" w:rsidRPr="00DB71D4" w14:paraId="5BE2892A" w14:textId="77777777" w:rsidTr="00066932">
        <w:trPr>
          <w:trHeight w:val="227"/>
        </w:trPr>
        <w:tc>
          <w:tcPr>
            <w:tcW w:w="1510" w:type="pct"/>
            <w:shd w:val="clear" w:color="auto" w:fill="auto"/>
            <w:noWrap/>
            <w:vAlign w:val="bottom"/>
            <w:hideMark/>
          </w:tcPr>
          <w:p w14:paraId="30A321A4"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2014</w:t>
            </w:r>
          </w:p>
        </w:tc>
        <w:tc>
          <w:tcPr>
            <w:tcW w:w="717" w:type="pct"/>
            <w:shd w:val="clear" w:color="auto" w:fill="auto"/>
            <w:noWrap/>
            <w:vAlign w:val="bottom"/>
            <w:hideMark/>
          </w:tcPr>
          <w:p w14:paraId="7D4E6518"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304</w:t>
            </w:r>
          </w:p>
        </w:tc>
        <w:tc>
          <w:tcPr>
            <w:tcW w:w="1735" w:type="pct"/>
            <w:shd w:val="clear" w:color="auto" w:fill="auto"/>
            <w:noWrap/>
            <w:vAlign w:val="bottom"/>
            <w:hideMark/>
          </w:tcPr>
          <w:p w14:paraId="438945BA"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987</w:t>
            </w:r>
          </w:p>
        </w:tc>
        <w:tc>
          <w:tcPr>
            <w:tcW w:w="1038" w:type="pct"/>
            <w:shd w:val="clear" w:color="auto" w:fill="auto"/>
            <w:noWrap/>
            <w:vAlign w:val="bottom"/>
            <w:hideMark/>
          </w:tcPr>
          <w:p w14:paraId="0444BBBA"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$303,095</w:t>
            </w:r>
          </w:p>
        </w:tc>
      </w:tr>
      <w:tr w:rsidR="0038593C" w:rsidRPr="00DB71D4" w14:paraId="13A9FE3B" w14:textId="77777777" w:rsidTr="00066932">
        <w:trPr>
          <w:trHeight w:val="227"/>
        </w:trPr>
        <w:tc>
          <w:tcPr>
            <w:tcW w:w="1510" w:type="pct"/>
            <w:shd w:val="clear" w:color="auto" w:fill="auto"/>
            <w:noWrap/>
            <w:vAlign w:val="bottom"/>
            <w:hideMark/>
          </w:tcPr>
          <w:p w14:paraId="1CB4EBBF"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2015</w:t>
            </w:r>
          </w:p>
        </w:tc>
        <w:tc>
          <w:tcPr>
            <w:tcW w:w="717" w:type="pct"/>
            <w:shd w:val="clear" w:color="auto" w:fill="auto"/>
            <w:noWrap/>
            <w:vAlign w:val="bottom"/>
            <w:hideMark/>
          </w:tcPr>
          <w:p w14:paraId="63C4CFE8"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282</w:t>
            </w:r>
          </w:p>
        </w:tc>
        <w:tc>
          <w:tcPr>
            <w:tcW w:w="1735" w:type="pct"/>
            <w:shd w:val="clear" w:color="auto" w:fill="auto"/>
            <w:noWrap/>
            <w:vAlign w:val="bottom"/>
            <w:hideMark/>
          </w:tcPr>
          <w:p w14:paraId="1068E91A" w14:textId="7ECD1B59"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w:t>
            </w:r>
            <w:r w:rsidR="00A37CF4" w:rsidRPr="0037769B">
              <w:rPr>
                <w:rFonts w:ascii="Arial Narrow" w:hAnsi="Arial Narrow" w:cs="Calibri"/>
                <w:iCs/>
                <w:sz w:val="20"/>
                <w:szCs w:val="20"/>
              </w:rPr>
              <w:t>,</w:t>
            </w:r>
            <w:r w:rsidRPr="0037769B">
              <w:rPr>
                <w:rFonts w:ascii="Arial Narrow" w:hAnsi="Arial Narrow" w:cs="Calibri"/>
                <w:iCs/>
                <w:sz w:val="20"/>
                <w:szCs w:val="20"/>
              </w:rPr>
              <w:t>021</w:t>
            </w:r>
          </w:p>
        </w:tc>
        <w:tc>
          <w:tcPr>
            <w:tcW w:w="1038" w:type="pct"/>
            <w:shd w:val="clear" w:color="auto" w:fill="auto"/>
            <w:noWrap/>
            <w:vAlign w:val="bottom"/>
            <w:hideMark/>
          </w:tcPr>
          <w:p w14:paraId="23C33A8D"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$302,906</w:t>
            </w:r>
          </w:p>
        </w:tc>
      </w:tr>
      <w:tr w:rsidR="0038593C" w:rsidRPr="00DB71D4" w14:paraId="5370773B" w14:textId="77777777" w:rsidTr="00066932">
        <w:trPr>
          <w:trHeight w:val="227"/>
        </w:trPr>
        <w:tc>
          <w:tcPr>
            <w:tcW w:w="1510" w:type="pct"/>
            <w:shd w:val="clear" w:color="auto" w:fill="auto"/>
            <w:noWrap/>
            <w:vAlign w:val="bottom"/>
            <w:hideMark/>
          </w:tcPr>
          <w:p w14:paraId="7B8ACA16"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2016</w:t>
            </w:r>
          </w:p>
        </w:tc>
        <w:tc>
          <w:tcPr>
            <w:tcW w:w="717" w:type="pct"/>
            <w:shd w:val="clear" w:color="auto" w:fill="auto"/>
            <w:noWrap/>
            <w:vAlign w:val="bottom"/>
            <w:hideMark/>
          </w:tcPr>
          <w:p w14:paraId="1677B81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270</w:t>
            </w:r>
          </w:p>
        </w:tc>
        <w:tc>
          <w:tcPr>
            <w:tcW w:w="1735" w:type="pct"/>
            <w:shd w:val="clear" w:color="auto" w:fill="auto"/>
            <w:noWrap/>
            <w:vAlign w:val="bottom"/>
            <w:hideMark/>
          </w:tcPr>
          <w:p w14:paraId="09DDF4D8" w14:textId="00081552"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w:t>
            </w:r>
            <w:r w:rsidR="00A37CF4" w:rsidRPr="0037769B">
              <w:rPr>
                <w:rFonts w:ascii="Arial Narrow" w:hAnsi="Arial Narrow" w:cs="Calibri"/>
                <w:iCs/>
                <w:sz w:val="20"/>
                <w:szCs w:val="20"/>
              </w:rPr>
              <w:t>,</w:t>
            </w:r>
            <w:r w:rsidRPr="0037769B">
              <w:rPr>
                <w:rFonts w:ascii="Arial Narrow" w:hAnsi="Arial Narrow" w:cs="Calibri"/>
                <w:iCs/>
                <w:sz w:val="20"/>
                <w:szCs w:val="20"/>
              </w:rPr>
              <w:t>061</w:t>
            </w:r>
          </w:p>
        </w:tc>
        <w:tc>
          <w:tcPr>
            <w:tcW w:w="1038" w:type="pct"/>
            <w:shd w:val="clear" w:color="auto" w:fill="auto"/>
            <w:noWrap/>
            <w:vAlign w:val="bottom"/>
            <w:hideMark/>
          </w:tcPr>
          <w:p w14:paraId="2306B592"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$299,770</w:t>
            </w:r>
          </w:p>
        </w:tc>
      </w:tr>
      <w:tr w:rsidR="0038593C" w:rsidRPr="00DB71D4" w14:paraId="02A1B79D" w14:textId="77777777" w:rsidTr="00066932">
        <w:trPr>
          <w:trHeight w:val="227"/>
        </w:trPr>
        <w:tc>
          <w:tcPr>
            <w:tcW w:w="1510" w:type="pct"/>
            <w:shd w:val="clear" w:color="auto" w:fill="auto"/>
            <w:noWrap/>
            <w:vAlign w:val="bottom"/>
            <w:hideMark/>
          </w:tcPr>
          <w:p w14:paraId="1C9B006E"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2017</w:t>
            </w:r>
          </w:p>
        </w:tc>
        <w:tc>
          <w:tcPr>
            <w:tcW w:w="717" w:type="pct"/>
            <w:shd w:val="clear" w:color="auto" w:fill="auto"/>
            <w:noWrap/>
            <w:vAlign w:val="bottom"/>
            <w:hideMark/>
          </w:tcPr>
          <w:p w14:paraId="016C4851"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252</w:t>
            </w:r>
          </w:p>
        </w:tc>
        <w:tc>
          <w:tcPr>
            <w:tcW w:w="1735" w:type="pct"/>
            <w:shd w:val="clear" w:color="auto" w:fill="auto"/>
            <w:noWrap/>
            <w:vAlign w:val="bottom"/>
            <w:hideMark/>
          </w:tcPr>
          <w:p w14:paraId="321F026D"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990</w:t>
            </w:r>
          </w:p>
        </w:tc>
        <w:tc>
          <w:tcPr>
            <w:tcW w:w="1038" w:type="pct"/>
            <w:shd w:val="clear" w:color="auto" w:fill="auto"/>
            <w:noWrap/>
            <w:vAlign w:val="bottom"/>
            <w:hideMark/>
          </w:tcPr>
          <w:p w14:paraId="6AACCF83"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$282,923</w:t>
            </w:r>
          </w:p>
        </w:tc>
      </w:tr>
      <w:tr w:rsidR="0038593C" w:rsidRPr="00DB71D4" w14:paraId="65F6CDA0" w14:textId="77777777" w:rsidTr="00066932">
        <w:trPr>
          <w:trHeight w:val="227"/>
        </w:trPr>
        <w:tc>
          <w:tcPr>
            <w:tcW w:w="1510" w:type="pct"/>
            <w:shd w:val="clear" w:color="auto" w:fill="auto"/>
            <w:noWrap/>
            <w:vAlign w:val="bottom"/>
            <w:hideMark/>
          </w:tcPr>
          <w:p w14:paraId="110DA3C2"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2018</w:t>
            </w:r>
          </w:p>
        </w:tc>
        <w:tc>
          <w:tcPr>
            <w:tcW w:w="717" w:type="pct"/>
            <w:shd w:val="clear" w:color="auto" w:fill="auto"/>
            <w:noWrap/>
            <w:vAlign w:val="bottom"/>
            <w:hideMark/>
          </w:tcPr>
          <w:p w14:paraId="534FF2EA"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251</w:t>
            </w:r>
          </w:p>
        </w:tc>
        <w:tc>
          <w:tcPr>
            <w:tcW w:w="1735" w:type="pct"/>
            <w:shd w:val="clear" w:color="auto" w:fill="auto"/>
            <w:noWrap/>
            <w:vAlign w:val="bottom"/>
            <w:hideMark/>
          </w:tcPr>
          <w:p w14:paraId="3D26D6A5" w14:textId="1CC8BDA3"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w:t>
            </w:r>
            <w:r w:rsidR="00A37CF4" w:rsidRPr="0037769B">
              <w:rPr>
                <w:rFonts w:ascii="Arial Narrow" w:hAnsi="Arial Narrow" w:cs="Calibri"/>
                <w:iCs/>
                <w:sz w:val="20"/>
                <w:szCs w:val="20"/>
              </w:rPr>
              <w:t>,</w:t>
            </w:r>
            <w:r w:rsidRPr="0037769B">
              <w:rPr>
                <w:rFonts w:ascii="Arial Narrow" w:hAnsi="Arial Narrow" w:cs="Calibri"/>
                <w:iCs/>
                <w:sz w:val="20"/>
                <w:szCs w:val="20"/>
              </w:rPr>
              <w:t>054</w:t>
            </w:r>
          </w:p>
        </w:tc>
        <w:tc>
          <w:tcPr>
            <w:tcW w:w="1038" w:type="pct"/>
            <w:shd w:val="clear" w:color="auto" w:fill="auto"/>
            <w:noWrap/>
            <w:vAlign w:val="bottom"/>
            <w:hideMark/>
          </w:tcPr>
          <w:p w14:paraId="1605576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$306,683</w:t>
            </w:r>
          </w:p>
        </w:tc>
      </w:tr>
      <w:tr w:rsidR="0038593C" w:rsidRPr="00DB71D4" w14:paraId="10C6D05D" w14:textId="77777777" w:rsidTr="00066932">
        <w:trPr>
          <w:trHeight w:val="227"/>
        </w:trPr>
        <w:tc>
          <w:tcPr>
            <w:tcW w:w="1510" w:type="pct"/>
            <w:shd w:val="clear" w:color="auto" w:fill="auto"/>
            <w:noWrap/>
            <w:vAlign w:val="bottom"/>
            <w:hideMark/>
          </w:tcPr>
          <w:p w14:paraId="483B70B4"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2019</w:t>
            </w:r>
          </w:p>
        </w:tc>
        <w:tc>
          <w:tcPr>
            <w:tcW w:w="717" w:type="pct"/>
            <w:shd w:val="clear" w:color="auto" w:fill="auto"/>
            <w:noWrap/>
            <w:vAlign w:val="bottom"/>
            <w:hideMark/>
          </w:tcPr>
          <w:p w14:paraId="2B5F93B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245</w:t>
            </w:r>
          </w:p>
        </w:tc>
        <w:tc>
          <w:tcPr>
            <w:tcW w:w="1735" w:type="pct"/>
            <w:shd w:val="clear" w:color="auto" w:fill="auto"/>
            <w:noWrap/>
            <w:vAlign w:val="bottom"/>
            <w:hideMark/>
          </w:tcPr>
          <w:p w14:paraId="0CB2A3A8" w14:textId="4CE325B6"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w:t>
            </w:r>
            <w:r w:rsidR="00A37CF4" w:rsidRPr="0037769B">
              <w:rPr>
                <w:rFonts w:ascii="Arial Narrow" w:hAnsi="Arial Narrow" w:cs="Calibri"/>
                <w:iCs/>
                <w:sz w:val="20"/>
                <w:szCs w:val="20"/>
              </w:rPr>
              <w:t>,</w:t>
            </w:r>
            <w:r w:rsidRPr="0037769B">
              <w:rPr>
                <w:rFonts w:ascii="Arial Narrow" w:hAnsi="Arial Narrow" w:cs="Calibri"/>
                <w:iCs/>
                <w:sz w:val="20"/>
                <w:szCs w:val="20"/>
              </w:rPr>
              <w:t>043</w:t>
            </w:r>
          </w:p>
        </w:tc>
        <w:tc>
          <w:tcPr>
            <w:tcW w:w="1038" w:type="pct"/>
            <w:shd w:val="clear" w:color="auto" w:fill="auto"/>
            <w:noWrap/>
            <w:vAlign w:val="bottom"/>
            <w:hideMark/>
          </w:tcPr>
          <w:p w14:paraId="3C3D2525"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$299,862</w:t>
            </w:r>
          </w:p>
        </w:tc>
      </w:tr>
      <w:tr w:rsidR="0038593C" w:rsidRPr="00DB71D4" w14:paraId="002E900E" w14:textId="77777777" w:rsidTr="00066932">
        <w:trPr>
          <w:trHeight w:val="227"/>
        </w:trPr>
        <w:tc>
          <w:tcPr>
            <w:tcW w:w="1510" w:type="pct"/>
            <w:shd w:val="clear" w:color="auto" w:fill="auto"/>
            <w:noWrap/>
            <w:vAlign w:val="bottom"/>
            <w:hideMark/>
          </w:tcPr>
          <w:p w14:paraId="3634440C"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2020</w:t>
            </w:r>
          </w:p>
        </w:tc>
        <w:tc>
          <w:tcPr>
            <w:tcW w:w="717" w:type="pct"/>
            <w:shd w:val="clear" w:color="auto" w:fill="auto"/>
            <w:noWrap/>
            <w:vAlign w:val="bottom"/>
            <w:hideMark/>
          </w:tcPr>
          <w:p w14:paraId="0E23460C"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252</w:t>
            </w:r>
          </w:p>
        </w:tc>
        <w:tc>
          <w:tcPr>
            <w:tcW w:w="1735" w:type="pct"/>
            <w:shd w:val="clear" w:color="auto" w:fill="auto"/>
            <w:noWrap/>
            <w:vAlign w:val="bottom"/>
            <w:hideMark/>
          </w:tcPr>
          <w:p w14:paraId="7A42EAFC" w14:textId="59F25EAA"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w:t>
            </w:r>
            <w:r w:rsidR="00A37CF4" w:rsidRPr="0037769B">
              <w:rPr>
                <w:rFonts w:ascii="Arial Narrow" w:hAnsi="Arial Narrow" w:cs="Calibri"/>
                <w:iCs/>
                <w:sz w:val="20"/>
                <w:szCs w:val="20"/>
              </w:rPr>
              <w:t>,</w:t>
            </w:r>
            <w:r w:rsidRPr="0037769B">
              <w:rPr>
                <w:rFonts w:ascii="Arial Narrow" w:hAnsi="Arial Narrow" w:cs="Calibri"/>
                <w:iCs/>
                <w:sz w:val="20"/>
                <w:szCs w:val="20"/>
              </w:rPr>
              <w:t>051</w:t>
            </w:r>
          </w:p>
        </w:tc>
        <w:tc>
          <w:tcPr>
            <w:tcW w:w="1038" w:type="pct"/>
            <w:shd w:val="clear" w:color="auto" w:fill="auto"/>
            <w:noWrap/>
            <w:vAlign w:val="bottom"/>
            <w:hideMark/>
          </w:tcPr>
          <w:p w14:paraId="743DC153"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$280,480</w:t>
            </w:r>
          </w:p>
        </w:tc>
      </w:tr>
      <w:tr w:rsidR="0038593C" w:rsidRPr="00DB71D4" w14:paraId="355DB6CE" w14:textId="77777777" w:rsidTr="00066932">
        <w:trPr>
          <w:trHeight w:val="227"/>
        </w:trPr>
        <w:tc>
          <w:tcPr>
            <w:tcW w:w="1510" w:type="pct"/>
            <w:shd w:val="clear" w:color="auto" w:fill="auto"/>
            <w:noWrap/>
            <w:vAlign w:val="bottom"/>
            <w:hideMark/>
          </w:tcPr>
          <w:p w14:paraId="1559292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2021</w:t>
            </w:r>
          </w:p>
        </w:tc>
        <w:tc>
          <w:tcPr>
            <w:tcW w:w="717" w:type="pct"/>
            <w:shd w:val="clear" w:color="auto" w:fill="auto"/>
            <w:noWrap/>
            <w:vAlign w:val="bottom"/>
            <w:hideMark/>
          </w:tcPr>
          <w:p w14:paraId="188C7C43"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257</w:t>
            </w:r>
          </w:p>
        </w:tc>
        <w:tc>
          <w:tcPr>
            <w:tcW w:w="1735" w:type="pct"/>
            <w:shd w:val="clear" w:color="auto" w:fill="auto"/>
            <w:noWrap/>
            <w:vAlign w:val="bottom"/>
            <w:hideMark/>
          </w:tcPr>
          <w:p w14:paraId="6087D5EF"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998</w:t>
            </w:r>
          </w:p>
        </w:tc>
        <w:tc>
          <w:tcPr>
            <w:tcW w:w="1038" w:type="pct"/>
            <w:shd w:val="clear" w:color="auto" w:fill="auto"/>
            <w:noWrap/>
            <w:vAlign w:val="bottom"/>
            <w:hideMark/>
          </w:tcPr>
          <w:p w14:paraId="56271BAE"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$262,232</w:t>
            </w:r>
          </w:p>
        </w:tc>
      </w:tr>
      <w:tr w:rsidR="0038593C" w:rsidRPr="00DB71D4" w14:paraId="6D1C4D96" w14:textId="77777777" w:rsidTr="00066932">
        <w:trPr>
          <w:trHeight w:val="227"/>
        </w:trPr>
        <w:tc>
          <w:tcPr>
            <w:tcW w:w="1510" w:type="pct"/>
            <w:shd w:val="clear" w:color="auto" w:fill="auto"/>
            <w:noWrap/>
            <w:vAlign w:val="bottom"/>
            <w:hideMark/>
          </w:tcPr>
          <w:p w14:paraId="673AD972"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2022</w:t>
            </w:r>
          </w:p>
        </w:tc>
        <w:tc>
          <w:tcPr>
            <w:tcW w:w="717" w:type="pct"/>
            <w:shd w:val="clear" w:color="auto" w:fill="auto"/>
            <w:noWrap/>
            <w:vAlign w:val="bottom"/>
            <w:hideMark/>
          </w:tcPr>
          <w:p w14:paraId="57B4D7BC"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263</w:t>
            </w:r>
          </w:p>
        </w:tc>
        <w:tc>
          <w:tcPr>
            <w:tcW w:w="1735" w:type="pct"/>
            <w:shd w:val="clear" w:color="auto" w:fill="auto"/>
            <w:noWrap/>
            <w:vAlign w:val="bottom"/>
            <w:hideMark/>
          </w:tcPr>
          <w:p w14:paraId="4FC521A9"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970</w:t>
            </w:r>
          </w:p>
        </w:tc>
        <w:tc>
          <w:tcPr>
            <w:tcW w:w="1038" w:type="pct"/>
            <w:shd w:val="clear" w:color="auto" w:fill="auto"/>
            <w:noWrap/>
            <w:vAlign w:val="bottom"/>
            <w:hideMark/>
          </w:tcPr>
          <w:p w14:paraId="58A92C7B"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$254,773</w:t>
            </w:r>
          </w:p>
        </w:tc>
      </w:tr>
      <w:tr w:rsidR="0038593C" w:rsidRPr="00DB71D4" w14:paraId="65D626D5" w14:textId="77777777" w:rsidTr="00066932">
        <w:trPr>
          <w:trHeight w:val="227"/>
        </w:trPr>
        <w:tc>
          <w:tcPr>
            <w:tcW w:w="1510" w:type="pct"/>
            <w:shd w:val="clear" w:color="auto" w:fill="auto"/>
            <w:noWrap/>
            <w:vAlign w:val="bottom"/>
            <w:hideMark/>
          </w:tcPr>
          <w:p w14:paraId="71D96AB3"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2023</w:t>
            </w:r>
          </w:p>
        </w:tc>
        <w:tc>
          <w:tcPr>
            <w:tcW w:w="717" w:type="pct"/>
            <w:shd w:val="clear" w:color="auto" w:fill="auto"/>
            <w:noWrap/>
            <w:vAlign w:val="bottom"/>
            <w:hideMark/>
          </w:tcPr>
          <w:p w14:paraId="3CDF54EE"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259</w:t>
            </w:r>
          </w:p>
        </w:tc>
        <w:tc>
          <w:tcPr>
            <w:tcW w:w="1735" w:type="pct"/>
            <w:shd w:val="clear" w:color="auto" w:fill="auto"/>
            <w:noWrap/>
            <w:vAlign w:val="bottom"/>
            <w:hideMark/>
          </w:tcPr>
          <w:p w14:paraId="5ECA0AB2"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938</w:t>
            </w:r>
          </w:p>
        </w:tc>
        <w:tc>
          <w:tcPr>
            <w:tcW w:w="1038" w:type="pct"/>
            <w:shd w:val="clear" w:color="auto" w:fill="auto"/>
            <w:noWrap/>
            <w:vAlign w:val="bottom"/>
            <w:hideMark/>
          </w:tcPr>
          <w:p w14:paraId="08093F83"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$246,240</w:t>
            </w:r>
          </w:p>
        </w:tc>
      </w:tr>
      <w:tr w:rsidR="0038593C" w:rsidRPr="00DB71D4" w14:paraId="56883C43" w14:textId="77777777" w:rsidTr="00066932">
        <w:trPr>
          <w:trHeight w:val="227"/>
        </w:trPr>
        <w:tc>
          <w:tcPr>
            <w:tcW w:w="1510" w:type="pct"/>
            <w:shd w:val="clear" w:color="auto" w:fill="auto"/>
            <w:noWrap/>
            <w:vAlign w:val="bottom"/>
            <w:hideMark/>
          </w:tcPr>
          <w:p w14:paraId="639C9397"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2024 (YTD 30 June)</w:t>
            </w:r>
          </w:p>
        </w:tc>
        <w:tc>
          <w:tcPr>
            <w:tcW w:w="717" w:type="pct"/>
            <w:shd w:val="clear" w:color="auto" w:fill="auto"/>
            <w:noWrap/>
            <w:vAlign w:val="bottom"/>
            <w:hideMark/>
          </w:tcPr>
          <w:p w14:paraId="08D6FC5F"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193</w:t>
            </w:r>
          </w:p>
        </w:tc>
        <w:tc>
          <w:tcPr>
            <w:tcW w:w="1735" w:type="pct"/>
            <w:shd w:val="clear" w:color="auto" w:fill="auto"/>
            <w:noWrap/>
            <w:vAlign w:val="bottom"/>
            <w:hideMark/>
          </w:tcPr>
          <w:p w14:paraId="3A9C8D4C"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418</w:t>
            </w:r>
          </w:p>
        </w:tc>
        <w:tc>
          <w:tcPr>
            <w:tcW w:w="1038" w:type="pct"/>
            <w:shd w:val="clear" w:color="auto" w:fill="auto"/>
            <w:noWrap/>
            <w:vAlign w:val="bottom"/>
            <w:hideMark/>
          </w:tcPr>
          <w:p w14:paraId="22E56CB6" w14:textId="77777777" w:rsidR="0038593C" w:rsidRPr="0037769B" w:rsidRDefault="0038593C" w:rsidP="00066932">
            <w:pPr>
              <w:keepNext/>
              <w:keepLines/>
              <w:jc w:val="center"/>
              <w:rPr>
                <w:rFonts w:ascii="Arial Narrow" w:hAnsi="Arial Narrow" w:cs="Calibri"/>
                <w:iCs/>
                <w:sz w:val="20"/>
                <w:szCs w:val="20"/>
              </w:rPr>
            </w:pPr>
            <w:r w:rsidRPr="0037769B">
              <w:rPr>
                <w:rFonts w:ascii="Arial Narrow" w:hAnsi="Arial Narrow" w:cs="Calibri"/>
                <w:iCs/>
                <w:sz w:val="20"/>
                <w:szCs w:val="20"/>
              </w:rPr>
              <w:t>$110,561</w:t>
            </w:r>
          </w:p>
        </w:tc>
      </w:tr>
    </w:tbl>
    <w:p w14:paraId="08D57A53" w14:textId="2161EA84" w:rsidR="0038593C" w:rsidRPr="00DB71D4" w:rsidRDefault="0038593C" w:rsidP="00066932">
      <w:pPr>
        <w:pStyle w:val="3-BodyText"/>
        <w:keepNext/>
        <w:keepLines/>
        <w:numPr>
          <w:ilvl w:val="0"/>
          <w:numId w:val="0"/>
        </w:numPr>
        <w:spacing w:before="0" w:after="0"/>
        <w:ind w:left="720" w:hanging="720"/>
        <w:rPr>
          <w:rFonts w:ascii="Arial Narrow" w:hAnsi="Arial Narrow" w:cstheme="minorHAnsi"/>
          <w:iCs/>
          <w:sz w:val="18"/>
          <w:szCs w:val="18"/>
        </w:rPr>
      </w:pPr>
      <w:r w:rsidRPr="00DB71D4">
        <w:rPr>
          <w:rFonts w:ascii="Arial Narrow" w:hAnsi="Arial Narrow" w:cstheme="minorHAnsi"/>
          <w:iCs/>
          <w:sz w:val="18"/>
          <w:szCs w:val="18"/>
        </w:rPr>
        <w:t xml:space="preserve">Source: </w:t>
      </w:r>
      <w:r w:rsidR="00F4316A" w:rsidRPr="00DB71D4">
        <w:rPr>
          <w:rFonts w:ascii="Arial Narrow" w:hAnsi="Arial Narrow" w:cstheme="minorHAnsi"/>
          <w:iCs/>
          <w:sz w:val="18"/>
          <w:szCs w:val="18"/>
        </w:rPr>
        <w:t>Table provided</w:t>
      </w:r>
      <w:r w:rsidRPr="00DB71D4">
        <w:rPr>
          <w:rFonts w:ascii="Arial Narrow" w:hAnsi="Arial Narrow" w:cstheme="minorHAnsi"/>
          <w:iCs/>
          <w:sz w:val="18"/>
          <w:szCs w:val="18"/>
        </w:rPr>
        <w:t xml:space="preserve"> by the evaluation</w:t>
      </w:r>
    </w:p>
    <w:p w14:paraId="71CDA378" w14:textId="7AC511BD" w:rsidR="00653CD3" w:rsidRPr="00DB71D4" w:rsidRDefault="0038593C">
      <w:pPr>
        <w:pStyle w:val="3-BodyText"/>
        <w:numPr>
          <w:ilvl w:val="0"/>
          <w:numId w:val="0"/>
        </w:numPr>
        <w:spacing w:before="0" w:after="0"/>
        <w:rPr>
          <w:rFonts w:ascii="Arial Narrow" w:hAnsi="Arial Narrow" w:cstheme="minorHAnsi"/>
          <w:iCs/>
          <w:sz w:val="18"/>
          <w:szCs w:val="18"/>
        </w:rPr>
      </w:pPr>
      <w:r w:rsidRPr="00DB71D4">
        <w:rPr>
          <w:rFonts w:ascii="Arial Narrow" w:hAnsi="Arial Narrow" w:cstheme="minorHAnsi"/>
          <w:iCs/>
          <w:sz w:val="18"/>
          <w:szCs w:val="18"/>
        </w:rPr>
        <w:t>Data was extracted from the PBS database maintained by Department of Health and Aged Care, processed by Services Australia based on the date of supply.</w:t>
      </w:r>
    </w:p>
    <w:p w14:paraId="5FDFCA5E" w14:textId="6C2BE32C" w:rsidR="0093155D" w:rsidRPr="00E46A81" w:rsidRDefault="0093155D" w:rsidP="0079250E">
      <w:pPr>
        <w:pStyle w:val="3-BodyText"/>
        <w:numPr>
          <w:ilvl w:val="1"/>
          <w:numId w:val="2"/>
        </w:numPr>
        <w:rPr>
          <w:i/>
          <w:iCs/>
        </w:rPr>
      </w:pPr>
      <w:r>
        <w:lastRenderedPageBreak/>
        <w:t xml:space="preserve">The submission assumed </w:t>
      </w:r>
      <w:r w:rsidRPr="0093155D">
        <w:t xml:space="preserve">no growth for the proposed market across the forward estimates. </w:t>
      </w:r>
      <w:r>
        <w:rPr>
          <w:i/>
          <w:iCs/>
        </w:rPr>
        <w:t>This is not appropriate</w:t>
      </w:r>
      <w:r w:rsidRPr="0093155D">
        <w:rPr>
          <w:i/>
          <w:iCs/>
        </w:rPr>
        <w:t xml:space="preserve">. </w:t>
      </w:r>
      <w:r w:rsidRPr="00E46A81">
        <w:rPr>
          <w:i/>
          <w:iCs/>
        </w:rPr>
        <w:t>The growth rate should be revised using trend line projection from the historical data.</w:t>
      </w:r>
      <w:r>
        <w:rPr>
          <w:i/>
          <w:iCs/>
        </w:rPr>
        <w:t xml:space="preserve"> </w:t>
      </w:r>
    </w:p>
    <w:p w14:paraId="3C71CC3F" w14:textId="3C317F0C" w:rsidR="00F26D80" w:rsidRDefault="003460DA" w:rsidP="0079250E">
      <w:pPr>
        <w:pStyle w:val="3-BodyText"/>
        <w:numPr>
          <w:ilvl w:val="1"/>
          <w:numId w:val="2"/>
        </w:numPr>
      </w:pPr>
      <w:r>
        <w:fldChar w:fldCharType="begin" w:fldLock="1"/>
      </w:r>
      <w:r>
        <w:instrText xml:space="preserve"> REF _Ref175914212 \h </w:instrText>
      </w:r>
      <w:r>
        <w:fldChar w:fldCharType="separate"/>
      </w:r>
      <w:r>
        <w:t xml:space="preserve">Table </w:t>
      </w:r>
      <w:r>
        <w:rPr>
          <w:noProof/>
        </w:rPr>
        <w:t>3</w:t>
      </w:r>
      <w:r>
        <w:fldChar w:fldCharType="end"/>
      </w:r>
      <w:r w:rsidR="00421E9B">
        <w:t xml:space="preserve"> </w:t>
      </w:r>
      <w:r w:rsidR="00D70349" w:rsidRPr="00A6439B">
        <w:t xml:space="preserve">presents the </w:t>
      </w:r>
      <w:r w:rsidR="004C098D" w:rsidRPr="006F7E84">
        <w:t xml:space="preserve">estimated extent of use, </w:t>
      </w:r>
      <w:r w:rsidR="0004049C" w:rsidRPr="00A6439B">
        <w:t>cost of</w:t>
      </w:r>
      <w:r w:rsidR="0004049C" w:rsidRPr="006F7E84">
        <w:t xml:space="preserve"> </w:t>
      </w:r>
      <w:r w:rsidR="0004049C">
        <w:t xml:space="preserve">proposed changes </w:t>
      </w:r>
      <w:r w:rsidR="004C098D" w:rsidRPr="006F7E84">
        <w:t>and the net financial implications to the PBS/RPBS</w:t>
      </w:r>
      <w:r w:rsidR="0004049C">
        <w:t xml:space="preserve">. </w:t>
      </w:r>
      <w:r w:rsidR="004C098D" w:rsidRPr="006F7E84">
        <w:t>The financial impact to Services Australia will be determined by that agency as part of the post PBAC process.</w:t>
      </w:r>
    </w:p>
    <w:p w14:paraId="704439B4" w14:textId="0ED616A6" w:rsidR="00FB2968" w:rsidRPr="00DB71D4" w:rsidRDefault="00846E26" w:rsidP="00AE1010">
      <w:pPr>
        <w:pStyle w:val="3-BodyText"/>
        <w:numPr>
          <w:ilvl w:val="1"/>
          <w:numId w:val="2"/>
        </w:numPr>
        <w:spacing w:before="0"/>
      </w:pPr>
      <w:r>
        <w:t>The submission included the cost savings from the delisting of ProZero 250</w:t>
      </w:r>
      <w:r w:rsidR="003F5169">
        <w:t> </w:t>
      </w:r>
      <w:r>
        <w:t xml:space="preserve">mL into the financial estimates for the restriction amendments for ProZero </w:t>
      </w:r>
      <w:r w:rsidR="00AD320D">
        <w:t>1 L</w:t>
      </w:r>
      <w:r>
        <w:t xml:space="preserve">. </w:t>
      </w:r>
      <w:r w:rsidRPr="00DB71D4">
        <w:t>The evaluation noted that it is inappropriate to include the offset cost of the ProZero 250</w:t>
      </w:r>
      <w:r w:rsidR="00EE7192" w:rsidRPr="00DB71D4">
        <w:t> </w:t>
      </w:r>
      <w:r w:rsidRPr="00DB71D4">
        <w:t>mL delist to the proposed listing. The patients previously being prescribed ProZero 250</w:t>
      </w:r>
      <w:r w:rsidR="003F5169">
        <w:t> </w:t>
      </w:r>
      <w:r w:rsidRPr="00DB71D4">
        <w:t xml:space="preserve">mL are instead likely to be incorporated into the </w:t>
      </w:r>
      <w:r w:rsidR="00AD320D">
        <w:t>1 L</w:t>
      </w:r>
      <w:r w:rsidRPr="00DB71D4">
        <w:t xml:space="preserve"> market and as such, the estimated population for ProZero </w:t>
      </w:r>
      <w:r w:rsidR="00AD320D">
        <w:t>1 L</w:t>
      </w:r>
      <w:r w:rsidRPr="00DB71D4">
        <w:t xml:space="preserve"> is likely further underestimated. </w:t>
      </w:r>
    </w:p>
    <w:p w14:paraId="1C0D52DA" w14:textId="19BBB008" w:rsidR="003D3BD0" w:rsidRPr="00DF772E" w:rsidRDefault="004C098D" w:rsidP="00DF772E">
      <w:pPr>
        <w:pStyle w:val="3-BodyText"/>
        <w:numPr>
          <w:ilvl w:val="1"/>
          <w:numId w:val="2"/>
        </w:numPr>
        <w:spacing w:before="0"/>
        <w:rPr>
          <w:rFonts w:cstheme="minorHAnsi"/>
          <w:iCs/>
          <w:szCs w:val="24"/>
        </w:rPr>
      </w:pPr>
      <w:r>
        <w:t xml:space="preserve">The </w:t>
      </w:r>
      <w:r w:rsidR="0004049C">
        <w:t>submission</w:t>
      </w:r>
      <w:r>
        <w:t xml:space="preserve"> estimated that </w:t>
      </w:r>
      <w:r w:rsidR="001E088C">
        <w:t>the</w:t>
      </w:r>
      <w:r w:rsidR="003D3BD0">
        <w:t xml:space="preserve"> total number of </w:t>
      </w:r>
      <w:r w:rsidR="003F5169">
        <w:t>&lt; 500</w:t>
      </w:r>
      <w:r w:rsidR="003D3BD0">
        <w:t xml:space="preserve"> patients</w:t>
      </w:r>
      <w:r w:rsidR="001E088C">
        <w:t xml:space="preserve"> </w:t>
      </w:r>
      <w:r w:rsidR="001E088C" w:rsidRPr="00FB2968">
        <w:rPr>
          <w:rFonts w:cstheme="minorHAnsi"/>
          <w:iCs/>
          <w:szCs w:val="24"/>
        </w:rPr>
        <w:t>(</w:t>
      </w:r>
      <w:r w:rsidR="003F5169">
        <w:t xml:space="preserve">&lt; 500 </w:t>
      </w:r>
      <w:r w:rsidR="001E088C" w:rsidRPr="00FB2968">
        <w:rPr>
          <w:rFonts w:cstheme="minorHAnsi"/>
          <w:iCs/>
          <w:szCs w:val="24"/>
        </w:rPr>
        <w:t xml:space="preserve">patients per year) </w:t>
      </w:r>
      <w:r w:rsidR="003D3BD0">
        <w:t>will receive</w:t>
      </w:r>
      <w:r w:rsidRPr="009A5010">
        <w:t xml:space="preserve"> </w:t>
      </w:r>
      <w:r w:rsidR="003F5169">
        <w:t>500 to &lt; 5,000</w:t>
      </w:r>
      <w:r w:rsidRPr="009A5010">
        <w:t xml:space="preserve"> script</w:t>
      </w:r>
      <w:r>
        <w:t>s</w:t>
      </w:r>
      <w:r w:rsidRPr="009A5010">
        <w:t xml:space="preserve"> </w:t>
      </w:r>
      <w:r w:rsidR="001E088C" w:rsidRPr="00FB2968">
        <w:rPr>
          <w:rFonts w:cstheme="minorHAnsi"/>
          <w:iCs/>
          <w:szCs w:val="24"/>
        </w:rPr>
        <w:t>(</w:t>
      </w:r>
      <w:r w:rsidR="003F5169">
        <w:t xml:space="preserve">&lt; 500 </w:t>
      </w:r>
      <w:r w:rsidR="001E088C" w:rsidRPr="00FB2968">
        <w:rPr>
          <w:rFonts w:cstheme="minorHAnsi"/>
          <w:iCs/>
          <w:szCs w:val="24"/>
        </w:rPr>
        <w:t xml:space="preserve">scripts per year) </w:t>
      </w:r>
      <w:r w:rsidRPr="009A5010">
        <w:t>over the first six years of listing</w:t>
      </w:r>
      <w:r w:rsidR="003D3BD0">
        <w:t>.</w:t>
      </w:r>
      <w:r w:rsidR="001E088C" w:rsidRPr="00FB2968">
        <w:rPr>
          <w:rFonts w:cstheme="minorHAnsi"/>
          <w:iCs/>
          <w:szCs w:val="24"/>
        </w:rPr>
        <w:t xml:space="preserve"> </w:t>
      </w:r>
    </w:p>
    <w:p w14:paraId="7B22935C" w14:textId="7ED7899F" w:rsidR="004C098D" w:rsidRPr="00DB71D4" w:rsidRDefault="009D6C89" w:rsidP="0079250E">
      <w:pPr>
        <w:pStyle w:val="3-BodyText"/>
        <w:numPr>
          <w:ilvl w:val="1"/>
          <w:numId w:val="2"/>
        </w:numPr>
      </w:pPr>
      <w:bookmarkStart w:id="11" w:name="_Hlk175742785"/>
      <w:r w:rsidRPr="00A6439B">
        <w:t xml:space="preserve">The </w:t>
      </w:r>
      <w:r w:rsidRPr="0046737B">
        <w:t>submission</w:t>
      </w:r>
      <w:r w:rsidRPr="00A6439B">
        <w:t xml:space="preserve"> </w:t>
      </w:r>
      <w:r w:rsidR="00774A52">
        <w:t>estimated</w:t>
      </w:r>
      <w:r w:rsidRPr="00A6439B">
        <w:t xml:space="preserve"> that </w:t>
      </w:r>
      <w:r w:rsidR="004C098D" w:rsidRPr="009A5010">
        <w:t>the proposed</w:t>
      </w:r>
      <w:r w:rsidR="0004049C">
        <w:t xml:space="preserve"> changes to ProZero </w:t>
      </w:r>
      <w:r w:rsidR="00AD320D">
        <w:t>1 L</w:t>
      </w:r>
      <w:r w:rsidR="0004049C">
        <w:t xml:space="preserve"> </w:t>
      </w:r>
      <w:r w:rsidR="004C098D" w:rsidRPr="009A5010">
        <w:t xml:space="preserve">listing will result in a </w:t>
      </w:r>
      <w:r w:rsidR="00DF1110">
        <w:t>net</w:t>
      </w:r>
      <w:r w:rsidR="003F5169">
        <w:t xml:space="preserve"> cost</w:t>
      </w:r>
      <w:r w:rsidR="004C098D" w:rsidRPr="009A5010">
        <w:t xml:space="preserve"> sav</w:t>
      </w:r>
      <w:r w:rsidR="003F5169">
        <w:t>ing</w:t>
      </w:r>
      <w:r w:rsidR="00DF1110">
        <w:t xml:space="preserve"> </w:t>
      </w:r>
      <w:r w:rsidR="004C098D" w:rsidRPr="009A5010">
        <w:t>to the PBS/RPBS</w:t>
      </w:r>
      <w:r w:rsidR="00774A52">
        <w:rPr>
          <w:i/>
          <w:iCs/>
          <w:color w:val="000000" w:themeColor="text1"/>
        </w:rPr>
        <w:t xml:space="preserve"> </w:t>
      </w:r>
      <w:r w:rsidR="004C098D" w:rsidRPr="009A5010">
        <w:t>over a period of six years.</w:t>
      </w:r>
      <w:r>
        <w:t xml:space="preserve"> </w:t>
      </w:r>
      <w:r w:rsidRPr="00DB71D4">
        <w:t>This is likely to be an overestimate based on the</w:t>
      </w:r>
      <w:r w:rsidR="00751FBB" w:rsidRPr="00DB71D4">
        <w:t xml:space="preserve"> analysis from the</w:t>
      </w:r>
      <w:r w:rsidRPr="00DB71D4">
        <w:t xml:space="preserve"> </w:t>
      </w:r>
      <w:r w:rsidR="00C4768F" w:rsidRPr="00DB71D4">
        <w:t>evaluation above</w:t>
      </w:r>
      <w:r w:rsidRPr="00DB71D4">
        <w:t xml:space="preserve">. </w:t>
      </w:r>
    </w:p>
    <w:p w14:paraId="2326D05A" w14:textId="07D0D4F9" w:rsidR="003460DA" w:rsidRDefault="003460DA" w:rsidP="00066932">
      <w:pPr>
        <w:pStyle w:val="Caption"/>
        <w:keepNext/>
        <w:keepLines/>
      </w:pPr>
      <w:bookmarkStart w:id="12" w:name="_Ref175914212"/>
      <w:bookmarkEnd w:id="11"/>
      <w:r>
        <w:t xml:space="preserve">Table </w:t>
      </w:r>
      <w:r w:rsidR="009F6514">
        <w:fldChar w:fldCharType="begin" w:fldLock="1"/>
      </w:r>
      <w:r w:rsidR="009F6514">
        <w:instrText xml:space="preserve"> SEQ Table \* ARABIC </w:instrText>
      </w:r>
      <w:r w:rsidR="009F6514">
        <w:fldChar w:fldCharType="separate"/>
      </w:r>
      <w:r>
        <w:rPr>
          <w:noProof/>
        </w:rPr>
        <w:t>3</w:t>
      </w:r>
      <w:r w:rsidR="009F6514">
        <w:rPr>
          <w:noProof/>
        </w:rPr>
        <w:fldChar w:fldCharType="end"/>
      </w:r>
      <w:bookmarkEnd w:id="12"/>
      <w:r>
        <w:t xml:space="preserve">: </w:t>
      </w:r>
      <w:r w:rsidRPr="00CC558F">
        <w:t>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w:tblPr>
      <w:tblGrid>
        <w:gridCol w:w="2019"/>
        <w:gridCol w:w="1166"/>
        <w:gridCol w:w="1167"/>
        <w:gridCol w:w="1167"/>
        <w:gridCol w:w="1167"/>
        <w:gridCol w:w="1167"/>
        <w:gridCol w:w="1163"/>
      </w:tblGrid>
      <w:tr w:rsidR="00421E9B" w:rsidRPr="009D6C89" w14:paraId="46596EB7" w14:textId="77777777" w:rsidTr="002268A6">
        <w:trPr>
          <w:cantSplit/>
          <w:tblHeader/>
          <w:jc w:val="center"/>
        </w:trPr>
        <w:tc>
          <w:tcPr>
            <w:tcW w:w="1120" w:type="pct"/>
            <w:shd w:val="clear" w:color="auto" w:fill="auto"/>
            <w:vAlign w:val="center"/>
          </w:tcPr>
          <w:p w14:paraId="3B43E484" w14:textId="77777777" w:rsidR="00421E9B" w:rsidRPr="009D6C89" w:rsidRDefault="00421E9B" w:rsidP="00CC218A">
            <w:pPr>
              <w:pStyle w:val="TableText0"/>
              <w:keepLines/>
              <w:rPr>
                <w:szCs w:val="20"/>
              </w:rPr>
            </w:pPr>
          </w:p>
        </w:tc>
        <w:tc>
          <w:tcPr>
            <w:tcW w:w="647" w:type="pct"/>
            <w:shd w:val="clear" w:color="auto" w:fill="auto"/>
            <w:vAlign w:val="center"/>
          </w:tcPr>
          <w:p w14:paraId="36A270B3" w14:textId="77777777" w:rsidR="00421E9B" w:rsidRPr="009D6C89" w:rsidRDefault="00421E9B" w:rsidP="00CC218A">
            <w:pPr>
              <w:pStyle w:val="TableText0"/>
              <w:keepLines/>
              <w:jc w:val="center"/>
              <w:rPr>
                <w:b/>
                <w:szCs w:val="20"/>
              </w:rPr>
            </w:pPr>
            <w:r w:rsidRPr="009D6C89">
              <w:rPr>
                <w:b/>
                <w:szCs w:val="20"/>
              </w:rPr>
              <w:t>Year 1</w:t>
            </w:r>
          </w:p>
        </w:tc>
        <w:tc>
          <w:tcPr>
            <w:tcW w:w="647" w:type="pct"/>
            <w:shd w:val="clear" w:color="auto" w:fill="auto"/>
            <w:vAlign w:val="center"/>
          </w:tcPr>
          <w:p w14:paraId="10CA4737" w14:textId="77777777" w:rsidR="00421E9B" w:rsidRPr="009D6C89" w:rsidRDefault="00421E9B" w:rsidP="00CC218A">
            <w:pPr>
              <w:pStyle w:val="TableText0"/>
              <w:keepLines/>
              <w:jc w:val="center"/>
              <w:rPr>
                <w:b/>
                <w:szCs w:val="20"/>
              </w:rPr>
            </w:pPr>
            <w:r w:rsidRPr="009D6C89">
              <w:rPr>
                <w:b/>
                <w:szCs w:val="20"/>
              </w:rPr>
              <w:t>Year 2</w:t>
            </w:r>
          </w:p>
        </w:tc>
        <w:tc>
          <w:tcPr>
            <w:tcW w:w="647" w:type="pct"/>
            <w:shd w:val="clear" w:color="auto" w:fill="auto"/>
            <w:vAlign w:val="center"/>
          </w:tcPr>
          <w:p w14:paraId="3B1AC7B2" w14:textId="77777777" w:rsidR="00421E9B" w:rsidRPr="009D6C89" w:rsidRDefault="00421E9B" w:rsidP="00CC218A">
            <w:pPr>
              <w:pStyle w:val="TableText0"/>
              <w:keepLines/>
              <w:jc w:val="center"/>
              <w:rPr>
                <w:b/>
                <w:szCs w:val="20"/>
              </w:rPr>
            </w:pPr>
            <w:r w:rsidRPr="009D6C89">
              <w:rPr>
                <w:b/>
                <w:szCs w:val="20"/>
              </w:rPr>
              <w:t>Year 3</w:t>
            </w:r>
          </w:p>
        </w:tc>
        <w:tc>
          <w:tcPr>
            <w:tcW w:w="647" w:type="pct"/>
            <w:shd w:val="clear" w:color="auto" w:fill="auto"/>
            <w:vAlign w:val="center"/>
          </w:tcPr>
          <w:p w14:paraId="0D6BD2C8" w14:textId="77777777" w:rsidR="00421E9B" w:rsidRPr="009D6C89" w:rsidRDefault="00421E9B" w:rsidP="00CC218A">
            <w:pPr>
              <w:pStyle w:val="TableText0"/>
              <w:keepLines/>
              <w:jc w:val="center"/>
              <w:rPr>
                <w:b/>
                <w:szCs w:val="20"/>
              </w:rPr>
            </w:pPr>
            <w:r w:rsidRPr="009D6C89">
              <w:rPr>
                <w:b/>
                <w:szCs w:val="20"/>
              </w:rPr>
              <w:t>Year 4</w:t>
            </w:r>
          </w:p>
        </w:tc>
        <w:tc>
          <w:tcPr>
            <w:tcW w:w="647" w:type="pct"/>
            <w:shd w:val="clear" w:color="auto" w:fill="auto"/>
            <w:vAlign w:val="center"/>
          </w:tcPr>
          <w:p w14:paraId="7C81F155" w14:textId="77777777" w:rsidR="00421E9B" w:rsidRPr="009D6C89" w:rsidRDefault="00421E9B" w:rsidP="00CC218A">
            <w:pPr>
              <w:pStyle w:val="TableText0"/>
              <w:keepLines/>
              <w:jc w:val="center"/>
              <w:rPr>
                <w:b/>
                <w:szCs w:val="20"/>
              </w:rPr>
            </w:pPr>
            <w:r w:rsidRPr="009D6C89">
              <w:rPr>
                <w:b/>
                <w:szCs w:val="20"/>
              </w:rPr>
              <w:t>Year 5</w:t>
            </w:r>
          </w:p>
        </w:tc>
        <w:tc>
          <w:tcPr>
            <w:tcW w:w="645" w:type="pct"/>
          </w:tcPr>
          <w:p w14:paraId="2014504D" w14:textId="77777777" w:rsidR="00421E9B" w:rsidRPr="009D6C89" w:rsidRDefault="00421E9B" w:rsidP="00CC218A">
            <w:pPr>
              <w:pStyle w:val="TableText0"/>
              <w:keepLines/>
              <w:jc w:val="center"/>
              <w:rPr>
                <w:b/>
                <w:szCs w:val="20"/>
              </w:rPr>
            </w:pPr>
            <w:r w:rsidRPr="009D6C89">
              <w:rPr>
                <w:b/>
                <w:szCs w:val="20"/>
              </w:rPr>
              <w:t>Year 6</w:t>
            </w:r>
          </w:p>
        </w:tc>
      </w:tr>
      <w:tr w:rsidR="00421E9B" w:rsidRPr="009D6C89" w14:paraId="4A0CEA9F" w14:textId="77777777" w:rsidTr="002268A6">
        <w:trPr>
          <w:cantSplit/>
          <w:jc w:val="center"/>
        </w:trPr>
        <w:tc>
          <w:tcPr>
            <w:tcW w:w="5000" w:type="pct"/>
            <w:gridSpan w:val="7"/>
            <w:shd w:val="clear" w:color="auto" w:fill="auto"/>
            <w:vAlign w:val="center"/>
          </w:tcPr>
          <w:p w14:paraId="6FF94D07" w14:textId="77777777" w:rsidR="00421E9B" w:rsidRPr="009D6C89" w:rsidRDefault="00421E9B" w:rsidP="00CC218A">
            <w:pPr>
              <w:pStyle w:val="TableText0"/>
              <w:keepLines/>
              <w:rPr>
                <w:b/>
                <w:color w:val="000000"/>
                <w:szCs w:val="20"/>
              </w:rPr>
            </w:pPr>
            <w:r w:rsidRPr="009D6C89">
              <w:rPr>
                <w:b/>
                <w:color w:val="000000"/>
                <w:szCs w:val="20"/>
              </w:rPr>
              <w:t>Estimated extent of use</w:t>
            </w:r>
          </w:p>
        </w:tc>
      </w:tr>
      <w:tr w:rsidR="00421E9B" w:rsidRPr="009D6C89" w14:paraId="6374AD8B" w14:textId="77777777" w:rsidTr="002268A6">
        <w:trPr>
          <w:cantSplit/>
          <w:jc w:val="center"/>
        </w:trPr>
        <w:tc>
          <w:tcPr>
            <w:tcW w:w="1120" w:type="pct"/>
            <w:shd w:val="clear" w:color="auto" w:fill="auto"/>
            <w:vAlign w:val="center"/>
          </w:tcPr>
          <w:p w14:paraId="6C91B0F2" w14:textId="77777777" w:rsidR="00421E9B" w:rsidRPr="009D6C89" w:rsidRDefault="00421E9B" w:rsidP="00CC218A">
            <w:pPr>
              <w:pStyle w:val="TableText0"/>
              <w:keepLines/>
              <w:rPr>
                <w:szCs w:val="20"/>
                <w:vertAlign w:val="superscript"/>
              </w:rPr>
            </w:pPr>
            <w:r w:rsidRPr="009D6C89">
              <w:rPr>
                <w:szCs w:val="20"/>
              </w:rPr>
              <w:t xml:space="preserve">Number of scripts </w:t>
            </w:r>
          </w:p>
        </w:tc>
        <w:tc>
          <w:tcPr>
            <w:tcW w:w="647" w:type="pct"/>
            <w:shd w:val="clear" w:color="auto" w:fill="auto"/>
            <w:vAlign w:val="center"/>
          </w:tcPr>
          <w:p w14:paraId="2C3E364A" w14:textId="257AE860" w:rsidR="00421E9B" w:rsidRPr="00066932" w:rsidRDefault="006B6FFA" w:rsidP="00CC218A">
            <w:pPr>
              <w:pStyle w:val="TableText0"/>
              <w:keepLines/>
              <w:jc w:val="center"/>
              <w:rPr>
                <w:color w:val="000000"/>
                <w:szCs w:val="20"/>
                <w:vertAlign w:val="superscript"/>
              </w:rPr>
            </w:pPr>
            <w:r w:rsidRPr="006B6FFA">
              <w:rPr>
                <w:rFonts w:cs="Arial" w:hint="eastAsia"/>
                <w:color w:val="000000"/>
                <w:w w:val="15"/>
                <w:szCs w:val="20"/>
                <w:shd w:val="solid" w:color="000000" w:fill="000000"/>
                <w:fitText w:val="44" w:id="-762128375"/>
                <w14:textFill>
                  <w14:solidFill>
                    <w14:srgbClr w14:val="000000">
                      <w14:alpha w14:val="100000"/>
                    </w14:srgbClr>
                  </w14:solidFill>
                </w14:textFill>
              </w:rPr>
              <w:t xml:space="preserve">　</w:t>
            </w:r>
            <w:r w:rsidRPr="006B6FFA">
              <w:rPr>
                <w:rFonts w:cs="Arial"/>
                <w:color w:val="000000"/>
                <w:w w:val="15"/>
                <w:szCs w:val="20"/>
                <w:shd w:val="solid" w:color="000000" w:fill="000000"/>
                <w:fitText w:val="44" w:id="-762128375"/>
                <w14:textFill>
                  <w14:solidFill>
                    <w14:srgbClr w14:val="000000">
                      <w14:alpha w14:val="100000"/>
                    </w14:srgbClr>
                  </w14:solidFill>
                </w14:textFill>
              </w:rPr>
              <w:t>|</w:t>
            </w:r>
            <w:r w:rsidRPr="006B6FFA">
              <w:rPr>
                <w:rFonts w:cs="Arial" w:hint="eastAsia"/>
                <w:color w:val="000000"/>
                <w:spacing w:val="-21"/>
                <w:w w:val="15"/>
                <w:szCs w:val="20"/>
                <w:shd w:val="solid" w:color="000000" w:fill="000000"/>
                <w:fitText w:val="44" w:id="-762128375"/>
                <w14:textFill>
                  <w14:solidFill>
                    <w14:srgbClr w14:val="000000">
                      <w14:alpha w14:val="100000"/>
                    </w14:srgbClr>
                  </w14:solidFill>
                </w14:textFill>
              </w:rPr>
              <w:t xml:space="preserve">　</w:t>
            </w:r>
            <w:r w:rsidR="003F5169">
              <w:rPr>
                <w:rFonts w:cs="Arial"/>
                <w:color w:val="000000"/>
                <w:szCs w:val="20"/>
              </w:rPr>
              <w:t xml:space="preserve"> </w:t>
            </w:r>
            <w:r w:rsidR="003F5169">
              <w:rPr>
                <w:rFonts w:cs="Arial"/>
                <w:color w:val="000000"/>
                <w:szCs w:val="20"/>
                <w:vertAlign w:val="superscript"/>
              </w:rPr>
              <w:t>1</w:t>
            </w:r>
          </w:p>
        </w:tc>
        <w:tc>
          <w:tcPr>
            <w:tcW w:w="647" w:type="pct"/>
            <w:shd w:val="clear" w:color="auto" w:fill="auto"/>
            <w:vAlign w:val="center"/>
          </w:tcPr>
          <w:p w14:paraId="69B590D1" w14:textId="28A0CBB4" w:rsidR="00421E9B" w:rsidRPr="00953875" w:rsidRDefault="006B6FFA" w:rsidP="00CC218A">
            <w:pPr>
              <w:pStyle w:val="TableText0"/>
              <w:keepLines/>
              <w:jc w:val="center"/>
              <w:rPr>
                <w:color w:val="000000"/>
                <w:szCs w:val="20"/>
              </w:rPr>
            </w:pPr>
            <w:r w:rsidRPr="006B6FFA">
              <w:rPr>
                <w:rFonts w:cs="Arial" w:hint="eastAsia"/>
                <w:color w:val="000000"/>
                <w:w w:val="15"/>
                <w:szCs w:val="20"/>
                <w:shd w:val="solid" w:color="000000" w:fill="000000"/>
                <w:fitText w:val="44" w:id="-762128374"/>
                <w14:textFill>
                  <w14:solidFill>
                    <w14:srgbClr w14:val="000000">
                      <w14:alpha w14:val="100000"/>
                    </w14:srgbClr>
                  </w14:solidFill>
                </w14:textFill>
              </w:rPr>
              <w:t xml:space="preserve">　</w:t>
            </w:r>
            <w:r w:rsidRPr="006B6FFA">
              <w:rPr>
                <w:rFonts w:cs="Arial"/>
                <w:color w:val="000000"/>
                <w:w w:val="15"/>
                <w:szCs w:val="20"/>
                <w:shd w:val="solid" w:color="000000" w:fill="000000"/>
                <w:fitText w:val="44" w:id="-762128374"/>
                <w14:textFill>
                  <w14:solidFill>
                    <w14:srgbClr w14:val="000000">
                      <w14:alpha w14:val="100000"/>
                    </w14:srgbClr>
                  </w14:solidFill>
                </w14:textFill>
              </w:rPr>
              <w:t>|</w:t>
            </w:r>
            <w:r w:rsidRPr="006B6FFA">
              <w:rPr>
                <w:rFonts w:cs="Arial" w:hint="eastAsia"/>
                <w:color w:val="000000"/>
                <w:spacing w:val="-21"/>
                <w:w w:val="15"/>
                <w:szCs w:val="20"/>
                <w:shd w:val="solid" w:color="000000" w:fill="000000"/>
                <w:fitText w:val="44" w:id="-762128374"/>
                <w14:textFill>
                  <w14:solidFill>
                    <w14:srgbClr w14:val="000000">
                      <w14:alpha w14:val="100000"/>
                    </w14:srgbClr>
                  </w14:solidFill>
                </w14:textFill>
              </w:rPr>
              <w:t xml:space="preserve">　</w:t>
            </w:r>
            <w:r w:rsidR="003F5169">
              <w:rPr>
                <w:rFonts w:cs="Arial"/>
                <w:color w:val="000000"/>
                <w:szCs w:val="20"/>
              </w:rPr>
              <w:t xml:space="preserve"> </w:t>
            </w:r>
            <w:r w:rsidR="003F5169">
              <w:rPr>
                <w:rFonts w:cs="Arial"/>
                <w:color w:val="000000"/>
                <w:szCs w:val="20"/>
                <w:vertAlign w:val="superscript"/>
              </w:rPr>
              <w:t>1</w:t>
            </w:r>
          </w:p>
        </w:tc>
        <w:tc>
          <w:tcPr>
            <w:tcW w:w="647" w:type="pct"/>
            <w:shd w:val="clear" w:color="auto" w:fill="auto"/>
            <w:vAlign w:val="center"/>
          </w:tcPr>
          <w:p w14:paraId="75819D41" w14:textId="201F984B" w:rsidR="00421E9B" w:rsidRPr="00953875" w:rsidRDefault="006B6FFA" w:rsidP="00CC218A">
            <w:pPr>
              <w:pStyle w:val="TableText0"/>
              <w:keepLines/>
              <w:jc w:val="center"/>
              <w:rPr>
                <w:color w:val="000000"/>
                <w:szCs w:val="20"/>
              </w:rPr>
            </w:pPr>
            <w:r w:rsidRPr="006B6FFA">
              <w:rPr>
                <w:rFonts w:cs="Arial" w:hint="eastAsia"/>
                <w:color w:val="000000"/>
                <w:w w:val="15"/>
                <w:szCs w:val="20"/>
                <w:shd w:val="solid" w:color="000000" w:fill="000000"/>
                <w:fitText w:val="45" w:id="-762128373"/>
                <w14:textFill>
                  <w14:solidFill>
                    <w14:srgbClr w14:val="000000">
                      <w14:alpha w14:val="100000"/>
                    </w14:srgbClr>
                  </w14:solidFill>
                </w14:textFill>
              </w:rPr>
              <w:t xml:space="preserve">　</w:t>
            </w:r>
            <w:r w:rsidRPr="006B6FFA">
              <w:rPr>
                <w:rFonts w:cs="Arial"/>
                <w:color w:val="000000"/>
                <w:w w:val="15"/>
                <w:szCs w:val="20"/>
                <w:shd w:val="solid" w:color="000000" w:fill="000000"/>
                <w:fitText w:val="45" w:id="-762128373"/>
                <w14:textFill>
                  <w14:solidFill>
                    <w14:srgbClr w14:val="000000">
                      <w14:alpha w14:val="100000"/>
                    </w14:srgbClr>
                  </w14:solidFill>
                </w14:textFill>
              </w:rPr>
              <w:t>|</w:t>
            </w:r>
            <w:r w:rsidRPr="006B6FFA">
              <w:rPr>
                <w:rFonts w:cs="Arial" w:hint="eastAsia"/>
                <w:color w:val="000000"/>
                <w:spacing w:val="-20"/>
                <w:w w:val="15"/>
                <w:szCs w:val="20"/>
                <w:shd w:val="solid" w:color="000000" w:fill="000000"/>
                <w:fitText w:val="45" w:id="-762128373"/>
                <w14:textFill>
                  <w14:solidFill>
                    <w14:srgbClr w14:val="000000">
                      <w14:alpha w14:val="100000"/>
                    </w14:srgbClr>
                  </w14:solidFill>
                </w14:textFill>
              </w:rPr>
              <w:t xml:space="preserve">　</w:t>
            </w:r>
            <w:r w:rsidR="003F5169">
              <w:rPr>
                <w:rFonts w:cs="Arial"/>
                <w:color w:val="000000"/>
                <w:szCs w:val="20"/>
              </w:rPr>
              <w:t xml:space="preserve"> </w:t>
            </w:r>
            <w:r w:rsidR="003F5169">
              <w:rPr>
                <w:rFonts w:cs="Arial"/>
                <w:color w:val="000000"/>
                <w:szCs w:val="20"/>
                <w:vertAlign w:val="superscript"/>
              </w:rPr>
              <w:t>1</w:t>
            </w:r>
          </w:p>
        </w:tc>
        <w:tc>
          <w:tcPr>
            <w:tcW w:w="647" w:type="pct"/>
            <w:shd w:val="clear" w:color="auto" w:fill="auto"/>
            <w:vAlign w:val="center"/>
          </w:tcPr>
          <w:p w14:paraId="087AC612" w14:textId="79B7CDF8" w:rsidR="00421E9B" w:rsidRPr="00953875" w:rsidRDefault="006B6FFA" w:rsidP="00CC218A">
            <w:pPr>
              <w:pStyle w:val="TableText0"/>
              <w:keepLines/>
              <w:jc w:val="center"/>
              <w:rPr>
                <w:color w:val="000000"/>
                <w:szCs w:val="20"/>
              </w:rPr>
            </w:pPr>
            <w:r w:rsidRPr="006B6FFA">
              <w:rPr>
                <w:rFonts w:cs="Arial" w:hint="eastAsia"/>
                <w:color w:val="000000"/>
                <w:w w:val="15"/>
                <w:szCs w:val="20"/>
                <w:shd w:val="solid" w:color="000000" w:fill="000000"/>
                <w:fitText w:val="44" w:id="-762128372"/>
                <w14:textFill>
                  <w14:solidFill>
                    <w14:srgbClr w14:val="000000">
                      <w14:alpha w14:val="100000"/>
                    </w14:srgbClr>
                  </w14:solidFill>
                </w14:textFill>
              </w:rPr>
              <w:t xml:space="preserve">　</w:t>
            </w:r>
            <w:r w:rsidRPr="006B6FFA">
              <w:rPr>
                <w:rFonts w:cs="Arial"/>
                <w:color w:val="000000"/>
                <w:w w:val="15"/>
                <w:szCs w:val="20"/>
                <w:shd w:val="solid" w:color="000000" w:fill="000000"/>
                <w:fitText w:val="44" w:id="-762128372"/>
                <w14:textFill>
                  <w14:solidFill>
                    <w14:srgbClr w14:val="000000">
                      <w14:alpha w14:val="100000"/>
                    </w14:srgbClr>
                  </w14:solidFill>
                </w14:textFill>
              </w:rPr>
              <w:t>|</w:t>
            </w:r>
            <w:r w:rsidRPr="006B6FFA">
              <w:rPr>
                <w:rFonts w:cs="Arial" w:hint="eastAsia"/>
                <w:color w:val="000000"/>
                <w:spacing w:val="-21"/>
                <w:w w:val="15"/>
                <w:szCs w:val="20"/>
                <w:shd w:val="solid" w:color="000000" w:fill="000000"/>
                <w:fitText w:val="44" w:id="-762128372"/>
                <w14:textFill>
                  <w14:solidFill>
                    <w14:srgbClr w14:val="000000">
                      <w14:alpha w14:val="100000"/>
                    </w14:srgbClr>
                  </w14:solidFill>
                </w14:textFill>
              </w:rPr>
              <w:t xml:space="preserve">　</w:t>
            </w:r>
            <w:r w:rsidR="003F5169">
              <w:rPr>
                <w:rFonts w:cs="Arial"/>
                <w:color w:val="000000"/>
                <w:szCs w:val="20"/>
              </w:rPr>
              <w:t xml:space="preserve"> </w:t>
            </w:r>
            <w:r w:rsidR="003F5169">
              <w:rPr>
                <w:rFonts w:cs="Arial"/>
                <w:color w:val="000000"/>
                <w:szCs w:val="20"/>
                <w:vertAlign w:val="superscript"/>
              </w:rPr>
              <w:t>1</w:t>
            </w:r>
          </w:p>
        </w:tc>
        <w:tc>
          <w:tcPr>
            <w:tcW w:w="647" w:type="pct"/>
            <w:shd w:val="clear" w:color="auto" w:fill="auto"/>
            <w:vAlign w:val="center"/>
          </w:tcPr>
          <w:p w14:paraId="690D52F7" w14:textId="08C9E27B" w:rsidR="00421E9B" w:rsidRPr="00953875" w:rsidRDefault="006B6FFA" w:rsidP="00CC218A">
            <w:pPr>
              <w:pStyle w:val="TableText0"/>
              <w:keepLines/>
              <w:jc w:val="center"/>
              <w:rPr>
                <w:color w:val="000000"/>
                <w:szCs w:val="20"/>
              </w:rPr>
            </w:pPr>
            <w:r w:rsidRPr="006B6FFA">
              <w:rPr>
                <w:rFonts w:cs="Arial" w:hint="eastAsia"/>
                <w:color w:val="000000"/>
                <w:w w:val="15"/>
                <w:szCs w:val="20"/>
                <w:shd w:val="solid" w:color="000000" w:fill="000000"/>
                <w:fitText w:val="45" w:id="-762128371"/>
                <w14:textFill>
                  <w14:solidFill>
                    <w14:srgbClr w14:val="000000">
                      <w14:alpha w14:val="100000"/>
                    </w14:srgbClr>
                  </w14:solidFill>
                </w14:textFill>
              </w:rPr>
              <w:t xml:space="preserve">　</w:t>
            </w:r>
            <w:r w:rsidRPr="006B6FFA">
              <w:rPr>
                <w:rFonts w:cs="Arial"/>
                <w:color w:val="000000"/>
                <w:w w:val="15"/>
                <w:szCs w:val="20"/>
                <w:shd w:val="solid" w:color="000000" w:fill="000000"/>
                <w:fitText w:val="45" w:id="-762128371"/>
                <w14:textFill>
                  <w14:solidFill>
                    <w14:srgbClr w14:val="000000">
                      <w14:alpha w14:val="100000"/>
                    </w14:srgbClr>
                  </w14:solidFill>
                </w14:textFill>
              </w:rPr>
              <w:t>|</w:t>
            </w:r>
            <w:r w:rsidRPr="006B6FFA">
              <w:rPr>
                <w:rFonts w:cs="Arial" w:hint="eastAsia"/>
                <w:color w:val="000000"/>
                <w:spacing w:val="-20"/>
                <w:w w:val="15"/>
                <w:szCs w:val="20"/>
                <w:shd w:val="solid" w:color="000000" w:fill="000000"/>
                <w:fitText w:val="45" w:id="-762128371"/>
                <w14:textFill>
                  <w14:solidFill>
                    <w14:srgbClr w14:val="000000">
                      <w14:alpha w14:val="100000"/>
                    </w14:srgbClr>
                  </w14:solidFill>
                </w14:textFill>
              </w:rPr>
              <w:t xml:space="preserve">　</w:t>
            </w:r>
            <w:r w:rsidR="003F5169">
              <w:rPr>
                <w:rFonts w:cs="Arial"/>
                <w:color w:val="000000"/>
                <w:szCs w:val="20"/>
              </w:rPr>
              <w:t xml:space="preserve"> </w:t>
            </w:r>
            <w:r w:rsidR="003F5169">
              <w:rPr>
                <w:rFonts w:cs="Arial"/>
                <w:color w:val="000000"/>
                <w:szCs w:val="20"/>
                <w:vertAlign w:val="superscript"/>
              </w:rPr>
              <w:t>1</w:t>
            </w:r>
          </w:p>
        </w:tc>
        <w:tc>
          <w:tcPr>
            <w:tcW w:w="645" w:type="pct"/>
            <w:vAlign w:val="center"/>
          </w:tcPr>
          <w:p w14:paraId="3F34B0F0" w14:textId="4F4F79A9" w:rsidR="00421E9B" w:rsidRPr="00953875" w:rsidRDefault="006B6FFA" w:rsidP="00CC218A">
            <w:pPr>
              <w:pStyle w:val="TableText0"/>
              <w:keepLines/>
              <w:jc w:val="center"/>
              <w:rPr>
                <w:color w:val="000000"/>
                <w:szCs w:val="20"/>
              </w:rPr>
            </w:pPr>
            <w:r w:rsidRPr="006B6FFA">
              <w:rPr>
                <w:rFonts w:cs="Arial" w:hint="eastAsia"/>
                <w:color w:val="000000"/>
                <w:w w:val="15"/>
                <w:szCs w:val="20"/>
                <w:shd w:val="solid" w:color="000000" w:fill="000000"/>
                <w:fitText w:val="44" w:id="-762128370"/>
                <w14:textFill>
                  <w14:solidFill>
                    <w14:srgbClr w14:val="000000">
                      <w14:alpha w14:val="100000"/>
                    </w14:srgbClr>
                  </w14:solidFill>
                </w14:textFill>
              </w:rPr>
              <w:t xml:space="preserve">　</w:t>
            </w:r>
            <w:r w:rsidRPr="006B6FFA">
              <w:rPr>
                <w:rFonts w:cs="Arial"/>
                <w:color w:val="000000"/>
                <w:w w:val="15"/>
                <w:szCs w:val="20"/>
                <w:shd w:val="solid" w:color="000000" w:fill="000000"/>
                <w:fitText w:val="44" w:id="-762128370"/>
                <w14:textFill>
                  <w14:solidFill>
                    <w14:srgbClr w14:val="000000">
                      <w14:alpha w14:val="100000"/>
                    </w14:srgbClr>
                  </w14:solidFill>
                </w14:textFill>
              </w:rPr>
              <w:t>|</w:t>
            </w:r>
            <w:r w:rsidRPr="006B6FFA">
              <w:rPr>
                <w:rFonts w:cs="Arial" w:hint="eastAsia"/>
                <w:color w:val="000000"/>
                <w:spacing w:val="-21"/>
                <w:w w:val="15"/>
                <w:szCs w:val="20"/>
                <w:shd w:val="solid" w:color="000000" w:fill="000000"/>
                <w:fitText w:val="44" w:id="-762128370"/>
                <w14:textFill>
                  <w14:solidFill>
                    <w14:srgbClr w14:val="000000">
                      <w14:alpha w14:val="100000"/>
                    </w14:srgbClr>
                  </w14:solidFill>
                </w14:textFill>
              </w:rPr>
              <w:t xml:space="preserve">　</w:t>
            </w:r>
            <w:r w:rsidR="003F5169">
              <w:rPr>
                <w:rFonts w:cs="Arial"/>
                <w:color w:val="000000"/>
                <w:szCs w:val="20"/>
              </w:rPr>
              <w:t xml:space="preserve"> </w:t>
            </w:r>
            <w:r w:rsidR="003F5169">
              <w:rPr>
                <w:rFonts w:cs="Arial"/>
                <w:color w:val="000000"/>
                <w:szCs w:val="20"/>
                <w:vertAlign w:val="superscript"/>
              </w:rPr>
              <w:t>1</w:t>
            </w:r>
          </w:p>
        </w:tc>
      </w:tr>
      <w:tr w:rsidR="00421E9B" w:rsidRPr="009D6C89" w14:paraId="46B7BACC" w14:textId="77777777" w:rsidTr="002268A6">
        <w:trPr>
          <w:cantSplit/>
          <w:jc w:val="center"/>
        </w:trPr>
        <w:tc>
          <w:tcPr>
            <w:tcW w:w="5000" w:type="pct"/>
            <w:gridSpan w:val="7"/>
            <w:shd w:val="clear" w:color="auto" w:fill="auto"/>
            <w:vAlign w:val="center"/>
          </w:tcPr>
          <w:p w14:paraId="0E329CD8" w14:textId="77777777" w:rsidR="00421E9B" w:rsidRPr="009D6C89" w:rsidRDefault="00421E9B" w:rsidP="00CC218A">
            <w:pPr>
              <w:pStyle w:val="TableText0"/>
              <w:keepLines/>
              <w:rPr>
                <w:b/>
                <w:color w:val="000000"/>
                <w:szCs w:val="20"/>
              </w:rPr>
            </w:pPr>
            <w:r w:rsidRPr="009D6C89">
              <w:rPr>
                <w:rFonts w:cs="Arial"/>
                <w:b/>
                <w:bCs w:val="0"/>
                <w:color w:val="000000"/>
                <w:szCs w:val="20"/>
              </w:rPr>
              <w:t>Estimated financial implications to PBS</w:t>
            </w:r>
          </w:p>
        </w:tc>
      </w:tr>
      <w:tr w:rsidR="00953875" w:rsidRPr="009D6C89" w14:paraId="47C495FB" w14:textId="77777777" w:rsidTr="00066932">
        <w:trPr>
          <w:cantSplit/>
          <w:jc w:val="center"/>
        </w:trPr>
        <w:tc>
          <w:tcPr>
            <w:tcW w:w="1120" w:type="pct"/>
            <w:shd w:val="clear" w:color="auto" w:fill="auto"/>
            <w:vAlign w:val="center"/>
          </w:tcPr>
          <w:p w14:paraId="11860405" w14:textId="77777777" w:rsidR="00953875" w:rsidRPr="009D6C89" w:rsidRDefault="00953875" w:rsidP="00CC218A">
            <w:pPr>
              <w:pStyle w:val="TableText0"/>
              <w:keepLines/>
              <w:rPr>
                <w:szCs w:val="20"/>
              </w:rPr>
            </w:pPr>
            <w:r w:rsidRPr="009D6C89">
              <w:rPr>
                <w:szCs w:val="20"/>
              </w:rPr>
              <w:t>New listing</w:t>
            </w:r>
          </w:p>
        </w:tc>
        <w:tc>
          <w:tcPr>
            <w:tcW w:w="647" w:type="pct"/>
            <w:shd w:val="clear" w:color="auto" w:fill="auto"/>
            <w:vAlign w:val="center"/>
          </w:tcPr>
          <w:p w14:paraId="5D54FA79" w14:textId="14642DF3" w:rsidR="00953875" w:rsidRPr="00066932" w:rsidRDefault="00953875" w:rsidP="00066932">
            <w:pPr>
              <w:pStyle w:val="TableText0"/>
              <w:keepLines/>
              <w:jc w:val="center"/>
              <w:rPr>
                <w:color w:val="000000"/>
                <w:szCs w:val="20"/>
                <w:vertAlign w:val="superscript"/>
              </w:rPr>
            </w:pPr>
            <w:r w:rsidRPr="004103C3">
              <w:t>$</w:t>
            </w:r>
            <w:r w:rsidR="006B6FFA" w:rsidRPr="006B6FFA">
              <w:rPr>
                <w:rFonts w:hint="eastAsia"/>
                <w:color w:val="000000"/>
                <w:w w:val="20"/>
                <w:shd w:val="solid" w:color="000000" w:fill="000000"/>
                <w:fitText w:val="89" w:id="-762128369"/>
                <w14:textFill>
                  <w14:solidFill>
                    <w14:srgbClr w14:val="000000">
                      <w14:alpha w14:val="100000"/>
                    </w14:srgbClr>
                  </w14:solidFill>
                </w14:textFill>
              </w:rPr>
              <w:t xml:space="preserve">　</w:t>
            </w:r>
            <w:r w:rsidR="006B6FFA" w:rsidRPr="006B6FFA">
              <w:rPr>
                <w:color w:val="000000"/>
                <w:w w:val="20"/>
                <w:shd w:val="solid" w:color="000000" w:fill="000000"/>
                <w:fitText w:val="89" w:id="-762128369"/>
                <w14:textFill>
                  <w14:solidFill>
                    <w14:srgbClr w14:val="000000">
                      <w14:alpha w14:val="100000"/>
                    </w14:srgbClr>
                  </w14:solidFill>
                </w14:textFill>
              </w:rPr>
              <w:t>|</w:t>
            </w:r>
            <w:r w:rsidR="006B6FFA" w:rsidRPr="006B6FFA">
              <w:rPr>
                <w:rFonts w:hint="eastAsia"/>
                <w:color w:val="000000"/>
                <w:spacing w:val="2"/>
                <w:w w:val="20"/>
                <w:shd w:val="solid" w:color="000000" w:fill="000000"/>
                <w:fitText w:val="89" w:id="-762128369"/>
                <w14:textFill>
                  <w14:solidFill>
                    <w14:srgbClr w14:val="000000">
                      <w14:alpha w14:val="100000"/>
                    </w14:srgbClr>
                  </w14:solidFill>
                </w14:textFill>
              </w:rPr>
              <w:t xml:space="preserve">　</w:t>
            </w:r>
            <w:r w:rsidR="003F5169">
              <w:t xml:space="preserve"> </w:t>
            </w:r>
            <w:r w:rsidR="003F5169">
              <w:rPr>
                <w:vertAlign w:val="superscript"/>
              </w:rPr>
              <w:t>2</w:t>
            </w:r>
          </w:p>
        </w:tc>
        <w:tc>
          <w:tcPr>
            <w:tcW w:w="647" w:type="pct"/>
            <w:shd w:val="clear" w:color="auto" w:fill="auto"/>
            <w:vAlign w:val="center"/>
          </w:tcPr>
          <w:p w14:paraId="2019D8D0" w14:textId="20176105"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0"/>
                <w:shd w:val="solid" w:color="000000" w:fill="000000"/>
                <w:fitText w:val="89" w:id="-762128368"/>
                <w14:textFill>
                  <w14:solidFill>
                    <w14:srgbClr w14:val="000000">
                      <w14:alpha w14:val="100000"/>
                    </w14:srgbClr>
                  </w14:solidFill>
                </w14:textFill>
              </w:rPr>
              <w:t xml:space="preserve">　</w:t>
            </w:r>
            <w:r w:rsidR="006B6FFA" w:rsidRPr="006B6FFA">
              <w:rPr>
                <w:color w:val="000000"/>
                <w:w w:val="20"/>
                <w:shd w:val="solid" w:color="000000" w:fill="000000"/>
                <w:fitText w:val="89" w:id="-762128368"/>
                <w14:textFill>
                  <w14:solidFill>
                    <w14:srgbClr w14:val="000000">
                      <w14:alpha w14:val="100000"/>
                    </w14:srgbClr>
                  </w14:solidFill>
                </w14:textFill>
              </w:rPr>
              <w:t>|</w:t>
            </w:r>
            <w:r w:rsidR="006B6FFA" w:rsidRPr="006B6FFA">
              <w:rPr>
                <w:rFonts w:hint="eastAsia"/>
                <w:color w:val="000000"/>
                <w:spacing w:val="2"/>
                <w:w w:val="20"/>
                <w:shd w:val="solid" w:color="000000" w:fill="000000"/>
                <w:fitText w:val="89" w:id="-762128368"/>
                <w14:textFill>
                  <w14:solidFill>
                    <w14:srgbClr w14:val="000000">
                      <w14:alpha w14:val="100000"/>
                    </w14:srgbClr>
                  </w14:solidFill>
                </w14:textFill>
              </w:rPr>
              <w:t xml:space="preserve">　</w:t>
            </w:r>
            <w:r w:rsidR="003F5169">
              <w:t xml:space="preserve"> </w:t>
            </w:r>
            <w:r w:rsidR="003F5169">
              <w:rPr>
                <w:vertAlign w:val="superscript"/>
              </w:rPr>
              <w:t>2</w:t>
            </w:r>
          </w:p>
        </w:tc>
        <w:tc>
          <w:tcPr>
            <w:tcW w:w="647" w:type="pct"/>
            <w:shd w:val="clear" w:color="auto" w:fill="auto"/>
            <w:vAlign w:val="center"/>
          </w:tcPr>
          <w:p w14:paraId="1A9F69C6" w14:textId="48ECA7E4"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19"/>
                <w:shd w:val="solid" w:color="000000" w:fill="000000"/>
                <w:fitText w:val="88" w:id="-762128384"/>
                <w14:textFill>
                  <w14:solidFill>
                    <w14:srgbClr w14:val="000000">
                      <w14:alpha w14:val="100000"/>
                    </w14:srgbClr>
                  </w14:solidFill>
                </w14:textFill>
              </w:rPr>
              <w:t xml:space="preserve">　</w:t>
            </w:r>
            <w:r w:rsidR="006B6FFA" w:rsidRPr="006B6FFA">
              <w:rPr>
                <w:color w:val="000000"/>
                <w:w w:val="19"/>
                <w:shd w:val="solid" w:color="000000" w:fill="000000"/>
                <w:fitText w:val="88" w:id="-762128384"/>
                <w14:textFill>
                  <w14:solidFill>
                    <w14:srgbClr w14:val="000000">
                      <w14:alpha w14:val="100000"/>
                    </w14:srgbClr>
                  </w14:solidFill>
                </w14:textFill>
              </w:rPr>
              <w:t>|</w:t>
            </w:r>
            <w:r w:rsidR="006B6FFA" w:rsidRPr="006B6FFA">
              <w:rPr>
                <w:rFonts w:hint="eastAsia"/>
                <w:color w:val="000000"/>
                <w:spacing w:val="4"/>
                <w:w w:val="19"/>
                <w:shd w:val="solid" w:color="000000" w:fill="000000"/>
                <w:fitText w:val="88" w:id="-762128384"/>
                <w14:textFill>
                  <w14:solidFill>
                    <w14:srgbClr w14:val="000000">
                      <w14:alpha w14:val="100000"/>
                    </w14:srgbClr>
                  </w14:solidFill>
                </w14:textFill>
              </w:rPr>
              <w:t xml:space="preserve">　</w:t>
            </w:r>
            <w:r w:rsidR="003F5169">
              <w:t xml:space="preserve"> </w:t>
            </w:r>
            <w:r w:rsidR="003F5169">
              <w:rPr>
                <w:vertAlign w:val="superscript"/>
              </w:rPr>
              <w:t>2</w:t>
            </w:r>
          </w:p>
        </w:tc>
        <w:tc>
          <w:tcPr>
            <w:tcW w:w="647" w:type="pct"/>
            <w:shd w:val="clear" w:color="auto" w:fill="auto"/>
            <w:vAlign w:val="center"/>
          </w:tcPr>
          <w:p w14:paraId="70A98BF8" w14:textId="0D81EAB3"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19"/>
                <w:shd w:val="solid" w:color="000000" w:fill="000000"/>
                <w:fitText w:val="88" w:id="-762128383"/>
                <w14:textFill>
                  <w14:solidFill>
                    <w14:srgbClr w14:val="000000">
                      <w14:alpha w14:val="100000"/>
                    </w14:srgbClr>
                  </w14:solidFill>
                </w14:textFill>
              </w:rPr>
              <w:t xml:space="preserve">　</w:t>
            </w:r>
            <w:r w:rsidR="006B6FFA" w:rsidRPr="006B6FFA">
              <w:rPr>
                <w:color w:val="000000"/>
                <w:w w:val="19"/>
                <w:shd w:val="solid" w:color="000000" w:fill="000000"/>
                <w:fitText w:val="88" w:id="-762128383"/>
                <w14:textFill>
                  <w14:solidFill>
                    <w14:srgbClr w14:val="000000">
                      <w14:alpha w14:val="100000"/>
                    </w14:srgbClr>
                  </w14:solidFill>
                </w14:textFill>
              </w:rPr>
              <w:t>|</w:t>
            </w:r>
            <w:r w:rsidR="006B6FFA" w:rsidRPr="006B6FFA">
              <w:rPr>
                <w:rFonts w:hint="eastAsia"/>
                <w:color w:val="000000"/>
                <w:spacing w:val="4"/>
                <w:w w:val="19"/>
                <w:shd w:val="solid" w:color="000000" w:fill="000000"/>
                <w:fitText w:val="88" w:id="-762128383"/>
                <w14:textFill>
                  <w14:solidFill>
                    <w14:srgbClr w14:val="000000">
                      <w14:alpha w14:val="100000"/>
                    </w14:srgbClr>
                  </w14:solidFill>
                </w14:textFill>
              </w:rPr>
              <w:t xml:space="preserve">　</w:t>
            </w:r>
            <w:r w:rsidR="003F5169">
              <w:t xml:space="preserve"> </w:t>
            </w:r>
            <w:r w:rsidR="003F5169">
              <w:rPr>
                <w:vertAlign w:val="superscript"/>
              </w:rPr>
              <w:t>2</w:t>
            </w:r>
          </w:p>
        </w:tc>
        <w:tc>
          <w:tcPr>
            <w:tcW w:w="647" w:type="pct"/>
            <w:shd w:val="clear" w:color="auto" w:fill="auto"/>
            <w:vAlign w:val="center"/>
          </w:tcPr>
          <w:p w14:paraId="336BAE64" w14:textId="18776C83"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19"/>
                <w:shd w:val="solid" w:color="000000" w:fill="000000"/>
                <w:fitText w:val="88" w:id="-762128382"/>
                <w14:textFill>
                  <w14:solidFill>
                    <w14:srgbClr w14:val="000000">
                      <w14:alpha w14:val="100000"/>
                    </w14:srgbClr>
                  </w14:solidFill>
                </w14:textFill>
              </w:rPr>
              <w:t xml:space="preserve">　</w:t>
            </w:r>
            <w:r w:rsidR="006B6FFA" w:rsidRPr="006B6FFA">
              <w:rPr>
                <w:color w:val="000000"/>
                <w:w w:val="19"/>
                <w:shd w:val="solid" w:color="000000" w:fill="000000"/>
                <w:fitText w:val="88" w:id="-762128382"/>
                <w14:textFill>
                  <w14:solidFill>
                    <w14:srgbClr w14:val="000000">
                      <w14:alpha w14:val="100000"/>
                    </w14:srgbClr>
                  </w14:solidFill>
                </w14:textFill>
              </w:rPr>
              <w:t>|</w:t>
            </w:r>
            <w:r w:rsidR="006B6FFA" w:rsidRPr="006B6FFA">
              <w:rPr>
                <w:rFonts w:hint="eastAsia"/>
                <w:color w:val="000000"/>
                <w:spacing w:val="4"/>
                <w:w w:val="19"/>
                <w:shd w:val="solid" w:color="000000" w:fill="000000"/>
                <w:fitText w:val="88" w:id="-762128382"/>
                <w14:textFill>
                  <w14:solidFill>
                    <w14:srgbClr w14:val="000000">
                      <w14:alpha w14:val="100000"/>
                    </w14:srgbClr>
                  </w14:solidFill>
                </w14:textFill>
              </w:rPr>
              <w:t xml:space="preserve">　</w:t>
            </w:r>
            <w:r w:rsidR="003F5169">
              <w:t xml:space="preserve"> </w:t>
            </w:r>
            <w:r w:rsidR="003F5169">
              <w:rPr>
                <w:vertAlign w:val="superscript"/>
              </w:rPr>
              <w:t>2</w:t>
            </w:r>
          </w:p>
        </w:tc>
        <w:tc>
          <w:tcPr>
            <w:tcW w:w="645" w:type="pct"/>
            <w:vAlign w:val="center"/>
          </w:tcPr>
          <w:p w14:paraId="450E1190" w14:textId="3B3EC0F5"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1"/>
                <w:shd w:val="solid" w:color="000000" w:fill="000000"/>
                <w:fitText w:val="97" w:id="-762128381"/>
                <w14:textFill>
                  <w14:solidFill>
                    <w14:srgbClr w14:val="000000">
                      <w14:alpha w14:val="100000"/>
                    </w14:srgbClr>
                  </w14:solidFill>
                </w14:textFill>
              </w:rPr>
              <w:t xml:space="preserve">　</w:t>
            </w:r>
            <w:r w:rsidR="006B6FFA" w:rsidRPr="006B6FFA">
              <w:rPr>
                <w:color w:val="000000"/>
                <w:w w:val="21"/>
                <w:shd w:val="solid" w:color="000000" w:fill="000000"/>
                <w:fitText w:val="97" w:id="-762128381"/>
                <w14:textFill>
                  <w14:solidFill>
                    <w14:srgbClr w14:val="000000">
                      <w14:alpha w14:val="100000"/>
                    </w14:srgbClr>
                  </w14:solidFill>
                </w14:textFill>
              </w:rPr>
              <w:t>|</w:t>
            </w:r>
            <w:r w:rsidR="006B6FFA" w:rsidRPr="006B6FFA">
              <w:rPr>
                <w:rFonts w:hint="eastAsia"/>
                <w:color w:val="000000"/>
                <w:w w:val="21"/>
                <w:shd w:val="solid" w:color="000000" w:fill="000000"/>
                <w:fitText w:val="97" w:id="-762128381"/>
                <w14:textFill>
                  <w14:solidFill>
                    <w14:srgbClr w14:val="000000">
                      <w14:alpha w14:val="100000"/>
                    </w14:srgbClr>
                  </w14:solidFill>
                </w14:textFill>
              </w:rPr>
              <w:t xml:space="preserve">　</w:t>
            </w:r>
            <w:r w:rsidR="003F5169">
              <w:t xml:space="preserve"> </w:t>
            </w:r>
            <w:r w:rsidR="003F5169">
              <w:rPr>
                <w:vertAlign w:val="superscript"/>
              </w:rPr>
              <w:t>2</w:t>
            </w:r>
          </w:p>
        </w:tc>
      </w:tr>
      <w:tr w:rsidR="00953875" w:rsidRPr="009D6C89" w14:paraId="0C1E4FFB" w14:textId="77777777" w:rsidTr="00066932">
        <w:trPr>
          <w:cantSplit/>
          <w:jc w:val="center"/>
        </w:trPr>
        <w:tc>
          <w:tcPr>
            <w:tcW w:w="1120" w:type="pct"/>
            <w:shd w:val="clear" w:color="auto" w:fill="auto"/>
            <w:vAlign w:val="center"/>
          </w:tcPr>
          <w:p w14:paraId="5BBAA1C3" w14:textId="77777777" w:rsidR="00953875" w:rsidRPr="009D6C89" w:rsidRDefault="00953875" w:rsidP="00CC218A">
            <w:pPr>
              <w:pStyle w:val="TableText0"/>
              <w:keepLines/>
              <w:rPr>
                <w:szCs w:val="20"/>
              </w:rPr>
            </w:pPr>
            <w:r w:rsidRPr="009D6C89">
              <w:rPr>
                <w:szCs w:val="20"/>
              </w:rPr>
              <w:t>Changed listing</w:t>
            </w:r>
          </w:p>
        </w:tc>
        <w:tc>
          <w:tcPr>
            <w:tcW w:w="647" w:type="pct"/>
            <w:shd w:val="clear" w:color="auto" w:fill="auto"/>
            <w:vAlign w:val="center"/>
          </w:tcPr>
          <w:p w14:paraId="21DC9F0B" w14:textId="09D64BEF"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80"/>
                <w14:textFill>
                  <w14:solidFill>
                    <w14:srgbClr w14:val="000000">
                      <w14:alpha w14:val="100000"/>
                    </w14:srgbClr>
                  </w14:solidFill>
                </w14:textFill>
              </w:rPr>
              <w:t xml:space="preserve">　</w:t>
            </w:r>
            <w:r w:rsidR="006B6FFA" w:rsidRPr="006B6FFA">
              <w:rPr>
                <w:color w:val="000000"/>
                <w:w w:val="25"/>
                <w:shd w:val="solid" w:color="000000" w:fill="000000"/>
                <w:fitText w:val="115" w:id="-762128380"/>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80"/>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27CE1D5F" w14:textId="7DC716DB"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9"/>
                <w14:textFill>
                  <w14:solidFill>
                    <w14:srgbClr w14:val="000000">
                      <w14:alpha w14:val="100000"/>
                    </w14:srgbClr>
                  </w14:solidFill>
                </w14:textFill>
              </w:rPr>
              <w:t xml:space="preserve">　</w:t>
            </w:r>
            <w:r w:rsidR="006B6FFA" w:rsidRPr="006B6FFA">
              <w:rPr>
                <w:color w:val="000000"/>
                <w:w w:val="25"/>
                <w:shd w:val="solid" w:color="000000" w:fill="000000"/>
                <w:fitText w:val="115" w:id="-762128379"/>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9"/>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29499E14" w14:textId="25708EE7"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8"/>
                <w14:textFill>
                  <w14:solidFill>
                    <w14:srgbClr w14:val="000000">
                      <w14:alpha w14:val="100000"/>
                    </w14:srgbClr>
                  </w14:solidFill>
                </w14:textFill>
              </w:rPr>
              <w:t xml:space="preserve">　</w:t>
            </w:r>
            <w:r w:rsidR="006B6FFA" w:rsidRPr="006B6FFA">
              <w:rPr>
                <w:color w:val="000000"/>
                <w:w w:val="25"/>
                <w:shd w:val="solid" w:color="000000" w:fill="000000"/>
                <w:fitText w:val="115" w:id="-762128378"/>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8"/>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08423392" w14:textId="1814CBB5"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7"/>
                <w14:textFill>
                  <w14:solidFill>
                    <w14:srgbClr w14:val="000000">
                      <w14:alpha w14:val="100000"/>
                    </w14:srgbClr>
                  </w14:solidFill>
                </w14:textFill>
              </w:rPr>
              <w:t xml:space="preserve">　</w:t>
            </w:r>
            <w:r w:rsidR="006B6FFA" w:rsidRPr="006B6FFA">
              <w:rPr>
                <w:color w:val="000000"/>
                <w:w w:val="25"/>
                <w:shd w:val="solid" w:color="000000" w:fill="000000"/>
                <w:fitText w:val="115" w:id="-762128377"/>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7"/>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6EC11465" w14:textId="45A0BE9E"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6"/>
                <w14:textFill>
                  <w14:solidFill>
                    <w14:srgbClr w14:val="000000">
                      <w14:alpha w14:val="100000"/>
                    </w14:srgbClr>
                  </w14:solidFill>
                </w14:textFill>
              </w:rPr>
              <w:t xml:space="preserve">　</w:t>
            </w:r>
            <w:r w:rsidR="006B6FFA" w:rsidRPr="006B6FFA">
              <w:rPr>
                <w:color w:val="000000"/>
                <w:w w:val="25"/>
                <w:shd w:val="solid" w:color="000000" w:fill="000000"/>
                <w:fitText w:val="115" w:id="-762128376"/>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6"/>
                <w14:textFill>
                  <w14:solidFill>
                    <w14:srgbClr w14:val="000000">
                      <w14:alpha w14:val="100000"/>
                    </w14:srgbClr>
                  </w14:solidFill>
                </w14:textFill>
              </w:rPr>
              <w:t xml:space="preserve">　</w:t>
            </w:r>
            <w:r w:rsidR="003F5169">
              <w:t xml:space="preserve"> </w:t>
            </w:r>
            <w:r w:rsidR="003F5169">
              <w:rPr>
                <w:vertAlign w:val="superscript"/>
              </w:rPr>
              <w:t>3</w:t>
            </w:r>
          </w:p>
        </w:tc>
        <w:tc>
          <w:tcPr>
            <w:tcW w:w="645" w:type="pct"/>
            <w:vAlign w:val="center"/>
          </w:tcPr>
          <w:p w14:paraId="003854EA" w14:textId="0E55D9F7"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5"/>
                <w14:textFill>
                  <w14:solidFill>
                    <w14:srgbClr w14:val="000000">
                      <w14:alpha w14:val="100000"/>
                    </w14:srgbClr>
                  </w14:solidFill>
                </w14:textFill>
              </w:rPr>
              <w:t xml:space="preserve">　</w:t>
            </w:r>
            <w:r w:rsidR="006B6FFA" w:rsidRPr="006B6FFA">
              <w:rPr>
                <w:color w:val="000000"/>
                <w:w w:val="25"/>
                <w:shd w:val="solid" w:color="000000" w:fill="000000"/>
                <w:fitText w:val="115" w:id="-762128375"/>
                <w14:textFill>
                  <w14:solidFill>
                    <w14:srgbClr w14:val="000000">
                      <w14:alpha w14:val="100000"/>
                    </w14:srgbClr>
                  </w14:solidFill>
                </w14:textFill>
              </w:rPr>
              <w:t>|</w:t>
            </w:r>
            <w:r w:rsidR="006B6FFA" w:rsidRPr="006B6FFA">
              <w:rPr>
                <w:rFonts w:hint="eastAsia"/>
                <w:color w:val="000000"/>
                <w:w w:val="25"/>
                <w:shd w:val="solid" w:color="000000" w:fill="000000"/>
                <w:fitText w:val="115" w:id="-762128375"/>
                <w14:textFill>
                  <w14:solidFill>
                    <w14:srgbClr w14:val="000000">
                      <w14:alpha w14:val="100000"/>
                    </w14:srgbClr>
                  </w14:solidFill>
                </w14:textFill>
              </w:rPr>
              <w:t xml:space="preserve">　</w:t>
            </w:r>
            <w:r w:rsidR="003F5169">
              <w:t xml:space="preserve"> </w:t>
            </w:r>
            <w:r w:rsidR="003F5169">
              <w:rPr>
                <w:vertAlign w:val="superscript"/>
              </w:rPr>
              <w:t>3</w:t>
            </w:r>
          </w:p>
        </w:tc>
      </w:tr>
      <w:tr w:rsidR="00953875" w:rsidRPr="009D6C89" w14:paraId="2988A508" w14:textId="77777777" w:rsidTr="00066932">
        <w:trPr>
          <w:cantSplit/>
          <w:jc w:val="center"/>
        </w:trPr>
        <w:tc>
          <w:tcPr>
            <w:tcW w:w="1120" w:type="pct"/>
            <w:shd w:val="clear" w:color="auto" w:fill="auto"/>
            <w:vAlign w:val="center"/>
          </w:tcPr>
          <w:p w14:paraId="01EF01CB" w14:textId="77777777" w:rsidR="00953875" w:rsidRPr="009D6C89" w:rsidRDefault="00953875" w:rsidP="00CC218A">
            <w:pPr>
              <w:pStyle w:val="TableText0"/>
              <w:keepLines/>
              <w:rPr>
                <w:szCs w:val="20"/>
              </w:rPr>
            </w:pPr>
            <w:r w:rsidRPr="009D6C89">
              <w:rPr>
                <w:szCs w:val="20"/>
              </w:rPr>
              <w:t>Net cost to PBS</w:t>
            </w:r>
          </w:p>
        </w:tc>
        <w:tc>
          <w:tcPr>
            <w:tcW w:w="647" w:type="pct"/>
            <w:shd w:val="clear" w:color="auto" w:fill="auto"/>
            <w:vAlign w:val="center"/>
          </w:tcPr>
          <w:p w14:paraId="49246DAD" w14:textId="14764EE8"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4"/>
                <w14:textFill>
                  <w14:solidFill>
                    <w14:srgbClr w14:val="000000">
                      <w14:alpha w14:val="100000"/>
                    </w14:srgbClr>
                  </w14:solidFill>
                </w14:textFill>
              </w:rPr>
              <w:t xml:space="preserve">　</w:t>
            </w:r>
            <w:r w:rsidR="006B6FFA" w:rsidRPr="006B6FFA">
              <w:rPr>
                <w:color w:val="000000"/>
                <w:w w:val="25"/>
                <w:shd w:val="solid" w:color="000000" w:fill="000000"/>
                <w:fitText w:val="115" w:id="-762128374"/>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4"/>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1590657D" w14:textId="107E862C"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3"/>
                <w14:textFill>
                  <w14:solidFill>
                    <w14:srgbClr w14:val="000000">
                      <w14:alpha w14:val="100000"/>
                    </w14:srgbClr>
                  </w14:solidFill>
                </w14:textFill>
              </w:rPr>
              <w:t xml:space="preserve">　</w:t>
            </w:r>
            <w:r w:rsidR="006B6FFA" w:rsidRPr="006B6FFA">
              <w:rPr>
                <w:color w:val="000000"/>
                <w:w w:val="25"/>
                <w:shd w:val="solid" w:color="000000" w:fill="000000"/>
                <w:fitText w:val="115" w:id="-762128373"/>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3"/>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5F92359D" w14:textId="4B6C0F52"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2"/>
                <w14:textFill>
                  <w14:solidFill>
                    <w14:srgbClr w14:val="000000">
                      <w14:alpha w14:val="100000"/>
                    </w14:srgbClr>
                  </w14:solidFill>
                </w14:textFill>
              </w:rPr>
              <w:t xml:space="preserve">　</w:t>
            </w:r>
            <w:r w:rsidR="006B6FFA" w:rsidRPr="006B6FFA">
              <w:rPr>
                <w:color w:val="000000"/>
                <w:w w:val="25"/>
                <w:shd w:val="solid" w:color="000000" w:fill="000000"/>
                <w:fitText w:val="115" w:id="-762128372"/>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2"/>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071FB3A3" w14:textId="0D070DC4"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1"/>
                <w14:textFill>
                  <w14:solidFill>
                    <w14:srgbClr w14:val="000000">
                      <w14:alpha w14:val="100000"/>
                    </w14:srgbClr>
                  </w14:solidFill>
                </w14:textFill>
              </w:rPr>
              <w:t xml:space="preserve">　</w:t>
            </w:r>
            <w:r w:rsidR="006B6FFA" w:rsidRPr="006B6FFA">
              <w:rPr>
                <w:color w:val="000000"/>
                <w:w w:val="25"/>
                <w:shd w:val="solid" w:color="000000" w:fill="000000"/>
                <w:fitText w:val="115" w:id="-762128371"/>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1"/>
                <w14:textFill>
                  <w14:solidFill>
                    <w14:srgbClr w14:val="000000">
                      <w14:alpha w14:val="100000"/>
                    </w14:srgbClr>
                  </w14:solidFill>
                </w14:textFill>
              </w:rPr>
              <w:t xml:space="preserve">　</w:t>
            </w:r>
            <w:r w:rsidR="003F5169">
              <w:t xml:space="preserve"> </w:t>
            </w:r>
            <w:r w:rsidR="003F5169">
              <w:rPr>
                <w:vertAlign w:val="superscript"/>
              </w:rPr>
              <w:t>3</w:t>
            </w:r>
          </w:p>
        </w:tc>
        <w:tc>
          <w:tcPr>
            <w:tcW w:w="647" w:type="pct"/>
            <w:shd w:val="clear" w:color="auto" w:fill="auto"/>
            <w:vAlign w:val="center"/>
          </w:tcPr>
          <w:p w14:paraId="663B2165" w14:textId="668EF9AE"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70"/>
                <w14:textFill>
                  <w14:solidFill>
                    <w14:srgbClr w14:val="000000">
                      <w14:alpha w14:val="100000"/>
                    </w14:srgbClr>
                  </w14:solidFill>
                </w14:textFill>
              </w:rPr>
              <w:t xml:space="preserve">　</w:t>
            </w:r>
            <w:r w:rsidR="006B6FFA" w:rsidRPr="006B6FFA">
              <w:rPr>
                <w:color w:val="000000"/>
                <w:w w:val="25"/>
                <w:shd w:val="solid" w:color="000000" w:fill="000000"/>
                <w:fitText w:val="115" w:id="-762128370"/>
                <w14:textFill>
                  <w14:solidFill>
                    <w14:srgbClr w14:val="000000">
                      <w14:alpha w14:val="100000"/>
                    </w14:srgbClr>
                  </w14:solidFill>
                </w14:textFill>
              </w:rPr>
              <w:t>|</w:t>
            </w:r>
            <w:r w:rsidR="006B6FFA" w:rsidRPr="006B6FFA">
              <w:rPr>
                <w:rFonts w:hint="eastAsia"/>
                <w:color w:val="000000"/>
                <w:spacing w:val="4"/>
                <w:w w:val="25"/>
                <w:shd w:val="solid" w:color="000000" w:fill="000000"/>
                <w:fitText w:val="115" w:id="-762128370"/>
                <w14:textFill>
                  <w14:solidFill>
                    <w14:srgbClr w14:val="000000">
                      <w14:alpha w14:val="100000"/>
                    </w14:srgbClr>
                  </w14:solidFill>
                </w14:textFill>
              </w:rPr>
              <w:t xml:space="preserve">　</w:t>
            </w:r>
            <w:r w:rsidR="003F5169">
              <w:t xml:space="preserve"> </w:t>
            </w:r>
            <w:r w:rsidR="003F5169">
              <w:rPr>
                <w:vertAlign w:val="superscript"/>
              </w:rPr>
              <w:t>3</w:t>
            </w:r>
          </w:p>
        </w:tc>
        <w:tc>
          <w:tcPr>
            <w:tcW w:w="645" w:type="pct"/>
            <w:vAlign w:val="center"/>
          </w:tcPr>
          <w:p w14:paraId="057D0DD7" w14:textId="423264EA" w:rsidR="00953875" w:rsidRPr="009D6C89" w:rsidRDefault="00953875" w:rsidP="00066932">
            <w:pPr>
              <w:pStyle w:val="TableText0"/>
              <w:keepLines/>
              <w:jc w:val="center"/>
              <w:rPr>
                <w:color w:val="000000"/>
                <w:szCs w:val="20"/>
              </w:rPr>
            </w:pPr>
            <w:r w:rsidRPr="004103C3">
              <w:t>-$</w:t>
            </w:r>
            <w:r w:rsidR="006B6FFA" w:rsidRPr="006B6FFA">
              <w:rPr>
                <w:rFonts w:hint="eastAsia"/>
                <w:color w:val="000000"/>
                <w:w w:val="25"/>
                <w:shd w:val="solid" w:color="000000" w:fill="000000"/>
                <w:fitText w:val="115" w:id="-762128369"/>
                <w14:textFill>
                  <w14:solidFill>
                    <w14:srgbClr w14:val="000000">
                      <w14:alpha w14:val="100000"/>
                    </w14:srgbClr>
                  </w14:solidFill>
                </w14:textFill>
              </w:rPr>
              <w:t xml:space="preserve">　</w:t>
            </w:r>
            <w:r w:rsidR="006B6FFA" w:rsidRPr="006B6FFA">
              <w:rPr>
                <w:color w:val="000000"/>
                <w:w w:val="25"/>
                <w:shd w:val="solid" w:color="000000" w:fill="000000"/>
                <w:fitText w:val="115" w:id="-762128369"/>
                <w14:textFill>
                  <w14:solidFill>
                    <w14:srgbClr w14:val="000000">
                      <w14:alpha w14:val="100000"/>
                    </w14:srgbClr>
                  </w14:solidFill>
                </w14:textFill>
              </w:rPr>
              <w:t>|</w:t>
            </w:r>
            <w:r w:rsidR="006B6FFA" w:rsidRPr="006B6FFA">
              <w:rPr>
                <w:rFonts w:hint="eastAsia"/>
                <w:color w:val="000000"/>
                <w:w w:val="25"/>
                <w:shd w:val="solid" w:color="000000" w:fill="000000"/>
                <w:fitText w:val="115" w:id="-762128369"/>
                <w14:textFill>
                  <w14:solidFill>
                    <w14:srgbClr w14:val="000000">
                      <w14:alpha w14:val="100000"/>
                    </w14:srgbClr>
                  </w14:solidFill>
                </w14:textFill>
              </w:rPr>
              <w:t xml:space="preserve">　</w:t>
            </w:r>
            <w:r w:rsidR="003F5169">
              <w:t xml:space="preserve"> </w:t>
            </w:r>
            <w:r w:rsidR="003F5169">
              <w:rPr>
                <w:vertAlign w:val="superscript"/>
              </w:rPr>
              <w:t>3</w:t>
            </w:r>
          </w:p>
        </w:tc>
      </w:tr>
      <w:tr w:rsidR="00421E9B" w:rsidRPr="009D6C89" w14:paraId="4D1C0125" w14:textId="77777777" w:rsidTr="002268A6">
        <w:trPr>
          <w:cantSplit/>
          <w:jc w:val="center"/>
        </w:trPr>
        <w:tc>
          <w:tcPr>
            <w:tcW w:w="5000" w:type="pct"/>
            <w:gridSpan w:val="7"/>
            <w:shd w:val="clear" w:color="auto" w:fill="auto"/>
            <w:vAlign w:val="center"/>
          </w:tcPr>
          <w:p w14:paraId="2A099814" w14:textId="77777777" w:rsidR="00421E9B" w:rsidRPr="009D6C89" w:rsidRDefault="00421E9B" w:rsidP="00CC218A">
            <w:pPr>
              <w:pStyle w:val="TableText0"/>
              <w:keepLines/>
              <w:rPr>
                <w:b/>
                <w:bCs w:val="0"/>
                <w:color w:val="000000"/>
                <w:szCs w:val="20"/>
              </w:rPr>
            </w:pPr>
            <w:r w:rsidRPr="009D6C89">
              <w:rPr>
                <w:b/>
                <w:bCs w:val="0"/>
                <w:color w:val="000000"/>
                <w:szCs w:val="20"/>
              </w:rPr>
              <w:t>Net financial implications</w:t>
            </w:r>
          </w:p>
        </w:tc>
      </w:tr>
      <w:tr w:rsidR="00953875" w:rsidRPr="009D6C89" w14:paraId="0D381B79" w14:textId="77777777" w:rsidTr="00066932">
        <w:trPr>
          <w:cantSplit/>
          <w:jc w:val="center"/>
        </w:trPr>
        <w:tc>
          <w:tcPr>
            <w:tcW w:w="1120" w:type="pct"/>
            <w:shd w:val="clear" w:color="auto" w:fill="auto"/>
            <w:vAlign w:val="center"/>
          </w:tcPr>
          <w:p w14:paraId="4664C607" w14:textId="77777777" w:rsidR="00953875" w:rsidRPr="009D6C89" w:rsidRDefault="00953875" w:rsidP="00CC218A">
            <w:pPr>
              <w:pStyle w:val="TableText0"/>
              <w:keepLines/>
              <w:rPr>
                <w:b/>
                <w:bCs w:val="0"/>
                <w:szCs w:val="20"/>
              </w:rPr>
            </w:pPr>
            <w:r w:rsidRPr="009D6C89">
              <w:rPr>
                <w:b/>
                <w:bCs w:val="0"/>
                <w:szCs w:val="20"/>
              </w:rPr>
              <w:t>Net cost to PBS/RPBS</w:t>
            </w:r>
          </w:p>
        </w:tc>
        <w:tc>
          <w:tcPr>
            <w:tcW w:w="647" w:type="pct"/>
            <w:shd w:val="clear" w:color="auto" w:fill="auto"/>
            <w:vAlign w:val="center"/>
          </w:tcPr>
          <w:p w14:paraId="230DCF5D" w14:textId="2F5C5CA2" w:rsidR="00953875" w:rsidRPr="00953875" w:rsidRDefault="00953875" w:rsidP="00066932">
            <w:pPr>
              <w:pStyle w:val="TableText0"/>
              <w:keepLines/>
              <w:jc w:val="center"/>
              <w:rPr>
                <w:b/>
                <w:bCs w:val="0"/>
                <w:color w:val="000000"/>
                <w:szCs w:val="20"/>
              </w:rPr>
            </w:pPr>
            <w:r w:rsidRPr="00953875">
              <w:rPr>
                <w:b/>
                <w:bCs w:val="0"/>
              </w:rPr>
              <w:t>-$</w:t>
            </w:r>
            <w:r w:rsidR="006B6FFA" w:rsidRPr="006B6FFA">
              <w:rPr>
                <w:b/>
                <w:bCs w:val="0"/>
                <w:color w:val="000000"/>
                <w:spacing w:val="67"/>
                <w:shd w:val="solid" w:color="000000" w:fill="000000"/>
                <w:fitText w:val="159" w:id="-762128368"/>
                <w14:textFill>
                  <w14:solidFill>
                    <w14:srgbClr w14:val="000000">
                      <w14:alpha w14:val="100000"/>
                    </w14:srgbClr>
                  </w14:solidFill>
                </w14:textFill>
              </w:rPr>
              <w:t>|</w:t>
            </w:r>
            <w:r w:rsidR="006B6FFA" w:rsidRPr="006B6FFA">
              <w:rPr>
                <w:b/>
                <w:bCs w:val="0"/>
                <w:color w:val="000000"/>
                <w:spacing w:val="1"/>
                <w:shd w:val="solid" w:color="000000" w:fill="000000"/>
                <w:fitText w:val="159" w:id="-762128368"/>
                <w14:textFill>
                  <w14:solidFill>
                    <w14:srgbClr w14:val="000000">
                      <w14:alpha w14:val="100000"/>
                    </w14:srgbClr>
                  </w14:solidFill>
                </w14:textFill>
              </w:rPr>
              <w:t>|</w:t>
            </w:r>
            <w:r w:rsidR="003F5169">
              <w:t xml:space="preserve"> </w:t>
            </w:r>
            <w:r w:rsidR="003F5169">
              <w:rPr>
                <w:vertAlign w:val="superscript"/>
              </w:rPr>
              <w:t>3</w:t>
            </w:r>
          </w:p>
        </w:tc>
        <w:tc>
          <w:tcPr>
            <w:tcW w:w="647" w:type="pct"/>
            <w:shd w:val="clear" w:color="auto" w:fill="auto"/>
            <w:vAlign w:val="center"/>
          </w:tcPr>
          <w:p w14:paraId="63D8EDF0" w14:textId="1A964BE7" w:rsidR="00953875" w:rsidRPr="00953875" w:rsidRDefault="00953875" w:rsidP="00066932">
            <w:pPr>
              <w:pStyle w:val="TableText0"/>
              <w:keepLines/>
              <w:jc w:val="center"/>
              <w:rPr>
                <w:b/>
                <w:bCs w:val="0"/>
                <w:color w:val="000000"/>
                <w:szCs w:val="20"/>
              </w:rPr>
            </w:pPr>
            <w:r w:rsidRPr="00953875">
              <w:rPr>
                <w:b/>
                <w:bCs w:val="0"/>
              </w:rPr>
              <w:t>-$</w:t>
            </w:r>
            <w:r w:rsidR="006B6FFA" w:rsidRPr="006B6FFA">
              <w:rPr>
                <w:b/>
                <w:bCs w:val="0"/>
                <w:color w:val="000000"/>
                <w:spacing w:val="67"/>
                <w:shd w:val="solid" w:color="000000" w:fill="000000"/>
                <w:fitText w:val="159" w:id="-762128384"/>
                <w14:textFill>
                  <w14:solidFill>
                    <w14:srgbClr w14:val="000000">
                      <w14:alpha w14:val="100000"/>
                    </w14:srgbClr>
                  </w14:solidFill>
                </w14:textFill>
              </w:rPr>
              <w:t>|</w:t>
            </w:r>
            <w:r w:rsidR="006B6FFA" w:rsidRPr="006B6FFA">
              <w:rPr>
                <w:b/>
                <w:bCs w:val="0"/>
                <w:color w:val="000000"/>
                <w:spacing w:val="1"/>
                <w:shd w:val="solid" w:color="000000" w:fill="000000"/>
                <w:fitText w:val="159" w:id="-762128384"/>
                <w14:textFill>
                  <w14:solidFill>
                    <w14:srgbClr w14:val="000000">
                      <w14:alpha w14:val="100000"/>
                    </w14:srgbClr>
                  </w14:solidFill>
                </w14:textFill>
              </w:rPr>
              <w:t>|</w:t>
            </w:r>
            <w:r w:rsidR="003F5169">
              <w:t xml:space="preserve"> </w:t>
            </w:r>
            <w:r w:rsidR="003F5169">
              <w:rPr>
                <w:vertAlign w:val="superscript"/>
              </w:rPr>
              <w:t>3</w:t>
            </w:r>
          </w:p>
        </w:tc>
        <w:tc>
          <w:tcPr>
            <w:tcW w:w="647" w:type="pct"/>
            <w:shd w:val="clear" w:color="auto" w:fill="auto"/>
            <w:vAlign w:val="center"/>
          </w:tcPr>
          <w:p w14:paraId="142CF126" w14:textId="3C78E4F6" w:rsidR="00953875" w:rsidRPr="00953875" w:rsidRDefault="00953875" w:rsidP="00066932">
            <w:pPr>
              <w:pStyle w:val="TableText0"/>
              <w:keepLines/>
              <w:jc w:val="center"/>
              <w:rPr>
                <w:b/>
                <w:bCs w:val="0"/>
                <w:color w:val="000000"/>
                <w:szCs w:val="20"/>
              </w:rPr>
            </w:pPr>
            <w:r w:rsidRPr="00953875">
              <w:rPr>
                <w:b/>
                <w:bCs w:val="0"/>
              </w:rPr>
              <w:t>-$</w:t>
            </w:r>
            <w:r w:rsidR="006B6FFA" w:rsidRPr="006B6FFA">
              <w:rPr>
                <w:b/>
                <w:bCs w:val="0"/>
                <w:color w:val="000000"/>
                <w:spacing w:val="67"/>
                <w:shd w:val="solid" w:color="000000" w:fill="000000"/>
                <w:fitText w:val="159" w:id="-762128383"/>
                <w14:textFill>
                  <w14:solidFill>
                    <w14:srgbClr w14:val="000000">
                      <w14:alpha w14:val="100000"/>
                    </w14:srgbClr>
                  </w14:solidFill>
                </w14:textFill>
              </w:rPr>
              <w:t>|</w:t>
            </w:r>
            <w:r w:rsidR="006B6FFA" w:rsidRPr="006B6FFA">
              <w:rPr>
                <w:b/>
                <w:bCs w:val="0"/>
                <w:color w:val="000000"/>
                <w:spacing w:val="1"/>
                <w:shd w:val="solid" w:color="000000" w:fill="000000"/>
                <w:fitText w:val="159" w:id="-762128383"/>
                <w14:textFill>
                  <w14:solidFill>
                    <w14:srgbClr w14:val="000000">
                      <w14:alpha w14:val="100000"/>
                    </w14:srgbClr>
                  </w14:solidFill>
                </w14:textFill>
              </w:rPr>
              <w:t>|</w:t>
            </w:r>
            <w:r w:rsidR="003F5169">
              <w:t xml:space="preserve"> </w:t>
            </w:r>
            <w:r w:rsidR="003F5169">
              <w:rPr>
                <w:vertAlign w:val="superscript"/>
              </w:rPr>
              <w:t>3</w:t>
            </w:r>
          </w:p>
        </w:tc>
        <w:tc>
          <w:tcPr>
            <w:tcW w:w="647" w:type="pct"/>
            <w:shd w:val="clear" w:color="auto" w:fill="auto"/>
            <w:vAlign w:val="center"/>
          </w:tcPr>
          <w:p w14:paraId="1B2BF3EE" w14:textId="1841B5AE" w:rsidR="00953875" w:rsidRPr="00953875" w:rsidRDefault="00953875" w:rsidP="00066932">
            <w:pPr>
              <w:pStyle w:val="TableText0"/>
              <w:keepLines/>
              <w:jc w:val="center"/>
              <w:rPr>
                <w:b/>
                <w:bCs w:val="0"/>
                <w:color w:val="000000"/>
                <w:szCs w:val="20"/>
              </w:rPr>
            </w:pPr>
            <w:r w:rsidRPr="00953875">
              <w:rPr>
                <w:b/>
                <w:bCs w:val="0"/>
              </w:rPr>
              <w:t>-$</w:t>
            </w:r>
            <w:r w:rsidR="006B6FFA" w:rsidRPr="006B6FFA">
              <w:rPr>
                <w:b/>
                <w:bCs w:val="0"/>
                <w:color w:val="000000"/>
                <w:spacing w:val="67"/>
                <w:shd w:val="solid" w:color="000000" w:fill="000000"/>
                <w:fitText w:val="159" w:id="-762128382"/>
                <w14:textFill>
                  <w14:solidFill>
                    <w14:srgbClr w14:val="000000">
                      <w14:alpha w14:val="100000"/>
                    </w14:srgbClr>
                  </w14:solidFill>
                </w14:textFill>
              </w:rPr>
              <w:t>|</w:t>
            </w:r>
            <w:r w:rsidR="006B6FFA" w:rsidRPr="006B6FFA">
              <w:rPr>
                <w:b/>
                <w:bCs w:val="0"/>
                <w:color w:val="000000"/>
                <w:spacing w:val="1"/>
                <w:shd w:val="solid" w:color="000000" w:fill="000000"/>
                <w:fitText w:val="159" w:id="-762128382"/>
                <w14:textFill>
                  <w14:solidFill>
                    <w14:srgbClr w14:val="000000">
                      <w14:alpha w14:val="100000"/>
                    </w14:srgbClr>
                  </w14:solidFill>
                </w14:textFill>
              </w:rPr>
              <w:t>|</w:t>
            </w:r>
            <w:r w:rsidR="003F5169">
              <w:t xml:space="preserve"> </w:t>
            </w:r>
            <w:r w:rsidR="003F5169">
              <w:rPr>
                <w:vertAlign w:val="superscript"/>
              </w:rPr>
              <w:t>3</w:t>
            </w:r>
          </w:p>
        </w:tc>
        <w:tc>
          <w:tcPr>
            <w:tcW w:w="647" w:type="pct"/>
            <w:shd w:val="clear" w:color="auto" w:fill="auto"/>
            <w:vAlign w:val="center"/>
          </w:tcPr>
          <w:p w14:paraId="0039C2FD" w14:textId="1DB41791" w:rsidR="00953875" w:rsidRPr="00953875" w:rsidRDefault="00953875" w:rsidP="00066932">
            <w:pPr>
              <w:pStyle w:val="TableText0"/>
              <w:keepLines/>
              <w:jc w:val="center"/>
              <w:rPr>
                <w:b/>
                <w:bCs w:val="0"/>
                <w:color w:val="000000"/>
                <w:szCs w:val="20"/>
              </w:rPr>
            </w:pPr>
            <w:r w:rsidRPr="00953875">
              <w:rPr>
                <w:b/>
                <w:bCs w:val="0"/>
              </w:rPr>
              <w:t>-$</w:t>
            </w:r>
            <w:r w:rsidR="006B6FFA" w:rsidRPr="006B6FFA">
              <w:rPr>
                <w:b/>
                <w:bCs w:val="0"/>
                <w:color w:val="000000"/>
                <w:spacing w:val="67"/>
                <w:shd w:val="solid" w:color="000000" w:fill="000000"/>
                <w:fitText w:val="159" w:id="-762128381"/>
                <w14:textFill>
                  <w14:solidFill>
                    <w14:srgbClr w14:val="000000">
                      <w14:alpha w14:val="100000"/>
                    </w14:srgbClr>
                  </w14:solidFill>
                </w14:textFill>
              </w:rPr>
              <w:t>|</w:t>
            </w:r>
            <w:r w:rsidR="006B6FFA" w:rsidRPr="006B6FFA">
              <w:rPr>
                <w:b/>
                <w:bCs w:val="0"/>
                <w:color w:val="000000"/>
                <w:spacing w:val="1"/>
                <w:shd w:val="solid" w:color="000000" w:fill="000000"/>
                <w:fitText w:val="159" w:id="-762128381"/>
                <w14:textFill>
                  <w14:solidFill>
                    <w14:srgbClr w14:val="000000">
                      <w14:alpha w14:val="100000"/>
                    </w14:srgbClr>
                  </w14:solidFill>
                </w14:textFill>
              </w:rPr>
              <w:t>|</w:t>
            </w:r>
            <w:r w:rsidR="003F5169">
              <w:t xml:space="preserve"> </w:t>
            </w:r>
            <w:r w:rsidR="003F5169">
              <w:rPr>
                <w:vertAlign w:val="superscript"/>
              </w:rPr>
              <w:t>3</w:t>
            </w:r>
          </w:p>
        </w:tc>
        <w:tc>
          <w:tcPr>
            <w:tcW w:w="645" w:type="pct"/>
            <w:vAlign w:val="center"/>
          </w:tcPr>
          <w:p w14:paraId="42FA0900" w14:textId="0BA351C4" w:rsidR="00953875" w:rsidRPr="00953875" w:rsidRDefault="00953875" w:rsidP="00066932">
            <w:pPr>
              <w:pStyle w:val="TableText0"/>
              <w:keepLines/>
              <w:jc w:val="center"/>
              <w:rPr>
                <w:b/>
                <w:bCs w:val="0"/>
                <w:color w:val="000000"/>
                <w:szCs w:val="20"/>
              </w:rPr>
            </w:pPr>
            <w:r w:rsidRPr="00953875">
              <w:rPr>
                <w:b/>
                <w:bCs w:val="0"/>
              </w:rPr>
              <w:t>-$</w:t>
            </w:r>
            <w:r w:rsidR="006B6FFA">
              <w:rPr>
                <w:b/>
                <w:bCs w:val="0"/>
                <w:color w:val="000000"/>
                <w:spacing w:val="67"/>
                <w:shd w:val="solid" w:color="000000" w:fill="000000"/>
                <w:fitText w:val="159" w:id="-762128380"/>
                <w14:textFill>
                  <w14:solidFill>
                    <w14:srgbClr w14:val="000000">
                      <w14:alpha w14:val="100000"/>
                    </w14:srgbClr>
                  </w14:solidFill>
                </w14:textFill>
              </w:rPr>
              <w:t>|</w:t>
            </w:r>
            <w:r w:rsidR="006B6FFA">
              <w:rPr>
                <w:b/>
                <w:bCs w:val="0"/>
                <w:color w:val="000000"/>
                <w:shd w:val="solid" w:color="000000" w:fill="000000"/>
                <w:fitText w:val="159" w:id="-762128380"/>
                <w14:textFill>
                  <w14:solidFill>
                    <w14:srgbClr w14:val="000000">
                      <w14:alpha w14:val="100000"/>
                    </w14:srgbClr>
                  </w14:solidFill>
                </w14:textFill>
              </w:rPr>
              <w:t>|</w:t>
            </w:r>
            <w:r w:rsidR="003F5169">
              <w:t xml:space="preserve"> </w:t>
            </w:r>
            <w:r w:rsidR="003F5169">
              <w:rPr>
                <w:vertAlign w:val="superscript"/>
              </w:rPr>
              <w:t>3</w:t>
            </w:r>
          </w:p>
        </w:tc>
      </w:tr>
    </w:tbl>
    <w:p w14:paraId="1C009A4A" w14:textId="08B727A6" w:rsidR="00421E9B" w:rsidRPr="00953875" w:rsidRDefault="00421E9B" w:rsidP="00066932">
      <w:pPr>
        <w:pStyle w:val="TableFigureFooter"/>
        <w:keepNext/>
        <w:keepLines/>
        <w:rPr>
          <w:i/>
          <w:iCs/>
          <w:color w:val="FF0000"/>
        </w:rPr>
      </w:pPr>
      <w:r w:rsidRPr="00A6439B">
        <w:t xml:space="preserve">Source: </w:t>
      </w:r>
      <w:r w:rsidR="00953875">
        <w:t>*</w:t>
      </w:r>
      <w:r w:rsidRPr="00C73817">
        <w:t xml:space="preserve">Submission’s </w:t>
      </w:r>
      <w:r w:rsidRPr="000B40BA">
        <w:t>financial</w:t>
      </w:r>
      <w:r w:rsidRPr="00C73817">
        <w:t xml:space="preserve"> model spreadsheet</w:t>
      </w:r>
      <w:r w:rsidR="00953875">
        <w:t xml:space="preserve"> </w:t>
      </w:r>
      <w:r>
        <w:t>(20 August 2024)</w:t>
      </w:r>
      <w:r w:rsidR="00953875">
        <w:t xml:space="preserve">. </w:t>
      </w:r>
    </w:p>
    <w:p w14:paraId="24A5B3B4" w14:textId="5005A4EA" w:rsidR="00C849C6" w:rsidRDefault="00AB4684" w:rsidP="00066932">
      <w:pPr>
        <w:pStyle w:val="TableFigureFooter"/>
        <w:keepNext/>
        <w:keepLines/>
        <w:jc w:val="left"/>
      </w:pPr>
      <w:r w:rsidRPr="00A6439B">
        <w:t>Abbreviations: PBS = Pharmaceutical Benefits Scheme; RPBS = Repatriation Pharmaceutical Benefits Scheme.</w:t>
      </w:r>
    </w:p>
    <w:p w14:paraId="7000005E" w14:textId="1CEBFF16" w:rsidR="00953875" w:rsidRDefault="00953875" w:rsidP="00066932">
      <w:pPr>
        <w:pStyle w:val="TableFigureFooter"/>
        <w:keepNext/>
        <w:keepLines/>
        <w:jc w:val="left"/>
        <w:rPr>
          <w:i/>
          <w:iCs/>
        </w:rPr>
      </w:pPr>
      <w:r w:rsidRPr="00066932">
        <w:t>*The submission used outdated copayments of $41.30 and $6.60 in the financial estimates. The evaluation amended the co-payments to reflect the 2024 figures of $31.60 and $7.70.</w:t>
      </w:r>
    </w:p>
    <w:p w14:paraId="53438CE4" w14:textId="77777777" w:rsidR="00563CFE" w:rsidRPr="00066932" w:rsidRDefault="00563CFE" w:rsidP="00066932">
      <w:pPr>
        <w:pStyle w:val="TableFigureFooter"/>
        <w:keepNext/>
        <w:keepLines/>
        <w:rPr>
          <w:i/>
          <w:iCs/>
        </w:rPr>
      </w:pPr>
      <w:r w:rsidRPr="00066932">
        <w:rPr>
          <w:i/>
          <w:iCs/>
        </w:rPr>
        <w:t xml:space="preserve">The redacted values correspond to the following ranges: </w:t>
      </w:r>
    </w:p>
    <w:p w14:paraId="6180DF64" w14:textId="68EA4BEC" w:rsidR="00563CFE" w:rsidRPr="00066932" w:rsidRDefault="00563CFE" w:rsidP="00066932">
      <w:pPr>
        <w:pStyle w:val="TableFigureFooter"/>
        <w:keepNext/>
        <w:keepLines/>
        <w:rPr>
          <w:i/>
          <w:iCs/>
        </w:rPr>
      </w:pPr>
      <w:r w:rsidRPr="00066932">
        <w:rPr>
          <w:i/>
          <w:iCs/>
          <w:vertAlign w:val="superscript"/>
        </w:rPr>
        <w:t>1</w:t>
      </w:r>
      <w:r w:rsidRPr="00066932">
        <w:rPr>
          <w:i/>
          <w:iCs/>
        </w:rPr>
        <w:t xml:space="preserve"> </w:t>
      </w:r>
      <w:r w:rsidR="00C849C6" w:rsidRPr="00066932">
        <w:rPr>
          <w:i/>
          <w:iCs/>
        </w:rPr>
        <w:t>&lt; 500</w:t>
      </w:r>
    </w:p>
    <w:p w14:paraId="2806F3FE" w14:textId="0D5618ED" w:rsidR="00563CFE" w:rsidRPr="00066932" w:rsidRDefault="00563CFE" w:rsidP="00066932">
      <w:pPr>
        <w:pStyle w:val="TableFigureFooter"/>
        <w:keepNext/>
        <w:keepLines/>
        <w:rPr>
          <w:i/>
          <w:iCs/>
        </w:rPr>
      </w:pPr>
      <w:r w:rsidRPr="00066932">
        <w:rPr>
          <w:i/>
          <w:iCs/>
          <w:vertAlign w:val="superscript"/>
        </w:rPr>
        <w:t>2</w:t>
      </w:r>
      <w:r w:rsidRPr="00066932">
        <w:rPr>
          <w:i/>
          <w:iCs/>
        </w:rPr>
        <w:t xml:space="preserve"> </w:t>
      </w:r>
      <w:r w:rsidR="006920D0" w:rsidRPr="00066932">
        <w:rPr>
          <w:i/>
          <w:iCs/>
        </w:rPr>
        <w:t>$0 to &lt; $10 million</w:t>
      </w:r>
    </w:p>
    <w:p w14:paraId="267C747B" w14:textId="3FED6C61" w:rsidR="00563CFE" w:rsidRPr="006920D0" w:rsidRDefault="00563CFE" w:rsidP="00066932">
      <w:pPr>
        <w:pStyle w:val="TableFigureFooter"/>
        <w:rPr>
          <w:i/>
          <w:iCs/>
        </w:rPr>
      </w:pPr>
      <w:r w:rsidRPr="00066932">
        <w:rPr>
          <w:i/>
          <w:iCs/>
          <w:vertAlign w:val="superscript"/>
        </w:rPr>
        <w:t>3</w:t>
      </w:r>
      <w:r w:rsidRPr="00066932">
        <w:rPr>
          <w:i/>
          <w:iCs/>
        </w:rPr>
        <w:t xml:space="preserve"> </w:t>
      </w:r>
      <w:r w:rsidR="0081123D" w:rsidRPr="00066932">
        <w:rPr>
          <w:i/>
          <w:iCs/>
        </w:rPr>
        <w:t>net cost saving</w:t>
      </w:r>
      <w:r w:rsidRPr="00066932">
        <w:rPr>
          <w:i/>
          <w:iCs/>
        </w:rPr>
        <w:t xml:space="preserve"> </w:t>
      </w:r>
    </w:p>
    <w:p w14:paraId="1176F9EB" w14:textId="31FA7D17" w:rsidR="00FE1C2C" w:rsidRPr="00D438F3" w:rsidRDefault="009D6C89" w:rsidP="00474DCD">
      <w:pPr>
        <w:pStyle w:val="3-BodyText"/>
        <w:numPr>
          <w:ilvl w:val="1"/>
          <w:numId w:val="2"/>
        </w:numPr>
        <w:spacing w:before="0"/>
      </w:pPr>
      <w:r w:rsidRPr="00D438F3">
        <w:t>As a Category 3 submission, the financial estimates have not been independently evaluated</w:t>
      </w:r>
      <w:r w:rsidR="00474DCD" w:rsidRPr="00D438F3">
        <w:t>.</w:t>
      </w:r>
    </w:p>
    <w:p w14:paraId="1B764C47" w14:textId="77777777" w:rsidR="005E0113" w:rsidRDefault="00DB4C84" w:rsidP="005E0113">
      <w:pPr>
        <w:pStyle w:val="Heading1"/>
        <w:keepNext/>
        <w:keepLines/>
        <w:numPr>
          <w:ilvl w:val="0"/>
          <w:numId w:val="2"/>
        </w:numPr>
        <w:spacing w:before="240"/>
        <w:ind w:left="709" w:hanging="709"/>
        <w:rPr>
          <w:sz w:val="32"/>
          <w:szCs w:val="32"/>
        </w:rPr>
      </w:pPr>
      <w:r>
        <w:rPr>
          <w:sz w:val="32"/>
          <w:szCs w:val="32"/>
        </w:rPr>
        <w:t>NPWP consideration</w:t>
      </w:r>
    </w:p>
    <w:p w14:paraId="0D40AAEB" w14:textId="41AE2AF7" w:rsidR="009F6514" w:rsidRPr="009F6514" w:rsidRDefault="009F6514" w:rsidP="009F6514">
      <w:pPr>
        <w:pStyle w:val="3-BodyText"/>
        <w:numPr>
          <w:ilvl w:val="1"/>
          <w:numId w:val="2"/>
        </w:numPr>
      </w:pPr>
      <w:r w:rsidRPr="009F6514">
        <w:t>The NPWP did not support the request to increase the authority level for ProZero 1 L from Restricted Benefit to Authority Required (STREAMLINED), nor did it support the inclusion of the proposed new population criteria (children aged 1 year or older, pre-conception/pregnant women, elderly ≥</w:t>
      </w:r>
      <w:r w:rsidR="00CC218A">
        <w:t> </w:t>
      </w:r>
      <w:r w:rsidRPr="009F6514">
        <w:t xml:space="preserve">65 years). </w:t>
      </w:r>
    </w:p>
    <w:p w14:paraId="04E9A19D" w14:textId="5CF9B974" w:rsidR="009F6514" w:rsidRPr="009F6514" w:rsidRDefault="009F6514" w:rsidP="009F6514">
      <w:pPr>
        <w:pStyle w:val="3-BodyText"/>
        <w:numPr>
          <w:ilvl w:val="1"/>
          <w:numId w:val="2"/>
        </w:numPr>
      </w:pPr>
      <w:r w:rsidRPr="009F6514">
        <w:lastRenderedPageBreak/>
        <w:t>The NPWP recalled that it had provided advice regarding the sponsor requested delisting of this product. The sponsor had previously indicated that ProZero (250 mL and 1 L) was no longer financially viable to be listed on the PBS due to increased costs of global shipping and consumer price index. The NPWP had identified the importance of having a range of products available and raised concern that there will be an unmet clinical need for certain patients (e.g., </w:t>
      </w:r>
      <w:r w:rsidR="00102F94" w:rsidRPr="009F6514">
        <w:t>6–12-month-old</w:t>
      </w:r>
      <w:r w:rsidRPr="009F6514">
        <w:t xml:space="preserve"> infants, teenagers and young adults) if ProZero was to delist. The NPWP recalled that only ProZero 250 mL was delisted from the PBS on 1 September 2024. </w:t>
      </w:r>
    </w:p>
    <w:p w14:paraId="11E9A5E8" w14:textId="77777777" w:rsidR="009F6514" w:rsidRPr="009F6514" w:rsidRDefault="009F6514" w:rsidP="009F6514">
      <w:pPr>
        <w:pStyle w:val="3-BodyText"/>
        <w:numPr>
          <w:ilvl w:val="1"/>
          <w:numId w:val="2"/>
        </w:numPr>
      </w:pPr>
      <w:r w:rsidRPr="009F6514">
        <w:t xml:space="preserve">The NPWP considered that the revised target population, particularly by age, could not be clinically justified and advised that these proposed changes may result in an unmet clinical need for some patients who are currently receiving PBS-subsidised access to ProZero 1 L. </w:t>
      </w:r>
    </w:p>
    <w:p w14:paraId="4B8E6CA7" w14:textId="77777777" w:rsidR="009F6514" w:rsidRPr="009F6514" w:rsidRDefault="009F6514" w:rsidP="009F6514">
      <w:pPr>
        <w:pStyle w:val="3-BodyText"/>
        <w:numPr>
          <w:ilvl w:val="1"/>
          <w:numId w:val="2"/>
        </w:numPr>
      </w:pPr>
      <w:r w:rsidRPr="009F6514">
        <w:t xml:space="preserve">The NPWP suggested that a reduction in the maximum quantity may be a more appropriate mechanism for ensuring continued supply and access, rather than restricting the eligible population. Patients currently receive 24 L per dispensing. The NPWP advised that most patients would be using 250-500 mL per day, thus 15 L would be at least a month’s supply for most patients. The NPWP noted that each 1 L carton needs to be used within 48 hours of opening, which is also consistent with 15 L supply per month. </w:t>
      </w:r>
    </w:p>
    <w:p w14:paraId="31EB256D" w14:textId="4EBDED58" w:rsidR="009F6514" w:rsidRPr="009F6514" w:rsidRDefault="009F6514" w:rsidP="009F6514">
      <w:pPr>
        <w:pStyle w:val="3-BodyText"/>
        <w:numPr>
          <w:ilvl w:val="1"/>
          <w:numId w:val="2"/>
        </w:numPr>
      </w:pPr>
      <w:r w:rsidRPr="009F6514">
        <w:t xml:space="preserve">The NPWP agreed with the evaluation that a 40% decrease in the prescriptions of ProZero </w:t>
      </w:r>
      <w:r w:rsidR="00AD320D">
        <w:t>1 L</w:t>
      </w:r>
      <w:r w:rsidRPr="009F6514">
        <w:t xml:space="preserve"> following the proposed changes in its PBS listing is likely an overestimate. </w:t>
      </w:r>
    </w:p>
    <w:p w14:paraId="7A55E1C7" w14:textId="7AD3C7AC" w:rsidR="005E0113" w:rsidRPr="005E0113" w:rsidRDefault="009F6514" w:rsidP="009F6514">
      <w:pPr>
        <w:pStyle w:val="3-BodyText"/>
        <w:numPr>
          <w:ilvl w:val="1"/>
          <w:numId w:val="2"/>
        </w:numPr>
      </w:pPr>
      <w:r w:rsidRPr="009F6514">
        <w:t xml:space="preserve">The NPWP advised that the overall financial impact due to the requested amendments is uncertain and agreed with the evaluation that it is inappropriate to include the offset cost of the ProZero 250 mL delist. </w:t>
      </w:r>
    </w:p>
    <w:p w14:paraId="643D9F5C" w14:textId="77777777" w:rsidR="00604FDF" w:rsidRPr="0090150D" w:rsidRDefault="00604FDF" w:rsidP="00604FDF">
      <w:pPr>
        <w:pStyle w:val="2-SectionHeading"/>
        <w:numPr>
          <w:ilvl w:val="0"/>
          <w:numId w:val="2"/>
        </w:numPr>
      </w:pPr>
      <w:bookmarkStart w:id="13" w:name="_Hlk76381249"/>
      <w:bookmarkStart w:id="14" w:name="_Hlk76377955"/>
      <w:r w:rsidRPr="0090150D">
        <w:t>PBAC Outcome</w:t>
      </w:r>
    </w:p>
    <w:p w14:paraId="0FA186EC" w14:textId="5BA45A58" w:rsidR="00B364C0" w:rsidRDefault="002F7BAE" w:rsidP="00F52CC1">
      <w:pPr>
        <w:pStyle w:val="3-BodyText"/>
        <w:numPr>
          <w:ilvl w:val="1"/>
          <w:numId w:val="2"/>
        </w:numPr>
      </w:pPr>
      <w:bookmarkStart w:id="15" w:name="_Hlk111543188"/>
      <w:r>
        <w:t>The PBAC recommended reducing the maximum quantity</w:t>
      </w:r>
      <w:r w:rsidR="005022D4">
        <w:t xml:space="preserve"> packs</w:t>
      </w:r>
      <w:r w:rsidR="008E7742">
        <w:t xml:space="preserve"> of</w:t>
      </w:r>
      <w:r w:rsidR="008E7742" w:rsidRPr="009F6514">
        <w:t xml:space="preserve"> </w:t>
      </w:r>
      <w:r w:rsidR="00F64C16">
        <w:t>t</w:t>
      </w:r>
      <w:r w:rsidR="00F64C16" w:rsidRPr="0080722D">
        <w:t xml:space="preserve">riglycerides, </w:t>
      </w:r>
      <w:r w:rsidR="00F64C16">
        <w:t>l</w:t>
      </w:r>
      <w:r w:rsidR="00F64C16" w:rsidRPr="0080722D">
        <w:t xml:space="preserve">ong </w:t>
      </w:r>
      <w:r w:rsidR="00F64C16">
        <w:t>c</w:t>
      </w:r>
      <w:r w:rsidR="00F64C16" w:rsidRPr="0080722D">
        <w:t xml:space="preserve">hain with </w:t>
      </w:r>
      <w:r w:rsidR="00F64C16">
        <w:t>g</w:t>
      </w:r>
      <w:r w:rsidR="00F64C16" w:rsidRPr="0080722D">
        <w:t xml:space="preserve">lucose </w:t>
      </w:r>
      <w:r w:rsidR="00F64C16">
        <w:t>p</w:t>
      </w:r>
      <w:r w:rsidR="00F64C16" w:rsidRPr="0080722D">
        <w:t>olymer</w:t>
      </w:r>
      <w:r w:rsidR="00F64C16">
        <w:t xml:space="preserve"> </w:t>
      </w:r>
      <w:r w:rsidR="00F64C16" w:rsidRPr="001739FD">
        <w:t xml:space="preserve">6 x </w:t>
      </w:r>
      <w:r w:rsidR="00394A93" w:rsidRPr="001739FD">
        <w:t>1</w:t>
      </w:r>
      <w:r w:rsidR="00394A93">
        <w:t> </w:t>
      </w:r>
      <w:r w:rsidR="00F64C16" w:rsidRPr="001739FD">
        <w:t>L cartons</w:t>
      </w:r>
      <w:r w:rsidR="00F64C16">
        <w:t xml:space="preserve"> (ProZero®) </w:t>
      </w:r>
      <w:r w:rsidR="008E7742" w:rsidRPr="00B44F22">
        <w:t xml:space="preserve">for </w:t>
      </w:r>
      <w:r w:rsidR="008E7742" w:rsidRPr="00076951">
        <w:t>the treatment of proven inborn errors of protein metabolism</w:t>
      </w:r>
      <w:r>
        <w:t xml:space="preserve"> from </w:t>
      </w:r>
      <w:r w:rsidR="00F64C16">
        <w:t>4 (</w:t>
      </w:r>
      <w:r w:rsidR="00394A93">
        <w:t>24 </w:t>
      </w:r>
      <w:r>
        <w:t>L</w:t>
      </w:r>
      <w:r w:rsidR="00F64C16">
        <w:t>)</w:t>
      </w:r>
      <w:r>
        <w:t xml:space="preserve"> to </w:t>
      </w:r>
      <w:r w:rsidR="00F64C16">
        <w:t>3 (</w:t>
      </w:r>
      <w:r>
        <w:t>18</w:t>
      </w:r>
      <w:r w:rsidR="00394A93">
        <w:t> </w:t>
      </w:r>
      <w:r>
        <w:t>L</w:t>
      </w:r>
      <w:r w:rsidR="00F64C16">
        <w:t>)</w:t>
      </w:r>
      <w:r>
        <w:t xml:space="preserve">. </w:t>
      </w:r>
      <w:r w:rsidR="008A2F4E" w:rsidRPr="009F6514">
        <w:t xml:space="preserve">The </w:t>
      </w:r>
      <w:r w:rsidR="008A2F4E">
        <w:t>PBAC</w:t>
      </w:r>
      <w:r w:rsidR="008A2F4E" w:rsidRPr="009F6514">
        <w:t xml:space="preserve"> did not </w:t>
      </w:r>
      <w:r w:rsidR="008A2F4E">
        <w:t>recommend</w:t>
      </w:r>
      <w:r w:rsidR="008A2F4E" w:rsidRPr="009F6514">
        <w:t xml:space="preserve"> </w:t>
      </w:r>
      <w:r w:rsidR="00D064B8">
        <w:t>the request to increase the authority level</w:t>
      </w:r>
      <w:r w:rsidR="008A2F4E" w:rsidRPr="009F6514">
        <w:t xml:space="preserve"> </w:t>
      </w:r>
      <w:r w:rsidR="008A2F4E">
        <w:t>of</w:t>
      </w:r>
      <w:r w:rsidR="008A2F4E" w:rsidRPr="009F6514">
        <w:t xml:space="preserve"> ProZero 1 L </w:t>
      </w:r>
      <w:r w:rsidR="008A2F4E" w:rsidRPr="00B44F22">
        <w:t xml:space="preserve">for </w:t>
      </w:r>
      <w:r w:rsidR="008A2F4E" w:rsidRPr="00076951">
        <w:t>the treatment of proven inborn errors of protein metabolism</w:t>
      </w:r>
      <w:r w:rsidR="008A2F4E" w:rsidRPr="00B44F22">
        <w:t xml:space="preserve"> from </w:t>
      </w:r>
      <w:r w:rsidR="008A2F4E" w:rsidRPr="00076951">
        <w:t xml:space="preserve">Restricted Benefit </w:t>
      </w:r>
      <w:r w:rsidR="008A2F4E" w:rsidRPr="00B44F22">
        <w:t xml:space="preserve">to </w:t>
      </w:r>
      <w:r w:rsidR="008A2F4E" w:rsidRPr="00076951">
        <w:t>Authority Required (STREAMLINED)</w:t>
      </w:r>
      <w:r w:rsidR="00D064B8">
        <w:t xml:space="preserve">, </w:t>
      </w:r>
      <w:r w:rsidR="00E42D0D">
        <w:t>nor</w:t>
      </w:r>
      <w:r w:rsidR="00B364C0">
        <w:t xml:space="preserve"> </w:t>
      </w:r>
      <w:r w:rsidR="008A2F4E">
        <w:t xml:space="preserve">did </w:t>
      </w:r>
      <w:r w:rsidR="00E42D0D">
        <w:t>it</w:t>
      </w:r>
      <w:r w:rsidR="008A2F4E">
        <w:t xml:space="preserve"> recommend </w:t>
      </w:r>
      <w:r w:rsidR="0060345C" w:rsidRPr="009F6514">
        <w:t>the inclusion of new population criteria (children aged 1 year or older, pre-conception/pregnant women, elderly ≥</w:t>
      </w:r>
      <w:r w:rsidR="00394A93">
        <w:t> </w:t>
      </w:r>
      <w:r w:rsidR="0060345C" w:rsidRPr="009F6514">
        <w:t>65 years)</w:t>
      </w:r>
      <w:r w:rsidR="0060345C">
        <w:t xml:space="preserve"> </w:t>
      </w:r>
      <w:r w:rsidR="00D064B8">
        <w:t>for</w:t>
      </w:r>
      <w:r w:rsidR="0060345C">
        <w:t xml:space="preserve"> </w:t>
      </w:r>
      <w:r w:rsidR="00D064B8">
        <w:t xml:space="preserve">the </w:t>
      </w:r>
      <w:r w:rsidR="0060345C">
        <w:t xml:space="preserve">existing </w:t>
      </w:r>
      <w:r w:rsidR="00D064B8">
        <w:t xml:space="preserve">ProZero </w:t>
      </w:r>
      <w:r w:rsidR="00AD320D">
        <w:t>1 L</w:t>
      </w:r>
      <w:r w:rsidR="00D064B8">
        <w:t xml:space="preserve"> </w:t>
      </w:r>
      <w:r w:rsidR="0060345C">
        <w:t>listing</w:t>
      </w:r>
      <w:r w:rsidR="00D064B8">
        <w:t>.</w:t>
      </w:r>
    </w:p>
    <w:p w14:paraId="44FDCE5E" w14:textId="2CC1A786" w:rsidR="00D064B8" w:rsidRDefault="00D064B8" w:rsidP="00D064B8">
      <w:pPr>
        <w:pStyle w:val="3-BodyText"/>
      </w:pPr>
      <w:r>
        <w:t xml:space="preserve">The PBAC noted </w:t>
      </w:r>
      <w:r w:rsidR="00E24D37">
        <w:t xml:space="preserve">previous advice from the NPWP that there would be an unmet clinical need for certain patients </w:t>
      </w:r>
      <w:r w:rsidR="00E24D37" w:rsidRPr="009F6514">
        <w:t>(e.g., 6–12-month-old infants, teenagers and young adults) if ProZero was to delist.</w:t>
      </w:r>
      <w:r w:rsidR="00E24D37">
        <w:t xml:space="preserve"> The PBAC also noted</w:t>
      </w:r>
      <w:r w:rsidR="00E24D37" w:rsidRPr="009F6514">
        <w:t xml:space="preserve"> </w:t>
      </w:r>
      <w:r w:rsidR="00E24D37">
        <w:t>that only ProZero 250 mL was delisted from the PBS on 1 September 2024.</w:t>
      </w:r>
    </w:p>
    <w:p w14:paraId="0E46BA8D" w14:textId="5EDBE4D8" w:rsidR="00E24D37" w:rsidRDefault="00942136" w:rsidP="00BB52D5">
      <w:pPr>
        <w:pStyle w:val="3-BodyText"/>
      </w:pPr>
      <w:r>
        <w:t xml:space="preserve">The PBAC </w:t>
      </w:r>
      <w:r w:rsidR="00DB71D4">
        <w:t xml:space="preserve">noted </w:t>
      </w:r>
      <w:r w:rsidR="00662436">
        <w:t xml:space="preserve">and </w:t>
      </w:r>
      <w:r w:rsidR="00D064B8">
        <w:t>supported the</w:t>
      </w:r>
      <w:r w:rsidR="00662436">
        <w:t xml:space="preserve"> NPWP</w:t>
      </w:r>
      <w:r w:rsidR="00761CA3">
        <w:t>’s</w:t>
      </w:r>
      <w:r w:rsidR="00662436">
        <w:t xml:space="preserve"> advice </w:t>
      </w:r>
      <w:r w:rsidR="00E24D37">
        <w:t xml:space="preserve">that the </w:t>
      </w:r>
      <w:r w:rsidR="00E24D37" w:rsidRPr="009F6514">
        <w:t xml:space="preserve">revised target population, particularly by age, could not be clinically justified and advised that these proposed </w:t>
      </w:r>
      <w:r w:rsidR="00E24D37" w:rsidRPr="009F6514">
        <w:lastRenderedPageBreak/>
        <w:t>changes may result in an unmet clinical need for some patients who are currently receiving PBS-subsidised access to ProZero 1 L.</w:t>
      </w:r>
    </w:p>
    <w:p w14:paraId="197AC48E" w14:textId="4B2AB969" w:rsidR="00D064B8" w:rsidRPr="009F6514" w:rsidRDefault="00E24D37" w:rsidP="008C0BED">
      <w:pPr>
        <w:pStyle w:val="3-BodyText"/>
        <w:numPr>
          <w:ilvl w:val="1"/>
          <w:numId w:val="2"/>
        </w:numPr>
      </w:pPr>
      <w:r>
        <w:t xml:space="preserve">The PBAC agreed with the NPWP that a reduction </w:t>
      </w:r>
      <w:r w:rsidRPr="009F6514">
        <w:t xml:space="preserve">in the maximum quantity may be a more appropriate mechanism for ensuring continued supply and access, rather than restricting the eligible population. </w:t>
      </w:r>
      <w:r w:rsidR="00D759B4">
        <w:t>The PBAC noted that p</w:t>
      </w:r>
      <w:r w:rsidR="00D759B4" w:rsidRPr="009F6514">
        <w:t>atients currently receive 24 L per dispensing</w:t>
      </w:r>
      <w:r w:rsidR="00D759B4">
        <w:t xml:space="preserve"> (6 x </w:t>
      </w:r>
      <w:r w:rsidR="00394A93">
        <w:t>1 </w:t>
      </w:r>
      <w:r w:rsidR="00D759B4">
        <w:t xml:space="preserve">L cartons, maximum quantity of 4). </w:t>
      </w:r>
      <w:r w:rsidR="0030677C">
        <w:t>Noting that the quantity is delivered in multiple</w:t>
      </w:r>
      <w:r w:rsidR="0090317D">
        <w:t>s</w:t>
      </w:r>
      <w:r w:rsidR="0030677C">
        <w:t xml:space="preserve"> of 6 cartons, t</w:t>
      </w:r>
      <w:r w:rsidR="006D4204">
        <w:t xml:space="preserve">he PBAC </w:t>
      </w:r>
      <w:r w:rsidR="0030677C">
        <w:t>recommended</w:t>
      </w:r>
      <w:r w:rsidR="006D4204">
        <w:t xml:space="preserve"> reducing the maximum quantity</w:t>
      </w:r>
      <w:r w:rsidR="005022D4">
        <w:t xml:space="preserve"> packs</w:t>
      </w:r>
      <w:r w:rsidR="006D4204">
        <w:t xml:space="preserve"> from </w:t>
      </w:r>
      <w:r w:rsidR="0090317D">
        <w:t>4 (</w:t>
      </w:r>
      <w:r w:rsidR="006D4204">
        <w:t>24 L</w:t>
      </w:r>
      <w:r w:rsidR="0090317D">
        <w:t>)</w:t>
      </w:r>
      <w:r w:rsidR="006D4204">
        <w:t xml:space="preserve"> to</w:t>
      </w:r>
      <w:r w:rsidR="0090317D">
        <w:t xml:space="preserve"> 3</w:t>
      </w:r>
      <w:r w:rsidR="006D4204">
        <w:t xml:space="preserve"> </w:t>
      </w:r>
      <w:r w:rsidR="0090317D">
        <w:t>(</w:t>
      </w:r>
      <w:r w:rsidR="006D4204">
        <w:t>18 L</w:t>
      </w:r>
      <w:r w:rsidR="0090317D">
        <w:t>)</w:t>
      </w:r>
      <w:r w:rsidR="0030677C">
        <w:t>,</w:t>
      </w:r>
      <w:r w:rsidR="006D4204">
        <w:t xml:space="preserve"> consistent with the usual 250-500 mL per day dosage.</w:t>
      </w:r>
    </w:p>
    <w:p w14:paraId="4BA1F30B" w14:textId="48AD98E6" w:rsidR="008C0BED" w:rsidRPr="008C0BED" w:rsidRDefault="006D4204" w:rsidP="008C0BED">
      <w:pPr>
        <w:pStyle w:val="3-BodyText"/>
        <w:numPr>
          <w:ilvl w:val="1"/>
          <w:numId w:val="2"/>
        </w:numPr>
      </w:pPr>
      <w:r>
        <w:t xml:space="preserve">The PBAC </w:t>
      </w:r>
      <w:r w:rsidR="008C0BED">
        <w:t xml:space="preserve">noted that the submission included the cost savings from the delisting of ProZero </w:t>
      </w:r>
      <w:r w:rsidR="00473063">
        <w:t>250 </w:t>
      </w:r>
      <w:r w:rsidR="008C0BED">
        <w:t xml:space="preserve">mL into the financial estimates for the restriction amendments for ProZero </w:t>
      </w:r>
      <w:r w:rsidR="00AD320D">
        <w:t>1 L</w:t>
      </w:r>
      <w:r w:rsidR="008C0BED">
        <w:t xml:space="preserve">. The PBAC agreed with the evaluation that this was inappropriate. </w:t>
      </w:r>
    </w:p>
    <w:p w14:paraId="4052E80F" w14:textId="77ADCD39" w:rsidR="00604FDF" w:rsidRPr="00F31565" w:rsidRDefault="00961B3A" w:rsidP="00F31565">
      <w:pPr>
        <w:pStyle w:val="3Bodytext"/>
        <w:numPr>
          <w:ilvl w:val="1"/>
          <w:numId w:val="2"/>
        </w:numPr>
        <w:spacing w:before="0"/>
        <w:rPr>
          <w:rFonts w:eastAsia="Times New Roman" w:cs="Arial"/>
          <w:bCs/>
          <w:snapToGrid w:val="0"/>
          <w:lang w:val="en-GB"/>
        </w:rPr>
      </w:pPr>
      <w:r>
        <w:rPr>
          <w:rFonts w:eastAsia="Times New Roman" w:cs="Arial"/>
          <w:bCs/>
          <w:snapToGrid w:val="0"/>
          <w:lang w:val="en-GB"/>
        </w:rPr>
        <w:t xml:space="preserve">The PBAC noted this submission is not eligible for an Independent Review because it received a positive recommendation. </w:t>
      </w:r>
      <w:bookmarkEnd w:id="15"/>
    </w:p>
    <w:p w14:paraId="18CE5F47" w14:textId="77777777" w:rsidR="00604FDF" w:rsidRPr="00525B39" w:rsidRDefault="00604FDF" w:rsidP="00604FDF">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0BB8CF88" w14:textId="4D8268E6" w:rsidR="00715316" w:rsidRPr="00F31565" w:rsidRDefault="00A01D12" w:rsidP="00F31565">
      <w:pPr>
        <w:rPr>
          <w:rFonts w:asciiTheme="minorHAnsi" w:hAnsiTheme="minorHAnsi" w:cs="Arial"/>
          <w:bCs/>
          <w:snapToGrid w:val="0"/>
          <w:lang w:val="en-GB"/>
        </w:rPr>
      </w:pPr>
      <w:r>
        <w:rPr>
          <w:rFonts w:asciiTheme="minorHAnsi" w:hAnsiTheme="minorHAnsi" w:cs="Arial"/>
          <w:bCs/>
          <w:snapToGrid w:val="0"/>
          <w:lang w:val="en-GB"/>
        </w:rPr>
        <w:t>Recommended</w:t>
      </w:r>
    </w:p>
    <w:p w14:paraId="75C6CF7E" w14:textId="6A418A03" w:rsidR="00961B3A" w:rsidRPr="00961B3A" w:rsidRDefault="00961B3A" w:rsidP="00961B3A">
      <w:pPr>
        <w:pStyle w:val="2-SectionHeading"/>
        <w:numPr>
          <w:ilvl w:val="0"/>
          <w:numId w:val="2"/>
        </w:numPr>
      </w:pPr>
      <w:r>
        <w:t>Recommended listing</w:t>
      </w:r>
    </w:p>
    <w:p w14:paraId="62F5E288" w14:textId="6BA9EFD7" w:rsidR="00961B3A" w:rsidRPr="00961B3A" w:rsidRDefault="00961B3A" w:rsidP="00961B3A">
      <w:pPr>
        <w:pStyle w:val="3-BodyText"/>
        <w:numPr>
          <w:ilvl w:val="1"/>
          <w:numId w:val="2"/>
        </w:numPr>
        <w:rPr>
          <w:rFonts w:cs="Arial"/>
          <w:snapToGrid w:val="0"/>
        </w:rPr>
      </w:pPr>
      <w:r w:rsidRPr="00961B3A">
        <w:t xml:space="preserve">Amend maximum quantity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526"/>
        <w:gridCol w:w="811"/>
        <w:gridCol w:w="812"/>
        <w:gridCol w:w="811"/>
        <w:gridCol w:w="812"/>
        <w:gridCol w:w="1831"/>
      </w:tblGrid>
      <w:tr w:rsidR="00961B3A" w:rsidRPr="001428E9" w14:paraId="607774B4" w14:textId="77777777" w:rsidTr="00655EAA">
        <w:trPr>
          <w:cantSplit/>
          <w:trHeight w:val="20"/>
        </w:trPr>
        <w:tc>
          <w:tcPr>
            <w:tcW w:w="3939" w:type="dxa"/>
            <w:gridSpan w:val="2"/>
            <w:vAlign w:val="center"/>
          </w:tcPr>
          <w:p w14:paraId="1620F510" w14:textId="77777777" w:rsidR="00961B3A" w:rsidRPr="001428E9" w:rsidRDefault="00961B3A" w:rsidP="00655EAA">
            <w:pPr>
              <w:keepLines/>
              <w:rPr>
                <w:rFonts w:ascii="Arial Narrow" w:hAnsi="Arial Narrow" w:cs="Arial"/>
                <w:b/>
                <w:bCs/>
                <w:sz w:val="20"/>
                <w:szCs w:val="20"/>
              </w:rPr>
            </w:pPr>
            <w:r w:rsidRPr="001428E9">
              <w:rPr>
                <w:rFonts w:ascii="Arial Narrow" w:hAnsi="Arial Narrow" w:cs="Arial"/>
                <w:b/>
                <w:bCs/>
                <w:sz w:val="20"/>
                <w:szCs w:val="20"/>
              </w:rPr>
              <w:t>MEDICINAL PRODUCT</w:t>
            </w:r>
          </w:p>
          <w:p w14:paraId="09661439" w14:textId="77777777" w:rsidR="00961B3A" w:rsidRPr="001428E9" w:rsidRDefault="00961B3A" w:rsidP="00655EAA">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2C228508" w14:textId="77777777" w:rsidR="00961B3A" w:rsidRPr="001428E9" w:rsidRDefault="00961B3A" w:rsidP="00655EAA">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435651D5" w14:textId="77777777" w:rsidR="00961B3A" w:rsidRPr="001428E9" w:rsidRDefault="00961B3A" w:rsidP="00655EAA">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18E2E9F" w14:textId="77777777" w:rsidR="00961B3A" w:rsidRPr="001428E9" w:rsidRDefault="00961B3A" w:rsidP="00655EAA">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69F663A" w14:textId="77777777" w:rsidR="00961B3A" w:rsidRPr="001428E9" w:rsidRDefault="00961B3A" w:rsidP="00655EAA">
            <w:pPr>
              <w:keepLines/>
              <w:jc w:val="center"/>
              <w:rPr>
                <w:rFonts w:ascii="Arial Narrow" w:hAnsi="Arial Narrow" w:cs="Arial"/>
                <w:b/>
                <w:sz w:val="20"/>
                <w:szCs w:val="20"/>
              </w:rPr>
            </w:pPr>
            <w:r w:rsidRPr="001428E9">
              <w:rPr>
                <w:rFonts w:ascii="Arial Narrow" w:hAnsi="Arial Narrow" w:cs="Arial"/>
                <w:b/>
                <w:sz w:val="20"/>
                <w:szCs w:val="20"/>
              </w:rPr>
              <w:t>№.of</w:t>
            </w:r>
          </w:p>
          <w:p w14:paraId="4C217817" w14:textId="77777777" w:rsidR="00961B3A" w:rsidRPr="001428E9" w:rsidRDefault="00961B3A" w:rsidP="00655EAA">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3B08ECF6" w14:textId="77777777" w:rsidR="00961B3A" w:rsidRPr="001428E9" w:rsidRDefault="00961B3A" w:rsidP="00655EAA">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961B3A" w:rsidRPr="001428E9" w14:paraId="5EB7684C" w14:textId="77777777" w:rsidTr="00655EAA">
        <w:trPr>
          <w:cantSplit/>
          <w:trHeight w:val="20"/>
        </w:trPr>
        <w:tc>
          <w:tcPr>
            <w:tcW w:w="9016" w:type="dxa"/>
            <w:gridSpan w:val="7"/>
            <w:vAlign w:val="center"/>
          </w:tcPr>
          <w:p w14:paraId="61C50756" w14:textId="77777777" w:rsidR="00961B3A" w:rsidRPr="001428E9" w:rsidRDefault="00961B3A" w:rsidP="00655EAA">
            <w:pPr>
              <w:keepLines/>
              <w:rPr>
                <w:rFonts w:ascii="Arial Narrow" w:hAnsi="Arial Narrow" w:cs="Arial"/>
                <w:sz w:val="20"/>
                <w:szCs w:val="20"/>
              </w:rPr>
            </w:pPr>
            <w:r w:rsidRPr="00764A8F">
              <w:rPr>
                <w:rFonts w:ascii="Arial Narrow" w:hAnsi="Arial Narrow" w:cs="Arial"/>
                <w:sz w:val="20"/>
                <w:szCs w:val="20"/>
              </w:rPr>
              <w:t xml:space="preserve">TRIGLYCERIDES LONG CHAIN WITH GLUCOSE POLYMER </w:t>
            </w:r>
            <w:r>
              <w:rPr>
                <w:rFonts w:ascii="Arial Narrow" w:hAnsi="Arial Narrow" w:cs="Arial"/>
                <w:sz w:val="20"/>
                <w:szCs w:val="20"/>
              </w:rPr>
              <w:t xml:space="preserve"> </w:t>
            </w:r>
          </w:p>
        </w:tc>
      </w:tr>
      <w:tr w:rsidR="00961B3A" w:rsidRPr="001428E9" w14:paraId="30A4A778" w14:textId="77777777" w:rsidTr="00655EAA">
        <w:trPr>
          <w:cantSplit/>
          <w:trHeight w:val="20"/>
        </w:trPr>
        <w:tc>
          <w:tcPr>
            <w:tcW w:w="3939" w:type="dxa"/>
            <w:gridSpan w:val="2"/>
            <w:vAlign w:val="center"/>
          </w:tcPr>
          <w:p w14:paraId="3D2927B1" w14:textId="77777777" w:rsidR="00961B3A" w:rsidRPr="001428E9" w:rsidRDefault="00961B3A" w:rsidP="00655EAA">
            <w:pPr>
              <w:keepLines/>
              <w:rPr>
                <w:rFonts w:ascii="Arial Narrow" w:hAnsi="Arial Narrow" w:cs="Arial"/>
                <w:sz w:val="20"/>
                <w:szCs w:val="20"/>
              </w:rPr>
            </w:pPr>
            <w:r w:rsidRPr="00764A8F">
              <w:rPr>
                <w:rFonts w:ascii="Arial Narrow" w:hAnsi="Arial Narrow" w:cs="Arial"/>
                <w:sz w:val="20"/>
                <w:szCs w:val="20"/>
              </w:rPr>
              <w:t>triglycerides long chain with glucose polymer oral liquid, 6 x 1 L cartons</w:t>
            </w:r>
          </w:p>
        </w:tc>
        <w:tc>
          <w:tcPr>
            <w:tcW w:w="811" w:type="dxa"/>
            <w:vAlign w:val="center"/>
          </w:tcPr>
          <w:p w14:paraId="6EE48358" w14:textId="77777777" w:rsidR="00961B3A" w:rsidRPr="001428E9" w:rsidRDefault="00961B3A" w:rsidP="00655EAA">
            <w:pPr>
              <w:keepLines/>
              <w:jc w:val="center"/>
              <w:rPr>
                <w:rFonts w:ascii="Arial Narrow" w:hAnsi="Arial Narrow" w:cs="Arial"/>
                <w:sz w:val="20"/>
                <w:szCs w:val="20"/>
              </w:rPr>
            </w:pPr>
            <w:r w:rsidRPr="0030057B">
              <w:rPr>
                <w:rFonts w:ascii="Arial Narrow" w:hAnsi="Arial Narrow" w:cs="Arial"/>
                <w:sz w:val="20"/>
                <w:szCs w:val="20"/>
              </w:rPr>
              <w:t>9309Y</w:t>
            </w:r>
          </w:p>
        </w:tc>
        <w:tc>
          <w:tcPr>
            <w:tcW w:w="812" w:type="dxa"/>
            <w:vAlign w:val="center"/>
          </w:tcPr>
          <w:p w14:paraId="4F8FC333" w14:textId="040B89DC" w:rsidR="00961B3A" w:rsidRPr="001428E9" w:rsidRDefault="00961B3A" w:rsidP="00655EAA">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59405BA9" w14:textId="2BC71987" w:rsidR="00961B3A" w:rsidRPr="001428E9" w:rsidRDefault="00961B3A" w:rsidP="00655EAA">
            <w:pPr>
              <w:keepLines/>
              <w:jc w:val="center"/>
              <w:rPr>
                <w:rFonts w:ascii="Arial Narrow" w:hAnsi="Arial Narrow" w:cs="Arial"/>
                <w:sz w:val="20"/>
                <w:szCs w:val="20"/>
              </w:rPr>
            </w:pPr>
            <w:r>
              <w:rPr>
                <w:rFonts w:ascii="Arial Narrow" w:hAnsi="Arial Narrow" w:cs="Arial"/>
                <w:sz w:val="20"/>
                <w:szCs w:val="20"/>
              </w:rPr>
              <w:t>3</w:t>
            </w:r>
          </w:p>
        </w:tc>
        <w:tc>
          <w:tcPr>
            <w:tcW w:w="812" w:type="dxa"/>
            <w:vAlign w:val="center"/>
          </w:tcPr>
          <w:p w14:paraId="15093DF6" w14:textId="77777777" w:rsidR="00961B3A" w:rsidRPr="001428E9" w:rsidRDefault="00961B3A" w:rsidP="00655EAA">
            <w:pPr>
              <w:keepLines/>
              <w:jc w:val="center"/>
              <w:rPr>
                <w:rFonts w:ascii="Arial Narrow" w:hAnsi="Arial Narrow" w:cs="Arial"/>
                <w:sz w:val="20"/>
                <w:szCs w:val="20"/>
              </w:rPr>
            </w:pPr>
            <w:r w:rsidRPr="00B14DD5">
              <w:rPr>
                <w:rFonts w:ascii="Arial Narrow" w:hAnsi="Arial Narrow" w:cs="Arial"/>
                <w:sz w:val="20"/>
                <w:szCs w:val="20"/>
              </w:rPr>
              <w:t>5</w:t>
            </w:r>
          </w:p>
        </w:tc>
        <w:tc>
          <w:tcPr>
            <w:tcW w:w="1831" w:type="dxa"/>
            <w:vAlign w:val="center"/>
          </w:tcPr>
          <w:p w14:paraId="1E9AB87F" w14:textId="77777777" w:rsidR="00961B3A" w:rsidRPr="001428E9" w:rsidRDefault="00961B3A" w:rsidP="00655EAA">
            <w:pPr>
              <w:keepLines/>
              <w:rPr>
                <w:rFonts w:ascii="Arial Narrow" w:hAnsi="Arial Narrow" w:cs="Arial"/>
                <w:sz w:val="20"/>
                <w:szCs w:val="20"/>
              </w:rPr>
            </w:pPr>
            <w:r w:rsidRPr="0030057B">
              <w:rPr>
                <w:rFonts w:ascii="Arial Narrow" w:hAnsi="Arial Narrow" w:cs="Arial"/>
                <w:sz w:val="20"/>
                <w:szCs w:val="20"/>
              </w:rPr>
              <w:t>ProZero</w:t>
            </w:r>
          </w:p>
        </w:tc>
      </w:tr>
      <w:tr w:rsidR="00961B3A" w:rsidRPr="001428E9" w14:paraId="620DF92B" w14:textId="77777777" w:rsidTr="00655EAA">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7B97D70" w14:textId="77777777" w:rsidR="00961B3A" w:rsidRPr="001428E9" w:rsidRDefault="00961B3A" w:rsidP="00655EAA">
            <w:pPr>
              <w:rPr>
                <w:rFonts w:ascii="Arial Narrow" w:hAnsi="Arial Narrow" w:cs="Arial"/>
                <w:sz w:val="20"/>
                <w:szCs w:val="20"/>
              </w:rPr>
            </w:pPr>
          </w:p>
        </w:tc>
      </w:tr>
      <w:tr w:rsidR="00961B3A" w:rsidRPr="001428E9" w14:paraId="64B3EDA8" w14:textId="77777777" w:rsidTr="00655EAA">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D1CCB66" w14:textId="77777777" w:rsidR="00961B3A" w:rsidRPr="001428E9" w:rsidRDefault="00961B3A" w:rsidP="00655EAA">
            <w:pPr>
              <w:keepLines/>
              <w:rPr>
                <w:rFonts w:ascii="Arial Narrow" w:hAnsi="Arial Narrow" w:cs="Arial"/>
                <w:b/>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[new] </w:t>
            </w:r>
          </w:p>
        </w:tc>
      </w:tr>
      <w:tr w:rsidR="00961B3A" w:rsidRPr="001428E9" w14:paraId="47B7BCE8" w14:textId="77777777" w:rsidTr="00655EAA">
        <w:tblPrEx>
          <w:tblCellMar>
            <w:top w:w="15" w:type="dxa"/>
            <w:bottom w:w="15" w:type="dxa"/>
          </w:tblCellMar>
          <w:tblLook w:val="04A0" w:firstRow="1" w:lastRow="0" w:firstColumn="1" w:lastColumn="0" w:noHBand="0" w:noVBand="1"/>
        </w:tblPrEx>
        <w:trPr>
          <w:trHeight w:val="20"/>
        </w:trPr>
        <w:tc>
          <w:tcPr>
            <w:tcW w:w="1413" w:type="dxa"/>
            <w:vMerge w:val="restart"/>
            <w:tcBorders>
              <w:top w:val="single" w:sz="4" w:space="0" w:color="auto"/>
              <w:left w:val="single" w:sz="4" w:space="0" w:color="auto"/>
              <w:right w:val="single" w:sz="4" w:space="0" w:color="auto"/>
            </w:tcBorders>
          </w:tcPr>
          <w:p w14:paraId="65B12B8F" w14:textId="7EC17AA2" w:rsidR="00961B3A" w:rsidRPr="001428E9" w:rsidRDefault="00961B3A" w:rsidP="00655EAA">
            <w:pPr>
              <w:jc w:val="center"/>
              <w:rPr>
                <w:rFonts w:ascii="Arial Narrow" w:hAnsi="Arial Narrow" w:cs="Arial"/>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8E0EB82" w14:textId="77777777" w:rsidR="00961B3A" w:rsidRPr="001428E9" w:rsidRDefault="00961B3A" w:rsidP="00655EAA">
            <w:pPr>
              <w:keepLines/>
              <w:rPr>
                <w:rFonts w:ascii="Arial Narrow" w:hAnsi="Arial Narrow" w:cs="Arial"/>
                <w:sz w:val="20"/>
                <w:szCs w:val="20"/>
              </w:rPr>
            </w:pPr>
            <w:r w:rsidRPr="001428E9">
              <w:rPr>
                <w:rFonts w:ascii="Arial Narrow" w:hAnsi="Arial Narrow" w:cs="Arial"/>
                <w:b/>
                <w:sz w:val="20"/>
                <w:szCs w:val="20"/>
              </w:rPr>
              <w:t>Category / Program:</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961B3A" w:rsidRPr="001428E9" w14:paraId="7CA0FFEE" w14:textId="77777777" w:rsidTr="00655EAA">
        <w:tblPrEx>
          <w:tblCellMar>
            <w:top w:w="15" w:type="dxa"/>
            <w:bottom w:w="15" w:type="dxa"/>
          </w:tblCellMar>
          <w:tblLook w:val="04A0" w:firstRow="1" w:lastRow="0" w:firstColumn="1" w:lastColumn="0" w:noHBand="0" w:noVBand="1"/>
        </w:tblPrEx>
        <w:trPr>
          <w:trHeight w:val="20"/>
        </w:trPr>
        <w:tc>
          <w:tcPr>
            <w:tcW w:w="1413" w:type="dxa"/>
            <w:vMerge/>
            <w:tcBorders>
              <w:left w:val="single" w:sz="4" w:space="0" w:color="auto"/>
              <w:right w:val="single" w:sz="4" w:space="0" w:color="auto"/>
            </w:tcBorders>
          </w:tcPr>
          <w:p w14:paraId="6ED6F296" w14:textId="77777777" w:rsidR="00961B3A" w:rsidRPr="001428E9" w:rsidRDefault="00961B3A" w:rsidP="00655EAA">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7254A52" w14:textId="77777777" w:rsidR="00961B3A" w:rsidRPr="001428E9" w:rsidRDefault="00961B3A" w:rsidP="00655EA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961B3A" w:rsidRPr="001428E9" w14:paraId="46C91013" w14:textId="77777777" w:rsidTr="00655EAA">
        <w:tblPrEx>
          <w:tblCellMar>
            <w:top w:w="15" w:type="dxa"/>
            <w:bottom w:w="15" w:type="dxa"/>
          </w:tblCellMar>
          <w:tblLook w:val="04A0" w:firstRow="1" w:lastRow="0" w:firstColumn="1" w:lastColumn="0" w:noHBand="0" w:noVBand="1"/>
        </w:tblPrEx>
        <w:trPr>
          <w:trHeight w:val="20"/>
        </w:trPr>
        <w:tc>
          <w:tcPr>
            <w:tcW w:w="1413" w:type="dxa"/>
            <w:vMerge/>
            <w:tcBorders>
              <w:left w:val="single" w:sz="4" w:space="0" w:color="auto"/>
              <w:right w:val="single" w:sz="4" w:space="0" w:color="auto"/>
            </w:tcBorders>
          </w:tcPr>
          <w:p w14:paraId="47874CFD" w14:textId="77777777" w:rsidR="00961B3A" w:rsidRPr="001428E9" w:rsidRDefault="00961B3A" w:rsidP="00655EAA">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CA165BF" w14:textId="0E05727D" w:rsidR="00961B3A" w:rsidRPr="00961B3A" w:rsidRDefault="00961B3A" w:rsidP="00655EAA">
            <w:pPr>
              <w:keepLines/>
              <w:jc w:val="left"/>
              <w:rPr>
                <w:rFonts w:ascii="Arial Narrow" w:eastAsia="Calibri" w:hAnsi="Arial Narrow" w:cs="Arial"/>
                <w:sz w:val="20"/>
                <w:szCs w:val="20"/>
              </w:rPr>
            </w:pPr>
            <w:r w:rsidRPr="00961B3A">
              <w:rPr>
                <w:rFonts w:ascii="Arial Narrow" w:hAnsi="Arial Narrow" w:cs="Arial"/>
                <w:b/>
                <w:sz w:val="20"/>
                <w:szCs w:val="20"/>
              </w:rPr>
              <w:t xml:space="preserve">Restriction type: </w:t>
            </w:r>
            <w:r w:rsidRPr="00961B3A">
              <w:rPr>
                <w:rFonts w:ascii="Arial Narrow" w:eastAsia="Calibri" w:hAnsi="Arial Narrow" w:cs="Arial"/>
                <w:sz w:val="20"/>
                <w:szCs w:val="20"/>
              </w:rPr>
              <w:fldChar w:fldCharType="begin" w:fldLock="1">
                <w:ffData>
                  <w:name w:val=""/>
                  <w:enabled/>
                  <w:calcOnExit w:val="0"/>
                  <w:checkBox>
                    <w:sizeAuto/>
                    <w:default w:val="1"/>
                  </w:checkBox>
                </w:ffData>
              </w:fldChar>
            </w:r>
            <w:r w:rsidRPr="00961B3A">
              <w:rPr>
                <w:rFonts w:ascii="Arial Narrow" w:eastAsia="Calibri" w:hAnsi="Arial Narrow" w:cs="Arial"/>
                <w:sz w:val="20"/>
                <w:szCs w:val="20"/>
              </w:rPr>
              <w:instrText xml:space="preserve"> FORMCHECKBOX </w:instrText>
            </w:r>
            <w:r w:rsidRPr="00961B3A">
              <w:rPr>
                <w:rFonts w:ascii="Arial Narrow" w:eastAsia="Calibri" w:hAnsi="Arial Narrow" w:cs="Arial"/>
                <w:sz w:val="20"/>
                <w:szCs w:val="20"/>
              </w:rPr>
            </w:r>
            <w:r w:rsidRPr="00961B3A">
              <w:rPr>
                <w:rFonts w:ascii="Arial Narrow" w:eastAsia="Calibri" w:hAnsi="Arial Narrow" w:cs="Arial"/>
                <w:sz w:val="20"/>
                <w:szCs w:val="20"/>
              </w:rPr>
              <w:fldChar w:fldCharType="separate"/>
            </w:r>
            <w:r w:rsidRPr="00961B3A">
              <w:rPr>
                <w:rFonts w:ascii="Arial Narrow" w:eastAsia="Calibri" w:hAnsi="Arial Narrow" w:cs="Arial"/>
                <w:sz w:val="20"/>
                <w:szCs w:val="20"/>
              </w:rPr>
              <w:fldChar w:fldCharType="end"/>
            </w:r>
            <w:r w:rsidRPr="00961B3A">
              <w:rPr>
                <w:rFonts w:ascii="Arial Narrow" w:eastAsia="Calibri" w:hAnsi="Arial Narrow" w:cs="Arial"/>
                <w:sz w:val="20"/>
                <w:szCs w:val="20"/>
              </w:rPr>
              <w:t>Restricted benefit</w:t>
            </w:r>
            <w:r w:rsidRPr="00961B3A">
              <w:rPr>
                <w:rFonts w:ascii="Arial Narrow" w:eastAsia="Calibri" w:hAnsi="Arial Narrow" w:cs="Arial"/>
                <w:i/>
                <w:iCs/>
                <w:sz w:val="20"/>
                <w:szCs w:val="20"/>
              </w:rPr>
              <w:t xml:space="preserve"> </w:t>
            </w:r>
          </w:p>
        </w:tc>
      </w:tr>
      <w:tr w:rsidR="00961B3A" w:rsidRPr="00764A8F" w14:paraId="25878246" w14:textId="77777777" w:rsidTr="00066932">
        <w:tblPrEx>
          <w:tblCellMar>
            <w:top w:w="15" w:type="dxa"/>
            <w:bottom w:w="15" w:type="dxa"/>
          </w:tblCellMar>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A7A91E1" w14:textId="5F8A8A84" w:rsidR="00961B3A" w:rsidRPr="00DB35B9" w:rsidRDefault="00961B3A" w:rsidP="00655EAA">
            <w:pPr>
              <w:keepLines/>
              <w:jc w:val="center"/>
              <w:rPr>
                <w:rFonts w:ascii="Arial Narrow" w:hAnsi="Arial Narrow"/>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B3B2A92" w14:textId="77777777" w:rsidR="00961B3A" w:rsidRPr="00DB35B9" w:rsidRDefault="00961B3A" w:rsidP="00655EAA">
            <w:pPr>
              <w:pStyle w:val="NormalWeb"/>
              <w:spacing w:before="0" w:beforeAutospacing="0" w:after="0" w:afterAutospacing="0"/>
              <w:textAlignment w:val="baseline"/>
              <w:rPr>
                <w:rFonts w:ascii="Arial Narrow" w:hAnsi="Arial Narrow" w:cs="Open Sans"/>
                <w:sz w:val="20"/>
                <w:szCs w:val="20"/>
              </w:rPr>
            </w:pPr>
            <w:r w:rsidRPr="00DB35B9">
              <w:rPr>
                <w:rStyle w:val="Strong"/>
                <w:rFonts w:ascii="Arial Narrow" w:hAnsi="Arial Narrow" w:cs="Open Sans"/>
                <w:sz w:val="20"/>
                <w:szCs w:val="20"/>
                <w:bdr w:val="none" w:sz="0" w:space="0" w:color="auto" w:frame="1"/>
              </w:rPr>
              <w:t>Indication:</w:t>
            </w:r>
          </w:p>
          <w:p w14:paraId="67DD07F7" w14:textId="77777777" w:rsidR="00961B3A" w:rsidRPr="00DB35B9" w:rsidRDefault="00961B3A" w:rsidP="00655EAA">
            <w:pPr>
              <w:keepLines/>
              <w:rPr>
                <w:rFonts w:ascii="Arial Narrow" w:hAnsi="Arial Narrow"/>
                <w:sz w:val="20"/>
                <w:szCs w:val="20"/>
              </w:rPr>
            </w:pPr>
            <w:r w:rsidRPr="00DB35B9">
              <w:rPr>
                <w:rFonts w:ascii="Arial Narrow" w:hAnsi="Arial Narrow" w:cs="Open Sans"/>
                <w:sz w:val="20"/>
                <w:szCs w:val="20"/>
              </w:rPr>
              <w:t>Proven inborn errors of protein metabolism</w:t>
            </w:r>
          </w:p>
        </w:tc>
      </w:tr>
      <w:tr w:rsidR="00961B3A" w:rsidRPr="001428E9" w14:paraId="4F19CC00" w14:textId="77777777" w:rsidTr="00655EAA">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A9D6E5A" w14:textId="60F0D8EC" w:rsidR="00961B3A" w:rsidRPr="00DB35B9" w:rsidRDefault="00961B3A" w:rsidP="00655EAA">
            <w:pPr>
              <w:jc w:val="center"/>
              <w:rPr>
                <w:rFonts w:ascii="Arial Narrow" w:hAnsi="Arial Narrow" w:cstheme="minorHAnsi"/>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649F5201" w14:textId="77777777" w:rsidR="00961B3A" w:rsidRPr="00DB35B9" w:rsidRDefault="00961B3A" w:rsidP="00655EAA">
            <w:pPr>
              <w:rPr>
                <w:rFonts w:ascii="Arial Narrow" w:hAnsi="Arial Narrow" w:cstheme="minorHAnsi"/>
                <w:b/>
                <w:bCs/>
                <w:sz w:val="20"/>
                <w:szCs w:val="20"/>
              </w:rPr>
            </w:pPr>
            <w:r w:rsidRPr="00DB35B9">
              <w:rPr>
                <w:rStyle w:val="Strong"/>
                <w:rFonts w:ascii="Arial Narrow" w:hAnsi="Arial Narrow" w:cstheme="minorHAnsi"/>
                <w:sz w:val="20"/>
                <w:szCs w:val="20"/>
                <w:bdr w:val="none" w:sz="0" w:space="0" w:color="auto" w:frame="1"/>
              </w:rPr>
              <w:t>Clinical criteria:</w:t>
            </w:r>
          </w:p>
        </w:tc>
      </w:tr>
      <w:tr w:rsidR="00961B3A" w:rsidRPr="001428E9" w14:paraId="6FAA537B" w14:textId="77777777" w:rsidTr="00655EAA">
        <w:tblPrEx>
          <w:tblCellMar>
            <w:top w:w="15" w:type="dxa"/>
            <w:bottom w:w="15" w:type="dxa"/>
          </w:tblCellMar>
          <w:tblLook w:val="04A0" w:firstRow="1" w:lastRow="0" w:firstColumn="1" w:lastColumn="0" w:noHBand="0" w:noVBand="1"/>
        </w:tblPrEx>
        <w:trPr>
          <w:cantSplit/>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BB3FB76" w14:textId="12BEAFF3" w:rsidR="00961B3A" w:rsidRPr="00DB35B9" w:rsidRDefault="00961B3A" w:rsidP="00655EAA">
            <w:pPr>
              <w:jc w:val="center"/>
              <w:rPr>
                <w:rFonts w:ascii="Arial Narrow" w:hAnsi="Arial Narrow" w:cstheme="minorHAnsi"/>
                <w:sz w:val="20"/>
                <w:szCs w:val="20"/>
              </w:rPr>
            </w:pPr>
          </w:p>
        </w:tc>
        <w:tc>
          <w:tcPr>
            <w:tcW w:w="7603" w:type="dxa"/>
            <w:gridSpan w:val="6"/>
            <w:tcBorders>
              <w:top w:val="single" w:sz="4" w:space="0" w:color="auto"/>
              <w:left w:val="single" w:sz="4" w:space="0" w:color="auto"/>
              <w:bottom w:val="single" w:sz="4" w:space="0" w:color="auto"/>
              <w:right w:val="single" w:sz="4" w:space="0" w:color="auto"/>
            </w:tcBorders>
            <w:shd w:val="clear" w:color="auto" w:fill="auto"/>
          </w:tcPr>
          <w:p w14:paraId="32C2A114" w14:textId="77777777" w:rsidR="00961B3A" w:rsidRPr="00DB35B9" w:rsidRDefault="00961B3A" w:rsidP="00655EAA">
            <w:pPr>
              <w:rPr>
                <w:rFonts w:ascii="Arial Narrow" w:hAnsi="Arial Narrow" w:cstheme="minorHAnsi"/>
                <w:b/>
                <w:bCs/>
                <w:sz w:val="20"/>
                <w:szCs w:val="20"/>
              </w:rPr>
            </w:pPr>
            <w:r w:rsidRPr="00DB35B9">
              <w:rPr>
                <w:rFonts w:ascii="Arial Narrow" w:hAnsi="Arial Narrow" w:cstheme="minorHAnsi"/>
                <w:sz w:val="20"/>
                <w:szCs w:val="20"/>
              </w:rPr>
              <w:t>Patient must be unable to meet their energy requirements with permitted food and formulae</w:t>
            </w:r>
          </w:p>
        </w:tc>
      </w:tr>
    </w:tbl>
    <w:p w14:paraId="0EC797A7" w14:textId="77777777" w:rsidR="00961B3A" w:rsidRDefault="00961B3A" w:rsidP="00961B3A">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4870EC0A" w14:textId="77777777" w:rsidR="00276819" w:rsidRPr="00276819" w:rsidRDefault="00276819" w:rsidP="00276819">
      <w:pPr>
        <w:pStyle w:val="2-SectionHeading"/>
      </w:pPr>
      <w:r w:rsidRPr="00276819">
        <w:t>Context for Decision</w:t>
      </w:r>
    </w:p>
    <w:p w14:paraId="2F1C04C4" w14:textId="77777777" w:rsidR="00276819" w:rsidRPr="00061CBE" w:rsidRDefault="00276819" w:rsidP="00276819">
      <w:pPr>
        <w:spacing w:after="120"/>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061CBE">
        <w:rPr>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EF9178" w14:textId="74E15AFE" w:rsidR="00276819" w:rsidRPr="00276819" w:rsidRDefault="00276819" w:rsidP="00276819">
      <w:pPr>
        <w:pStyle w:val="2-SectionHeading"/>
      </w:pPr>
      <w:r w:rsidRPr="00276819">
        <w:t>Sponsor’s Comment</w:t>
      </w:r>
    </w:p>
    <w:p w14:paraId="04DB838A" w14:textId="40D93C2B" w:rsidR="00276819" w:rsidRPr="0059667A" w:rsidRDefault="00276819" w:rsidP="0059667A">
      <w:pPr>
        <w:spacing w:after="120"/>
        <w:ind w:firstLine="720"/>
        <w:rPr>
          <w:bCs/>
        </w:rPr>
      </w:pPr>
      <w:r w:rsidRPr="00061CBE">
        <w:rPr>
          <w:bCs/>
        </w:rPr>
        <w:t>The sponsor had no comment.</w:t>
      </w:r>
      <w:bookmarkEnd w:id="13"/>
      <w:bookmarkEnd w:id="14"/>
    </w:p>
    <w:sectPr w:rsidR="00276819" w:rsidRPr="0059667A"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496B" w14:textId="77777777" w:rsidR="00482C9A" w:rsidRDefault="00482C9A">
      <w:r>
        <w:separator/>
      </w:r>
    </w:p>
    <w:p w14:paraId="25C69305" w14:textId="77777777" w:rsidR="00482C9A" w:rsidRDefault="00482C9A"/>
  </w:endnote>
  <w:endnote w:type="continuationSeparator" w:id="0">
    <w:p w14:paraId="62F54D72" w14:textId="77777777" w:rsidR="00482C9A" w:rsidRDefault="00482C9A">
      <w:r>
        <w:continuationSeparator/>
      </w:r>
    </w:p>
    <w:p w14:paraId="77A8F13E" w14:textId="77777777" w:rsidR="00482C9A" w:rsidRDefault="00482C9A"/>
  </w:endnote>
  <w:endnote w:type="continuationNotice" w:id="1">
    <w:p w14:paraId="3B6B87F0" w14:textId="77777777" w:rsidR="00482C9A" w:rsidRDefault="0048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EA41" w14:textId="77777777" w:rsidR="006B6FFA" w:rsidRDefault="006B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7CEF" w14:textId="77777777" w:rsidR="00482C9A" w:rsidRDefault="00482C9A">
      <w:r>
        <w:separator/>
      </w:r>
    </w:p>
    <w:p w14:paraId="2370A76B" w14:textId="77777777" w:rsidR="00482C9A" w:rsidRDefault="00482C9A"/>
  </w:footnote>
  <w:footnote w:type="continuationSeparator" w:id="0">
    <w:p w14:paraId="520ADDAA" w14:textId="77777777" w:rsidR="00482C9A" w:rsidRDefault="00482C9A">
      <w:r>
        <w:continuationSeparator/>
      </w:r>
    </w:p>
    <w:p w14:paraId="05E6A6B7" w14:textId="77777777" w:rsidR="00482C9A" w:rsidRDefault="00482C9A"/>
  </w:footnote>
  <w:footnote w:type="continuationNotice" w:id="1">
    <w:p w14:paraId="33CB4D3E" w14:textId="77777777" w:rsidR="00482C9A" w:rsidRDefault="00482C9A"/>
  </w:footnote>
  <w:footnote w:id="2">
    <w:p w14:paraId="24512810" w14:textId="151FD0A4" w:rsidR="00A16B08" w:rsidRDefault="00A16B08">
      <w:pPr>
        <w:pStyle w:val="FootnoteText"/>
      </w:pPr>
      <w:r>
        <w:rPr>
          <w:rStyle w:val="FootnoteReference"/>
        </w:rPr>
        <w:footnoteRef/>
      </w:r>
      <w:r>
        <w:t xml:space="preserve"> </w:t>
      </w:r>
      <w:r w:rsidRPr="00A16B08">
        <w:t>https://www.abs.gov.au/articles/women-childbearing-age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BA4F" w14:textId="67D5003F" w:rsidR="009C6E1B" w:rsidRPr="00E47735" w:rsidRDefault="00740E5C" w:rsidP="009C6E1B">
    <w:pPr>
      <w:keepNext/>
      <w:tabs>
        <w:tab w:val="center" w:pos="4513"/>
        <w:tab w:val="right" w:pos="9026"/>
      </w:tabs>
      <w:jc w:val="center"/>
      <w:rPr>
        <w:rFonts w:asciiTheme="minorHAnsi" w:eastAsiaTheme="minorEastAsia" w:hAnsiTheme="minorHAnsi" w:cstheme="minorHAnsi"/>
        <w:i/>
      </w:rPr>
    </w:pPr>
    <w:r w:rsidRPr="00E47735">
      <w:rPr>
        <w:rFonts w:asciiTheme="minorHAnsi" w:hAnsiTheme="minorHAnsi" w:cs="Arial"/>
        <w:i/>
      </w:rPr>
      <w:t>Public Summary Document</w:t>
    </w:r>
    <w:r w:rsidR="003D3A3B" w:rsidRPr="00E47735">
      <w:rPr>
        <w:rFonts w:asciiTheme="minorHAnsi" w:hAnsiTheme="minorHAnsi" w:cs="Arial"/>
        <w:i/>
      </w:rPr>
      <w:t xml:space="preserve"> </w:t>
    </w:r>
    <w:r w:rsidR="00CC2224" w:rsidRPr="00E47735">
      <w:rPr>
        <w:rFonts w:asciiTheme="minorHAnsi" w:eastAsiaTheme="minorEastAsia" w:hAnsiTheme="minorHAnsi" w:cstheme="minorHAnsi"/>
        <w:i/>
      </w:rPr>
      <w:t>–</w:t>
    </w:r>
    <w:r w:rsidR="009C6E1B" w:rsidRPr="00E47735">
      <w:rPr>
        <w:rFonts w:asciiTheme="minorHAnsi" w:eastAsiaTheme="minorEastAsia" w:hAnsiTheme="minorHAnsi" w:cstheme="minorHAnsi"/>
        <w:i/>
      </w:rPr>
      <w:t xml:space="preserve"> November 2024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225C" w14:textId="77777777" w:rsidR="006B6FFA" w:rsidRDefault="006B6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C941F3"/>
    <w:multiLevelType w:val="hybridMultilevel"/>
    <w:tmpl w:val="B06EF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244933"/>
    <w:multiLevelType w:val="hybridMultilevel"/>
    <w:tmpl w:val="BE2AF918"/>
    <w:lvl w:ilvl="0" w:tplc="B2526A1E">
      <w:start w:val="1"/>
      <w:numFmt w:val="upperLetter"/>
      <w:lvlText w:val="%1."/>
      <w:lvlJc w:val="left"/>
      <w:pPr>
        <w:ind w:left="720" w:hanging="360"/>
      </w:pPr>
      <w:rPr>
        <w:b w:val="0"/>
        <w:bCs w:val="0"/>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9"/>
  </w:num>
  <w:num w:numId="2" w16cid:durableId="957570559">
    <w:abstractNumId w:val="21"/>
  </w:num>
  <w:num w:numId="3" w16cid:durableId="1159004663">
    <w:abstractNumId w:val="16"/>
  </w:num>
  <w:num w:numId="4" w16cid:durableId="418600173">
    <w:abstractNumId w:val="22"/>
  </w:num>
  <w:num w:numId="5" w16cid:durableId="34236669">
    <w:abstractNumId w:val="20"/>
  </w:num>
  <w:num w:numId="6" w16cid:durableId="1279799443">
    <w:abstractNumId w:val="12"/>
  </w:num>
  <w:num w:numId="7" w16cid:durableId="495537779">
    <w:abstractNumId w:val="10"/>
  </w:num>
  <w:num w:numId="8" w16cid:durableId="1468400811">
    <w:abstractNumId w:val="0"/>
  </w:num>
  <w:num w:numId="9" w16cid:durableId="1662348298">
    <w:abstractNumId w:val="11"/>
  </w:num>
  <w:num w:numId="10" w16cid:durableId="1103570019">
    <w:abstractNumId w:val="8"/>
  </w:num>
  <w:num w:numId="11" w16cid:durableId="2041346921">
    <w:abstractNumId w:val="21"/>
  </w:num>
  <w:num w:numId="12" w16cid:durableId="427193585">
    <w:abstractNumId w:val="2"/>
  </w:num>
  <w:num w:numId="13" w16cid:durableId="1720932904">
    <w:abstractNumId w:val="15"/>
  </w:num>
  <w:num w:numId="14" w16cid:durableId="1660116426">
    <w:abstractNumId w:val="3"/>
  </w:num>
  <w:num w:numId="15" w16cid:durableId="1573005167">
    <w:abstractNumId w:val="13"/>
  </w:num>
  <w:num w:numId="16" w16cid:durableId="408699874">
    <w:abstractNumId w:val="14"/>
  </w:num>
  <w:num w:numId="17" w16cid:durableId="1569418770">
    <w:abstractNumId w:val="4"/>
  </w:num>
  <w:num w:numId="18" w16cid:durableId="705176722">
    <w:abstractNumId w:val="1"/>
  </w:num>
  <w:num w:numId="19" w16cid:durableId="1926569401">
    <w:abstractNumId w:val="6"/>
  </w:num>
  <w:num w:numId="20" w16cid:durableId="1979457665">
    <w:abstractNumId w:val="7"/>
  </w:num>
  <w:num w:numId="21" w16cid:durableId="2038313566">
    <w:abstractNumId w:val="5"/>
  </w:num>
  <w:num w:numId="22" w16cid:durableId="129744317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97201">
    <w:abstractNumId w:val="19"/>
  </w:num>
  <w:num w:numId="24" w16cid:durableId="471289515">
    <w:abstractNumId w:val="18"/>
  </w:num>
  <w:num w:numId="25" w16cid:durableId="1715808334">
    <w:abstractNumId w:val="21"/>
  </w:num>
  <w:num w:numId="26" w16cid:durableId="35962712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067F6"/>
    <w:rsid w:val="0001179A"/>
    <w:rsid w:val="00011A59"/>
    <w:rsid w:val="00013448"/>
    <w:rsid w:val="00014D69"/>
    <w:rsid w:val="0001668D"/>
    <w:rsid w:val="00016A41"/>
    <w:rsid w:val="000214D1"/>
    <w:rsid w:val="00021F20"/>
    <w:rsid w:val="000240A7"/>
    <w:rsid w:val="0002464A"/>
    <w:rsid w:val="00024E9E"/>
    <w:rsid w:val="00025A04"/>
    <w:rsid w:val="0002693D"/>
    <w:rsid w:val="00027A58"/>
    <w:rsid w:val="0003050E"/>
    <w:rsid w:val="0003106B"/>
    <w:rsid w:val="000335B9"/>
    <w:rsid w:val="00034905"/>
    <w:rsid w:val="00036909"/>
    <w:rsid w:val="00037906"/>
    <w:rsid w:val="00037B99"/>
    <w:rsid w:val="0004049C"/>
    <w:rsid w:val="00040A30"/>
    <w:rsid w:val="00041F7F"/>
    <w:rsid w:val="000421A1"/>
    <w:rsid w:val="0004240E"/>
    <w:rsid w:val="000425A2"/>
    <w:rsid w:val="000426F6"/>
    <w:rsid w:val="00044E52"/>
    <w:rsid w:val="00044EC4"/>
    <w:rsid w:val="00045E26"/>
    <w:rsid w:val="00046903"/>
    <w:rsid w:val="00047247"/>
    <w:rsid w:val="00047E49"/>
    <w:rsid w:val="000514B5"/>
    <w:rsid w:val="000521ED"/>
    <w:rsid w:val="0005322E"/>
    <w:rsid w:val="000546CF"/>
    <w:rsid w:val="00054E2B"/>
    <w:rsid w:val="00055A8E"/>
    <w:rsid w:val="00060E64"/>
    <w:rsid w:val="000621AB"/>
    <w:rsid w:val="00062C03"/>
    <w:rsid w:val="00062E88"/>
    <w:rsid w:val="00066193"/>
    <w:rsid w:val="00066755"/>
    <w:rsid w:val="00066932"/>
    <w:rsid w:val="00070936"/>
    <w:rsid w:val="00071A5B"/>
    <w:rsid w:val="00072704"/>
    <w:rsid w:val="00072730"/>
    <w:rsid w:val="00072DE0"/>
    <w:rsid w:val="0007337F"/>
    <w:rsid w:val="00074320"/>
    <w:rsid w:val="00074C80"/>
    <w:rsid w:val="000763D5"/>
    <w:rsid w:val="00076951"/>
    <w:rsid w:val="00076C38"/>
    <w:rsid w:val="00076F9C"/>
    <w:rsid w:val="00077143"/>
    <w:rsid w:val="00077DF7"/>
    <w:rsid w:val="0008050C"/>
    <w:rsid w:val="00082169"/>
    <w:rsid w:val="000834BE"/>
    <w:rsid w:val="00083F01"/>
    <w:rsid w:val="00083F9D"/>
    <w:rsid w:val="00085D98"/>
    <w:rsid w:val="00087125"/>
    <w:rsid w:val="00087C4C"/>
    <w:rsid w:val="00087E15"/>
    <w:rsid w:val="000918CB"/>
    <w:rsid w:val="00091B06"/>
    <w:rsid w:val="000940DE"/>
    <w:rsid w:val="00094DA8"/>
    <w:rsid w:val="000951C4"/>
    <w:rsid w:val="00095ADA"/>
    <w:rsid w:val="00095F3A"/>
    <w:rsid w:val="000969AD"/>
    <w:rsid w:val="000975FB"/>
    <w:rsid w:val="00097C61"/>
    <w:rsid w:val="000A02F8"/>
    <w:rsid w:val="000A2A17"/>
    <w:rsid w:val="000A3AA2"/>
    <w:rsid w:val="000A42EF"/>
    <w:rsid w:val="000A44B2"/>
    <w:rsid w:val="000A52F6"/>
    <w:rsid w:val="000A58B8"/>
    <w:rsid w:val="000A7540"/>
    <w:rsid w:val="000A78B8"/>
    <w:rsid w:val="000B44C3"/>
    <w:rsid w:val="000B558D"/>
    <w:rsid w:val="000B5A89"/>
    <w:rsid w:val="000B65F6"/>
    <w:rsid w:val="000B7767"/>
    <w:rsid w:val="000C1417"/>
    <w:rsid w:val="000C1AFF"/>
    <w:rsid w:val="000C359E"/>
    <w:rsid w:val="000C5665"/>
    <w:rsid w:val="000C5740"/>
    <w:rsid w:val="000C5F95"/>
    <w:rsid w:val="000C6996"/>
    <w:rsid w:val="000C7C46"/>
    <w:rsid w:val="000D09E9"/>
    <w:rsid w:val="000D113F"/>
    <w:rsid w:val="000D23BA"/>
    <w:rsid w:val="000D4F18"/>
    <w:rsid w:val="000E19B7"/>
    <w:rsid w:val="000E1BE5"/>
    <w:rsid w:val="000E20FC"/>
    <w:rsid w:val="000E3168"/>
    <w:rsid w:val="000E3C1D"/>
    <w:rsid w:val="000E3DFB"/>
    <w:rsid w:val="000E5EA1"/>
    <w:rsid w:val="000E681E"/>
    <w:rsid w:val="000E696B"/>
    <w:rsid w:val="000E7E52"/>
    <w:rsid w:val="000E7E90"/>
    <w:rsid w:val="000EE1C7"/>
    <w:rsid w:val="000F0003"/>
    <w:rsid w:val="000F1610"/>
    <w:rsid w:val="000F3384"/>
    <w:rsid w:val="000F3438"/>
    <w:rsid w:val="000F4CF4"/>
    <w:rsid w:val="000F4E6A"/>
    <w:rsid w:val="000F5B5D"/>
    <w:rsid w:val="000F6ABB"/>
    <w:rsid w:val="000F7354"/>
    <w:rsid w:val="000F736C"/>
    <w:rsid w:val="000F7689"/>
    <w:rsid w:val="000F7C27"/>
    <w:rsid w:val="00101ABE"/>
    <w:rsid w:val="00102202"/>
    <w:rsid w:val="00102700"/>
    <w:rsid w:val="00102A78"/>
    <w:rsid w:val="00102F94"/>
    <w:rsid w:val="00103118"/>
    <w:rsid w:val="00103174"/>
    <w:rsid w:val="00103F1B"/>
    <w:rsid w:val="00104227"/>
    <w:rsid w:val="00104A5F"/>
    <w:rsid w:val="001053D5"/>
    <w:rsid w:val="00107409"/>
    <w:rsid w:val="001107BF"/>
    <w:rsid w:val="00113649"/>
    <w:rsid w:val="00113D5C"/>
    <w:rsid w:val="00116B03"/>
    <w:rsid w:val="00120AA6"/>
    <w:rsid w:val="00121109"/>
    <w:rsid w:val="001239DB"/>
    <w:rsid w:val="0012417C"/>
    <w:rsid w:val="0012417E"/>
    <w:rsid w:val="00124BF2"/>
    <w:rsid w:val="00125837"/>
    <w:rsid w:val="0012597F"/>
    <w:rsid w:val="00126693"/>
    <w:rsid w:val="00126AF8"/>
    <w:rsid w:val="00126B19"/>
    <w:rsid w:val="00126D3A"/>
    <w:rsid w:val="0012749D"/>
    <w:rsid w:val="00127A23"/>
    <w:rsid w:val="00127B2D"/>
    <w:rsid w:val="001306A5"/>
    <w:rsid w:val="00130918"/>
    <w:rsid w:val="001311AE"/>
    <w:rsid w:val="00134994"/>
    <w:rsid w:val="00134C13"/>
    <w:rsid w:val="001366C2"/>
    <w:rsid w:val="00136C17"/>
    <w:rsid w:val="001374C9"/>
    <w:rsid w:val="00140B74"/>
    <w:rsid w:val="00140CFC"/>
    <w:rsid w:val="00140D94"/>
    <w:rsid w:val="00142395"/>
    <w:rsid w:val="0014250D"/>
    <w:rsid w:val="00142714"/>
    <w:rsid w:val="001441E4"/>
    <w:rsid w:val="00144D09"/>
    <w:rsid w:val="00144E06"/>
    <w:rsid w:val="001452ED"/>
    <w:rsid w:val="00145805"/>
    <w:rsid w:val="00147D84"/>
    <w:rsid w:val="0015081D"/>
    <w:rsid w:val="00151CBD"/>
    <w:rsid w:val="00153009"/>
    <w:rsid w:val="001533C3"/>
    <w:rsid w:val="001549C1"/>
    <w:rsid w:val="00156C8D"/>
    <w:rsid w:val="00160F4D"/>
    <w:rsid w:val="00162BDD"/>
    <w:rsid w:val="00162D4E"/>
    <w:rsid w:val="00162E19"/>
    <w:rsid w:val="00163329"/>
    <w:rsid w:val="00164623"/>
    <w:rsid w:val="001652DE"/>
    <w:rsid w:val="001653EC"/>
    <w:rsid w:val="00165B64"/>
    <w:rsid w:val="001661F3"/>
    <w:rsid w:val="00167C39"/>
    <w:rsid w:val="00170C4D"/>
    <w:rsid w:val="001739FD"/>
    <w:rsid w:val="00174EB8"/>
    <w:rsid w:val="001756CB"/>
    <w:rsid w:val="00176B9D"/>
    <w:rsid w:val="00180713"/>
    <w:rsid w:val="00180720"/>
    <w:rsid w:val="001830CE"/>
    <w:rsid w:val="001836E3"/>
    <w:rsid w:val="00184659"/>
    <w:rsid w:val="001860E5"/>
    <w:rsid w:val="0018643B"/>
    <w:rsid w:val="001905ED"/>
    <w:rsid w:val="00193E3B"/>
    <w:rsid w:val="00196307"/>
    <w:rsid w:val="00197C70"/>
    <w:rsid w:val="00197F03"/>
    <w:rsid w:val="001A0D10"/>
    <w:rsid w:val="001A1D9C"/>
    <w:rsid w:val="001A33EA"/>
    <w:rsid w:val="001A3615"/>
    <w:rsid w:val="001A4413"/>
    <w:rsid w:val="001A4C4F"/>
    <w:rsid w:val="001A5A2B"/>
    <w:rsid w:val="001A76FB"/>
    <w:rsid w:val="001B017F"/>
    <w:rsid w:val="001B0B79"/>
    <w:rsid w:val="001B19EA"/>
    <w:rsid w:val="001B2BBC"/>
    <w:rsid w:val="001B2BCD"/>
    <w:rsid w:val="001B3A40"/>
    <w:rsid w:val="001B3C5D"/>
    <w:rsid w:val="001B3FFE"/>
    <w:rsid w:val="001B5129"/>
    <w:rsid w:val="001C0B4C"/>
    <w:rsid w:val="001C0EC4"/>
    <w:rsid w:val="001C1195"/>
    <w:rsid w:val="001C12AE"/>
    <w:rsid w:val="001C1E84"/>
    <w:rsid w:val="001C20E1"/>
    <w:rsid w:val="001C235C"/>
    <w:rsid w:val="001C2A0F"/>
    <w:rsid w:val="001C2E42"/>
    <w:rsid w:val="001C4555"/>
    <w:rsid w:val="001C458B"/>
    <w:rsid w:val="001C6DFE"/>
    <w:rsid w:val="001C7B1D"/>
    <w:rsid w:val="001D1F5F"/>
    <w:rsid w:val="001D49B9"/>
    <w:rsid w:val="001D595B"/>
    <w:rsid w:val="001E06D2"/>
    <w:rsid w:val="001E088C"/>
    <w:rsid w:val="001E17C4"/>
    <w:rsid w:val="001E2610"/>
    <w:rsid w:val="001E2A47"/>
    <w:rsid w:val="001E2A85"/>
    <w:rsid w:val="001E2D65"/>
    <w:rsid w:val="001F005B"/>
    <w:rsid w:val="001F0266"/>
    <w:rsid w:val="001F0752"/>
    <w:rsid w:val="001F1850"/>
    <w:rsid w:val="001F1FBF"/>
    <w:rsid w:val="001F2311"/>
    <w:rsid w:val="001F2B80"/>
    <w:rsid w:val="001F2F1C"/>
    <w:rsid w:val="001F3189"/>
    <w:rsid w:val="00200BEA"/>
    <w:rsid w:val="00201FB8"/>
    <w:rsid w:val="0020312E"/>
    <w:rsid w:val="00203FAC"/>
    <w:rsid w:val="002073F0"/>
    <w:rsid w:val="00207CFD"/>
    <w:rsid w:val="002133FB"/>
    <w:rsid w:val="00213CFB"/>
    <w:rsid w:val="0021553C"/>
    <w:rsid w:val="0021557B"/>
    <w:rsid w:val="00215CA7"/>
    <w:rsid w:val="00216B87"/>
    <w:rsid w:val="0021724C"/>
    <w:rsid w:val="002174FD"/>
    <w:rsid w:val="00217BE1"/>
    <w:rsid w:val="002206D5"/>
    <w:rsid w:val="00221361"/>
    <w:rsid w:val="002214B9"/>
    <w:rsid w:val="00221674"/>
    <w:rsid w:val="00222680"/>
    <w:rsid w:val="00223370"/>
    <w:rsid w:val="00224D1E"/>
    <w:rsid w:val="00226611"/>
    <w:rsid w:val="00227A2B"/>
    <w:rsid w:val="00227BC5"/>
    <w:rsid w:val="002302F8"/>
    <w:rsid w:val="00230F63"/>
    <w:rsid w:val="00234252"/>
    <w:rsid w:val="0023466E"/>
    <w:rsid w:val="00237AC6"/>
    <w:rsid w:val="002409C1"/>
    <w:rsid w:val="00242B64"/>
    <w:rsid w:val="00242BFD"/>
    <w:rsid w:val="00244139"/>
    <w:rsid w:val="002441E6"/>
    <w:rsid w:val="00244490"/>
    <w:rsid w:val="00244BEC"/>
    <w:rsid w:val="00245444"/>
    <w:rsid w:val="00245B9C"/>
    <w:rsid w:val="00250874"/>
    <w:rsid w:val="00251B85"/>
    <w:rsid w:val="00252587"/>
    <w:rsid w:val="00253499"/>
    <w:rsid w:val="002551A4"/>
    <w:rsid w:val="00257664"/>
    <w:rsid w:val="00257D6F"/>
    <w:rsid w:val="00260165"/>
    <w:rsid w:val="002620DC"/>
    <w:rsid w:val="00265151"/>
    <w:rsid w:val="00265C2C"/>
    <w:rsid w:val="00266509"/>
    <w:rsid w:val="00267098"/>
    <w:rsid w:val="0026761D"/>
    <w:rsid w:val="002710F3"/>
    <w:rsid w:val="00271BA1"/>
    <w:rsid w:val="00272980"/>
    <w:rsid w:val="00272BEA"/>
    <w:rsid w:val="00272DE5"/>
    <w:rsid w:val="00273AC5"/>
    <w:rsid w:val="002762FA"/>
    <w:rsid w:val="00276819"/>
    <w:rsid w:val="00276BE3"/>
    <w:rsid w:val="00277505"/>
    <w:rsid w:val="00277873"/>
    <w:rsid w:val="00277C96"/>
    <w:rsid w:val="00280D62"/>
    <w:rsid w:val="0028158C"/>
    <w:rsid w:val="002823B6"/>
    <w:rsid w:val="00283EC6"/>
    <w:rsid w:val="00284175"/>
    <w:rsid w:val="00290129"/>
    <w:rsid w:val="00290C03"/>
    <w:rsid w:val="00290D15"/>
    <w:rsid w:val="00291C1A"/>
    <w:rsid w:val="00292392"/>
    <w:rsid w:val="00292603"/>
    <w:rsid w:val="00292E3B"/>
    <w:rsid w:val="002933A8"/>
    <w:rsid w:val="00294274"/>
    <w:rsid w:val="0029458F"/>
    <w:rsid w:val="00295D04"/>
    <w:rsid w:val="002960F3"/>
    <w:rsid w:val="00297A63"/>
    <w:rsid w:val="002A018F"/>
    <w:rsid w:val="002A0E04"/>
    <w:rsid w:val="002A104C"/>
    <w:rsid w:val="002A182A"/>
    <w:rsid w:val="002A1EF7"/>
    <w:rsid w:val="002A2B7B"/>
    <w:rsid w:val="002A3314"/>
    <w:rsid w:val="002A494D"/>
    <w:rsid w:val="002A4960"/>
    <w:rsid w:val="002A636A"/>
    <w:rsid w:val="002A755F"/>
    <w:rsid w:val="002B0AE0"/>
    <w:rsid w:val="002B1AE6"/>
    <w:rsid w:val="002B1D51"/>
    <w:rsid w:val="002B2DE8"/>
    <w:rsid w:val="002B30F8"/>
    <w:rsid w:val="002B388A"/>
    <w:rsid w:val="002B3BFE"/>
    <w:rsid w:val="002B3C1A"/>
    <w:rsid w:val="002B4416"/>
    <w:rsid w:val="002B4C2A"/>
    <w:rsid w:val="002B5596"/>
    <w:rsid w:val="002B77D7"/>
    <w:rsid w:val="002C0763"/>
    <w:rsid w:val="002C212F"/>
    <w:rsid w:val="002C2F35"/>
    <w:rsid w:val="002C5850"/>
    <w:rsid w:val="002C6AA9"/>
    <w:rsid w:val="002C70F3"/>
    <w:rsid w:val="002C7485"/>
    <w:rsid w:val="002D2641"/>
    <w:rsid w:val="002D283A"/>
    <w:rsid w:val="002D4543"/>
    <w:rsid w:val="002D4F21"/>
    <w:rsid w:val="002D715F"/>
    <w:rsid w:val="002D7276"/>
    <w:rsid w:val="002E022A"/>
    <w:rsid w:val="002E3153"/>
    <w:rsid w:val="002E3FD4"/>
    <w:rsid w:val="002E4A02"/>
    <w:rsid w:val="002E5292"/>
    <w:rsid w:val="002E5FBD"/>
    <w:rsid w:val="002E72CA"/>
    <w:rsid w:val="002E75DD"/>
    <w:rsid w:val="002E7F21"/>
    <w:rsid w:val="002F1D07"/>
    <w:rsid w:val="002F5C5B"/>
    <w:rsid w:val="002F600D"/>
    <w:rsid w:val="002F6BAD"/>
    <w:rsid w:val="002F6F0F"/>
    <w:rsid w:val="002F7BAE"/>
    <w:rsid w:val="002F7E47"/>
    <w:rsid w:val="0030057B"/>
    <w:rsid w:val="00300AD6"/>
    <w:rsid w:val="00300B1B"/>
    <w:rsid w:val="003019D0"/>
    <w:rsid w:val="003019DE"/>
    <w:rsid w:val="0030311E"/>
    <w:rsid w:val="003037B6"/>
    <w:rsid w:val="00303A8B"/>
    <w:rsid w:val="00303CFE"/>
    <w:rsid w:val="003064AF"/>
    <w:rsid w:val="0030677C"/>
    <w:rsid w:val="00307DC6"/>
    <w:rsid w:val="00310A8B"/>
    <w:rsid w:val="00310B68"/>
    <w:rsid w:val="00315C6F"/>
    <w:rsid w:val="00315E15"/>
    <w:rsid w:val="003160D2"/>
    <w:rsid w:val="00316BC0"/>
    <w:rsid w:val="003173FC"/>
    <w:rsid w:val="00317C6C"/>
    <w:rsid w:val="00320B80"/>
    <w:rsid w:val="00320CD3"/>
    <w:rsid w:val="003215FF"/>
    <w:rsid w:val="00322667"/>
    <w:rsid w:val="0032607C"/>
    <w:rsid w:val="00326E79"/>
    <w:rsid w:val="0032748A"/>
    <w:rsid w:val="003301B1"/>
    <w:rsid w:val="00331189"/>
    <w:rsid w:val="0033263D"/>
    <w:rsid w:val="00332BE6"/>
    <w:rsid w:val="00334E69"/>
    <w:rsid w:val="0033518A"/>
    <w:rsid w:val="00335356"/>
    <w:rsid w:val="00335535"/>
    <w:rsid w:val="003367EF"/>
    <w:rsid w:val="00341AE4"/>
    <w:rsid w:val="003425CA"/>
    <w:rsid w:val="00343FB7"/>
    <w:rsid w:val="003460DA"/>
    <w:rsid w:val="003476EE"/>
    <w:rsid w:val="00352170"/>
    <w:rsid w:val="003541DD"/>
    <w:rsid w:val="00354F8A"/>
    <w:rsid w:val="00355412"/>
    <w:rsid w:val="00356E5B"/>
    <w:rsid w:val="00360887"/>
    <w:rsid w:val="0036249F"/>
    <w:rsid w:val="00363154"/>
    <w:rsid w:val="00371246"/>
    <w:rsid w:val="003736C9"/>
    <w:rsid w:val="0037769B"/>
    <w:rsid w:val="00380562"/>
    <w:rsid w:val="00380995"/>
    <w:rsid w:val="00383B77"/>
    <w:rsid w:val="00384988"/>
    <w:rsid w:val="0038593C"/>
    <w:rsid w:val="003872CF"/>
    <w:rsid w:val="003874CB"/>
    <w:rsid w:val="003939E5"/>
    <w:rsid w:val="00394A93"/>
    <w:rsid w:val="00396E08"/>
    <w:rsid w:val="003970DD"/>
    <w:rsid w:val="0039782C"/>
    <w:rsid w:val="003978E2"/>
    <w:rsid w:val="00397F98"/>
    <w:rsid w:val="00397FBC"/>
    <w:rsid w:val="003A13A6"/>
    <w:rsid w:val="003A2165"/>
    <w:rsid w:val="003A2C1A"/>
    <w:rsid w:val="003A3AF3"/>
    <w:rsid w:val="003A3FD4"/>
    <w:rsid w:val="003A586A"/>
    <w:rsid w:val="003A5895"/>
    <w:rsid w:val="003A592C"/>
    <w:rsid w:val="003A5B4A"/>
    <w:rsid w:val="003A5D95"/>
    <w:rsid w:val="003A6510"/>
    <w:rsid w:val="003A6AEA"/>
    <w:rsid w:val="003A74E2"/>
    <w:rsid w:val="003B0D3A"/>
    <w:rsid w:val="003B2302"/>
    <w:rsid w:val="003B23C5"/>
    <w:rsid w:val="003B2A75"/>
    <w:rsid w:val="003B49B2"/>
    <w:rsid w:val="003B4F43"/>
    <w:rsid w:val="003B6124"/>
    <w:rsid w:val="003B6521"/>
    <w:rsid w:val="003B7960"/>
    <w:rsid w:val="003C0908"/>
    <w:rsid w:val="003C093A"/>
    <w:rsid w:val="003C1016"/>
    <w:rsid w:val="003C1D46"/>
    <w:rsid w:val="003C1ECF"/>
    <w:rsid w:val="003C2FB5"/>
    <w:rsid w:val="003C6A78"/>
    <w:rsid w:val="003C7849"/>
    <w:rsid w:val="003D076F"/>
    <w:rsid w:val="003D24C5"/>
    <w:rsid w:val="003D2672"/>
    <w:rsid w:val="003D3A3B"/>
    <w:rsid w:val="003D3BD0"/>
    <w:rsid w:val="003D4594"/>
    <w:rsid w:val="003D4AC4"/>
    <w:rsid w:val="003D5433"/>
    <w:rsid w:val="003D63B7"/>
    <w:rsid w:val="003D74C5"/>
    <w:rsid w:val="003E4238"/>
    <w:rsid w:val="003E4341"/>
    <w:rsid w:val="003E4374"/>
    <w:rsid w:val="003E468B"/>
    <w:rsid w:val="003E4AE7"/>
    <w:rsid w:val="003E62BD"/>
    <w:rsid w:val="003E658D"/>
    <w:rsid w:val="003E7FD7"/>
    <w:rsid w:val="003F044F"/>
    <w:rsid w:val="003F0C3A"/>
    <w:rsid w:val="003F15F0"/>
    <w:rsid w:val="003F2AD9"/>
    <w:rsid w:val="003F3228"/>
    <w:rsid w:val="003F5169"/>
    <w:rsid w:val="003F5C8C"/>
    <w:rsid w:val="003F5DAB"/>
    <w:rsid w:val="003F63CE"/>
    <w:rsid w:val="003F775A"/>
    <w:rsid w:val="003F7C68"/>
    <w:rsid w:val="00400042"/>
    <w:rsid w:val="00400E55"/>
    <w:rsid w:val="0040128E"/>
    <w:rsid w:val="00401640"/>
    <w:rsid w:val="0040214A"/>
    <w:rsid w:val="0040216B"/>
    <w:rsid w:val="00404852"/>
    <w:rsid w:val="00405299"/>
    <w:rsid w:val="004057C1"/>
    <w:rsid w:val="0040590E"/>
    <w:rsid w:val="00407654"/>
    <w:rsid w:val="004077E6"/>
    <w:rsid w:val="00407CC8"/>
    <w:rsid w:val="00410F63"/>
    <w:rsid w:val="004112A9"/>
    <w:rsid w:val="00411D3A"/>
    <w:rsid w:val="00414F0C"/>
    <w:rsid w:val="004158A3"/>
    <w:rsid w:val="00416212"/>
    <w:rsid w:val="00417219"/>
    <w:rsid w:val="00417703"/>
    <w:rsid w:val="00417FE9"/>
    <w:rsid w:val="00420283"/>
    <w:rsid w:val="00420400"/>
    <w:rsid w:val="00421E9B"/>
    <w:rsid w:val="00423E78"/>
    <w:rsid w:val="004252EC"/>
    <w:rsid w:val="00430D39"/>
    <w:rsid w:val="00432EBF"/>
    <w:rsid w:val="0043796F"/>
    <w:rsid w:val="00441FFB"/>
    <w:rsid w:val="00442C91"/>
    <w:rsid w:val="00444E9D"/>
    <w:rsid w:val="004465BD"/>
    <w:rsid w:val="00446938"/>
    <w:rsid w:val="00446DEB"/>
    <w:rsid w:val="004472B4"/>
    <w:rsid w:val="00447C2A"/>
    <w:rsid w:val="0045275E"/>
    <w:rsid w:val="004528FA"/>
    <w:rsid w:val="00452A6C"/>
    <w:rsid w:val="00453E9A"/>
    <w:rsid w:val="00461A44"/>
    <w:rsid w:val="004623C1"/>
    <w:rsid w:val="00462D26"/>
    <w:rsid w:val="0046368B"/>
    <w:rsid w:val="0046385A"/>
    <w:rsid w:val="00464039"/>
    <w:rsid w:val="00464B41"/>
    <w:rsid w:val="00466ADA"/>
    <w:rsid w:val="0046737B"/>
    <w:rsid w:val="00467AB5"/>
    <w:rsid w:val="004702BB"/>
    <w:rsid w:val="0047211D"/>
    <w:rsid w:val="00473063"/>
    <w:rsid w:val="0047494B"/>
    <w:rsid w:val="00474A6F"/>
    <w:rsid w:val="00474B4E"/>
    <w:rsid w:val="00474DCD"/>
    <w:rsid w:val="00475CD4"/>
    <w:rsid w:val="00476245"/>
    <w:rsid w:val="0047715D"/>
    <w:rsid w:val="004773C4"/>
    <w:rsid w:val="00477A9B"/>
    <w:rsid w:val="00480CFA"/>
    <w:rsid w:val="00482AE4"/>
    <w:rsid w:val="00482C9A"/>
    <w:rsid w:val="00483035"/>
    <w:rsid w:val="00485940"/>
    <w:rsid w:val="00486C95"/>
    <w:rsid w:val="004877C2"/>
    <w:rsid w:val="004904B9"/>
    <w:rsid w:val="00491870"/>
    <w:rsid w:val="00491EDC"/>
    <w:rsid w:val="004924F4"/>
    <w:rsid w:val="004928E1"/>
    <w:rsid w:val="00492D8D"/>
    <w:rsid w:val="00496662"/>
    <w:rsid w:val="004A1431"/>
    <w:rsid w:val="004A1863"/>
    <w:rsid w:val="004A2484"/>
    <w:rsid w:val="004A2D3E"/>
    <w:rsid w:val="004A378E"/>
    <w:rsid w:val="004A5A85"/>
    <w:rsid w:val="004A71D1"/>
    <w:rsid w:val="004A7C5B"/>
    <w:rsid w:val="004B1845"/>
    <w:rsid w:val="004B2303"/>
    <w:rsid w:val="004B2348"/>
    <w:rsid w:val="004B2E01"/>
    <w:rsid w:val="004B2E98"/>
    <w:rsid w:val="004B38C3"/>
    <w:rsid w:val="004B5640"/>
    <w:rsid w:val="004B6084"/>
    <w:rsid w:val="004BCF29"/>
    <w:rsid w:val="004C0206"/>
    <w:rsid w:val="004C03D0"/>
    <w:rsid w:val="004C098D"/>
    <w:rsid w:val="004C161D"/>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692D"/>
    <w:rsid w:val="004E6E09"/>
    <w:rsid w:val="004E707A"/>
    <w:rsid w:val="004E7230"/>
    <w:rsid w:val="004E7D87"/>
    <w:rsid w:val="004F1C66"/>
    <w:rsid w:val="004F2553"/>
    <w:rsid w:val="004F306A"/>
    <w:rsid w:val="004F38F6"/>
    <w:rsid w:val="004F7BED"/>
    <w:rsid w:val="00501554"/>
    <w:rsid w:val="005022D4"/>
    <w:rsid w:val="00502AFE"/>
    <w:rsid w:val="00502E64"/>
    <w:rsid w:val="00503AD7"/>
    <w:rsid w:val="00503E89"/>
    <w:rsid w:val="00504E0C"/>
    <w:rsid w:val="00504E13"/>
    <w:rsid w:val="00505ACA"/>
    <w:rsid w:val="00506637"/>
    <w:rsid w:val="005102E2"/>
    <w:rsid w:val="005109D4"/>
    <w:rsid w:val="005112E9"/>
    <w:rsid w:val="0051230A"/>
    <w:rsid w:val="00514CD7"/>
    <w:rsid w:val="005167EC"/>
    <w:rsid w:val="005170DA"/>
    <w:rsid w:val="00520D6A"/>
    <w:rsid w:val="00522DB6"/>
    <w:rsid w:val="0052604B"/>
    <w:rsid w:val="005260B4"/>
    <w:rsid w:val="0052631C"/>
    <w:rsid w:val="005264A7"/>
    <w:rsid w:val="0052792D"/>
    <w:rsid w:val="005314D4"/>
    <w:rsid w:val="005319B2"/>
    <w:rsid w:val="00532402"/>
    <w:rsid w:val="00532C74"/>
    <w:rsid w:val="0053319E"/>
    <w:rsid w:val="00533239"/>
    <w:rsid w:val="0053353F"/>
    <w:rsid w:val="00534E2E"/>
    <w:rsid w:val="00534FD5"/>
    <w:rsid w:val="00535133"/>
    <w:rsid w:val="0053785B"/>
    <w:rsid w:val="0054064C"/>
    <w:rsid w:val="00542BBA"/>
    <w:rsid w:val="00544552"/>
    <w:rsid w:val="00545130"/>
    <w:rsid w:val="00546B36"/>
    <w:rsid w:val="005507BD"/>
    <w:rsid w:val="0055286A"/>
    <w:rsid w:val="00553052"/>
    <w:rsid w:val="0055454D"/>
    <w:rsid w:val="00555745"/>
    <w:rsid w:val="00557D4F"/>
    <w:rsid w:val="0056122E"/>
    <w:rsid w:val="00562295"/>
    <w:rsid w:val="00563038"/>
    <w:rsid w:val="00563352"/>
    <w:rsid w:val="00563CFE"/>
    <w:rsid w:val="0056484E"/>
    <w:rsid w:val="00564DFE"/>
    <w:rsid w:val="005653B5"/>
    <w:rsid w:val="00565999"/>
    <w:rsid w:val="00567D8A"/>
    <w:rsid w:val="00570231"/>
    <w:rsid w:val="005714B7"/>
    <w:rsid w:val="005726D8"/>
    <w:rsid w:val="00573BB1"/>
    <w:rsid w:val="005750E9"/>
    <w:rsid w:val="005764CD"/>
    <w:rsid w:val="0057703E"/>
    <w:rsid w:val="00577C4D"/>
    <w:rsid w:val="00580532"/>
    <w:rsid w:val="005813D1"/>
    <w:rsid w:val="00581932"/>
    <w:rsid w:val="00581DCF"/>
    <w:rsid w:val="00582831"/>
    <w:rsid w:val="00583002"/>
    <w:rsid w:val="005850BD"/>
    <w:rsid w:val="00585322"/>
    <w:rsid w:val="005856E2"/>
    <w:rsid w:val="005903BB"/>
    <w:rsid w:val="00591347"/>
    <w:rsid w:val="00592EC8"/>
    <w:rsid w:val="00593893"/>
    <w:rsid w:val="005963BB"/>
    <w:rsid w:val="0059645C"/>
    <w:rsid w:val="0059667A"/>
    <w:rsid w:val="00596D37"/>
    <w:rsid w:val="005A15D2"/>
    <w:rsid w:val="005A3173"/>
    <w:rsid w:val="005A3223"/>
    <w:rsid w:val="005A3CF7"/>
    <w:rsid w:val="005A3DA3"/>
    <w:rsid w:val="005A52C4"/>
    <w:rsid w:val="005A63A1"/>
    <w:rsid w:val="005A6C05"/>
    <w:rsid w:val="005B0486"/>
    <w:rsid w:val="005B1032"/>
    <w:rsid w:val="005B1473"/>
    <w:rsid w:val="005B2418"/>
    <w:rsid w:val="005B36FA"/>
    <w:rsid w:val="005C2908"/>
    <w:rsid w:val="005C46B6"/>
    <w:rsid w:val="005C4F73"/>
    <w:rsid w:val="005C4FC6"/>
    <w:rsid w:val="005C712F"/>
    <w:rsid w:val="005D03AB"/>
    <w:rsid w:val="005D401D"/>
    <w:rsid w:val="005D5017"/>
    <w:rsid w:val="005D5708"/>
    <w:rsid w:val="005D63FA"/>
    <w:rsid w:val="005D643D"/>
    <w:rsid w:val="005D73C7"/>
    <w:rsid w:val="005E0050"/>
    <w:rsid w:val="005E0113"/>
    <w:rsid w:val="005E0C2D"/>
    <w:rsid w:val="005E0D82"/>
    <w:rsid w:val="005E0F59"/>
    <w:rsid w:val="005E1333"/>
    <w:rsid w:val="005E3136"/>
    <w:rsid w:val="005E3CDA"/>
    <w:rsid w:val="005E420D"/>
    <w:rsid w:val="005E507D"/>
    <w:rsid w:val="005E6DF4"/>
    <w:rsid w:val="005F0AC7"/>
    <w:rsid w:val="005F0AD0"/>
    <w:rsid w:val="005F0C3F"/>
    <w:rsid w:val="005F1D23"/>
    <w:rsid w:val="005F3BC8"/>
    <w:rsid w:val="00600A18"/>
    <w:rsid w:val="00601A91"/>
    <w:rsid w:val="00602063"/>
    <w:rsid w:val="00602BA3"/>
    <w:rsid w:val="0060345C"/>
    <w:rsid w:val="00604FDF"/>
    <w:rsid w:val="00605B63"/>
    <w:rsid w:val="00605F9A"/>
    <w:rsid w:val="00606442"/>
    <w:rsid w:val="00606A7B"/>
    <w:rsid w:val="00606EED"/>
    <w:rsid w:val="00607DDB"/>
    <w:rsid w:val="00612A95"/>
    <w:rsid w:val="00612E34"/>
    <w:rsid w:val="00614159"/>
    <w:rsid w:val="006158A3"/>
    <w:rsid w:val="00615BD4"/>
    <w:rsid w:val="00616C5F"/>
    <w:rsid w:val="00616DAC"/>
    <w:rsid w:val="00617725"/>
    <w:rsid w:val="00617C00"/>
    <w:rsid w:val="00620AB2"/>
    <w:rsid w:val="0062226F"/>
    <w:rsid w:val="0062316F"/>
    <w:rsid w:val="00624574"/>
    <w:rsid w:val="006256B9"/>
    <w:rsid w:val="006263BF"/>
    <w:rsid w:val="00626EEE"/>
    <w:rsid w:val="0062748A"/>
    <w:rsid w:val="00630546"/>
    <w:rsid w:val="00630A2C"/>
    <w:rsid w:val="00632180"/>
    <w:rsid w:val="00634A75"/>
    <w:rsid w:val="0063682E"/>
    <w:rsid w:val="00636D93"/>
    <w:rsid w:val="00637520"/>
    <w:rsid w:val="00637B24"/>
    <w:rsid w:val="00640088"/>
    <w:rsid w:val="00640D16"/>
    <w:rsid w:val="0064226D"/>
    <w:rsid w:val="00642672"/>
    <w:rsid w:val="00642DA8"/>
    <w:rsid w:val="006436CD"/>
    <w:rsid w:val="00650976"/>
    <w:rsid w:val="00651169"/>
    <w:rsid w:val="00653CD3"/>
    <w:rsid w:val="00653D69"/>
    <w:rsid w:val="00654725"/>
    <w:rsid w:val="006552E6"/>
    <w:rsid w:val="00655794"/>
    <w:rsid w:val="00656F2F"/>
    <w:rsid w:val="00657C63"/>
    <w:rsid w:val="00661CBC"/>
    <w:rsid w:val="00662436"/>
    <w:rsid w:val="00662B85"/>
    <w:rsid w:val="00663EE9"/>
    <w:rsid w:val="00664987"/>
    <w:rsid w:val="00665F01"/>
    <w:rsid w:val="00666706"/>
    <w:rsid w:val="006670B3"/>
    <w:rsid w:val="006670BE"/>
    <w:rsid w:val="00670A76"/>
    <w:rsid w:val="00670AE8"/>
    <w:rsid w:val="006711AA"/>
    <w:rsid w:val="00672B57"/>
    <w:rsid w:val="006738CF"/>
    <w:rsid w:val="00673F1F"/>
    <w:rsid w:val="006750AF"/>
    <w:rsid w:val="00675622"/>
    <w:rsid w:val="00675DEB"/>
    <w:rsid w:val="00676C1A"/>
    <w:rsid w:val="0067747D"/>
    <w:rsid w:val="0068061D"/>
    <w:rsid w:val="006818D5"/>
    <w:rsid w:val="00681CA4"/>
    <w:rsid w:val="00684091"/>
    <w:rsid w:val="00686559"/>
    <w:rsid w:val="006871F9"/>
    <w:rsid w:val="0069039D"/>
    <w:rsid w:val="006906DB"/>
    <w:rsid w:val="00691900"/>
    <w:rsid w:val="00691A2C"/>
    <w:rsid w:val="00691E6C"/>
    <w:rsid w:val="006920D0"/>
    <w:rsid w:val="00692516"/>
    <w:rsid w:val="00693425"/>
    <w:rsid w:val="0069342D"/>
    <w:rsid w:val="00693DFB"/>
    <w:rsid w:val="00694E29"/>
    <w:rsid w:val="00694FD5"/>
    <w:rsid w:val="0069501D"/>
    <w:rsid w:val="00696129"/>
    <w:rsid w:val="00697CF2"/>
    <w:rsid w:val="006A12A5"/>
    <w:rsid w:val="006A2515"/>
    <w:rsid w:val="006A40B5"/>
    <w:rsid w:val="006A572D"/>
    <w:rsid w:val="006A5E20"/>
    <w:rsid w:val="006B0D94"/>
    <w:rsid w:val="006B16B6"/>
    <w:rsid w:val="006B3748"/>
    <w:rsid w:val="006B485D"/>
    <w:rsid w:val="006B6FFA"/>
    <w:rsid w:val="006B7DDA"/>
    <w:rsid w:val="006B7F32"/>
    <w:rsid w:val="006C0C45"/>
    <w:rsid w:val="006C24EB"/>
    <w:rsid w:val="006C2806"/>
    <w:rsid w:val="006C334C"/>
    <w:rsid w:val="006C41E6"/>
    <w:rsid w:val="006C5F92"/>
    <w:rsid w:val="006C6C10"/>
    <w:rsid w:val="006C708E"/>
    <w:rsid w:val="006C78A7"/>
    <w:rsid w:val="006D14E7"/>
    <w:rsid w:val="006D401B"/>
    <w:rsid w:val="006D4204"/>
    <w:rsid w:val="006D4444"/>
    <w:rsid w:val="006D4B7B"/>
    <w:rsid w:val="006D5EA0"/>
    <w:rsid w:val="006D6493"/>
    <w:rsid w:val="006D6EC7"/>
    <w:rsid w:val="006D7B05"/>
    <w:rsid w:val="006D7E45"/>
    <w:rsid w:val="006E0A28"/>
    <w:rsid w:val="006E1143"/>
    <w:rsid w:val="006E189D"/>
    <w:rsid w:val="006E1BCD"/>
    <w:rsid w:val="006E2732"/>
    <w:rsid w:val="006E59CD"/>
    <w:rsid w:val="006F00ED"/>
    <w:rsid w:val="006F026F"/>
    <w:rsid w:val="006F0A71"/>
    <w:rsid w:val="006F1C6B"/>
    <w:rsid w:val="006F2ECE"/>
    <w:rsid w:val="006F39F9"/>
    <w:rsid w:val="006F40C2"/>
    <w:rsid w:val="006F47AC"/>
    <w:rsid w:val="006F5125"/>
    <w:rsid w:val="006F531B"/>
    <w:rsid w:val="006F5A40"/>
    <w:rsid w:val="006F6D41"/>
    <w:rsid w:val="006F733D"/>
    <w:rsid w:val="00700765"/>
    <w:rsid w:val="00702959"/>
    <w:rsid w:val="00702B6F"/>
    <w:rsid w:val="007030B4"/>
    <w:rsid w:val="00703B86"/>
    <w:rsid w:val="00704069"/>
    <w:rsid w:val="007042F5"/>
    <w:rsid w:val="00706A2F"/>
    <w:rsid w:val="0070718E"/>
    <w:rsid w:val="00707C09"/>
    <w:rsid w:val="00707E52"/>
    <w:rsid w:val="00710259"/>
    <w:rsid w:val="0071031F"/>
    <w:rsid w:val="007105AE"/>
    <w:rsid w:val="00710737"/>
    <w:rsid w:val="0071340B"/>
    <w:rsid w:val="00713C50"/>
    <w:rsid w:val="0071436D"/>
    <w:rsid w:val="0071508D"/>
    <w:rsid w:val="00715316"/>
    <w:rsid w:val="00715BBB"/>
    <w:rsid w:val="007174BB"/>
    <w:rsid w:val="0072025D"/>
    <w:rsid w:val="00720F30"/>
    <w:rsid w:val="00723328"/>
    <w:rsid w:val="007237DE"/>
    <w:rsid w:val="0072502E"/>
    <w:rsid w:val="0073137C"/>
    <w:rsid w:val="007338F3"/>
    <w:rsid w:val="007340B9"/>
    <w:rsid w:val="007353D3"/>
    <w:rsid w:val="0073736F"/>
    <w:rsid w:val="00740E5C"/>
    <w:rsid w:val="0074156B"/>
    <w:rsid w:val="00741619"/>
    <w:rsid w:val="00742885"/>
    <w:rsid w:val="007438B2"/>
    <w:rsid w:val="00747092"/>
    <w:rsid w:val="007477FF"/>
    <w:rsid w:val="00751DFE"/>
    <w:rsid w:val="00751FB9"/>
    <w:rsid w:val="00751FBB"/>
    <w:rsid w:val="007526E6"/>
    <w:rsid w:val="007548B9"/>
    <w:rsid w:val="00754C18"/>
    <w:rsid w:val="00754DF9"/>
    <w:rsid w:val="00755204"/>
    <w:rsid w:val="007555E8"/>
    <w:rsid w:val="00755836"/>
    <w:rsid w:val="00755CC5"/>
    <w:rsid w:val="00761CA3"/>
    <w:rsid w:val="00762862"/>
    <w:rsid w:val="0076420C"/>
    <w:rsid w:val="00766F5F"/>
    <w:rsid w:val="00771D07"/>
    <w:rsid w:val="007721A5"/>
    <w:rsid w:val="00772649"/>
    <w:rsid w:val="00772F5D"/>
    <w:rsid w:val="00773BE3"/>
    <w:rsid w:val="007743DD"/>
    <w:rsid w:val="00774A52"/>
    <w:rsid w:val="00774E2C"/>
    <w:rsid w:val="0077503C"/>
    <w:rsid w:val="0077518D"/>
    <w:rsid w:val="007753C2"/>
    <w:rsid w:val="007754C6"/>
    <w:rsid w:val="00776068"/>
    <w:rsid w:val="007821C4"/>
    <w:rsid w:val="007838B8"/>
    <w:rsid w:val="00785779"/>
    <w:rsid w:val="00787FD8"/>
    <w:rsid w:val="007908C1"/>
    <w:rsid w:val="007915BA"/>
    <w:rsid w:val="00791844"/>
    <w:rsid w:val="0079250E"/>
    <w:rsid w:val="00793CE9"/>
    <w:rsid w:val="00796667"/>
    <w:rsid w:val="00797068"/>
    <w:rsid w:val="007979BD"/>
    <w:rsid w:val="007A0D6B"/>
    <w:rsid w:val="007A1E6B"/>
    <w:rsid w:val="007A3184"/>
    <w:rsid w:val="007A3D8E"/>
    <w:rsid w:val="007A5C88"/>
    <w:rsid w:val="007A6A2F"/>
    <w:rsid w:val="007A7CEC"/>
    <w:rsid w:val="007A7E27"/>
    <w:rsid w:val="007B024E"/>
    <w:rsid w:val="007B3BAF"/>
    <w:rsid w:val="007B3DDC"/>
    <w:rsid w:val="007B72A6"/>
    <w:rsid w:val="007C06D2"/>
    <w:rsid w:val="007C08E0"/>
    <w:rsid w:val="007C0F57"/>
    <w:rsid w:val="007C2077"/>
    <w:rsid w:val="007C2F4B"/>
    <w:rsid w:val="007C40B6"/>
    <w:rsid w:val="007C5975"/>
    <w:rsid w:val="007C729F"/>
    <w:rsid w:val="007C72AD"/>
    <w:rsid w:val="007D480E"/>
    <w:rsid w:val="007D503D"/>
    <w:rsid w:val="007D59E7"/>
    <w:rsid w:val="007D5F2A"/>
    <w:rsid w:val="007D740F"/>
    <w:rsid w:val="007E07AC"/>
    <w:rsid w:val="007E1014"/>
    <w:rsid w:val="007E12F8"/>
    <w:rsid w:val="007E14EB"/>
    <w:rsid w:val="007E1673"/>
    <w:rsid w:val="007E1D28"/>
    <w:rsid w:val="007E25D1"/>
    <w:rsid w:val="007E3168"/>
    <w:rsid w:val="007E4564"/>
    <w:rsid w:val="007E45A9"/>
    <w:rsid w:val="007E490F"/>
    <w:rsid w:val="007E5D76"/>
    <w:rsid w:val="007E6533"/>
    <w:rsid w:val="007F0021"/>
    <w:rsid w:val="007F1007"/>
    <w:rsid w:val="007F2641"/>
    <w:rsid w:val="007F47AC"/>
    <w:rsid w:val="007F7C36"/>
    <w:rsid w:val="007F7F45"/>
    <w:rsid w:val="0080001F"/>
    <w:rsid w:val="00801958"/>
    <w:rsid w:val="00804C9E"/>
    <w:rsid w:val="008055AF"/>
    <w:rsid w:val="008057CD"/>
    <w:rsid w:val="008066B8"/>
    <w:rsid w:val="00806796"/>
    <w:rsid w:val="0080722D"/>
    <w:rsid w:val="00810167"/>
    <w:rsid w:val="008104D0"/>
    <w:rsid w:val="0081123D"/>
    <w:rsid w:val="00811CC0"/>
    <w:rsid w:val="0081218E"/>
    <w:rsid w:val="00814276"/>
    <w:rsid w:val="008151D6"/>
    <w:rsid w:val="00816322"/>
    <w:rsid w:val="00820246"/>
    <w:rsid w:val="00820803"/>
    <w:rsid w:val="00821527"/>
    <w:rsid w:val="00822162"/>
    <w:rsid w:val="008225CE"/>
    <w:rsid w:val="00822696"/>
    <w:rsid w:val="00825A6C"/>
    <w:rsid w:val="0082617E"/>
    <w:rsid w:val="008268BB"/>
    <w:rsid w:val="00826F6D"/>
    <w:rsid w:val="00827097"/>
    <w:rsid w:val="008306F3"/>
    <w:rsid w:val="00830E40"/>
    <w:rsid w:val="008318A9"/>
    <w:rsid w:val="00831B88"/>
    <w:rsid w:val="00832D9A"/>
    <w:rsid w:val="00835C62"/>
    <w:rsid w:val="008368A1"/>
    <w:rsid w:val="00837B7F"/>
    <w:rsid w:val="00840EF7"/>
    <w:rsid w:val="008436CA"/>
    <w:rsid w:val="00844C0A"/>
    <w:rsid w:val="00846056"/>
    <w:rsid w:val="008460E2"/>
    <w:rsid w:val="0084681F"/>
    <w:rsid w:val="00846E26"/>
    <w:rsid w:val="00847D08"/>
    <w:rsid w:val="00847EC0"/>
    <w:rsid w:val="00854506"/>
    <w:rsid w:val="00855FD6"/>
    <w:rsid w:val="008568AF"/>
    <w:rsid w:val="00856DDD"/>
    <w:rsid w:val="00860233"/>
    <w:rsid w:val="00860C46"/>
    <w:rsid w:val="00863E68"/>
    <w:rsid w:val="008647B5"/>
    <w:rsid w:val="00867D64"/>
    <w:rsid w:val="00867D85"/>
    <w:rsid w:val="0087039E"/>
    <w:rsid w:val="0087176F"/>
    <w:rsid w:val="00872E8F"/>
    <w:rsid w:val="008749B1"/>
    <w:rsid w:val="00875DCB"/>
    <w:rsid w:val="00876FBF"/>
    <w:rsid w:val="0087755A"/>
    <w:rsid w:val="00880BE3"/>
    <w:rsid w:val="00882085"/>
    <w:rsid w:val="008827B5"/>
    <w:rsid w:val="00883188"/>
    <w:rsid w:val="00884A0C"/>
    <w:rsid w:val="00886ACA"/>
    <w:rsid w:val="00886B01"/>
    <w:rsid w:val="0089031E"/>
    <w:rsid w:val="0089109A"/>
    <w:rsid w:val="00893D5C"/>
    <w:rsid w:val="0089460B"/>
    <w:rsid w:val="00896A7E"/>
    <w:rsid w:val="00897D58"/>
    <w:rsid w:val="00897F22"/>
    <w:rsid w:val="008A0B39"/>
    <w:rsid w:val="008A17A3"/>
    <w:rsid w:val="008A1956"/>
    <w:rsid w:val="008A1E85"/>
    <w:rsid w:val="008A2419"/>
    <w:rsid w:val="008A2F4E"/>
    <w:rsid w:val="008A4937"/>
    <w:rsid w:val="008A4C35"/>
    <w:rsid w:val="008A50F1"/>
    <w:rsid w:val="008A59D9"/>
    <w:rsid w:val="008A643E"/>
    <w:rsid w:val="008A6819"/>
    <w:rsid w:val="008B007A"/>
    <w:rsid w:val="008B2EC0"/>
    <w:rsid w:val="008B6072"/>
    <w:rsid w:val="008B6DCF"/>
    <w:rsid w:val="008C0BED"/>
    <w:rsid w:val="008C4D49"/>
    <w:rsid w:val="008C4F80"/>
    <w:rsid w:val="008C52BA"/>
    <w:rsid w:val="008C71AB"/>
    <w:rsid w:val="008D0945"/>
    <w:rsid w:val="008D1409"/>
    <w:rsid w:val="008D15CC"/>
    <w:rsid w:val="008D1729"/>
    <w:rsid w:val="008D1B5C"/>
    <w:rsid w:val="008D3C82"/>
    <w:rsid w:val="008D447E"/>
    <w:rsid w:val="008D5DDD"/>
    <w:rsid w:val="008D6ACF"/>
    <w:rsid w:val="008D7A41"/>
    <w:rsid w:val="008E039B"/>
    <w:rsid w:val="008E204C"/>
    <w:rsid w:val="008E2C72"/>
    <w:rsid w:val="008E3680"/>
    <w:rsid w:val="008E4410"/>
    <w:rsid w:val="008E4F87"/>
    <w:rsid w:val="008E5870"/>
    <w:rsid w:val="008E7742"/>
    <w:rsid w:val="008E77E4"/>
    <w:rsid w:val="008E7AFF"/>
    <w:rsid w:val="008F0213"/>
    <w:rsid w:val="008F07ED"/>
    <w:rsid w:val="008F0907"/>
    <w:rsid w:val="008F11F8"/>
    <w:rsid w:val="008F1434"/>
    <w:rsid w:val="008F2BB9"/>
    <w:rsid w:val="008F3D6A"/>
    <w:rsid w:val="008F3E2B"/>
    <w:rsid w:val="008F54C3"/>
    <w:rsid w:val="008F6357"/>
    <w:rsid w:val="008F7355"/>
    <w:rsid w:val="009016CA"/>
    <w:rsid w:val="009023DC"/>
    <w:rsid w:val="009027C5"/>
    <w:rsid w:val="0090317D"/>
    <w:rsid w:val="00904413"/>
    <w:rsid w:val="00904552"/>
    <w:rsid w:val="00904D91"/>
    <w:rsid w:val="00905EC8"/>
    <w:rsid w:val="009067B7"/>
    <w:rsid w:val="00906E7A"/>
    <w:rsid w:val="00906E7F"/>
    <w:rsid w:val="0090775A"/>
    <w:rsid w:val="00907DFD"/>
    <w:rsid w:val="00913C99"/>
    <w:rsid w:val="009154BA"/>
    <w:rsid w:val="00917D69"/>
    <w:rsid w:val="00920B6D"/>
    <w:rsid w:val="00922A66"/>
    <w:rsid w:val="00924316"/>
    <w:rsid w:val="00926560"/>
    <w:rsid w:val="00926B15"/>
    <w:rsid w:val="00930291"/>
    <w:rsid w:val="00930937"/>
    <w:rsid w:val="0093155D"/>
    <w:rsid w:val="009324A6"/>
    <w:rsid w:val="00933B7D"/>
    <w:rsid w:val="00933E6C"/>
    <w:rsid w:val="00935A6E"/>
    <w:rsid w:val="00937958"/>
    <w:rsid w:val="009406E5"/>
    <w:rsid w:val="00941602"/>
    <w:rsid w:val="00942136"/>
    <w:rsid w:val="00942160"/>
    <w:rsid w:val="009448AE"/>
    <w:rsid w:val="00946921"/>
    <w:rsid w:val="00946AC6"/>
    <w:rsid w:val="00947343"/>
    <w:rsid w:val="0095146F"/>
    <w:rsid w:val="00951F2D"/>
    <w:rsid w:val="00952839"/>
    <w:rsid w:val="0095344C"/>
    <w:rsid w:val="00953482"/>
    <w:rsid w:val="009534C7"/>
    <w:rsid w:val="00953875"/>
    <w:rsid w:val="00957944"/>
    <w:rsid w:val="009602C5"/>
    <w:rsid w:val="00960CF2"/>
    <w:rsid w:val="0096103A"/>
    <w:rsid w:val="00961B3A"/>
    <w:rsid w:val="00962223"/>
    <w:rsid w:val="0096252B"/>
    <w:rsid w:val="009644D9"/>
    <w:rsid w:val="00964A9F"/>
    <w:rsid w:val="00964E26"/>
    <w:rsid w:val="00966D0D"/>
    <w:rsid w:val="00967732"/>
    <w:rsid w:val="0096783C"/>
    <w:rsid w:val="00970023"/>
    <w:rsid w:val="009722B3"/>
    <w:rsid w:val="00973E24"/>
    <w:rsid w:val="00974C21"/>
    <w:rsid w:val="00974D5F"/>
    <w:rsid w:val="00975948"/>
    <w:rsid w:val="009763DA"/>
    <w:rsid w:val="009772FD"/>
    <w:rsid w:val="009775BF"/>
    <w:rsid w:val="0097799E"/>
    <w:rsid w:val="00977BF3"/>
    <w:rsid w:val="009803E4"/>
    <w:rsid w:val="00980B0E"/>
    <w:rsid w:val="00982B39"/>
    <w:rsid w:val="009836A3"/>
    <w:rsid w:val="00984C58"/>
    <w:rsid w:val="009855A8"/>
    <w:rsid w:val="00985CBE"/>
    <w:rsid w:val="00985D1A"/>
    <w:rsid w:val="00990BAC"/>
    <w:rsid w:val="00990CF8"/>
    <w:rsid w:val="009913F4"/>
    <w:rsid w:val="00991782"/>
    <w:rsid w:val="009937F7"/>
    <w:rsid w:val="0099465B"/>
    <w:rsid w:val="00994751"/>
    <w:rsid w:val="009951A1"/>
    <w:rsid w:val="00997A44"/>
    <w:rsid w:val="009A0CDD"/>
    <w:rsid w:val="009A1A7A"/>
    <w:rsid w:val="009A3168"/>
    <w:rsid w:val="009A4621"/>
    <w:rsid w:val="009A4BDF"/>
    <w:rsid w:val="009A5D04"/>
    <w:rsid w:val="009A61CA"/>
    <w:rsid w:val="009B0062"/>
    <w:rsid w:val="009B0C64"/>
    <w:rsid w:val="009B0F67"/>
    <w:rsid w:val="009B185F"/>
    <w:rsid w:val="009B208A"/>
    <w:rsid w:val="009B2756"/>
    <w:rsid w:val="009B2920"/>
    <w:rsid w:val="009B3D56"/>
    <w:rsid w:val="009B3F8C"/>
    <w:rsid w:val="009B533B"/>
    <w:rsid w:val="009B546B"/>
    <w:rsid w:val="009C26AA"/>
    <w:rsid w:val="009C3E9F"/>
    <w:rsid w:val="009C3EE6"/>
    <w:rsid w:val="009C6E1B"/>
    <w:rsid w:val="009C703C"/>
    <w:rsid w:val="009D0C29"/>
    <w:rsid w:val="009D206E"/>
    <w:rsid w:val="009D3CAA"/>
    <w:rsid w:val="009D507A"/>
    <w:rsid w:val="009D6532"/>
    <w:rsid w:val="009D6C89"/>
    <w:rsid w:val="009D71FD"/>
    <w:rsid w:val="009E06F0"/>
    <w:rsid w:val="009E0755"/>
    <w:rsid w:val="009E10AD"/>
    <w:rsid w:val="009E18F3"/>
    <w:rsid w:val="009E2588"/>
    <w:rsid w:val="009E2E8E"/>
    <w:rsid w:val="009E40E1"/>
    <w:rsid w:val="009F0EFA"/>
    <w:rsid w:val="009F17D7"/>
    <w:rsid w:val="009F2460"/>
    <w:rsid w:val="009F4E46"/>
    <w:rsid w:val="009F52BA"/>
    <w:rsid w:val="009F5B65"/>
    <w:rsid w:val="009F5F2E"/>
    <w:rsid w:val="009F6514"/>
    <w:rsid w:val="009F778C"/>
    <w:rsid w:val="00A01432"/>
    <w:rsid w:val="00A0167A"/>
    <w:rsid w:val="00A01980"/>
    <w:rsid w:val="00A01D12"/>
    <w:rsid w:val="00A05083"/>
    <w:rsid w:val="00A06225"/>
    <w:rsid w:val="00A066E6"/>
    <w:rsid w:val="00A110D1"/>
    <w:rsid w:val="00A11368"/>
    <w:rsid w:val="00A12587"/>
    <w:rsid w:val="00A128E6"/>
    <w:rsid w:val="00A144D3"/>
    <w:rsid w:val="00A16B08"/>
    <w:rsid w:val="00A17EA7"/>
    <w:rsid w:val="00A21D7D"/>
    <w:rsid w:val="00A22AC3"/>
    <w:rsid w:val="00A2351E"/>
    <w:rsid w:val="00A23F3F"/>
    <w:rsid w:val="00A24067"/>
    <w:rsid w:val="00A24A4B"/>
    <w:rsid w:val="00A25229"/>
    <w:rsid w:val="00A259C0"/>
    <w:rsid w:val="00A2744D"/>
    <w:rsid w:val="00A306F6"/>
    <w:rsid w:val="00A30D16"/>
    <w:rsid w:val="00A33EB7"/>
    <w:rsid w:val="00A34E6C"/>
    <w:rsid w:val="00A34FD0"/>
    <w:rsid w:val="00A361EA"/>
    <w:rsid w:val="00A36398"/>
    <w:rsid w:val="00A36CC1"/>
    <w:rsid w:val="00A37C8D"/>
    <w:rsid w:val="00A37CF4"/>
    <w:rsid w:val="00A4020E"/>
    <w:rsid w:val="00A40493"/>
    <w:rsid w:val="00A408E8"/>
    <w:rsid w:val="00A40FB5"/>
    <w:rsid w:val="00A4230A"/>
    <w:rsid w:val="00A42826"/>
    <w:rsid w:val="00A429B3"/>
    <w:rsid w:val="00A44EC1"/>
    <w:rsid w:val="00A47035"/>
    <w:rsid w:val="00A510E4"/>
    <w:rsid w:val="00A51F8C"/>
    <w:rsid w:val="00A526F7"/>
    <w:rsid w:val="00A5273B"/>
    <w:rsid w:val="00A52E2B"/>
    <w:rsid w:val="00A53A9D"/>
    <w:rsid w:val="00A55FEE"/>
    <w:rsid w:val="00A56304"/>
    <w:rsid w:val="00A56658"/>
    <w:rsid w:val="00A567B8"/>
    <w:rsid w:val="00A56DB2"/>
    <w:rsid w:val="00A57422"/>
    <w:rsid w:val="00A57BFB"/>
    <w:rsid w:val="00A62C1A"/>
    <w:rsid w:val="00A63CA2"/>
    <w:rsid w:val="00A6426D"/>
    <w:rsid w:val="00A6439B"/>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6AE0"/>
    <w:rsid w:val="00A912B0"/>
    <w:rsid w:val="00A91362"/>
    <w:rsid w:val="00A9151C"/>
    <w:rsid w:val="00A915BB"/>
    <w:rsid w:val="00A919C6"/>
    <w:rsid w:val="00A919FA"/>
    <w:rsid w:val="00A928BD"/>
    <w:rsid w:val="00A92D61"/>
    <w:rsid w:val="00A936B6"/>
    <w:rsid w:val="00A97DE9"/>
    <w:rsid w:val="00AA12CD"/>
    <w:rsid w:val="00AA24E9"/>
    <w:rsid w:val="00AA4D1C"/>
    <w:rsid w:val="00AA52FD"/>
    <w:rsid w:val="00AA5D40"/>
    <w:rsid w:val="00AA6FD5"/>
    <w:rsid w:val="00AA7006"/>
    <w:rsid w:val="00AB3138"/>
    <w:rsid w:val="00AB4684"/>
    <w:rsid w:val="00AB5856"/>
    <w:rsid w:val="00AB6A80"/>
    <w:rsid w:val="00AC081D"/>
    <w:rsid w:val="00AC0C6F"/>
    <w:rsid w:val="00AC1266"/>
    <w:rsid w:val="00AC193C"/>
    <w:rsid w:val="00AC30C1"/>
    <w:rsid w:val="00AC4DE5"/>
    <w:rsid w:val="00AC5206"/>
    <w:rsid w:val="00AC6B25"/>
    <w:rsid w:val="00AD095B"/>
    <w:rsid w:val="00AD3106"/>
    <w:rsid w:val="00AD320D"/>
    <w:rsid w:val="00AD4322"/>
    <w:rsid w:val="00AD6719"/>
    <w:rsid w:val="00AE0DC5"/>
    <w:rsid w:val="00AE1010"/>
    <w:rsid w:val="00AE11A5"/>
    <w:rsid w:val="00AE11B9"/>
    <w:rsid w:val="00AE13E2"/>
    <w:rsid w:val="00AE22D3"/>
    <w:rsid w:val="00AE5987"/>
    <w:rsid w:val="00AE5A49"/>
    <w:rsid w:val="00AE6419"/>
    <w:rsid w:val="00AE7178"/>
    <w:rsid w:val="00AE7696"/>
    <w:rsid w:val="00AF03E6"/>
    <w:rsid w:val="00AF0E39"/>
    <w:rsid w:val="00AF11D8"/>
    <w:rsid w:val="00AF1EDC"/>
    <w:rsid w:val="00AF5867"/>
    <w:rsid w:val="00AF62DF"/>
    <w:rsid w:val="00AF68CC"/>
    <w:rsid w:val="00AF70D7"/>
    <w:rsid w:val="00B00086"/>
    <w:rsid w:val="00B00CC5"/>
    <w:rsid w:val="00B00CD0"/>
    <w:rsid w:val="00B00E7F"/>
    <w:rsid w:val="00B01FF4"/>
    <w:rsid w:val="00B0326D"/>
    <w:rsid w:val="00B03F1C"/>
    <w:rsid w:val="00B06037"/>
    <w:rsid w:val="00B06478"/>
    <w:rsid w:val="00B07533"/>
    <w:rsid w:val="00B07CFB"/>
    <w:rsid w:val="00B1021F"/>
    <w:rsid w:val="00B1059E"/>
    <w:rsid w:val="00B12338"/>
    <w:rsid w:val="00B13AD1"/>
    <w:rsid w:val="00B149BA"/>
    <w:rsid w:val="00B14A36"/>
    <w:rsid w:val="00B15A42"/>
    <w:rsid w:val="00B16273"/>
    <w:rsid w:val="00B164B4"/>
    <w:rsid w:val="00B170A5"/>
    <w:rsid w:val="00B1725F"/>
    <w:rsid w:val="00B176C8"/>
    <w:rsid w:val="00B17EE5"/>
    <w:rsid w:val="00B205AA"/>
    <w:rsid w:val="00B20865"/>
    <w:rsid w:val="00B2100A"/>
    <w:rsid w:val="00B21A91"/>
    <w:rsid w:val="00B22E84"/>
    <w:rsid w:val="00B233AD"/>
    <w:rsid w:val="00B23E25"/>
    <w:rsid w:val="00B25F75"/>
    <w:rsid w:val="00B26B3F"/>
    <w:rsid w:val="00B2778F"/>
    <w:rsid w:val="00B327E2"/>
    <w:rsid w:val="00B33635"/>
    <w:rsid w:val="00B364C0"/>
    <w:rsid w:val="00B37A23"/>
    <w:rsid w:val="00B37CF8"/>
    <w:rsid w:val="00B41F5A"/>
    <w:rsid w:val="00B42AF4"/>
    <w:rsid w:val="00B43E90"/>
    <w:rsid w:val="00B44308"/>
    <w:rsid w:val="00B44F22"/>
    <w:rsid w:val="00B45722"/>
    <w:rsid w:val="00B460F4"/>
    <w:rsid w:val="00B467DC"/>
    <w:rsid w:val="00B47A88"/>
    <w:rsid w:val="00B47D3D"/>
    <w:rsid w:val="00B47E47"/>
    <w:rsid w:val="00B505A6"/>
    <w:rsid w:val="00B51E09"/>
    <w:rsid w:val="00B52303"/>
    <w:rsid w:val="00B5392A"/>
    <w:rsid w:val="00B539EF"/>
    <w:rsid w:val="00B54790"/>
    <w:rsid w:val="00B56118"/>
    <w:rsid w:val="00B566E1"/>
    <w:rsid w:val="00B56AFB"/>
    <w:rsid w:val="00B572BE"/>
    <w:rsid w:val="00B602F6"/>
    <w:rsid w:val="00B60ED3"/>
    <w:rsid w:val="00B62EC1"/>
    <w:rsid w:val="00B62FFB"/>
    <w:rsid w:val="00B63251"/>
    <w:rsid w:val="00B64088"/>
    <w:rsid w:val="00B64A96"/>
    <w:rsid w:val="00B6533B"/>
    <w:rsid w:val="00B6773F"/>
    <w:rsid w:val="00B70EB3"/>
    <w:rsid w:val="00B72906"/>
    <w:rsid w:val="00B74F48"/>
    <w:rsid w:val="00B7525E"/>
    <w:rsid w:val="00B75433"/>
    <w:rsid w:val="00B75F70"/>
    <w:rsid w:val="00B760FB"/>
    <w:rsid w:val="00B76765"/>
    <w:rsid w:val="00B767AB"/>
    <w:rsid w:val="00B77A76"/>
    <w:rsid w:val="00B801BA"/>
    <w:rsid w:val="00B80D50"/>
    <w:rsid w:val="00B812D6"/>
    <w:rsid w:val="00B81C14"/>
    <w:rsid w:val="00B81EA0"/>
    <w:rsid w:val="00B846E6"/>
    <w:rsid w:val="00B84D5C"/>
    <w:rsid w:val="00B85AF6"/>
    <w:rsid w:val="00B91807"/>
    <w:rsid w:val="00B92114"/>
    <w:rsid w:val="00B92E46"/>
    <w:rsid w:val="00B941ED"/>
    <w:rsid w:val="00B956ED"/>
    <w:rsid w:val="00B96D0E"/>
    <w:rsid w:val="00BA2CB0"/>
    <w:rsid w:val="00BA2DA8"/>
    <w:rsid w:val="00BA347C"/>
    <w:rsid w:val="00BA4B89"/>
    <w:rsid w:val="00BA4C79"/>
    <w:rsid w:val="00BA4D84"/>
    <w:rsid w:val="00BA5310"/>
    <w:rsid w:val="00BA5610"/>
    <w:rsid w:val="00BA717A"/>
    <w:rsid w:val="00BB298A"/>
    <w:rsid w:val="00BB3469"/>
    <w:rsid w:val="00BB5C49"/>
    <w:rsid w:val="00BB6240"/>
    <w:rsid w:val="00BB6285"/>
    <w:rsid w:val="00BB69F5"/>
    <w:rsid w:val="00BB6E48"/>
    <w:rsid w:val="00BB7EC3"/>
    <w:rsid w:val="00BC04B1"/>
    <w:rsid w:val="00BC266D"/>
    <w:rsid w:val="00BC470E"/>
    <w:rsid w:val="00BC4B9A"/>
    <w:rsid w:val="00BC5EA8"/>
    <w:rsid w:val="00BC7ED8"/>
    <w:rsid w:val="00BD00B0"/>
    <w:rsid w:val="00BD02C3"/>
    <w:rsid w:val="00BD3119"/>
    <w:rsid w:val="00BD385F"/>
    <w:rsid w:val="00BD7483"/>
    <w:rsid w:val="00BD784C"/>
    <w:rsid w:val="00BD7904"/>
    <w:rsid w:val="00BE020A"/>
    <w:rsid w:val="00BE13DF"/>
    <w:rsid w:val="00BE1EF0"/>
    <w:rsid w:val="00BE25D7"/>
    <w:rsid w:val="00BE2D11"/>
    <w:rsid w:val="00BF0667"/>
    <w:rsid w:val="00BF092C"/>
    <w:rsid w:val="00BF21D1"/>
    <w:rsid w:val="00BF27A0"/>
    <w:rsid w:val="00BF40E6"/>
    <w:rsid w:val="00BF4955"/>
    <w:rsid w:val="00BF4CB6"/>
    <w:rsid w:val="00BF51E1"/>
    <w:rsid w:val="00BF5D23"/>
    <w:rsid w:val="00BF6389"/>
    <w:rsid w:val="00BF6CBD"/>
    <w:rsid w:val="00BF7F01"/>
    <w:rsid w:val="00C00DA7"/>
    <w:rsid w:val="00C016CA"/>
    <w:rsid w:val="00C034FB"/>
    <w:rsid w:val="00C04CDE"/>
    <w:rsid w:val="00C0576F"/>
    <w:rsid w:val="00C059D5"/>
    <w:rsid w:val="00C064E2"/>
    <w:rsid w:val="00C068A6"/>
    <w:rsid w:val="00C1178B"/>
    <w:rsid w:val="00C11DEA"/>
    <w:rsid w:val="00C12768"/>
    <w:rsid w:val="00C12D70"/>
    <w:rsid w:val="00C16724"/>
    <w:rsid w:val="00C21B09"/>
    <w:rsid w:val="00C22DE7"/>
    <w:rsid w:val="00C25EFF"/>
    <w:rsid w:val="00C2673A"/>
    <w:rsid w:val="00C27863"/>
    <w:rsid w:val="00C278CD"/>
    <w:rsid w:val="00C27B58"/>
    <w:rsid w:val="00C27C1C"/>
    <w:rsid w:val="00C3166C"/>
    <w:rsid w:val="00C33186"/>
    <w:rsid w:val="00C35996"/>
    <w:rsid w:val="00C42BCD"/>
    <w:rsid w:val="00C4485F"/>
    <w:rsid w:val="00C44DED"/>
    <w:rsid w:val="00C46C13"/>
    <w:rsid w:val="00C4747E"/>
    <w:rsid w:val="00C4768F"/>
    <w:rsid w:val="00C513DC"/>
    <w:rsid w:val="00C5151E"/>
    <w:rsid w:val="00C51BF8"/>
    <w:rsid w:val="00C52256"/>
    <w:rsid w:val="00C5342C"/>
    <w:rsid w:val="00C53B2B"/>
    <w:rsid w:val="00C547F5"/>
    <w:rsid w:val="00C56D78"/>
    <w:rsid w:val="00C57465"/>
    <w:rsid w:val="00C60272"/>
    <w:rsid w:val="00C603D4"/>
    <w:rsid w:val="00C618F3"/>
    <w:rsid w:val="00C6256A"/>
    <w:rsid w:val="00C63FDA"/>
    <w:rsid w:val="00C64EBC"/>
    <w:rsid w:val="00C664D2"/>
    <w:rsid w:val="00C66E0E"/>
    <w:rsid w:val="00C677E1"/>
    <w:rsid w:val="00C70E6E"/>
    <w:rsid w:val="00C710E2"/>
    <w:rsid w:val="00C71C3F"/>
    <w:rsid w:val="00C7409E"/>
    <w:rsid w:val="00C74D6D"/>
    <w:rsid w:val="00C767B1"/>
    <w:rsid w:val="00C76E76"/>
    <w:rsid w:val="00C77891"/>
    <w:rsid w:val="00C77B74"/>
    <w:rsid w:val="00C82062"/>
    <w:rsid w:val="00C829A9"/>
    <w:rsid w:val="00C829D2"/>
    <w:rsid w:val="00C83493"/>
    <w:rsid w:val="00C849C6"/>
    <w:rsid w:val="00C86868"/>
    <w:rsid w:val="00C87B80"/>
    <w:rsid w:val="00C90330"/>
    <w:rsid w:val="00C91449"/>
    <w:rsid w:val="00C92D10"/>
    <w:rsid w:val="00C92F79"/>
    <w:rsid w:val="00C938C6"/>
    <w:rsid w:val="00C95200"/>
    <w:rsid w:val="00C96EC0"/>
    <w:rsid w:val="00CA06F9"/>
    <w:rsid w:val="00CA14BB"/>
    <w:rsid w:val="00CA230C"/>
    <w:rsid w:val="00CA27D6"/>
    <w:rsid w:val="00CA48D9"/>
    <w:rsid w:val="00CA7CE7"/>
    <w:rsid w:val="00CB1193"/>
    <w:rsid w:val="00CB15AC"/>
    <w:rsid w:val="00CB358A"/>
    <w:rsid w:val="00CB381A"/>
    <w:rsid w:val="00CB4767"/>
    <w:rsid w:val="00CB493D"/>
    <w:rsid w:val="00CC218A"/>
    <w:rsid w:val="00CC2224"/>
    <w:rsid w:val="00CC3B97"/>
    <w:rsid w:val="00CD0563"/>
    <w:rsid w:val="00CD4A8C"/>
    <w:rsid w:val="00CD6257"/>
    <w:rsid w:val="00CD7C0B"/>
    <w:rsid w:val="00CD7FF5"/>
    <w:rsid w:val="00CE10C4"/>
    <w:rsid w:val="00CE2343"/>
    <w:rsid w:val="00CE27B5"/>
    <w:rsid w:val="00CE2BDF"/>
    <w:rsid w:val="00CE493C"/>
    <w:rsid w:val="00CE6D24"/>
    <w:rsid w:val="00CE6DAF"/>
    <w:rsid w:val="00CF410A"/>
    <w:rsid w:val="00CF4693"/>
    <w:rsid w:val="00CF47B8"/>
    <w:rsid w:val="00CF60D8"/>
    <w:rsid w:val="00CF7528"/>
    <w:rsid w:val="00CF7FDE"/>
    <w:rsid w:val="00D012AF"/>
    <w:rsid w:val="00D0321E"/>
    <w:rsid w:val="00D05457"/>
    <w:rsid w:val="00D064B8"/>
    <w:rsid w:val="00D069EB"/>
    <w:rsid w:val="00D07A8A"/>
    <w:rsid w:val="00D10E31"/>
    <w:rsid w:val="00D11199"/>
    <w:rsid w:val="00D12DB1"/>
    <w:rsid w:val="00D130C2"/>
    <w:rsid w:val="00D1455A"/>
    <w:rsid w:val="00D14573"/>
    <w:rsid w:val="00D14A70"/>
    <w:rsid w:val="00D14E91"/>
    <w:rsid w:val="00D207EA"/>
    <w:rsid w:val="00D211FB"/>
    <w:rsid w:val="00D22093"/>
    <w:rsid w:val="00D25A26"/>
    <w:rsid w:val="00D30106"/>
    <w:rsid w:val="00D310CB"/>
    <w:rsid w:val="00D31150"/>
    <w:rsid w:val="00D3138B"/>
    <w:rsid w:val="00D31FCE"/>
    <w:rsid w:val="00D3280C"/>
    <w:rsid w:val="00D335CB"/>
    <w:rsid w:val="00D3406A"/>
    <w:rsid w:val="00D34D24"/>
    <w:rsid w:val="00D40B11"/>
    <w:rsid w:val="00D422FA"/>
    <w:rsid w:val="00D42864"/>
    <w:rsid w:val="00D429EC"/>
    <w:rsid w:val="00D438F3"/>
    <w:rsid w:val="00D441F1"/>
    <w:rsid w:val="00D44899"/>
    <w:rsid w:val="00D4572C"/>
    <w:rsid w:val="00D469B2"/>
    <w:rsid w:val="00D47119"/>
    <w:rsid w:val="00D47BDB"/>
    <w:rsid w:val="00D52B24"/>
    <w:rsid w:val="00D52B3C"/>
    <w:rsid w:val="00D52EAA"/>
    <w:rsid w:val="00D52ECF"/>
    <w:rsid w:val="00D53F0C"/>
    <w:rsid w:val="00D5411A"/>
    <w:rsid w:val="00D543BB"/>
    <w:rsid w:val="00D54B09"/>
    <w:rsid w:val="00D55D5F"/>
    <w:rsid w:val="00D57926"/>
    <w:rsid w:val="00D6243E"/>
    <w:rsid w:val="00D62960"/>
    <w:rsid w:val="00D65658"/>
    <w:rsid w:val="00D67EB2"/>
    <w:rsid w:val="00D70349"/>
    <w:rsid w:val="00D72B6F"/>
    <w:rsid w:val="00D741EB"/>
    <w:rsid w:val="00D748DE"/>
    <w:rsid w:val="00D74CEA"/>
    <w:rsid w:val="00D759B4"/>
    <w:rsid w:val="00D7679C"/>
    <w:rsid w:val="00D817A9"/>
    <w:rsid w:val="00D820F3"/>
    <w:rsid w:val="00D83605"/>
    <w:rsid w:val="00D84934"/>
    <w:rsid w:val="00D866EB"/>
    <w:rsid w:val="00D86C52"/>
    <w:rsid w:val="00D87D1A"/>
    <w:rsid w:val="00D906DA"/>
    <w:rsid w:val="00D91271"/>
    <w:rsid w:val="00D919F5"/>
    <w:rsid w:val="00D9292B"/>
    <w:rsid w:val="00D945F6"/>
    <w:rsid w:val="00D94F03"/>
    <w:rsid w:val="00D95161"/>
    <w:rsid w:val="00D95C23"/>
    <w:rsid w:val="00DA0A82"/>
    <w:rsid w:val="00DA0D14"/>
    <w:rsid w:val="00DA1BDC"/>
    <w:rsid w:val="00DA1FC9"/>
    <w:rsid w:val="00DA2CB5"/>
    <w:rsid w:val="00DA32AE"/>
    <w:rsid w:val="00DA358F"/>
    <w:rsid w:val="00DA383E"/>
    <w:rsid w:val="00DA4BAC"/>
    <w:rsid w:val="00DA67B0"/>
    <w:rsid w:val="00DA722E"/>
    <w:rsid w:val="00DA792A"/>
    <w:rsid w:val="00DB0151"/>
    <w:rsid w:val="00DB0160"/>
    <w:rsid w:val="00DB04D7"/>
    <w:rsid w:val="00DB19D0"/>
    <w:rsid w:val="00DB2215"/>
    <w:rsid w:val="00DB35B9"/>
    <w:rsid w:val="00DB4C84"/>
    <w:rsid w:val="00DB50E1"/>
    <w:rsid w:val="00DB71D4"/>
    <w:rsid w:val="00DB7A5A"/>
    <w:rsid w:val="00DC0566"/>
    <w:rsid w:val="00DC05E1"/>
    <w:rsid w:val="00DC1499"/>
    <w:rsid w:val="00DC16CF"/>
    <w:rsid w:val="00DC2C3E"/>
    <w:rsid w:val="00DC3137"/>
    <w:rsid w:val="00DC3A71"/>
    <w:rsid w:val="00DC4880"/>
    <w:rsid w:val="00DC581F"/>
    <w:rsid w:val="00DC5E90"/>
    <w:rsid w:val="00DC6EC3"/>
    <w:rsid w:val="00DC732A"/>
    <w:rsid w:val="00DC73E4"/>
    <w:rsid w:val="00DD061E"/>
    <w:rsid w:val="00DD0BE9"/>
    <w:rsid w:val="00DD26F9"/>
    <w:rsid w:val="00DD350E"/>
    <w:rsid w:val="00DD42AB"/>
    <w:rsid w:val="00DD49F9"/>
    <w:rsid w:val="00DD5F41"/>
    <w:rsid w:val="00DD74AD"/>
    <w:rsid w:val="00DE06AF"/>
    <w:rsid w:val="00DE6D27"/>
    <w:rsid w:val="00DE76EA"/>
    <w:rsid w:val="00DF01F8"/>
    <w:rsid w:val="00DF021D"/>
    <w:rsid w:val="00DF1110"/>
    <w:rsid w:val="00DF14EE"/>
    <w:rsid w:val="00DF217D"/>
    <w:rsid w:val="00DF26A7"/>
    <w:rsid w:val="00DF3277"/>
    <w:rsid w:val="00DF5506"/>
    <w:rsid w:val="00DF67BE"/>
    <w:rsid w:val="00DF6A31"/>
    <w:rsid w:val="00DF710E"/>
    <w:rsid w:val="00DF7407"/>
    <w:rsid w:val="00DF772E"/>
    <w:rsid w:val="00DF77A1"/>
    <w:rsid w:val="00DF7919"/>
    <w:rsid w:val="00E01F4C"/>
    <w:rsid w:val="00E0207E"/>
    <w:rsid w:val="00E02AE6"/>
    <w:rsid w:val="00E03912"/>
    <w:rsid w:val="00E04748"/>
    <w:rsid w:val="00E04CB8"/>
    <w:rsid w:val="00E060AF"/>
    <w:rsid w:val="00E06183"/>
    <w:rsid w:val="00E078D9"/>
    <w:rsid w:val="00E10293"/>
    <w:rsid w:val="00E103A0"/>
    <w:rsid w:val="00E1043F"/>
    <w:rsid w:val="00E1157E"/>
    <w:rsid w:val="00E11F44"/>
    <w:rsid w:val="00E13E60"/>
    <w:rsid w:val="00E15627"/>
    <w:rsid w:val="00E164B3"/>
    <w:rsid w:val="00E16910"/>
    <w:rsid w:val="00E21164"/>
    <w:rsid w:val="00E2180D"/>
    <w:rsid w:val="00E239E2"/>
    <w:rsid w:val="00E24D37"/>
    <w:rsid w:val="00E24E09"/>
    <w:rsid w:val="00E25616"/>
    <w:rsid w:val="00E258F3"/>
    <w:rsid w:val="00E27234"/>
    <w:rsid w:val="00E3495C"/>
    <w:rsid w:val="00E34F0C"/>
    <w:rsid w:val="00E3670B"/>
    <w:rsid w:val="00E42BDB"/>
    <w:rsid w:val="00E42D0D"/>
    <w:rsid w:val="00E46A81"/>
    <w:rsid w:val="00E47735"/>
    <w:rsid w:val="00E50F18"/>
    <w:rsid w:val="00E51EF8"/>
    <w:rsid w:val="00E524A9"/>
    <w:rsid w:val="00E53F1A"/>
    <w:rsid w:val="00E55E7F"/>
    <w:rsid w:val="00E5726D"/>
    <w:rsid w:val="00E57436"/>
    <w:rsid w:val="00E57EEB"/>
    <w:rsid w:val="00E62D94"/>
    <w:rsid w:val="00E62ECC"/>
    <w:rsid w:val="00E648EC"/>
    <w:rsid w:val="00E64F37"/>
    <w:rsid w:val="00E65091"/>
    <w:rsid w:val="00E65393"/>
    <w:rsid w:val="00E65E54"/>
    <w:rsid w:val="00E661C7"/>
    <w:rsid w:val="00E66679"/>
    <w:rsid w:val="00E732C4"/>
    <w:rsid w:val="00E74E36"/>
    <w:rsid w:val="00E74E41"/>
    <w:rsid w:val="00E75151"/>
    <w:rsid w:val="00E80155"/>
    <w:rsid w:val="00E8134B"/>
    <w:rsid w:val="00E81E0D"/>
    <w:rsid w:val="00E81F28"/>
    <w:rsid w:val="00E82089"/>
    <w:rsid w:val="00E82C52"/>
    <w:rsid w:val="00E848C0"/>
    <w:rsid w:val="00E84BB8"/>
    <w:rsid w:val="00E86F92"/>
    <w:rsid w:val="00E91B96"/>
    <w:rsid w:val="00E92F2E"/>
    <w:rsid w:val="00E935DA"/>
    <w:rsid w:val="00E93D1E"/>
    <w:rsid w:val="00E941A1"/>
    <w:rsid w:val="00E94DE6"/>
    <w:rsid w:val="00E9552F"/>
    <w:rsid w:val="00E95CE3"/>
    <w:rsid w:val="00E95F9A"/>
    <w:rsid w:val="00E96E99"/>
    <w:rsid w:val="00EA0856"/>
    <w:rsid w:val="00EA1DC4"/>
    <w:rsid w:val="00EA252F"/>
    <w:rsid w:val="00EA2825"/>
    <w:rsid w:val="00EA5027"/>
    <w:rsid w:val="00EA64C2"/>
    <w:rsid w:val="00EA6518"/>
    <w:rsid w:val="00EA71A2"/>
    <w:rsid w:val="00EA7466"/>
    <w:rsid w:val="00EA7EDE"/>
    <w:rsid w:val="00EB0B63"/>
    <w:rsid w:val="00EB0EB5"/>
    <w:rsid w:val="00EB1936"/>
    <w:rsid w:val="00EB3545"/>
    <w:rsid w:val="00EB37BE"/>
    <w:rsid w:val="00EB42C4"/>
    <w:rsid w:val="00EB4BAE"/>
    <w:rsid w:val="00EB5088"/>
    <w:rsid w:val="00EB54C7"/>
    <w:rsid w:val="00EB68FF"/>
    <w:rsid w:val="00EB7210"/>
    <w:rsid w:val="00EC170E"/>
    <w:rsid w:val="00EC2072"/>
    <w:rsid w:val="00EC2726"/>
    <w:rsid w:val="00EC575E"/>
    <w:rsid w:val="00EC681C"/>
    <w:rsid w:val="00EC7B87"/>
    <w:rsid w:val="00ED1644"/>
    <w:rsid w:val="00ED2593"/>
    <w:rsid w:val="00ED3709"/>
    <w:rsid w:val="00ED432F"/>
    <w:rsid w:val="00ED6E34"/>
    <w:rsid w:val="00ED7D55"/>
    <w:rsid w:val="00ED7D9C"/>
    <w:rsid w:val="00EE00A7"/>
    <w:rsid w:val="00EE1CE1"/>
    <w:rsid w:val="00EE2F77"/>
    <w:rsid w:val="00EE3158"/>
    <w:rsid w:val="00EE31A2"/>
    <w:rsid w:val="00EE4329"/>
    <w:rsid w:val="00EE6203"/>
    <w:rsid w:val="00EE7192"/>
    <w:rsid w:val="00EF0069"/>
    <w:rsid w:val="00EF229C"/>
    <w:rsid w:val="00EF3C52"/>
    <w:rsid w:val="00EF44A0"/>
    <w:rsid w:val="00EF4580"/>
    <w:rsid w:val="00EF4FED"/>
    <w:rsid w:val="00EF5F45"/>
    <w:rsid w:val="00EF6380"/>
    <w:rsid w:val="00EF6709"/>
    <w:rsid w:val="00EF6843"/>
    <w:rsid w:val="00EF6941"/>
    <w:rsid w:val="00EF6FB3"/>
    <w:rsid w:val="00F0068B"/>
    <w:rsid w:val="00F007C6"/>
    <w:rsid w:val="00F0172E"/>
    <w:rsid w:val="00F050BD"/>
    <w:rsid w:val="00F05657"/>
    <w:rsid w:val="00F05AB0"/>
    <w:rsid w:val="00F07F69"/>
    <w:rsid w:val="00F12C74"/>
    <w:rsid w:val="00F13214"/>
    <w:rsid w:val="00F1559A"/>
    <w:rsid w:val="00F17ED6"/>
    <w:rsid w:val="00F20676"/>
    <w:rsid w:val="00F209E2"/>
    <w:rsid w:val="00F21557"/>
    <w:rsid w:val="00F2398F"/>
    <w:rsid w:val="00F248F4"/>
    <w:rsid w:val="00F25578"/>
    <w:rsid w:val="00F25707"/>
    <w:rsid w:val="00F258E5"/>
    <w:rsid w:val="00F25B9C"/>
    <w:rsid w:val="00F2675A"/>
    <w:rsid w:val="00F26CC6"/>
    <w:rsid w:val="00F26D80"/>
    <w:rsid w:val="00F300BC"/>
    <w:rsid w:val="00F305FA"/>
    <w:rsid w:val="00F31565"/>
    <w:rsid w:val="00F3263C"/>
    <w:rsid w:val="00F32B05"/>
    <w:rsid w:val="00F3334E"/>
    <w:rsid w:val="00F3573A"/>
    <w:rsid w:val="00F36C7B"/>
    <w:rsid w:val="00F36CCB"/>
    <w:rsid w:val="00F374E5"/>
    <w:rsid w:val="00F37B93"/>
    <w:rsid w:val="00F37BAD"/>
    <w:rsid w:val="00F37ECA"/>
    <w:rsid w:val="00F37FF9"/>
    <w:rsid w:val="00F40A1C"/>
    <w:rsid w:val="00F4316A"/>
    <w:rsid w:val="00F43AF2"/>
    <w:rsid w:val="00F45216"/>
    <w:rsid w:val="00F5007E"/>
    <w:rsid w:val="00F508F6"/>
    <w:rsid w:val="00F50A35"/>
    <w:rsid w:val="00F50EC4"/>
    <w:rsid w:val="00F52232"/>
    <w:rsid w:val="00F527B1"/>
    <w:rsid w:val="00F52DC2"/>
    <w:rsid w:val="00F54AF9"/>
    <w:rsid w:val="00F54EBF"/>
    <w:rsid w:val="00F550CF"/>
    <w:rsid w:val="00F553D2"/>
    <w:rsid w:val="00F55859"/>
    <w:rsid w:val="00F56A2D"/>
    <w:rsid w:val="00F57A6D"/>
    <w:rsid w:val="00F6039C"/>
    <w:rsid w:val="00F6044B"/>
    <w:rsid w:val="00F62F19"/>
    <w:rsid w:val="00F638CC"/>
    <w:rsid w:val="00F64C16"/>
    <w:rsid w:val="00F64C9E"/>
    <w:rsid w:val="00F64CC1"/>
    <w:rsid w:val="00F64FC8"/>
    <w:rsid w:val="00F6622A"/>
    <w:rsid w:val="00F67742"/>
    <w:rsid w:val="00F708B1"/>
    <w:rsid w:val="00F71A3B"/>
    <w:rsid w:val="00F72317"/>
    <w:rsid w:val="00F72831"/>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44E2"/>
    <w:rsid w:val="00F9629A"/>
    <w:rsid w:val="00F97EFC"/>
    <w:rsid w:val="00FA0B04"/>
    <w:rsid w:val="00FA0C7C"/>
    <w:rsid w:val="00FA1BDD"/>
    <w:rsid w:val="00FA288F"/>
    <w:rsid w:val="00FA305C"/>
    <w:rsid w:val="00FA462E"/>
    <w:rsid w:val="00FA4DD5"/>
    <w:rsid w:val="00FA5883"/>
    <w:rsid w:val="00FA6055"/>
    <w:rsid w:val="00FA6446"/>
    <w:rsid w:val="00FA6ED7"/>
    <w:rsid w:val="00FB0B39"/>
    <w:rsid w:val="00FB2968"/>
    <w:rsid w:val="00FB322F"/>
    <w:rsid w:val="00FB442F"/>
    <w:rsid w:val="00FC0B8F"/>
    <w:rsid w:val="00FC118C"/>
    <w:rsid w:val="00FC1929"/>
    <w:rsid w:val="00FC438E"/>
    <w:rsid w:val="00FC5B46"/>
    <w:rsid w:val="00FD1D4F"/>
    <w:rsid w:val="00FD21BC"/>
    <w:rsid w:val="00FD24BF"/>
    <w:rsid w:val="00FD3B6E"/>
    <w:rsid w:val="00FD4140"/>
    <w:rsid w:val="00FD44EF"/>
    <w:rsid w:val="00FD46BD"/>
    <w:rsid w:val="00FD57EB"/>
    <w:rsid w:val="00FD6D8E"/>
    <w:rsid w:val="00FE0663"/>
    <w:rsid w:val="00FE0E94"/>
    <w:rsid w:val="00FE1C2C"/>
    <w:rsid w:val="00FE369C"/>
    <w:rsid w:val="00FE3CD9"/>
    <w:rsid w:val="00FF00BD"/>
    <w:rsid w:val="00FF067C"/>
    <w:rsid w:val="00FF0B13"/>
    <w:rsid w:val="00FF1672"/>
    <w:rsid w:val="00FF1B16"/>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D86C52"/>
    <w:pPr>
      <w:numPr>
        <w:numId w:val="10"/>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Strong">
    <w:name w:val="Strong"/>
    <w:basedOn w:val="DefaultParagraphFont"/>
    <w:uiPriority w:val="22"/>
    <w:qFormat/>
    <w:rsid w:val="00D335CB"/>
    <w:rPr>
      <w:b/>
      <w:bCs/>
    </w:rPr>
  </w:style>
  <w:style w:type="paragraph" w:styleId="NormalWeb">
    <w:name w:val="Normal (Web)"/>
    <w:basedOn w:val="Normal"/>
    <w:uiPriority w:val="99"/>
    <w:semiHidden/>
    <w:unhideWhenUsed/>
    <w:rsid w:val="004F1C66"/>
    <w:pPr>
      <w:spacing w:before="100" w:beforeAutospacing="1" w:after="100" w:afterAutospacing="1"/>
      <w:jc w:val="left"/>
    </w:pPr>
    <w:rPr>
      <w:rFonts w:ascii="Times New Roman" w:hAnsi="Times New Roman"/>
    </w:rPr>
  </w:style>
  <w:style w:type="table" w:styleId="LightList-Accent3">
    <w:name w:val="Light List Accent 3"/>
    <w:basedOn w:val="TableNormal"/>
    <w:uiPriority w:val="61"/>
    <w:rsid w:val="00C27863"/>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dTable6Colorful">
    <w:name w:val="Grid Table 6 Colorful"/>
    <w:basedOn w:val="TableNormal"/>
    <w:uiPriority w:val="51"/>
    <w:rsid w:val="00C278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semiHidden/>
    <w:unhideWhenUsed/>
    <w:rsid w:val="00A16B08"/>
    <w:rPr>
      <w:sz w:val="20"/>
      <w:szCs w:val="20"/>
    </w:rPr>
  </w:style>
  <w:style w:type="character" w:customStyle="1" w:styleId="FootnoteTextChar">
    <w:name w:val="Footnote Text Char"/>
    <w:basedOn w:val="DefaultParagraphFont"/>
    <w:link w:val="FootnoteText"/>
    <w:semiHidden/>
    <w:rsid w:val="00A16B08"/>
    <w:rPr>
      <w:rFonts w:ascii="Calibri" w:hAnsi="Calibri"/>
    </w:rPr>
  </w:style>
  <w:style w:type="character" w:styleId="FootnoteReference">
    <w:name w:val="footnote reference"/>
    <w:basedOn w:val="DefaultParagraphFont"/>
    <w:semiHidden/>
    <w:unhideWhenUsed/>
    <w:rsid w:val="00A16B08"/>
    <w:rPr>
      <w:vertAlign w:val="superscript"/>
    </w:rPr>
  </w:style>
  <w:style w:type="paragraph" w:customStyle="1" w:styleId="3-SubsectionHeading">
    <w:name w:val="3-Subsection Heading"/>
    <w:basedOn w:val="Heading2"/>
    <w:next w:val="Normal"/>
    <w:link w:val="3-SubsectionHeadingChar"/>
    <w:qFormat/>
    <w:rsid w:val="003D3A3B"/>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D3A3B"/>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0520937">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4204255">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244890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93694977">
      <w:bodyDiv w:val="1"/>
      <w:marLeft w:val="0"/>
      <w:marRight w:val="0"/>
      <w:marTop w:val="0"/>
      <w:marBottom w:val="0"/>
      <w:divBdr>
        <w:top w:val="none" w:sz="0" w:space="0" w:color="auto"/>
        <w:left w:val="none" w:sz="0" w:space="0" w:color="auto"/>
        <w:bottom w:val="none" w:sz="0" w:space="0" w:color="auto"/>
        <w:right w:val="none" w:sz="0" w:space="0" w:color="auto"/>
      </w:divBdr>
    </w:div>
    <w:div w:id="153106397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37E2DE6D-4BEE-450B-90B4-05CD8D949B3A}"/>
</file>

<file path=customXml/itemProps3.xml><?xml version="1.0" encoding="utf-8"?>
<ds:datastoreItem xmlns:ds="http://schemas.openxmlformats.org/officeDocument/2006/customXml" ds:itemID="{83589559-121D-407C-9271-BB936ABE0A5C}"/>
</file>

<file path=customXml/itemProps4.xml><?xml version="1.0" encoding="utf-8"?>
<ds:datastoreItem xmlns:ds="http://schemas.openxmlformats.org/officeDocument/2006/customXml" ds:itemID="{7C78A7D8-2410-4591-82DC-FF537BAD5676}"/>
</file>

<file path=docProps/app.xml><?xml version="1.0" encoding="utf-8"?>
<Properties xmlns="http://schemas.openxmlformats.org/officeDocument/2006/extended-properties" xmlns:vt="http://schemas.openxmlformats.org/officeDocument/2006/docPropsVTypes">
  <Template>Normal.dotm</Template>
  <TotalTime>0</TotalTime>
  <Pages>8</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2025-03-04T05:37:00Z</dcterms:created>
  <dcterms:modified xsi:type="dcterms:W3CDTF">2025-03-04T05:37:00Z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408300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